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7798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7798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7798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A7798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77989" w:rsidTr="002E5576">
        <w:tc>
          <w:tcPr>
            <w:tcW w:w="4518" w:type="dxa"/>
          </w:tcPr>
          <w:p w:rsidR="00BF25F3" w:rsidRPr="002E2327" w:rsidRDefault="00AB323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B323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9C628D" w:rsidP="00F0068D">
      <w:pPr>
        <w:pBdr>
          <w:bottom w:val="single" w:sz="6" w:space="1" w:color="auto"/>
        </w:pBdr>
        <w:tabs>
          <w:tab w:val="center" w:pos="4680"/>
          <w:tab w:val="right" w:pos="9360"/>
        </w:tabs>
        <w:rPr>
          <w:lang w:val="fr-CA"/>
        </w:rPr>
      </w:pPr>
      <w:r>
        <w:rPr>
          <w:lang w:val="fr-CA"/>
        </w:rPr>
        <w:t>June 30</w:t>
      </w:r>
      <w:r w:rsidR="00440E24" w:rsidRPr="00675479">
        <w:rPr>
          <w:lang w:val="fr-CA"/>
        </w:rPr>
        <w:t>, 201</w:t>
      </w:r>
      <w:r w:rsidR="003359D3">
        <w:rPr>
          <w:lang w:val="fr-CA"/>
        </w:rPr>
        <w:t>1</w:t>
      </w:r>
      <w:r w:rsidR="00F0068D" w:rsidRPr="00675479">
        <w:rPr>
          <w:lang w:val="fr-CA"/>
        </w:rPr>
        <w:tab/>
      </w:r>
      <w:r>
        <w:rPr>
          <w:lang w:val="fr-CA"/>
        </w:rPr>
        <w:t>998</w:t>
      </w:r>
      <w:r w:rsidR="00F0068D" w:rsidRPr="00675479">
        <w:rPr>
          <w:lang w:val="fr-CA"/>
        </w:rPr>
        <w:t xml:space="preserve"> - </w:t>
      </w:r>
      <w:r w:rsidR="00345978">
        <w:rPr>
          <w:lang w:val="fr-CA"/>
        </w:rPr>
        <w:t>1039</w:t>
      </w:r>
      <w:r w:rsidR="00440E24" w:rsidRPr="00675479">
        <w:rPr>
          <w:lang w:val="fr-CA"/>
        </w:rPr>
        <w:tab/>
      </w:r>
      <w:r w:rsidR="00440E24" w:rsidRPr="002E2327">
        <w:rPr>
          <w:lang w:val="fr-CA"/>
        </w:rPr>
        <w:t xml:space="preserve">Le </w:t>
      </w:r>
      <w:r>
        <w:rPr>
          <w:lang w:val="fr-CA"/>
        </w:rPr>
        <w:t>30 ju</w:t>
      </w:r>
      <w:r w:rsidR="00440E24" w:rsidRPr="002E2327">
        <w:rPr>
          <w:lang w:val="fr-CA"/>
        </w:rPr>
        <w:t>i</w:t>
      </w:r>
      <w:r>
        <w:rPr>
          <w:lang w:val="fr-CA"/>
        </w:rPr>
        <w:t>n</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A7798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intervention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542AA1">
            <w:pPr>
              <w:tabs>
                <w:tab w:val="right" w:pos="9360"/>
              </w:tabs>
              <w:rPr>
                <w:rFonts w:cs="Times New Roman"/>
                <w:sz w:val="20"/>
                <w:szCs w:val="20"/>
              </w:rPr>
            </w:pPr>
          </w:p>
        </w:tc>
        <w:tc>
          <w:tcPr>
            <w:tcW w:w="1980" w:type="dxa"/>
          </w:tcPr>
          <w:p w:rsidR="0095096B" w:rsidRPr="002E2327" w:rsidRDefault="009C628D" w:rsidP="0095096B">
            <w:pPr>
              <w:jc w:val="center"/>
              <w:rPr>
                <w:rFonts w:cs="Times New Roman"/>
                <w:sz w:val="20"/>
                <w:szCs w:val="20"/>
              </w:rPr>
            </w:pPr>
            <w:r>
              <w:rPr>
                <w:rFonts w:cs="Times New Roman"/>
                <w:sz w:val="20"/>
                <w:szCs w:val="20"/>
              </w:rPr>
              <w:t>998</w:t>
            </w:r>
            <w:r w:rsidR="00AB3236" w:rsidRPr="002E2327">
              <w:rPr>
                <w:rFonts w:cs="Times New Roman"/>
                <w:sz w:val="20"/>
                <w:szCs w:val="20"/>
              </w:rPr>
              <w:fldChar w:fldCharType="begin"/>
            </w:r>
            <w:r w:rsidR="0095096B" w:rsidRPr="002E2327">
              <w:rPr>
                <w:rFonts w:cs="Times New Roman"/>
                <w:sz w:val="20"/>
                <w:szCs w:val="20"/>
              </w:rPr>
              <w:instrText xml:space="preserve"> SEQ CHAPTER \h \r 1</w:instrText>
            </w:r>
            <w:r w:rsidR="00AB3236"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0DE1" w:rsidP="0095096B">
            <w:pPr>
              <w:jc w:val="center"/>
              <w:rPr>
                <w:rFonts w:cs="Times New Roman"/>
                <w:sz w:val="20"/>
                <w:szCs w:val="20"/>
              </w:rPr>
            </w:pPr>
            <w:r>
              <w:rPr>
                <w:rFonts w:cs="Times New Roman"/>
                <w:sz w:val="20"/>
                <w:szCs w:val="20"/>
              </w:rPr>
              <w:t>999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0DE1" w:rsidP="0095096B">
            <w:pPr>
              <w:jc w:val="center"/>
              <w:rPr>
                <w:rFonts w:cs="Times New Roman"/>
                <w:sz w:val="20"/>
                <w:szCs w:val="20"/>
              </w:rPr>
            </w:pPr>
            <w:r>
              <w:rPr>
                <w:rFonts w:cs="Times New Roman"/>
                <w:sz w:val="20"/>
                <w:szCs w:val="20"/>
              </w:rPr>
              <w:t xml:space="preserve">1000 </w:t>
            </w:r>
            <w:r w:rsidR="0095096B" w:rsidRPr="002E2327">
              <w:rPr>
                <w:rFonts w:cs="Times New Roman"/>
                <w:sz w:val="20"/>
                <w:szCs w:val="20"/>
              </w:rPr>
              <w:t>-</w:t>
            </w:r>
            <w:r>
              <w:rPr>
                <w:rFonts w:cs="Times New Roman"/>
                <w:sz w:val="20"/>
                <w:szCs w:val="20"/>
              </w:rPr>
              <w:t xml:space="preserve"> </w:t>
            </w:r>
            <w:r w:rsidR="00345978">
              <w:rPr>
                <w:rFonts w:cs="Times New Roman"/>
                <w:sz w:val="20"/>
                <w:szCs w:val="20"/>
              </w:rPr>
              <w:t>1034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45978" w:rsidP="0095096B">
            <w:pPr>
              <w:jc w:val="center"/>
              <w:rPr>
                <w:rFonts w:cs="Times New Roman"/>
                <w:sz w:val="20"/>
                <w:szCs w:val="20"/>
              </w:rPr>
            </w:pPr>
            <w:r>
              <w:rPr>
                <w:rFonts w:cs="Times New Roman"/>
                <w:sz w:val="20"/>
                <w:szCs w:val="20"/>
              </w:rPr>
              <w:t xml:space="preserve">1035 </w:t>
            </w:r>
            <w:r w:rsidR="006B0DE1">
              <w:rPr>
                <w:rFonts w:cs="Times New Roman"/>
                <w:sz w:val="20"/>
                <w:szCs w:val="20"/>
              </w:rPr>
              <w:t>-</w:t>
            </w:r>
            <w:r>
              <w:rPr>
                <w:rFonts w:cs="Times New Roman"/>
                <w:sz w:val="20"/>
                <w:szCs w:val="20"/>
              </w:rPr>
              <w:t xml:space="preserve"> 1037</w:t>
            </w:r>
          </w:p>
          <w:p w:rsidR="0095096B" w:rsidRPr="002E2327" w:rsidRDefault="0095096B" w:rsidP="0095096B">
            <w:pPr>
              <w:jc w:val="center"/>
              <w:rPr>
                <w:rFonts w:cs="Times New Roman"/>
                <w:sz w:val="20"/>
                <w:szCs w:val="20"/>
              </w:rPr>
            </w:pPr>
          </w:p>
          <w:p w:rsidR="0095096B" w:rsidRPr="002E2327" w:rsidRDefault="00345978" w:rsidP="0095096B">
            <w:pPr>
              <w:jc w:val="center"/>
              <w:rPr>
                <w:rFonts w:cs="Times New Roman"/>
                <w:sz w:val="20"/>
                <w:szCs w:val="20"/>
              </w:rPr>
            </w:pPr>
            <w:r>
              <w:rPr>
                <w:rFonts w:cs="Times New Roman"/>
                <w:sz w:val="20"/>
                <w:szCs w:val="20"/>
              </w:rPr>
              <w:t>1038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45978" w:rsidP="0095096B">
            <w:pPr>
              <w:jc w:val="center"/>
              <w:rPr>
                <w:rFonts w:cs="Times New Roman"/>
                <w:sz w:val="20"/>
                <w:szCs w:val="20"/>
              </w:rPr>
            </w:pPr>
            <w:r>
              <w:rPr>
                <w:rFonts w:cs="Times New Roman"/>
                <w:sz w:val="20"/>
                <w:szCs w:val="20"/>
              </w:rPr>
              <w:t>1039</w:t>
            </w:r>
          </w:p>
          <w:p w:rsidR="00A87207" w:rsidRPr="002E2327" w:rsidRDefault="00A87207" w:rsidP="006B0DE1">
            <w:pPr>
              <w:tabs>
                <w:tab w:val="right" w:pos="9360"/>
              </w:tabs>
              <w:jc w:val="center"/>
              <w:rPr>
                <w:rFonts w:cs="Times New Roman"/>
                <w:sz w:val="20"/>
                <w:szCs w:val="20"/>
              </w:rPr>
            </w:pPr>
          </w:p>
        </w:tc>
        <w:tc>
          <w:tcPr>
            <w:tcW w:w="3888" w:type="dxa"/>
          </w:tcPr>
          <w:p w:rsidR="0095096B" w:rsidRPr="002E2327" w:rsidRDefault="00AB323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542AA1">
            <w:pPr>
              <w:tabs>
                <w:tab w:val="right" w:pos="9360"/>
              </w:tabs>
              <w:rPr>
                <w:rFonts w:cs="Times New Roman"/>
                <w:sz w:val="20"/>
                <w:szCs w:val="20"/>
                <w:lang w:val="fr-CA"/>
              </w:rPr>
            </w:pPr>
          </w:p>
        </w:tc>
      </w:tr>
    </w:tbl>
    <w:p w:rsidR="0095096B" w:rsidRDefault="0095096B" w:rsidP="0095096B">
      <w:pPr>
        <w:tabs>
          <w:tab w:val="right" w:pos="9360"/>
        </w:tabs>
        <w:rPr>
          <w:lang w:val="fr-CA"/>
        </w:rPr>
      </w:pPr>
    </w:p>
    <w:p w:rsidR="006B0DE1" w:rsidRDefault="006B0DE1" w:rsidP="0095096B">
      <w:pPr>
        <w:tabs>
          <w:tab w:val="right" w:pos="9360"/>
        </w:tabs>
        <w:rPr>
          <w:lang w:val="fr-CA"/>
        </w:rPr>
      </w:pPr>
    </w:p>
    <w:p w:rsidR="006B0DE1" w:rsidRDefault="006B0DE1" w:rsidP="0095096B">
      <w:pPr>
        <w:tabs>
          <w:tab w:val="right" w:pos="9360"/>
        </w:tabs>
        <w:rPr>
          <w:lang w:val="fr-CA"/>
        </w:rPr>
      </w:pPr>
    </w:p>
    <w:p w:rsidR="006B0DE1" w:rsidRDefault="006B0DE1" w:rsidP="0095096B">
      <w:pPr>
        <w:tabs>
          <w:tab w:val="right" w:pos="9360"/>
        </w:tabs>
        <w:rPr>
          <w:lang w:val="fr-CA"/>
        </w:rPr>
      </w:pPr>
    </w:p>
    <w:p w:rsidR="006B0DE1" w:rsidRDefault="006B0DE1" w:rsidP="0095096B">
      <w:pPr>
        <w:tabs>
          <w:tab w:val="right" w:pos="9360"/>
        </w:tabs>
        <w:rPr>
          <w:lang w:val="fr-CA"/>
        </w:rPr>
      </w:pPr>
    </w:p>
    <w:p w:rsidR="006B0DE1" w:rsidRPr="00542AA1" w:rsidRDefault="006B0DE1" w:rsidP="0095096B">
      <w:pPr>
        <w:tabs>
          <w:tab w:val="right" w:pos="9360"/>
        </w:tabs>
        <w:rPr>
          <w:lang w:val="fr-CA"/>
        </w:rPr>
      </w:pPr>
    </w:p>
    <w:tbl>
      <w:tblPr>
        <w:tblStyle w:val="TableGrid"/>
        <w:tblW w:w="0" w:type="auto"/>
        <w:tblLook w:val="04A0"/>
      </w:tblPr>
      <w:tblGrid>
        <w:gridCol w:w="9576"/>
      </w:tblGrid>
      <w:tr w:rsidR="0079724F" w:rsidRPr="00A7798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F20181" w:rsidP="003B3977">
            <w:pPr>
              <w:rPr>
                <w:b/>
                <w:sz w:val="20"/>
                <w:szCs w:val="20"/>
              </w:rPr>
            </w:pPr>
            <w:r>
              <w:rPr>
                <w:b/>
                <w:sz w:val="20"/>
                <w:szCs w:val="20"/>
              </w:rPr>
              <w:t>Kari Leiviska</w:t>
            </w:r>
          </w:p>
          <w:p w:rsidR="00242AEE" w:rsidRPr="00A935AA" w:rsidRDefault="00242AEE" w:rsidP="003B3977">
            <w:pPr>
              <w:tabs>
                <w:tab w:val="left" w:pos="-1440"/>
                <w:tab w:val="left" w:pos="-720"/>
              </w:tabs>
              <w:rPr>
                <w:sz w:val="20"/>
                <w:szCs w:val="20"/>
              </w:rPr>
            </w:pPr>
            <w:r w:rsidRPr="00A935AA">
              <w:rPr>
                <w:sz w:val="20"/>
                <w:szCs w:val="20"/>
              </w:rPr>
              <w:tab/>
            </w:r>
            <w:r w:rsidR="00F20181">
              <w:rPr>
                <w:sz w:val="20"/>
                <w:szCs w:val="20"/>
              </w:rPr>
              <w:t>Donald J. McKay</w:t>
            </w:r>
          </w:p>
          <w:p w:rsidR="00242AEE" w:rsidRPr="00A935AA" w:rsidRDefault="00242AEE" w:rsidP="003B3977">
            <w:pPr>
              <w:tabs>
                <w:tab w:val="left" w:pos="-1440"/>
                <w:tab w:val="left" w:pos="-720"/>
              </w:tabs>
              <w:rPr>
                <w:sz w:val="20"/>
                <w:szCs w:val="20"/>
              </w:rPr>
            </w:pPr>
            <w:r w:rsidRPr="00A935AA">
              <w:rPr>
                <w:sz w:val="20"/>
                <w:szCs w:val="20"/>
              </w:rPr>
              <w:tab/>
            </w:r>
            <w:r w:rsidR="00F20181">
              <w:rPr>
                <w:sz w:val="20"/>
                <w:szCs w:val="20"/>
              </w:rPr>
              <w:t>Donald J. McKay Law Corporation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341A0B">
              <w:rPr>
                <w:sz w:val="20"/>
                <w:szCs w:val="20"/>
              </w:rPr>
              <w:t>4</w:t>
            </w:r>
            <w:r w:rsidR="00F20181">
              <w:rPr>
                <w:sz w:val="20"/>
                <w:szCs w:val="20"/>
              </w:rPr>
              <w:t>276</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F20181"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F20181">
              <w:rPr>
                <w:sz w:val="20"/>
                <w:szCs w:val="20"/>
              </w:rPr>
              <w:t>John M. Gordon, Q.C.</w:t>
            </w:r>
          </w:p>
          <w:p w:rsidR="00242AEE" w:rsidRPr="00A935AA" w:rsidRDefault="00242AEE" w:rsidP="003B3977">
            <w:pPr>
              <w:tabs>
                <w:tab w:val="left" w:pos="-1440"/>
                <w:tab w:val="left" w:pos="-720"/>
              </w:tabs>
              <w:rPr>
                <w:sz w:val="20"/>
                <w:szCs w:val="20"/>
              </w:rPr>
            </w:pPr>
            <w:r w:rsidRPr="00A935AA">
              <w:rPr>
                <w:sz w:val="20"/>
                <w:szCs w:val="20"/>
              </w:rPr>
              <w:tab/>
            </w:r>
            <w:r w:rsidR="00F20181">
              <w:rPr>
                <w:sz w:val="20"/>
                <w:szCs w:val="20"/>
              </w:rPr>
              <w:t>A.G. of British Columbia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341A0B">
              <w:rPr>
                <w:sz w:val="20"/>
                <w:szCs w:val="20"/>
              </w:rPr>
              <w:t>27.0</w:t>
            </w:r>
            <w:r w:rsidR="00F20181">
              <w:rPr>
                <w:sz w:val="20"/>
                <w:szCs w:val="20"/>
              </w:rPr>
              <w:t>5</w:t>
            </w:r>
            <w:r w:rsidRPr="00A935AA">
              <w:rPr>
                <w:sz w:val="20"/>
                <w:szCs w:val="20"/>
              </w:rPr>
              <w:t>.201</w:t>
            </w:r>
            <w:r w:rsidR="00341A0B">
              <w:rPr>
                <w:sz w:val="20"/>
                <w:szCs w:val="20"/>
              </w:rPr>
              <w:t>1</w:t>
            </w:r>
          </w:p>
          <w:p w:rsidR="00242AEE" w:rsidRPr="00A935AA" w:rsidRDefault="00AB3236" w:rsidP="003B3977">
            <w:pPr>
              <w:rPr>
                <w:sz w:val="20"/>
                <w:szCs w:val="20"/>
              </w:rPr>
            </w:pPr>
            <w:r w:rsidRPr="00AB323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F20181" w:rsidP="003B3977">
            <w:pPr>
              <w:keepNext/>
              <w:keepLines/>
              <w:tabs>
                <w:tab w:val="left" w:pos="-1440"/>
                <w:tab w:val="left" w:pos="-720"/>
              </w:tabs>
              <w:rPr>
                <w:b/>
                <w:sz w:val="20"/>
                <w:szCs w:val="20"/>
              </w:rPr>
            </w:pPr>
            <w:r>
              <w:rPr>
                <w:b/>
                <w:sz w:val="20"/>
                <w:szCs w:val="20"/>
              </w:rPr>
              <w:t>Elena Pavlovna Usova</w:t>
            </w:r>
          </w:p>
          <w:p w:rsidR="00242AEE" w:rsidRPr="00A935AA" w:rsidRDefault="00242AEE" w:rsidP="003B3977">
            <w:pPr>
              <w:keepNext/>
              <w:keepLines/>
              <w:tabs>
                <w:tab w:val="left" w:pos="-1440"/>
                <w:tab w:val="left" w:pos="-720"/>
              </w:tabs>
              <w:rPr>
                <w:sz w:val="20"/>
                <w:szCs w:val="20"/>
              </w:rPr>
            </w:pPr>
            <w:r w:rsidRPr="00A935AA">
              <w:rPr>
                <w:sz w:val="20"/>
                <w:szCs w:val="20"/>
              </w:rPr>
              <w:tab/>
            </w:r>
            <w:r w:rsidR="00F20181">
              <w:rPr>
                <w:sz w:val="20"/>
                <w:szCs w:val="20"/>
              </w:rPr>
              <w:t>Susan G. Label</w:t>
            </w:r>
          </w:p>
          <w:p w:rsidR="00242AEE" w:rsidRPr="00A935AA" w:rsidRDefault="00242AEE" w:rsidP="003B3977">
            <w:pPr>
              <w:keepNext/>
              <w:keepLines/>
              <w:tabs>
                <w:tab w:val="left" w:pos="-1440"/>
                <w:tab w:val="left" w:pos="-720"/>
              </w:tabs>
              <w:rPr>
                <w:sz w:val="20"/>
                <w:szCs w:val="20"/>
              </w:rPr>
            </w:pPr>
            <w:r w:rsidRPr="00A935AA">
              <w:rPr>
                <w:sz w:val="20"/>
                <w:szCs w:val="20"/>
              </w:rPr>
              <w:tab/>
            </w:r>
            <w:r w:rsidR="00F20181">
              <w:rPr>
                <w:sz w:val="20"/>
                <w:szCs w:val="20"/>
              </w:rPr>
              <w:t>Susan G. Label Law Corporation</w:t>
            </w:r>
          </w:p>
          <w:p w:rsidR="00242AEE" w:rsidRPr="00A935AA" w:rsidRDefault="00242AEE" w:rsidP="003B3977">
            <w:pPr>
              <w:keepNext/>
              <w:keepLines/>
              <w:tabs>
                <w:tab w:val="left" w:pos="-1440"/>
                <w:tab w:val="left" w:pos="-720"/>
              </w:tabs>
              <w:rPr>
                <w:sz w:val="20"/>
                <w:szCs w:val="20"/>
              </w:rPr>
            </w:pPr>
          </w:p>
          <w:p w:rsidR="00242AEE" w:rsidRPr="00F20181" w:rsidRDefault="00242AEE" w:rsidP="003B3977">
            <w:pPr>
              <w:keepNext/>
              <w:keepLines/>
              <w:tabs>
                <w:tab w:val="left" w:pos="-1440"/>
                <w:tab w:val="left" w:pos="-720"/>
              </w:tabs>
              <w:rPr>
                <w:sz w:val="20"/>
                <w:szCs w:val="20"/>
              </w:rPr>
            </w:pPr>
            <w:r w:rsidRPr="00A935AA">
              <w:rPr>
                <w:sz w:val="20"/>
                <w:szCs w:val="20"/>
              </w:rPr>
              <w:tab/>
            </w:r>
            <w:r w:rsidRPr="00F20181">
              <w:rPr>
                <w:sz w:val="20"/>
                <w:szCs w:val="20"/>
              </w:rPr>
              <w:t>v. (3</w:t>
            </w:r>
            <w:r w:rsidR="00341A0B" w:rsidRPr="00F20181">
              <w:rPr>
                <w:sz w:val="20"/>
                <w:szCs w:val="20"/>
              </w:rPr>
              <w:t>4</w:t>
            </w:r>
            <w:r w:rsidR="00F20181">
              <w:rPr>
                <w:sz w:val="20"/>
                <w:szCs w:val="20"/>
              </w:rPr>
              <w:t>316</w:t>
            </w:r>
            <w:r w:rsidRPr="00F20181">
              <w:rPr>
                <w:sz w:val="20"/>
                <w:szCs w:val="20"/>
              </w:rPr>
              <w:t>)</w:t>
            </w:r>
          </w:p>
          <w:p w:rsidR="00242AEE" w:rsidRPr="00F20181" w:rsidRDefault="00242AEE" w:rsidP="003B3977">
            <w:pPr>
              <w:keepNext/>
              <w:keepLines/>
              <w:tabs>
                <w:tab w:val="left" w:pos="-1440"/>
                <w:tab w:val="left" w:pos="-720"/>
              </w:tabs>
              <w:rPr>
                <w:sz w:val="20"/>
                <w:szCs w:val="20"/>
              </w:rPr>
            </w:pPr>
          </w:p>
          <w:p w:rsidR="00242AEE" w:rsidRPr="00F20181" w:rsidRDefault="00F20181" w:rsidP="003B3977">
            <w:pPr>
              <w:keepNext/>
              <w:keepLines/>
              <w:tabs>
                <w:tab w:val="left" w:pos="-1440"/>
                <w:tab w:val="left" w:pos="-720"/>
              </w:tabs>
              <w:rPr>
                <w:b/>
                <w:sz w:val="20"/>
                <w:szCs w:val="20"/>
              </w:rPr>
            </w:pPr>
            <w:r>
              <w:rPr>
                <w:b/>
                <w:sz w:val="20"/>
                <w:szCs w:val="20"/>
              </w:rPr>
              <w:t xml:space="preserve">Robert Shawn Harrison </w:t>
            </w:r>
            <w:r w:rsidR="00242AEE" w:rsidRPr="00F20181">
              <w:rPr>
                <w:b/>
                <w:sz w:val="20"/>
                <w:szCs w:val="20"/>
              </w:rPr>
              <w:t>(</w:t>
            </w:r>
            <w:r>
              <w:rPr>
                <w:b/>
                <w:sz w:val="20"/>
                <w:szCs w:val="20"/>
              </w:rPr>
              <w:t>B.C</w:t>
            </w:r>
            <w:r w:rsidR="00242AEE" w:rsidRPr="00F20181">
              <w:rPr>
                <w:b/>
                <w:sz w:val="20"/>
                <w:szCs w:val="20"/>
              </w:rPr>
              <w:t>.)</w:t>
            </w:r>
          </w:p>
          <w:p w:rsidR="00242AEE" w:rsidRPr="00F20181" w:rsidRDefault="00242AEE" w:rsidP="003B3977">
            <w:pPr>
              <w:keepNext/>
              <w:keepLines/>
              <w:tabs>
                <w:tab w:val="left" w:pos="-1440"/>
                <w:tab w:val="left" w:pos="-720"/>
              </w:tabs>
              <w:rPr>
                <w:sz w:val="20"/>
                <w:szCs w:val="20"/>
              </w:rPr>
            </w:pPr>
            <w:r w:rsidRPr="00F20181">
              <w:rPr>
                <w:sz w:val="20"/>
                <w:szCs w:val="20"/>
              </w:rPr>
              <w:tab/>
            </w:r>
            <w:r w:rsidR="00F20181">
              <w:rPr>
                <w:sz w:val="20"/>
                <w:szCs w:val="20"/>
              </w:rPr>
              <w:t>Joan Dreyer</w:t>
            </w:r>
          </w:p>
          <w:p w:rsidR="00242AEE" w:rsidRPr="00F20181" w:rsidRDefault="00242AEE" w:rsidP="003B3977">
            <w:pPr>
              <w:keepNext/>
              <w:keepLines/>
              <w:tabs>
                <w:tab w:val="left" w:pos="-1440"/>
                <w:tab w:val="left" w:pos="-720"/>
              </w:tabs>
              <w:rPr>
                <w:sz w:val="20"/>
                <w:szCs w:val="20"/>
              </w:rPr>
            </w:pPr>
            <w:r w:rsidRPr="00F20181">
              <w:rPr>
                <w:sz w:val="20"/>
                <w:szCs w:val="20"/>
              </w:rPr>
              <w:tab/>
            </w:r>
            <w:r w:rsidR="00F20181">
              <w:rPr>
                <w:sz w:val="20"/>
                <w:szCs w:val="20"/>
              </w:rPr>
              <w:t>Dreyer &amp; Company</w:t>
            </w:r>
          </w:p>
          <w:p w:rsidR="00242AEE" w:rsidRPr="00F20181" w:rsidRDefault="00242AEE" w:rsidP="003B3977">
            <w:pPr>
              <w:keepNext/>
              <w:keepLines/>
              <w:tabs>
                <w:tab w:val="left" w:pos="-1440"/>
                <w:tab w:val="left" w:pos="-720"/>
              </w:tabs>
              <w:rPr>
                <w:sz w:val="20"/>
                <w:szCs w:val="20"/>
              </w:rPr>
            </w:pPr>
          </w:p>
          <w:p w:rsidR="00242AEE" w:rsidRPr="00A935AA" w:rsidRDefault="00242AEE" w:rsidP="00F20181">
            <w:pPr>
              <w:rPr>
                <w:sz w:val="20"/>
                <w:szCs w:val="20"/>
              </w:rPr>
            </w:pPr>
            <w:r w:rsidRPr="00A935AA">
              <w:rPr>
                <w:sz w:val="20"/>
                <w:szCs w:val="20"/>
              </w:rPr>
              <w:t xml:space="preserve">FILING DATE: </w:t>
            </w:r>
            <w:r w:rsidR="00F20181">
              <w:rPr>
                <w:sz w:val="20"/>
                <w:szCs w:val="20"/>
              </w:rPr>
              <w:t>16</w:t>
            </w:r>
            <w:r w:rsidRPr="00A935AA">
              <w:rPr>
                <w:sz w:val="20"/>
                <w:szCs w:val="20"/>
              </w:rPr>
              <w:t>.0</w:t>
            </w:r>
            <w:r w:rsidR="00341A0B">
              <w:rPr>
                <w:sz w:val="20"/>
                <w:szCs w:val="20"/>
              </w:rPr>
              <w:t>6</w:t>
            </w:r>
            <w:r w:rsidRPr="00A935AA">
              <w:rPr>
                <w:sz w:val="20"/>
                <w:szCs w:val="20"/>
              </w:rPr>
              <w:t>.201</w:t>
            </w:r>
            <w:r w:rsidR="00341A0B">
              <w:rPr>
                <w:sz w:val="20"/>
                <w:szCs w:val="20"/>
              </w:rPr>
              <w:t>1</w:t>
            </w:r>
            <w:r w:rsidR="00AB3236" w:rsidRPr="00AB3236">
              <w:rPr>
                <w:sz w:val="20"/>
                <w:szCs w:val="20"/>
                <w:lang w:val="fr-CA"/>
              </w:rPr>
              <w:pict>
                <v:rect id="_x0000_i1026"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B0DE1">
          <w:headerReference w:type="default" r:id="rId14"/>
          <w:footerReference w:type="default" r:id="rId15"/>
          <w:headerReference w:type="first" r:id="rId16"/>
          <w:footerReference w:type="first" r:id="rId17"/>
          <w:pgSz w:w="12240" w:h="15840"/>
          <w:pgMar w:top="720" w:right="965" w:bottom="1080" w:left="1656" w:header="706" w:footer="706" w:gutter="0"/>
          <w:pgNumType w:start="99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7798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341A0B" w:rsidP="003359D3">
      <w:pPr>
        <w:widowControl w:val="0"/>
        <w:rPr>
          <w:b/>
          <w:sz w:val="20"/>
          <w:szCs w:val="20"/>
        </w:rPr>
      </w:pPr>
      <w:r>
        <w:rPr>
          <w:b/>
          <w:sz w:val="20"/>
          <w:szCs w:val="20"/>
        </w:rPr>
        <w:t>JUNE 27</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27 JU</w:t>
      </w:r>
      <w:r w:rsidR="003359D3" w:rsidRPr="00C50A5C">
        <w:rPr>
          <w:b/>
          <w:sz w:val="20"/>
          <w:szCs w:val="20"/>
        </w:rPr>
        <w:t>I</w:t>
      </w:r>
      <w:r>
        <w:rPr>
          <w:b/>
          <w:sz w:val="20"/>
          <w:szCs w:val="20"/>
        </w:rPr>
        <w:t>N</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3359D3" w:rsidRPr="00C50A5C" w:rsidRDefault="003359D3" w:rsidP="003359D3">
      <w:pPr>
        <w:widowControl w:val="0"/>
        <w:rPr>
          <w:sz w:val="20"/>
          <w:szCs w:val="20"/>
          <w:lang w:val="fr-CA"/>
        </w:rPr>
      </w:pPr>
    </w:p>
    <w:p w:rsidR="003359D3" w:rsidRPr="00C50A5C" w:rsidRDefault="00327B7F" w:rsidP="003359D3">
      <w:pPr>
        <w:pStyle w:val="ListParagraph"/>
        <w:widowControl w:val="0"/>
        <w:numPr>
          <w:ilvl w:val="0"/>
          <w:numId w:val="1"/>
        </w:numPr>
        <w:ind w:hanging="720"/>
        <w:jc w:val="both"/>
        <w:rPr>
          <w:sz w:val="20"/>
          <w:szCs w:val="20"/>
        </w:rPr>
      </w:pPr>
      <w:r w:rsidRPr="002301F3">
        <w:rPr>
          <w:i/>
          <w:sz w:val="20"/>
          <w:szCs w:val="20"/>
        </w:rPr>
        <w:t>Shawn William  Hennessey v. Her Majesty the Queen</w:t>
      </w:r>
      <w:r w:rsidRPr="00773B60">
        <w:rPr>
          <w:sz w:val="20"/>
          <w:szCs w:val="20"/>
        </w:rPr>
        <w:t xml:space="preserve"> (Alta.) (Crim</w:t>
      </w:r>
      <w:r>
        <w:rPr>
          <w:sz w:val="20"/>
          <w:szCs w:val="20"/>
        </w:rPr>
        <w:t>.</w:t>
      </w:r>
      <w:r w:rsidRPr="00773B60">
        <w:rPr>
          <w:sz w:val="20"/>
          <w:szCs w:val="20"/>
        </w:rPr>
        <w:t>) (By Leave)</w:t>
      </w:r>
      <w:r w:rsidRPr="00327B7F">
        <w:rPr>
          <w:sz w:val="20"/>
          <w:szCs w:val="20"/>
        </w:rPr>
        <w:t xml:space="preserve"> (34241)</w:t>
      </w:r>
    </w:p>
    <w:p w:rsidR="003359D3" w:rsidRPr="00C50A5C" w:rsidRDefault="003359D3" w:rsidP="003359D3">
      <w:pPr>
        <w:widowControl w:val="0"/>
        <w:jc w:val="both"/>
        <w:rPr>
          <w:sz w:val="20"/>
          <w:szCs w:val="20"/>
        </w:rPr>
      </w:pPr>
    </w:p>
    <w:p w:rsidR="003359D3" w:rsidRPr="00327B7F" w:rsidRDefault="00327B7F" w:rsidP="003359D3">
      <w:pPr>
        <w:pStyle w:val="ListParagraph"/>
        <w:widowControl w:val="0"/>
        <w:numPr>
          <w:ilvl w:val="0"/>
          <w:numId w:val="1"/>
        </w:numPr>
        <w:ind w:hanging="720"/>
        <w:jc w:val="both"/>
        <w:rPr>
          <w:sz w:val="20"/>
          <w:szCs w:val="20"/>
        </w:rPr>
      </w:pPr>
      <w:r w:rsidRPr="002301F3">
        <w:rPr>
          <w:i/>
          <w:sz w:val="20"/>
          <w:szCs w:val="20"/>
        </w:rPr>
        <w:t>Dennis Keegan Cheeseman v. Her Majesty the Queen</w:t>
      </w:r>
      <w:r w:rsidRPr="00773B60">
        <w:rPr>
          <w:sz w:val="20"/>
          <w:szCs w:val="20"/>
        </w:rPr>
        <w:t xml:space="preserve"> (Alta.) (Crim</w:t>
      </w:r>
      <w:r>
        <w:rPr>
          <w:sz w:val="20"/>
          <w:szCs w:val="20"/>
        </w:rPr>
        <w:t>.</w:t>
      </w:r>
      <w:r w:rsidRPr="00773B60">
        <w:rPr>
          <w:sz w:val="20"/>
          <w:szCs w:val="20"/>
        </w:rPr>
        <w:t>) (By Leave)</w:t>
      </w:r>
      <w:r w:rsidRPr="00C50A5C">
        <w:rPr>
          <w:sz w:val="20"/>
          <w:szCs w:val="20"/>
        </w:rPr>
        <w:t xml:space="preserve"> (3</w:t>
      </w:r>
      <w:r>
        <w:rPr>
          <w:sz w:val="20"/>
          <w:szCs w:val="20"/>
        </w:rPr>
        <w:t>4198</w:t>
      </w:r>
      <w:r w:rsidRPr="00C50A5C">
        <w:rPr>
          <w:sz w:val="20"/>
          <w:szCs w:val="20"/>
        </w:rPr>
        <w:t>)</w:t>
      </w:r>
    </w:p>
    <w:p w:rsidR="003359D3" w:rsidRPr="00327B7F" w:rsidRDefault="003359D3" w:rsidP="003359D3">
      <w:pPr>
        <w:widowControl w:val="0"/>
        <w:jc w:val="both"/>
        <w:rPr>
          <w:sz w:val="20"/>
          <w:szCs w:val="20"/>
        </w:rPr>
      </w:pPr>
    </w:p>
    <w:p w:rsidR="003359D3" w:rsidRPr="00C50A5C" w:rsidRDefault="00327B7F" w:rsidP="003359D3">
      <w:pPr>
        <w:pStyle w:val="ListParagraph"/>
        <w:widowControl w:val="0"/>
        <w:numPr>
          <w:ilvl w:val="0"/>
          <w:numId w:val="1"/>
        </w:numPr>
        <w:ind w:hanging="720"/>
        <w:jc w:val="both"/>
        <w:rPr>
          <w:sz w:val="20"/>
          <w:szCs w:val="20"/>
        </w:rPr>
      </w:pPr>
      <w:r w:rsidRPr="002301F3">
        <w:rPr>
          <w:i/>
          <w:sz w:val="20"/>
          <w:szCs w:val="20"/>
        </w:rPr>
        <w:t>Attorney General of British Columbia v. Vancouver International Ai</w:t>
      </w:r>
      <w:r>
        <w:rPr>
          <w:i/>
          <w:sz w:val="20"/>
          <w:szCs w:val="20"/>
        </w:rPr>
        <w:t>r</w:t>
      </w:r>
      <w:r w:rsidRPr="002301F3">
        <w:rPr>
          <w:i/>
          <w:sz w:val="20"/>
          <w:szCs w:val="20"/>
        </w:rPr>
        <w:t>port Authority</w:t>
      </w:r>
      <w:r w:rsidRPr="00773B60">
        <w:rPr>
          <w:sz w:val="20"/>
          <w:szCs w:val="20"/>
        </w:rPr>
        <w:t xml:space="preserve"> (B.C.) (Civil) (By Leave)</w:t>
      </w:r>
      <w:r w:rsidRPr="00C50A5C">
        <w:rPr>
          <w:sz w:val="20"/>
          <w:szCs w:val="20"/>
        </w:rPr>
        <w:t xml:space="preserve"> (3</w:t>
      </w:r>
      <w:r>
        <w:rPr>
          <w:sz w:val="20"/>
          <w:szCs w:val="20"/>
        </w:rPr>
        <w:t>4213</w:t>
      </w:r>
      <w:r w:rsidRPr="00C50A5C">
        <w:rPr>
          <w:sz w:val="20"/>
          <w:szCs w:val="20"/>
        </w:rPr>
        <w:t>)</w:t>
      </w:r>
      <w:r>
        <w:rPr>
          <w:sz w:val="20"/>
          <w:szCs w:val="20"/>
        </w:rPr>
        <w:t xml:space="preserve"> </w:t>
      </w:r>
    </w:p>
    <w:p w:rsidR="003359D3" w:rsidRPr="00C50A5C" w:rsidRDefault="003359D3" w:rsidP="003359D3">
      <w:pPr>
        <w:widowControl w:val="0"/>
        <w:rPr>
          <w:sz w:val="20"/>
          <w:szCs w:val="20"/>
        </w:rPr>
      </w:pPr>
    </w:p>
    <w:p w:rsidR="003359D3" w:rsidRPr="00C50A5C" w:rsidRDefault="00327B7F" w:rsidP="003359D3">
      <w:pPr>
        <w:pStyle w:val="ListParagraph"/>
        <w:widowControl w:val="0"/>
        <w:numPr>
          <w:ilvl w:val="0"/>
          <w:numId w:val="1"/>
        </w:numPr>
        <w:ind w:hanging="720"/>
        <w:jc w:val="both"/>
        <w:rPr>
          <w:sz w:val="20"/>
          <w:szCs w:val="20"/>
        </w:rPr>
      </w:pPr>
      <w:r w:rsidRPr="002301F3">
        <w:rPr>
          <w:i/>
          <w:sz w:val="20"/>
          <w:szCs w:val="20"/>
        </w:rPr>
        <w:t>Sun Life Assurance Company of Canada v. Kenneth Sander</w:t>
      </w:r>
      <w:r w:rsidRPr="00773B60">
        <w:rPr>
          <w:sz w:val="20"/>
          <w:szCs w:val="20"/>
        </w:rPr>
        <w:t xml:space="preserve"> (B.C.) (Civil) (By Leave)</w:t>
      </w:r>
      <w:r>
        <w:rPr>
          <w:sz w:val="20"/>
          <w:szCs w:val="20"/>
        </w:rPr>
        <w:t xml:space="preserve"> </w:t>
      </w:r>
      <w:r w:rsidRPr="00C50A5C">
        <w:rPr>
          <w:sz w:val="20"/>
          <w:szCs w:val="20"/>
        </w:rPr>
        <w:t>(34</w:t>
      </w:r>
      <w:r>
        <w:rPr>
          <w:sz w:val="20"/>
          <w:szCs w:val="20"/>
        </w:rPr>
        <w:t>133</w:t>
      </w:r>
      <w:r w:rsidRPr="00C50A5C">
        <w:rPr>
          <w:sz w:val="20"/>
          <w:szCs w:val="20"/>
        </w:rPr>
        <w:t>)</w:t>
      </w:r>
    </w:p>
    <w:p w:rsidR="003359D3" w:rsidRDefault="003359D3" w:rsidP="003359D3">
      <w:pPr>
        <w:widowControl w:val="0"/>
        <w:jc w:val="both"/>
        <w:rPr>
          <w:sz w:val="20"/>
          <w:szCs w:val="20"/>
        </w:rPr>
      </w:pPr>
    </w:p>
    <w:p w:rsidR="003359D3" w:rsidRPr="00C50A5C" w:rsidRDefault="00327B7F" w:rsidP="003359D3">
      <w:pPr>
        <w:pStyle w:val="ListParagraph"/>
        <w:widowControl w:val="0"/>
        <w:numPr>
          <w:ilvl w:val="0"/>
          <w:numId w:val="1"/>
        </w:numPr>
        <w:ind w:hanging="720"/>
        <w:jc w:val="both"/>
        <w:rPr>
          <w:sz w:val="20"/>
          <w:szCs w:val="20"/>
        </w:rPr>
      </w:pPr>
      <w:r w:rsidRPr="00542AA1">
        <w:rPr>
          <w:i/>
          <w:sz w:val="20"/>
          <w:szCs w:val="20"/>
          <w:lang w:val="fr-CA"/>
        </w:rPr>
        <w:t>Serena Oh et al. v. Ron Usher et al.</w:t>
      </w:r>
      <w:r w:rsidRPr="00542AA1">
        <w:rPr>
          <w:sz w:val="20"/>
          <w:szCs w:val="20"/>
          <w:lang w:val="fr-CA"/>
        </w:rPr>
        <w:t xml:space="preserve"> </w:t>
      </w:r>
      <w:r w:rsidRPr="00773B60">
        <w:rPr>
          <w:sz w:val="20"/>
          <w:szCs w:val="20"/>
        </w:rPr>
        <w:t>(B.C.) (Civil) (By Leave)</w:t>
      </w:r>
      <w:r w:rsidRPr="00C50A5C">
        <w:rPr>
          <w:sz w:val="20"/>
          <w:szCs w:val="20"/>
        </w:rPr>
        <w:t xml:space="preserve"> (3</w:t>
      </w:r>
      <w:r>
        <w:rPr>
          <w:sz w:val="20"/>
          <w:szCs w:val="20"/>
        </w:rPr>
        <w:t>4</w:t>
      </w:r>
      <w:r w:rsidRPr="00C50A5C">
        <w:rPr>
          <w:sz w:val="20"/>
          <w:szCs w:val="20"/>
        </w:rPr>
        <w:t>1</w:t>
      </w:r>
      <w:r>
        <w:rPr>
          <w:sz w:val="20"/>
          <w:szCs w:val="20"/>
        </w:rPr>
        <w:t>39</w:t>
      </w:r>
      <w:r w:rsidRPr="00C50A5C">
        <w:rPr>
          <w:sz w:val="20"/>
          <w:szCs w:val="20"/>
        </w:rPr>
        <w:t>)</w:t>
      </w:r>
    </w:p>
    <w:p w:rsidR="003359D3" w:rsidRPr="00327B7F" w:rsidRDefault="003359D3" w:rsidP="003359D3">
      <w:pPr>
        <w:widowControl w:val="0"/>
        <w:rPr>
          <w:sz w:val="20"/>
          <w:szCs w:val="20"/>
        </w:rPr>
      </w:pPr>
    </w:p>
    <w:p w:rsidR="00341A0B" w:rsidRPr="00327B7F" w:rsidRDefault="00341A0B" w:rsidP="003359D3">
      <w:pPr>
        <w:widowControl w:val="0"/>
        <w:rPr>
          <w:sz w:val="20"/>
          <w:szCs w:val="20"/>
        </w:rPr>
      </w:pPr>
    </w:p>
    <w:p w:rsidR="00341A0B" w:rsidRPr="00C50A5C" w:rsidRDefault="00341A0B" w:rsidP="00341A0B">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341A0B" w:rsidRPr="00542AA1" w:rsidRDefault="00341A0B" w:rsidP="00341A0B">
      <w:pPr>
        <w:widowControl w:val="0"/>
        <w:jc w:val="center"/>
        <w:rPr>
          <w:b/>
          <w:sz w:val="20"/>
          <w:szCs w:val="20"/>
          <w:lang w:val="fr-CA"/>
        </w:rPr>
      </w:pPr>
      <w:r w:rsidRPr="00542AA1">
        <w:rPr>
          <w:b/>
          <w:sz w:val="20"/>
          <w:szCs w:val="20"/>
          <w:lang w:val="fr-CA"/>
        </w:rPr>
        <w:t>Les juges Binnie, Abella et Rothstein</w:t>
      </w:r>
    </w:p>
    <w:p w:rsidR="00341A0B" w:rsidRPr="00542AA1" w:rsidRDefault="00341A0B" w:rsidP="003359D3">
      <w:pPr>
        <w:widowControl w:val="0"/>
        <w:rPr>
          <w:sz w:val="20"/>
          <w:szCs w:val="20"/>
          <w:lang w:val="fr-CA"/>
        </w:rPr>
      </w:pPr>
    </w:p>
    <w:p w:rsidR="003359D3" w:rsidRPr="000D3B6E" w:rsidRDefault="002301F3" w:rsidP="003359D3">
      <w:pPr>
        <w:pStyle w:val="ListParagraph"/>
        <w:widowControl w:val="0"/>
        <w:numPr>
          <w:ilvl w:val="0"/>
          <w:numId w:val="1"/>
        </w:numPr>
        <w:ind w:hanging="720"/>
        <w:jc w:val="both"/>
        <w:rPr>
          <w:sz w:val="20"/>
          <w:szCs w:val="20"/>
        </w:rPr>
      </w:pPr>
      <w:r w:rsidRPr="002301F3">
        <w:rPr>
          <w:i/>
          <w:sz w:val="20"/>
          <w:szCs w:val="20"/>
        </w:rPr>
        <w:t>Her Majesty the Queen v. Frank Ralph Ladue</w:t>
      </w:r>
      <w:r w:rsidRPr="00773B60">
        <w:rPr>
          <w:sz w:val="20"/>
          <w:szCs w:val="20"/>
        </w:rPr>
        <w:t xml:space="preserve"> (B.C.) (Crim</w:t>
      </w:r>
      <w:r>
        <w:rPr>
          <w:sz w:val="20"/>
          <w:szCs w:val="20"/>
        </w:rPr>
        <w:t>.</w:t>
      </w:r>
      <w:r w:rsidRPr="00773B60">
        <w:rPr>
          <w:sz w:val="20"/>
          <w:szCs w:val="20"/>
        </w:rPr>
        <w:t>) (By Leave)</w:t>
      </w:r>
      <w:r>
        <w:rPr>
          <w:sz w:val="20"/>
          <w:szCs w:val="20"/>
        </w:rPr>
        <w:t xml:space="preserve"> </w:t>
      </w:r>
      <w:r w:rsidR="003359D3" w:rsidRPr="000D3B6E">
        <w:rPr>
          <w:sz w:val="20"/>
          <w:szCs w:val="20"/>
        </w:rPr>
        <w:t>(34</w:t>
      </w:r>
      <w:r w:rsidR="00341A0B">
        <w:rPr>
          <w:sz w:val="20"/>
          <w:szCs w:val="20"/>
        </w:rPr>
        <w:t>245</w:t>
      </w:r>
      <w:r w:rsidR="003359D3" w:rsidRPr="000D3B6E">
        <w:rPr>
          <w:sz w:val="20"/>
          <w:szCs w:val="20"/>
        </w:rPr>
        <w:t>)</w:t>
      </w:r>
    </w:p>
    <w:p w:rsidR="003359D3" w:rsidRPr="000D3B6E" w:rsidRDefault="003359D3" w:rsidP="003359D3">
      <w:pPr>
        <w:widowControl w:val="0"/>
        <w:jc w:val="both"/>
        <w:rPr>
          <w:sz w:val="20"/>
          <w:szCs w:val="20"/>
        </w:rPr>
      </w:pPr>
    </w:p>
    <w:p w:rsidR="003359D3" w:rsidRPr="000D3B6E" w:rsidRDefault="002301F3" w:rsidP="003359D3">
      <w:pPr>
        <w:pStyle w:val="ListParagraph"/>
        <w:widowControl w:val="0"/>
        <w:numPr>
          <w:ilvl w:val="0"/>
          <w:numId w:val="1"/>
        </w:numPr>
        <w:ind w:hanging="720"/>
        <w:jc w:val="both"/>
        <w:rPr>
          <w:sz w:val="20"/>
          <w:szCs w:val="20"/>
        </w:rPr>
      </w:pPr>
      <w:r w:rsidRPr="002301F3">
        <w:rPr>
          <w:i/>
          <w:sz w:val="20"/>
          <w:szCs w:val="20"/>
        </w:rPr>
        <w:t>Kevin Khan v. Her Majesty the Queen</w:t>
      </w:r>
      <w:r w:rsidRPr="00773B60">
        <w:rPr>
          <w:sz w:val="20"/>
          <w:szCs w:val="20"/>
        </w:rPr>
        <w:t xml:space="preserve"> (Ont.) (Crim</w:t>
      </w:r>
      <w:r>
        <w:rPr>
          <w:sz w:val="20"/>
          <w:szCs w:val="20"/>
        </w:rPr>
        <w:t>.</w:t>
      </w:r>
      <w:r w:rsidRPr="00773B60">
        <w:rPr>
          <w:sz w:val="20"/>
          <w:szCs w:val="20"/>
        </w:rPr>
        <w:t>) (By Leave)</w:t>
      </w:r>
      <w:r>
        <w:rPr>
          <w:sz w:val="20"/>
          <w:szCs w:val="20"/>
        </w:rPr>
        <w:t xml:space="preserve"> </w:t>
      </w:r>
      <w:r w:rsidR="003359D3" w:rsidRPr="000D3B6E">
        <w:rPr>
          <w:sz w:val="20"/>
          <w:szCs w:val="20"/>
        </w:rPr>
        <w:t>(34</w:t>
      </w:r>
      <w:r w:rsidR="00341A0B">
        <w:rPr>
          <w:sz w:val="20"/>
          <w:szCs w:val="20"/>
        </w:rPr>
        <w:t>2</w:t>
      </w:r>
      <w:r w:rsidR="003359D3" w:rsidRPr="000D3B6E">
        <w:rPr>
          <w:sz w:val="20"/>
          <w:szCs w:val="20"/>
        </w:rPr>
        <w:t>3</w:t>
      </w:r>
      <w:r w:rsidR="00341A0B">
        <w:rPr>
          <w:sz w:val="20"/>
          <w:szCs w:val="20"/>
        </w:rPr>
        <w:t>4</w:t>
      </w:r>
      <w:r w:rsidR="003359D3" w:rsidRPr="000D3B6E">
        <w:rPr>
          <w:sz w:val="20"/>
          <w:szCs w:val="20"/>
        </w:rPr>
        <w:t>)</w:t>
      </w:r>
    </w:p>
    <w:p w:rsidR="003359D3" w:rsidRPr="002301F3" w:rsidRDefault="003359D3" w:rsidP="003359D3">
      <w:pPr>
        <w:widowControl w:val="0"/>
        <w:jc w:val="both"/>
        <w:rPr>
          <w:sz w:val="20"/>
          <w:szCs w:val="20"/>
        </w:rPr>
      </w:pPr>
    </w:p>
    <w:p w:rsidR="003359D3" w:rsidRPr="002301F3" w:rsidRDefault="00327B7F" w:rsidP="003359D3">
      <w:pPr>
        <w:pStyle w:val="ListParagraph"/>
        <w:widowControl w:val="0"/>
        <w:numPr>
          <w:ilvl w:val="0"/>
          <w:numId w:val="1"/>
        </w:numPr>
        <w:ind w:hanging="720"/>
        <w:jc w:val="both"/>
        <w:rPr>
          <w:sz w:val="20"/>
          <w:szCs w:val="20"/>
        </w:rPr>
      </w:pPr>
      <w:r w:rsidRPr="002301F3">
        <w:rPr>
          <w:i/>
          <w:sz w:val="20"/>
          <w:szCs w:val="20"/>
        </w:rPr>
        <w:t>A.B. v. Minister of Citizenship and Immigration et al.</w:t>
      </w:r>
      <w:r w:rsidRPr="00773B60">
        <w:rPr>
          <w:sz w:val="20"/>
          <w:szCs w:val="20"/>
        </w:rPr>
        <w:t xml:space="preserve"> (F</w:t>
      </w:r>
      <w:r>
        <w:rPr>
          <w:sz w:val="20"/>
          <w:szCs w:val="20"/>
        </w:rPr>
        <w:t>.</w:t>
      </w:r>
      <w:r w:rsidRPr="00773B60">
        <w:rPr>
          <w:sz w:val="20"/>
          <w:szCs w:val="20"/>
        </w:rPr>
        <w:t>C</w:t>
      </w:r>
      <w:r>
        <w:rPr>
          <w:sz w:val="20"/>
          <w:szCs w:val="20"/>
        </w:rPr>
        <w:t>.</w:t>
      </w:r>
      <w:r w:rsidRPr="00773B60">
        <w:rPr>
          <w:sz w:val="20"/>
          <w:szCs w:val="20"/>
        </w:rPr>
        <w:t>) (Civil) (By Leave)</w:t>
      </w:r>
      <w:r>
        <w:rPr>
          <w:sz w:val="20"/>
          <w:szCs w:val="20"/>
        </w:rPr>
        <w:t xml:space="preserve"> </w:t>
      </w:r>
      <w:r w:rsidRPr="002301F3">
        <w:rPr>
          <w:sz w:val="20"/>
          <w:szCs w:val="20"/>
        </w:rPr>
        <w:t>(34141</w:t>
      </w:r>
      <w:r w:rsidR="003359D3" w:rsidRPr="002301F3">
        <w:rPr>
          <w:sz w:val="20"/>
          <w:szCs w:val="20"/>
        </w:rPr>
        <w:t>)</w:t>
      </w:r>
    </w:p>
    <w:p w:rsidR="003359D3" w:rsidRPr="002301F3" w:rsidRDefault="003359D3" w:rsidP="003359D3">
      <w:pPr>
        <w:widowControl w:val="0"/>
        <w:rPr>
          <w:sz w:val="20"/>
          <w:szCs w:val="20"/>
        </w:rPr>
      </w:pPr>
    </w:p>
    <w:p w:rsidR="003359D3" w:rsidRPr="002301F3" w:rsidRDefault="00327B7F" w:rsidP="003359D3">
      <w:pPr>
        <w:pStyle w:val="ListParagraph"/>
        <w:widowControl w:val="0"/>
        <w:numPr>
          <w:ilvl w:val="0"/>
          <w:numId w:val="1"/>
        </w:numPr>
        <w:ind w:hanging="720"/>
        <w:jc w:val="both"/>
        <w:rPr>
          <w:sz w:val="20"/>
          <w:szCs w:val="20"/>
        </w:rPr>
      </w:pPr>
      <w:r w:rsidRPr="002301F3">
        <w:rPr>
          <w:i/>
          <w:sz w:val="20"/>
          <w:szCs w:val="20"/>
        </w:rPr>
        <w:t>Heydary Hamilton Professional Corporation v</w:t>
      </w:r>
      <w:r w:rsidR="00DE086E">
        <w:rPr>
          <w:i/>
          <w:sz w:val="20"/>
          <w:szCs w:val="20"/>
        </w:rPr>
        <w:t>.</w:t>
      </w:r>
      <w:r w:rsidRPr="002301F3">
        <w:rPr>
          <w:i/>
          <w:sz w:val="20"/>
          <w:szCs w:val="20"/>
        </w:rPr>
        <w:t xml:space="preserve"> Ben Vladlen Hanuka et al.</w:t>
      </w:r>
      <w:r w:rsidRPr="00773B60">
        <w:rPr>
          <w:sz w:val="20"/>
          <w:szCs w:val="20"/>
        </w:rPr>
        <w:t xml:space="preserve"> (Ont.) (Civil) (By Leave)</w:t>
      </w:r>
      <w:r w:rsidRPr="002301F3">
        <w:rPr>
          <w:sz w:val="20"/>
          <w:szCs w:val="20"/>
        </w:rPr>
        <w:t xml:space="preserve"> (34130</w:t>
      </w:r>
      <w:r>
        <w:rPr>
          <w:sz w:val="20"/>
          <w:szCs w:val="20"/>
        </w:rPr>
        <w:t>)</w:t>
      </w:r>
    </w:p>
    <w:p w:rsidR="003359D3" w:rsidRPr="002301F3" w:rsidRDefault="003359D3" w:rsidP="003359D3">
      <w:pPr>
        <w:widowControl w:val="0"/>
        <w:jc w:val="both"/>
        <w:rPr>
          <w:sz w:val="20"/>
          <w:szCs w:val="20"/>
        </w:rPr>
      </w:pPr>
    </w:p>
    <w:p w:rsidR="003359D3" w:rsidRPr="00327B7F" w:rsidRDefault="00327B7F" w:rsidP="003359D3">
      <w:pPr>
        <w:pStyle w:val="ListParagraph"/>
        <w:widowControl w:val="0"/>
        <w:numPr>
          <w:ilvl w:val="0"/>
          <w:numId w:val="1"/>
        </w:numPr>
        <w:ind w:hanging="720"/>
        <w:jc w:val="both"/>
        <w:rPr>
          <w:sz w:val="20"/>
          <w:szCs w:val="20"/>
        </w:rPr>
      </w:pPr>
      <w:r w:rsidRPr="00327B7F">
        <w:rPr>
          <w:i/>
          <w:sz w:val="20"/>
          <w:szCs w:val="20"/>
        </w:rPr>
        <w:t>William Lloyd Hamilton v. Board of Trustees of the Rocky View School Division No. 41</w:t>
      </w:r>
      <w:r w:rsidRPr="00327B7F">
        <w:rPr>
          <w:sz w:val="20"/>
          <w:szCs w:val="20"/>
        </w:rPr>
        <w:t xml:space="preserve"> (Alta.) (Civil) (By Leave) </w:t>
      </w:r>
      <w:r w:rsidR="003359D3" w:rsidRPr="00327B7F">
        <w:rPr>
          <w:sz w:val="20"/>
          <w:szCs w:val="20"/>
        </w:rPr>
        <w:t>(34</w:t>
      </w:r>
      <w:r>
        <w:rPr>
          <w:sz w:val="20"/>
          <w:szCs w:val="20"/>
        </w:rPr>
        <w:t>1</w:t>
      </w:r>
      <w:r w:rsidR="00341A0B" w:rsidRPr="00327B7F">
        <w:rPr>
          <w:sz w:val="20"/>
          <w:szCs w:val="20"/>
        </w:rPr>
        <w:t>5</w:t>
      </w:r>
      <w:r>
        <w:rPr>
          <w:sz w:val="20"/>
          <w:szCs w:val="20"/>
        </w:rPr>
        <w:t>1</w:t>
      </w:r>
      <w:r w:rsidR="003359D3" w:rsidRPr="00327B7F">
        <w:rPr>
          <w:sz w:val="20"/>
          <w:szCs w:val="20"/>
        </w:rPr>
        <w:t>)</w:t>
      </w:r>
    </w:p>
    <w:p w:rsidR="003359D3" w:rsidRDefault="003359D3" w:rsidP="003359D3">
      <w:pPr>
        <w:widowControl w:val="0"/>
        <w:jc w:val="both"/>
        <w:rPr>
          <w:sz w:val="20"/>
          <w:szCs w:val="20"/>
        </w:rPr>
      </w:pPr>
    </w:p>
    <w:p w:rsidR="00327B7F" w:rsidRDefault="00327B7F" w:rsidP="003359D3">
      <w:pPr>
        <w:widowControl w:val="0"/>
        <w:jc w:val="both"/>
        <w:rPr>
          <w:sz w:val="20"/>
          <w:szCs w:val="20"/>
        </w:rPr>
      </w:pPr>
    </w:p>
    <w:p w:rsidR="00327B7F" w:rsidRPr="00C50A5C" w:rsidRDefault="00327B7F" w:rsidP="00327B7F">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327B7F" w:rsidRPr="00C50A5C" w:rsidRDefault="00327B7F" w:rsidP="00327B7F">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327B7F" w:rsidRPr="00327B7F" w:rsidRDefault="00327B7F" w:rsidP="003359D3">
      <w:pPr>
        <w:widowControl w:val="0"/>
        <w:jc w:val="both"/>
        <w:rPr>
          <w:sz w:val="20"/>
          <w:szCs w:val="20"/>
          <w:lang w:val="fr-CA"/>
        </w:rPr>
      </w:pPr>
    </w:p>
    <w:p w:rsidR="003359D3" w:rsidRPr="00C50A5C" w:rsidRDefault="00327B7F" w:rsidP="003359D3">
      <w:pPr>
        <w:pStyle w:val="ListParagraph"/>
        <w:widowControl w:val="0"/>
        <w:numPr>
          <w:ilvl w:val="0"/>
          <w:numId w:val="1"/>
        </w:numPr>
        <w:ind w:hanging="720"/>
        <w:jc w:val="both"/>
        <w:rPr>
          <w:sz w:val="20"/>
          <w:szCs w:val="20"/>
          <w:lang w:val="fr-CA"/>
        </w:rPr>
      </w:pPr>
      <w:r w:rsidRPr="002301F3">
        <w:rPr>
          <w:i/>
          <w:sz w:val="20"/>
          <w:szCs w:val="20"/>
        </w:rPr>
        <w:t>Joshua David Cain v. Her Majesty the Queen</w:t>
      </w:r>
      <w:r w:rsidRPr="002301F3">
        <w:rPr>
          <w:sz w:val="20"/>
          <w:szCs w:val="20"/>
        </w:rPr>
        <w:t xml:space="preserve"> (Alta.) </w:t>
      </w:r>
      <w:r w:rsidRPr="00327B7F">
        <w:rPr>
          <w:sz w:val="20"/>
          <w:szCs w:val="20"/>
          <w:lang w:val="fr-CA"/>
        </w:rPr>
        <w:t>(Crim.) (By Leave) (34253)</w:t>
      </w:r>
    </w:p>
    <w:p w:rsidR="003359D3" w:rsidRPr="00C50A5C" w:rsidRDefault="003359D3" w:rsidP="003359D3">
      <w:pPr>
        <w:widowControl w:val="0"/>
        <w:jc w:val="both"/>
        <w:rPr>
          <w:sz w:val="20"/>
          <w:szCs w:val="20"/>
          <w:lang w:val="fr-CA"/>
        </w:rPr>
      </w:pPr>
    </w:p>
    <w:p w:rsidR="003359D3" w:rsidRPr="00C6196D" w:rsidRDefault="00327B7F" w:rsidP="003359D3">
      <w:pPr>
        <w:pStyle w:val="ListParagraph"/>
        <w:widowControl w:val="0"/>
        <w:numPr>
          <w:ilvl w:val="0"/>
          <w:numId w:val="1"/>
        </w:numPr>
        <w:ind w:hanging="720"/>
        <w:jc w:val="both"/>
        <w:rPr>
          <w:sz w:val="20"/>
          <w:szCs w:val="20"/>
        </w:rPr>
      </w:pPr>
      <w:r w:rsidRPr="00C6196D">
        <w:rPr>
          <w:i/>
          <w:sz w:val="20"/>
          <w:szCs w:val="20"/>
          <w:lang w:val="fr-CA"/>
        </w:rPr>
        <w:t>Jean-Zacarie Belance c. Sa Majesté la Reine</w:t>
      </w:r>
      <w:r w:rsidRPr="00773B60">
        <w:rPr>
          <w:sz w:val="20"/>
          <w:szCs w:val="20"/>
          <w:lang w:val="fr-CA"/>
        </w:rPr>
        <w:t xml:space="preserve"> (Qc) (Crim</w:t>
      </w:r>
      <w:r>
        <w:rPr>
          <w:sz w:val="20"/>
          <w:szCs w:val="20"/>
          <w:lang w:val="fr-CA"/>
        </w:rPr>
        <w:t>.</w:t>
      </w:r>
      <w:r w:rsidRPr="00773B60">
        <w:rPr>
          <w:sz w:val="20"/>
          <w:szCs w:val="20"/>
          <w:lang w:val="fr-CA"/>
        </w:rPr>
        <w:t xml:space="preserve">) </w:t>
      </w:r>
      <w:r w:rsidRPr="00327B7F">
        <w:rPr>
          <w:sz w:val="20"/>
          <w:szCs w:val="20"/>
        </w:rPr>
        <w:t>(Autorisation) (34176)</w:t>
      </w:r>
    </w:p>
    <w:p w:rsidR="003359D3" w:rsidRPr="00C6196D" w:rsidRDefault="003359D3" w:rsidP="003359D3">
      <w:pPr>
        <w:widowControl w:val="0"/>
        <w:jc w:val="both"/>
        <w:rPr>
          <w:sz w:val="20"/>
          <w:szCs w:val="20"/>
        </w:rPr>
      </w:pPr>
    </w:p>
    <w:p w:rsidR="003359D3" w:rsidRDefault="00327B7F" w:rsidP="003359D3">
      <w:pPr>
        <w:pStyle w:val="ListParagraph"/>
        <w:widowControl w:val="0"/>
        <w:numPr>
          <w:ilvl w:val="0"/>
          <w:numId w:val="1"/>
        </w:numPr>
        <w:ind w:hanging="720"/>
        <w:jc w:val="both"/>
        <w:rPr>
          <w:sz w:val="20"/>
          <w:szCs w:val="20"/>
          <w:lang w:val="fr-CA"/>
        </w:rPr>
      </w:pPr>
      <w:r w:rsidRPr="00C6196D">
        <w:rPr>
          <w:i/>
          <w:sz w:val="20"/>
          <w:szCs w:val="20"/>
        </w:rPr>
        <w:t>Annapolis County District School Board et al. v. Johnathan Lee Marshall, represented by his Guardian, Vaughan Caldwell</w:t>
      </w:r>
      <w:r w:rsidRPr="00773B60">
        <w:rPr>
          <w:sz w:val="20"/>
          <w:szCs w:val="20"/>
        </w:rPr>
        <w:t xml:space="preserve"> (N.S.) </w:t>
      </w:r>
      <w:r w:rsidRPr="00327B7F">
        <w:rPr>
          <w:sz w:val="20"/>
          <w:szCs w:val="20"/>
          <w:lang w:val="fr-CA"/>
        </w:rPr>
        <w:t>(Civil) (By Leave) (34189)</w:t>
      </w:r>
    </w:p>
    <w:p w:rsidR="00327B7F" w:rsidRDefault="00327B7F" w:rsidP="00327B7F">
      <w:pPr>
        <w:pStyle w:val="ListParagraph"/>
        <w:widowControl w:val="0"/>
        <w:ind w:left="0"/>
        <w:jc w:val="both"/>
        <w:rPr>
          <w:sz w:val="20"/>
          <w:szCs w:val="20"/>
          <w:lang w:val="fr-CA"/>
        </w:rPr>
      </w:pPr>
    </w:p>
    <w:p w:rsidR="00327B7F" w:rsidRDefault="00327B7F" w:rsidP="003359D3">
      <w:pPr>
        <w:pStyle w:val="ListParagraph"/>
        <w:widowControl w:val="0"/>
        <w:numPr>
          <w:ilvl w:val="0"/>
          <w:numId w:val="1"/>
        </w:numPr>
        <w:ind w:hanging="720"/>
        <w:jc w:val="both"/>
        <w:rPr>
          <w:sz w:val="20"/>
          <w:szCs w:val="20"/>
          <w:lang w:val="fr-CA"/>
        </w:rPr>
      </w:pPr>
      <w:r w:rsidRPr="00C6196D">
        <w:rPr>
          <w:i/>
          <w:sz w:val="20"/>
          <w:szCs w:val="20"/>
          <w:lang w:val="fr-CA"/>
        </w:rPr>
        <w:t>Syndicat des débardeurs du Port de Québec, section locale 2614 c. Société des Arrimeurs de Québec Inc. et autres</w:t>
      </w:r>
      <w:r w:rsidRPr="00773B60">
        <w:rPr>
          <w:sz w:val="20"/>
          <w:szCs w:val="20"/>
          <w:lang w:val="fr-CA"/>
        </w:rPr>
        <w:t xml:space="preserve"> (C</w:t>
      </w:r>
      <w:r>
        <w:rPr>
          <w:sz w:val="20"/>
          <w:szCs w:val="20"/>
          <w:lang w:val="fr-CA"/>
        </w:rPr>
        <w:t>.</w:t>
      </w:r>
      <w:r w:rsidRPr="00773B60">
        <w:rPr>
          <w:sz w:val="20"/>
          <w:szCs w:val="20"/>
          <w:lang w:val="fr-CA"/>
        </w:rPr>
        <w:t>F</w:t>
      </w:r>
      <w:r>
        <w:rPr>
          <w:sz w:val="20"/>
          <w:szCs w:val="20"/>
          <w:lang w:val="fr-CA"/>
        </w:rPr>
        <w:t>.</w:t>
      </w:r>
      <w:r w:rsidRPr="00773B60">
        <w:rPr>
          <w:sz w:val="20"/>
          <w:szCs w:val="20"/>
          <w:lang w:val="fr-CA"/>
        </w:rPr>
        <w:t>) (Civile) (Autorisation)</w:t>
      </w:r>
      <w:r>
        <w:rPr>
          <w:sz w:val="20"/>
          <w:szCs w:val="20"/>
          <w:lang w:val="fr-CA"/>
        </w:rPr>
        <w:t xml:space="preserve"> </w:t>
      </w:r>
      <w:r w:rsidRPr="00C50A5C">
        <w:rPr>
          <w:sz w:val="20"/>
          <w:szCs w:val="20"/>
          <w:lang w:val="fr-CA"/>
        </w:rPr>
        <w:t>(34</w:t>
      </w:r>
      <w:r>
        <w:rPr>
          <w:sz w:val="20"/>
          <w:szCs w:val="20"/>
          <w:lang w:val="fr-CA"/>
        </w:rPr>
        <w:t>146</w:t>
      </w:r>
      <w:r w:rsidRPr="00C50A5C">
        <w:rPr>
          <w:sz w:val="20"/>
          <w:szCs w:val="20"/>
          <w:lang w:val="fr-CA"/>
        </w:rPr>
        <w:t>)</w:t>
      </w:r>
    </w:p>
    <w:p w:rsidR="00773B60" w:rsidRDefault="00773B60" w:rsidP="00773B60">
      <w:pPr>
        <w:widowControl w:val="0"/>
        <w:jc w:val="both"/>
        <w:rPr>
          <w:sz w:val="20"/>
          <w:szCs w:val="20"/>
          <w:lang w:val="fr-CA"/>
        </w:rPr>
      </w:pPr>
    </w:p>
    <w:p w:rsidR="002E2327" w:rsidRDefault="00AB3236" w:rsidP="002E2327">
      <w:pPr>
        <w:widowControl w:val="0"/>
        <w:rPr>
          <w:sz w:val="20"/>
          <w:szCs w:val="20"/>
        </w:rPr>
      </w:pPr>
      <w:r w:rsidRPr="00AB3236">
        <w:rPr>
          <w:sz w:val="20"/>
          <w:szCs w:val="20"/>
        </w:rPr>
        <w:pict>
          <v:rect id="_x0000_i1029" style="width:2in;height:1pt" o:hrpct="0" o:hralign="center" o:hrstd="t" o:hrnoshade="t" o:hr="t" fillcolor="black [3213]" stroked="f"/>
        </w:pict>
      </w:r>
    </w:p>
    <w:p w:rsidR="00C6196D" w:rsidRDefault="00C6196D" w:rsidP="002E2327">
      <w:pPr>
        <w:widowControl w:val="0"/>
        <w:rPr>
          <w:sz w:val="20"/>
          <w:szCs w:val="20"/>
        </w:rPr>
      </w:pPr>
    </w:p>
    <w:p w:rsidR="00327B7F" w:rsidRPr="00327B7F" w:rsidRDefault="00327B7F" w:rsidP="002E2327">
      <w:pPr>
        <w:widowControl w:val="0"/>
        <w:rPr>
          <w:sz w:val="20"/>
          <w:szCs w:val="20"/>
          <w:lang w:val="fr-CA"/>
        </w:rPr>
      </w:pPr>
    </w:p>
    <w:p w:rsidR="00C6196D" w:rsidRPr="00327B7F" w:rsidRDefault="00C6196D" w:rsidP="002E2327">
      <w:pPr>
        <w:widowControl w:val="0"/>
        <w:rPr>
          <w:sz w:val="20"/>
          <w:szCs w:val="20"/>
          <w:lang w:val="fr-CA"/>
        </w:rPr>
      </w:pPr>
    </w:p>
    <w:p w:rsidR="0044776A" w:rsidRPr="00327B7F" w:rsidRDefault="0044776A" w:rsidP="002E2327">
      <w:pPr>
        <w:widowControl w:val="0"/>
        <w:spacing w:line="0" w:lineRule="atLeast"/>
        <w:rPr>
          <w:sz w:val="20"/>
          <w:szCs w:val="20"/>
          <w:lang w:val="fr-CA"/>
        </w:rPr>
        <w:sectPr w:rsidR="0044776A" w:rsidRPr="00327B7F"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77989"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FE43CC" w:rsidP="008D292F">
      <w:pPr>
        <w:rPr>
          <w:b/>
          <w:sz w:val="20"/>
          <w:szCs w:val="20"/>
        </w:rPr>
      </w:pPr>
      <w:r>
        <w:rPr>
          <w:b/>
          <w:sz w:val="20"/>
          <w:szCs w:val="20"/>
        </w:rPr>
        <w:t>JUNE 30</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30 JU</w:t>
      </w:r>
      <w:r w:rsidR="008D292F" w:rsidRPr="00C50A5C">
        <w:rPr>
          <w:b/>
          <w:sz w:val="20"/>
          <w:szCs w:val="20"/>
        </w:rPr>
        <w:t>I</w:t>
      </w:r>
      <w:r>
        <w:rPr>
          <w:b/>
          <w:sz w:val="20"/>
          <w:szCs w:val="20"/>
        </w:rPr>
        <w:t>N</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5731C" w:rsidRPr="007A0F5C" w:rsidTr="004B78B6">
        <w:trPr>
          <w:cantSplit/>
        </w:trPr>
        <w:tc>
          <w:tcPr>
            <w:tcW w:w="1458" w:type="dxa"/>
          </w:tcPr>
          <w:p w:rsidR="0095731C" w:rsidRPr="007A0F5C" w:rsidRDefault="0095731C" w:rsidP="004B78B6">
            <w:pPr>
              <w:rPr>
                <w:rFonts w:cs="Times New Roman"/>
                <w:sz w:val="20"/>
                <w:szCs w:val="20"/>
              </w:rPr>
            </w:pPr>
            <w:r w:rsidRPr="007A0F5C">
              <w:rPr>
                <w:rStyle w:val="SCCFileNumberChar"/>
                <w:sz w:val="20"/>
                <w:szCs w:val="20"/>
              </w:rPr>
              <w:t>34009</w:t>
            </w:r>
          </w:p>
          <w:p w:rsidR="0095731C" w:rsidRPr="007A0F5C" w:rsidRDefault="0095731C" w:rsidP="004B78B6">
            <w:pPr>
              <w:rPr>
                <w:rFonts w:cs="Times New Roman"/>
                <w:b/>
                <w:sz w:val="20"/>
                <w:szCs w:val="20"/>
                <w:lang w:val="fr-CA"/>
              </w:rPr>
            </w:pPr>
          </w:p>
        </w:tc>
        <w:tc>
          <w:tcPr>
            <w:tcW w:w="8118" w:type="dxa"/>
          </w:tcPr>
          <w:p w:rsidR="0095731C" w:rsidRPr="007A0F5C" w:rsidRDefault="0095731C" w:rsidP="0095731C">
            <w:pPr>
              <w:jc w:val="both"/>
              <w:rPr>
                <w:rFonts w:cs="Times New Roman"/>
                <w:sz w:val="20"/>
                <w:szCs w:val="20"/>
              </w:rPr>
            </w:pPr>
            <w:r w:rsidRPr="0095731C">
              <w:rPr>
                <w:rStyle w:val="SCCLsocChar"/>
                <w:rFonts w:cs="Times New Roman"/>
                <w:sz w:val="20"/>
                <w:szCs w:val="20"/>
                <w:lang w:val="en-CA"/>
              </w:rPr>
              <w:t>Suresh Sriskandarajah v. United States of America, Minister of Justice</w:t>
            </w:r>
            <w:r w:rsidR="00345978">
              <w:rPr>
                <w:rStyle w:val="SCCLsocChar"/>
                <w:rFonts w:cs="Times New Roman"/>
                <w:sz w:val="20"/>
                <w:szCs w:val="20"/>
                <w:lang w:val="en-CA"/>
              </w:rPr>
              <w:t xml:space="preserve"> and</w:t>
            </w:r>
            <w:r w:rsidRPr="0095731C">
              <w:rPr>
                <w:rStyle w:val="SCCLsocChar"/>
                <w:rFonts w:cs="Times New Roman"/>
                <w:sz w:val="20"/>
                <w:szCs w:val="20"/>
                <w:lang w:val="en-CA"/>
              </w:rPr>
              <w:t xml:space="preserve"> Attorney General of Canada</w:t>
            </w:r>
            <w:r w:rsidRPr="007A0F5C">
              <w:rPr>
                <w:rFonts w:cs="Times New Roman"/>
                <w:sz w:val="20"/>
                <w:szCs w:val="20"/>
              </w:rPr>
              <w:t xml:space="preserve"> (Ont.) (Criminal) (By Leave)</w:t>
            </w:r>
          </w:p>
          <w:p w:rsidR="0095731C" w:rsidRPr="007A0F5C" w:rsidRDefault="0095731C" w:rsidP="004B78B6">
            <w:pPr>
              <w:rPr>
                <w:rFonts w:cs="Times New Roman"/>
                <w:sz w:val="20"/>
                <w:szCs w:val="20"/>
              </w:rPr>
            </w:pPr>
          </w:p>
        </w:tc>
      </w:tr>
      <w:tr w:rsidR="0095731C" w:rsidRPr="007A0F5C" w:rsidTr="004B78B6">
        <w:trPr>
          <w:cantSplit/>
        </w:trPr>
        <w:tc>
          <w:tcPr>
            <w:tcW w:w="1458" w:type="dxa"/>
          </w:tcPr>
          <w:p w:rsidR="0095731C" w:rsidRPr="007A0F5C" w:rsidRDefault="0095731C" w:rsidP="004B78B6">
            <w:pPr>
              <w:rPr>
                <w:rFonts w:cs="Times New Roman"/>
                <w:sz w:val="20"/>
                <w:szCs w:val="20"/>
              </w:rPr>
            </w:pPr>
            <w:r w:rsidRPr="007A0F5C">
              <w:rPr>
                <w:rFonts w:cs="Times New Roman"/>
                <w:sz w:val="20"/>
                <w:szCs w:val="20"/>
              </w:rPr>
              <w:t>Coram :</w:t>
            </w:r>
          </w:p>
        </w:tc>
        <w:tc>
          <w:tcPr>
            <w:tcW w:w="8118" w:type="dxa"/>
          </w:tcPr>
          <w:p w:rsidR="0095731C" w:rsidRPr="007A0F5C" w:rsidRDefault="0095731C" w:rsidP="004B78B6">
            <w:pPr>
              <w:rPr>
                <w:rFonts w:cs="Times New Roman"/>
                <w:sz w:val="20"/>
                <w:szCs w:val="20"/>
              </w:rPr>
            </w:pPr>
            <w:r w:rsidRPr="0095731C">
              <w:rPr>
                <w:rStyle w:val="SCCCoramChar"/>
                <w:rFonts w:cs="Times New Roman"/>
                <w:sz w:val="20"/>
                <w:szCs w:val="20"/>
                <w:lang w:val="en-CA"/>
              </w:rPr>
              <w:t>Binnie, Abella and Rothstein JJ.</w:t>
            </w:r>
          </w:p>
          <w:p w:rsidR="0095731C" w:rsidRPr="007A0F5C" w:rsidRDefault="0095731C" w:rsidP="004B78B6">
            <w:pPr>
              <w:rPr>
                <w:rFonts w:cs="Times New Roman"/>
                <w:sz w:val="20"/>
                <w:szCs w:val="20"/>
                <w:u w:val="single"/>
              </w:rPr>
            </w:pPr>
          </w:p>
        </w:tc>
      </w:tr>
      <w:tr w:rsidR="0095731C" w:rsidRPr="00A77989" w:rsidTr="004B78B6">
        <w:trPr>
          <w:cantSplit/>
        </w:trPr>
        <w:tc>
          <w:tcPr>
            <w:tcW w:w="9576" w:type="dxa"/>
            <w:gridSpan w:val="2"/>
          </w:tcPr>
          <w:p w:rsidR="0095731C" w:rsidRPr="007A0F5C" w:rsidRDefault="0095731C" w:rsidP="004B78B6">
            <w:pPr>
              <w:pStyle w:val="SCCShortJudgment"/>
              <w:rPr>
                <w:rFonts w:cs="Times New Roman"/>
                <w:szCs w:val="20"/>
              </w:rPr>
            </w:pPr>
            <w:r w:rsidRPr="007A0F5C">
              <w:rPr>
                <w:rFonts w:cs="Times New Roman"/>
                <w:szCs w:val="20"/>
              </w:rPr>
              <w:t xml:space="preserve">The application for leave to appeal from the judgment of the Court of Appeal for Ontario, Numbers C50140 and C51419, 2010 ONCA 857, dated December 17, 2010, is granted without costs.  This appeal will be heard with </w:t>
            </w:r>
            <w:r w:rsidRPr="009374D9">
              <w:rPr>
                <w:rFonts w:cs="Times New Roman"/>
                <w:i/>
                <w:szCs w:val="20"/>
              </w:rPr>
              <w:t>Piratheepan Nadarajah v. United States of America, Minister of Justice and Attorney General of Canada</w:t>
            </w:r>
            <w:r w:rsidRPr="007A0F5C">
              <w:rPr>
                <w:rFonts w:cs="Times New Roman"/>
                <w:szCs w:val="20"/>
              </w:rPr>
              <w:t xml:space="preserve"> (34013) and </w:t>
            </w:r>
            <w:r w:rsidRPr="009374D9">
              <w:rPr>
                <w:rFonts w:cs="Times New Roman"/>
                <w:i/>
                <w:szCs w:val="20"/>
              </w:rPr>
              <w:t>Mohammad Momin Khawaja v. Her Majesty the Queen</w:t>
            </w:r>
            <w:r w:rsidRPr="007A0F5C">
              <w:rPr>
                <w:rFonts w:cs="Times New Roman"/>
                <w:szCs w:val="20"/>
              </w:rPr>
              <w:t xml:space="preserve"> (34103).</w:t>
            </w:r>
          </w:p>
          <w:p w:rsidR="0095731C" w:rsidRPr="007A0F5C" w:rsidRDefault="0095731C" w:rsidP="004B78B6">
            <w:pPr>
              <w:pStyle w:val="SCCShortJudgment"/>
              <w:ind w:firstLine="0"/>
              <w:rPr>
                <w:rFonts w:cs="Times New Roman"/>
                <w:szCs w:val="20"/>
              </w:rPr>
            </w:pPr>
          </w:p>
          <w:p w:rsidR="0095731C" w:rsidRPr="007A0F5C" w:rsidRDefault="0095731C" w:rsidP="0095731C">
            <w:pPr>
              <w:pStyle w:val="SCCShortJudgment"/>
              <w:rPr>
                <w:rFonts w:cs="Times New Roman"/>
                <w:szCs w:val="20"/>
                <w:lang w:val="fr-CA"/>
              </w:rPr>
            </w:pPr>
            <w:r w:rsidRPr="007A0F5C">
              <w:rPr>
                <w:rFonts w:cs="Times New Roman"/>
                <w:szCs w:val="20"/>
                <w:lang w:val="fr-CA"/>
              </w:rPr>
              <w:t xml:space="preserve">La demande d’autorisation d’appel de l’arrêt de la Cour d’appel de l’Ontario, numéros C50140 et C51419, 2010 ONCA 857, daté du 17 décembre 2010, est accordée sans dépens.  Cet appel sera entendu avec </w:t>
            </w:r>
            <w:r w:rsidRPr="009374D9">
              <w:rPr>
                <w:rFonts w:cs="Times New Roman"/>
                <w:i/>
                <w:szCs w:val="20"/>
                <w:lang w:val="fr-CA"/>
              </w:rPr>
              <w:t>Piratheepan Nadarajah c. États-Unis d’Amérique,  Ministre de la Justice et Procureur général du Canada</w:t>
            </w:r>
            <w:r w:rsidRPr="007A0F5C">
              <w:rPr>
                <w:rFonts w:cs="Times New Roman"/>
                <w:szCs w:val="20"/>
                <w:lang w:val="fr-CA"/>
              </w:rPr>
              <w:t xml:space="preserve"> (34013) et </w:t>
            </w:r>
            <w:r w:rsidRPr="009374D9">
              <w:rPr>
                <w:rFonts w:cs="Times New Roman"/>
                <w:i/>
                <w:szCs w:val="20"/>
                <w:lang w:val="fr-CA"/>
              </w:rPr>
              <w:t>Mohammad Momin Khawaja c. Sa Majesté la Reine</w:t>
            </w:r>
            <w:r w:rsidRPr="007A0F5C">
              <w:rPr>
                <w:rFonts w:cs="Times New Roman"/>
                <w:szCs w:val="20"/>
                <w:lang w:val="fr-CA"/>
              </w:rPr>
              <w:t xml:space="preserve"> (34103).</w:t>
            </w:r>
          </w:p>
        </w:tc>
      </w:tr>
    </w:tbl>
    <w:p w:rsidR="0095731C" w:rsidRPr="0095731C" w:rsidRDefault="0095731C" w:rsidP="008D292F">
      <w:pPr>
        <w:rPr>
          <w:sz w:val="20"/>
          <w:szCs w:val="20"/>
          <w:lang w:val="fr-CA"/>
        </w:rPr>
      </w:pPr>
    </w:p>
    <w:p w:rsidR="00FE43CC" w:rsidRPr="00FE43CC" w:rsidRDefault="00FE43CC" w:rsidP="008D292F">
      <w:pPr>
        <w:rPr>
          <w:sz w:val="20"/>
          <w:szCs w:val="20"/>
        </w:rPr>
      </w:pPr>
      <w:r>
        <w:rPr>
          <w:sz w:val="20"/>
          <w:szCs w:val="20"/>
          <w:u w:val="single"/>
        </w:rPr>
        <w:t>CASE SUMMARY</w:t>
      </w:r>
    </w:p>
    <w:p w:rsidR="00FE43CC" w:rsidRDefault="00FE43CC"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E01E7" w:rsidRPr="00E6448B" w:rsidTr="002F0EB9">
        <w:tc>
          <w:tcPr>
            <w:tcW w:w="5000" w:type="pct"/>
            <w:gridSpan w:val="3"/>
          </w:tcPr>
          <w:p w:rsidR="005E01E7" w:rsidRPr="00E6448B" w:rsidRDefault="005E01E7" w:rsidP="002F0EB9">
            <w:pPr>
              <w:jc w:val="both"/>
              <w:rPr>
                <w:sz w:val="20"/>
              </w:rPr>
            </w:pPr>
            <w:r w:rsidRPr="00E6448B">
              <w:rPr>
                <w:i/>
                <w:sz w:val="20"/>
              </w:rPr>
              <w:t>Canadian Charter of Rights and Freedoms</w:t>
            </w:r>
            <w:r w:rsidRPr="00E6448B">
              <w:rPr>
                <w:sz w:val="20"/>
              </w:rPr>
              <w:t xml:space="preserve"> — Extradition — Appeal from committal — Judicial Review of Surrender Order — Whether s. 83.01(1)(b)(i)(a) of the </w:t>
            </w:r>
            <w:r w:rsidRPr="00E6448B">
              <w:rPr>
                <w:i/>
                <w:sz w:val="20"/>
              </w:rPr>
              <w:t>Criminal Code</w:t>
            </w:r>
            <w:r w:rsidRPr="00E6448B">
              <w:rPr>
                <w:sz w:val="20"/>
              </w:rPr>
              <w:t xml:space="preserve"> contravenes s. 2(b) of the </w:t>
            </w:r>
            <w:r w:rsidRPr="00E6448B">
              <w:rPr>
                <w:i/>
                <w:sz w:val="20"/>
              </w:rPr>
              <w:t>Charter</w:t>
            </w:r>
            <w:r w:rsidRPr="00E6448B">
              <w:rPr>
                <w:sz w:val="20"/>
              </w:rPr>
              <w:t xml:space="preserve"> — Whether definition of “terrorist activity” and its operation throughout the terrorism provisions of the </w:t>
            </w:r>
            <w:r w:rsidRPr="00E6448B">
              <w:rPr>
                <w:i/>
                <w:sz w:val="20"/>
              </w:rPr>
              <w:t>Criminal Code</w:t>
            </w:r>
            <w:r w:rsidRPr="00E6448B">
              <w:rPr>
                <w:sz w:val="20"/>
              </w:rPr>
              <w:t xml:space="preserve">, specifically section 83.18, are unconstitutionally overbroad and contravene s. 7 of the </w:t>
            </w:r>
            <w:r w:rsidRPr="00E6448B">
              <w:rPr>
                <w:i/>
                <w:sz w:val="20"/>
              </w:rPr>
              <w:t>Charter</w:t>
            </w:r>
            <w:r w:rsidRPr="00E6448B">
              <w:rPr>
                <w:sz w:val="20"/>
              </w:rPr>
              <w:t xml:space="preserve"> — Whether decision that surrender does not unjustifiably limit the applicant’s rights under section 6(1) of the </w:t>
            </w:r>
            <w:r w:rsidRPr="00E6448B">
              <w:rPr>
                <w:i/>
                <w:sz w:val="20"/>
              </w:rPr>
              <w:t>Charter</w:t>
            </w:r>
            <w:r w:rsidRPr="00E6448B">
              <w:rPr>
                <w:sz w:val="20"/>
              </w:rPr>
              <w:t xml:space="preserve"> was reasonable — Whether evidence was sufficient to justify committal on the offences set out in the Authority to Proceed — Whether Minister of Justice denied the applicant procedural fairness. </w:t>
            </w:r>
          </w:p>
          <w:p w:rsidR="005E01E7" w:rsidRPr="00E6448B" w:rsidRDefault="005E01E7" w:rsidP="002F0EB9">
            <w:pPr>
              <w:rPr>
                <w:sz w:val="20"/>
              </w:rPr>
            </w:pPr>
          </w:p>
        </w:tc>
      </w:tr>
      <w:tr w:rsidR="005E01E7" w:rsidRPr="00E6448B" w:rsidTr="002F0EB9">
        <w:tc>
          <w:tcPr>
            <w:tcW w:w="5000" w:type="pct"/>
            <w:gridSpan w:val="3"/>
          </w:tcPr>
          <w:p w:rsidR="005E01E7" w:rsidRPr="00E6448B" w:rsidRDefault="005E01E7" w:rsidP="002F0EB9">
            <w:pPr>
              <w:jc w:val="both"/>
              <w:rPr>
                <w:sz w:val="20"/>
              </w:rPr>
            </w:pPr>
            <w:r w:rsidRPr="00E6448B">
              <w:rPr>
                <w:sz w:val="20"/>
              </w:rPr>
              <w:t xml:space="preserve">The U.S. seeks the applicant’s extradition to stand trial on terrorism charges for alleged assistance of the Liberation Tigers of the Tamil Eelam ("LTTE").  It is alleged that he acquired aviation equipment, other communications equipment, and submarine and warship design software for the LTTE, he laundered money for the LTTE, and he counselled individuals on methods of smuggling goods to the LTTE.  At the committal hearing, the applicant sought a declaration that the definition of "terrorist activity" in s. 83.01(1)(b), and its use in the terrorist provisions of the </w:t>
            </w:r>
            <w:r w:rsidRPr="00E6448B">
              <w:rPr>
                <w:i/>
                <w:sz w:val="20"/>
              </w:rPr>
              <w:t>Criminal Code</w:t>
            </w:r>
            <w:r w:rsidRPr="00E6448B">
              <w:rPr>
                <w:sz w:val="20"/>
              </w:rPr>
              <w:t xml:space="preserve"> are unconstitutional.  Before the Minister, he submitted that his surrender would breach s. 6(1) of the </w:t>
            </w:r>
            <w:r w:rsidRPr="00E6448B">
              <w:rPr>
                <w:i/>
                <w:sz w:val="20"/>
              </w:rPr>
              <w:t>Charter</w:t>
            </w:r>
            <w:r w:rsidRPr="00E6448B">
              <w:rPr>
                <w:sz w:val="20"/>
              </w:rPr>
              <w:t xml:space="preserve">.  The committal judge dismissed the constitutional motion and ordered the applicant committed for extradition.  The Minister ordered his surrender. </w:t>
            </w:r>
          </w:p>
          <w:p w:rsidR="005E01E7" w:rsidRPr="00E6448B" w:rsidRDefault="005E01E7" w:rsidP="002F0EB9">
            <w:pPr>
              <w:rPr>
                <w:sz w:val="20"/>
              </w:rPr>
            </w:pPr>
          </w:p>
        </w:tc>
      </w:tr>
      <w:tr w:rsidR="005E01E7" w:rsidRPr="00E6448B" w:rsidTr="002F0EB9">
        <w:tc>
          <w:tcPr>
            <w:tcW w:w="2427" w:type="pct"/>
          </w:tcPr>
          <w:p w:rsidR="005E01E7" w:rsidRPr="00E6448B" w:rsidRDefault="005E01E7" w:rsidP="002F0EB9">
            <w:pPr>
              <w:rPr>
                <w:sz w:val="20"/>
              </w:rPr>
            </w:pPr>
            <w:r w:rsidRPr="00E6448B">
              <w:rPr>
                <w:sz w:val="20"/>
              </w:rPr>
              <w:t>March 5, 2009</w:t>
            </w:r>
          </w:p>
          <w:p w:rsidR="005E01E7" w:rsidRPr="00E6448B" w:rsidRDefault="005E01E7" w:rsidP="002F0EB9">
            <w:pPr>
              <w:rPr>
                <w:sz w:val="20"/>
              </w:rPr>
            </w:pPr>
            <w:r w:rsidRPr="00E6448B">
              <w:rPr>
                <w:sz w:val="20"/>
              </w:rPr>
              <w:t>Ontario Superior Court of Justice</w:t>
            </w:r>
          </w:p>
          <w:p w:rsidR="005E01E7" w:rsidRPr="00E6448B" w:rsidRDefault="005E01E7" w:rsidP="002F0EB9">
            <w:pPr>
              <w:rPr>
                <w:sz w:val="20"/>
              </w:rPr>
            </w:pPr>
            <w:r w:rsidRPr="00E6448B">
              <w:rPr>
                <w:sz w:val="20"/>
              </w:rPr>
              <w:t xml:space="preserve">(Pattillo J.) </w:t>
            </w:r>
          </w:p>
          <w:p w:rsidR="005E01E7" w:rsidRPr="00E6448B" w:rsidRDefault="005E01E7" w:rsidP="002F0EB9">
            <w:pPr>
              <w:rPr>
                <w:sz w:val="20"/>
              </w:rPr>
            </w:pPr>
          </w:p>
        </w:tc>
        <w:tc>
          <w:tcPr>
            <w:tcW w:w="243" w:type="pct"/>
          </w:tcPr>
          <w:p w:rsidR="005E01E7" w:rsidRPr="00E6448B" w:rsidRDefault="005E01E7" w:rsidP="002F0EB9">
            <w:pPr>
              <w:rPr>
                <w:sz w:val="20"/>
              </w:rPr>
            </w:pPr>
          </w:p>
        </w:tc>
        <w:tc>
          <w:tcPr>
            <w:tcW w:w="2330" w:type="pct"/>
          </w:tcPr>
          <w:p w:rsidR="005E01E7" w:rsidRPr="00E6448B" w:rsidRDefault="005E01E7" w:rsidP="002F0EB9">
            <w:pPr>
              <w:rPr>
                <w:sz w:val="20"/>
              </w:rPr>
            </w:pPr>
            <w:r w:rsidRPr="00E6448B">
              <w:rPr>
                <w:sz w:val="20"/>
              </w:rPr>
              <w:t>Applicant committed for extradition</w:t>
            </w:r>
          </w:p>
        </w:tc>
      </w:tr>
      <w:tr w:rsidR="005E01E7" w:rsidRPr="00E6448B" w:rsidTr="002F0EB9">
        <w:tc>
          <w:tcPr>
            <w:tcW w:w="2427" w:type="pct"/>
          </w:tcPr>
          <w:p w:rsidR="005E01E7" w:rsidRPr="00E6448B" w:rsidRDefault="005E01E7" w:rsidP="002F0EB9">
            <w:pPr>
              <w:rPr>
                <w:sz w:val="20"/>
              </w:rPr>
            </w:pPr>
            <w:r w:rsidRPr="00E6448B">
              <w:rPr>
                <w:sz w:val="20"/>
              </w:rPr>
              <w:t>November 17, 2009</w:t>
            </w:r>
          </w:p>
          <w:p w:rsidR="005E01E7" w:rsidRPr="00E6448B" w:rsidRDefault="005E01E7" w:rsidP="002F0EB9">
            <w:pPr>
              <w:rPr>
                <w:sz w:val="20"/>
              </w:rPr>
            </w:pPr>
            <w:r w:rsidRPr="00E6448B">
              <w:rPr>
                <w:sz w:val="20"/>
              </w:rPr>
              <w:t>Minister of Justice</w:t>
            </w:r>
          </w:p>
          <w:p w:rsidR="005E01E7" w:rsidRPr="00E6448B" w:rsidRDefault="005E01E7" w:rsidP="002F0EB9">
            <w:pPr>
              <w:rPr>
                <w:sz w:val="20"/>
              </w:rPr>
            </w:pPr>
            <w:r w:rsidRPr="00E6448B">
              <w:rPr>
                <w:sz w:val="20"/>
              </w:rPr>
              <w:t>(Hon. R. Nicholson)</w:t>
            </w:r>
          </w:p>
          <w:p w:rsidR="005E01E7" w:rsidRPr="00E6448B" w:rsidRDefault="005E01E7" w:rsidP="002F0EB9">
            <w:pPr>
              <w:rPr>
                <w:sz w:val="20"/>
              </w:rPr>
            </w:pPr>
          </w:p>
        </w:tc>
        <w:tc>
          <w:tcPr>
            <w:tcW w:w="243" w:type="pct"/>
          </w:tcPr>
          <w:p w:rsidR="005E01E7" w:rsidRPr="00E6448B" w:rsidRDefault="005E01E7" w:rsidP="002F0EB9">
            <w:pPr>
              <w:rPr>
                <w:sz w:val="20"/>
              </w:rPr>
            </w:pPr>
          </w:p>
        </w:tc>
        <w:tc>
          <w:tcPr>
            <w:tcW w:w="2330" w:type="pct"/>
          </w:tcPr>
          <w:p w:rsidR="005E01E7" w:rsidRPr="00E6448B" w:rsidRDefault="005E01E7" w:rsidP="002F0EB9">
            <w:pPr>
              <w:rPr>
                <w:sz w:val="20"/>
              </w:rPr>
            </w:pPr>
            <w:r w:rsidRPr="00E6448B">
              <w:rPr>
                <w:sz w:val="20"/>
              </w:rPr>
              <w:t>Order to surrender applicant for extradition</w:t>
            </w:r>
          </w:p>
          <w:p w:rsidR="005E01E7" w:rsidRPr="00E6448B" w:rsidRDefault="005E01E7" w:rsidP="002F0EB9">
            <w:pPr>
              <w:rPr>
                <w:sz w:val="20"/>
              </w:rPr>
            </w:pPr>
          </w:p>
        </w:tc>
      </w:tr>
      <w:tr w:rsidR="005E01E7" w:rsidRPr="00E6448B" w:rsidTr="002F0EB9">
        <w:tc>
          <w:tcPr>
            <w:tcW w:w="2427" w:type="pct"/>
          </w:tcPr>
          <w:p w:rsidR="005E01E7" w:rsidRPr="00E6448B" w:rsidRDefault="005E01E7" w:rsidP="002F0EB9">
            <w:pPr>
              <w:rPr>
                <w:sz w:val="20"/>
              </w:rPr>
            </w:pPr>
            <w:r w:rsidRPr="00E6448B">
              <w:rPr>
                <w:sz w:val="20"/>
              </w:rPr>
              <w:t>December 17, 2010</w:t>
            </w:r>
          </w:p>
          <w:p w:rsidR="005E01E7" w:rsidRPr="00E6448B" w:rsidRDefault="005E01E7" w:rsidP="002F0EB9">
            <w:pPr>
              <w:rPr>
                <w:sz w:val="20"/>
              </w:rPr>
            </w:pPr>
            <w:r w:rsidRPr="00E6448B">
              <w:rPr>
                <w:sz w:val="20"/>
              </w:rPr>
              <w:t>Court of Appeal for Ontario</w:t>
            </w:r>
          </w:p>
          <w:p w:rsidR="005E01E7" w:rsidRPr="00E6448B" w:rsidRDefault="005E01E7" w:rsidP="002F0EB9">
            <w:pPr>
              <w:rPr>
                <w:sz w:val="20"/>
              </w:rPr>
            </w:pPr>
            <w:r w:rsidRPr="00E6448B">
              <w:rPr>
                <w:sz w:val="20"/>
              </w:rPr>
              <w:t>(Doherty, Moldaver, Cronk JJ.A.)</w:t>
            </w:r>
          </w:p>
          <w:p w:rsidR="005E01E7" w:rsidRPr="00E6448B" w:rsidRDefault="005E01E7" w:rsidP="002F0EB9">
            <w:pPr>
              <w:rPr>
                <w:sz w:val="20"/>
              </w:rPr>
            </w:pPr>
            <w:r w:rsidRPr="00E6448B">
              <w:rPr>
                <w:sz w:val="20"/>
              </w:rPr>
              <w:t>2010 ONCA 857</w:t>
            </w:r>
          </w:p>
          <w:p w:rsidR="005E01E7" w:rsidRDefault="005E01E7" w:rsidP="00193B19">
            <w:pPr>
              <w:rPr>
                <w:sz w:val="20"/>
              </w:rPr>
            </w:pPr>
            <w:r w:rsidRPr="00E6448B">
              <w:rPr>
                <w:sz w:val="20"/>
              </w:rPr>
              <w:t>C50140/C51419</w:t>
            </w:r>
          </w:p>
          <w:p w:rsidR="00193B19" w:rsidRPr="00E6448B" w:rsidRDefault="00193B19" w:rsidP="00193B19">
            <w:pPr>
              <w:rPr>
                <w:sz w:val="20"/>
              </w:rPr>
            </w:pPr>
          </w:p>
        </w:tc>
        <w:tc>
          <w:tcPr>
            <w:tcW w:w="243" w:type="pct"/>
          </w:tcPr>
          <w:p w:rsidR="005E01E7" w:rsidRPr="00E6448B" w:rsidRDefault="005E01E7" w:rsidP="002F0EB9">
            <w:pPr>
              <w:rPr>
                <w:sz w:val="20"/>
              </w:rPr>
            </w:pPr>
          </w:p>
        </w:tc>
        <w:tc>
          <w:tcPr>
            <w:tcW w:w="2330" w:type="pct"/>
          </w:tcPr>
          <w:p w:rsidR="005E01E7" w:rsidRPr="00E6448B" w:rsidRDefault="005E01E7" w:rsidP="002F0EB9">
            <w:pPr>
              <w:jc w:val="both"/>
              <w:rPr>
                <w:sz w:val="20"/>
              </w:rPr>
            </w:pPr>
            <w:r w:rsidRPr="00E6448B">
              <w:rPr>
                <w:sz w:val="20"/>
              </w:rPr>
              <w:t>Appeal from committal order and application for judicial review of surrender order dismissed</w:t>
            </w:r>
          </w:p>
          <w:p w:rsidR="005E01E7" w:rsidRPr="00E6448B" w:rsidRDefault="005E01E7" w:rsidP="002F0EB9">
            <w:pPr>
              <w:rPr>
                <w:sz w:val="20"/>
              </w:rPr>
            </w:pPr>
          </w:p>
        </w:tc>
      </w:tr>
      <w:tr w:rsidR="005E01E7" w:rsidRPr="00E6448B" w:rsidTr="00193B19">
        <w:trPr>
          <w:cantSplit/>
        </w:trPr>
        <w:tc>
          <w:tcPr>
            <w:tcW w:w="2427" w:type="pct"/>
          </w:tcPr>
          <w:p w:rsidR="005E01E7" w:rsidRPr="00E6448B" w:rsidRDefault="005E01E7" w:rsidP="002F0EB9">
            <w:pPr>
              <w:rPr>
                <w:sz w:val="20"/>
              </w:rPr>
            </w:pPr>
            <w:r w:rsidRPr="00E6448B">
              <w:rPr>
                <w:sz w:val="20"/>
              </w:rPr>
              <w:lastRenderedPageBreak/>
              <w:t xml:space="preserve">February 15, 2011  </w:t>
            </w:r>
          </w:p>
          <w:p w:rsidR="005E01E7" w:rsidRPr="00E6448B" w:rsidRDefault="005E01E7" w:rsidP="002F0EB9">
            <w:pPr>
              <w:rPr>
                <w:sz w:val="20"/>
              </w:rPr>
            </w:pPr>
            <w:r w:rsidRPr="00E6448B">
              <w:rPr>
                <w:sz w:val="20"/>
              </w:rPr>
              <w:t>Supreme Court of Canada</w:t>
            </w:r>
          </w:p>
        </w:tc>
        <w:tc>
          <w:tcPr>
            <w:tcW w:w="243" w:type="pct"/>
          </w:tcPr>
          <w:p w:rsidR="005E01E7" w:rsidRPr="00E6448B" w:rsidRDefault="005E01E7" w:rsidP="002F0EB9">
            <w:pPr>
              <w:rPr>
                <w:sz w:val="20"/>
              </w:rPr>
            </w:pPr>
          </w:p>
        </w:tc>
        <w:tc>
          <w:tcPr>
            <w:tcW w:w="2330" w:type="pct"/>
          </w:tcPr>
          <w:p w:rsidR="005E01E7" w:rsidRPr="00E6448B" w:rsidRDefault="005E01E7" w:rsidP="002F0EB9">
            <w:pPr>
              <w:rPr>
                <w:sz w:val="20"/>
              </w:rPr>
            </w:pPr>
            <w:r w:rsidRPr="00E6448B">
              <w:rPr>
                <w:sz w:val="20"/>
              </w:rPr>
              <w:t>Application for leave to appeal filed</w:t>
            </w:r>
          </w:p>
        </w:tc>
      </w:tr>
    </w:tbl>
    <w:p w:rsidR="00FE43CC" w:rsidRDefault="00FE43CC" w:rsidP="008D292F">
      <w:pPr>
        <w:rPr>
          <w:sz w:val="20"/>
          <w:szCs w:val="20"/>
        </w:rPr>
      </w:pPr>
    </w:p>
    <w:p w:rsidR="00FE43CC" w:rsidRDefault="00AB3236" w:rsidP="008D292F">
      <w:pPr>
        <w:rPr>
          <w:sz w:val="20"/>
          <w:szCs w:val="20"/>
          <w:lang w:val="fr-CA"/>
        </w:rPr>
      </w:pPr>
      <w:r w:rsidRPr="00AB3236">
        <w:rPr>
          <w:sz w:val="20"/>
          <w:szCs w:val="20"/>
          <w:lang w:val="fr-CA"/>
        </w:rPr>
        <w:pict>
          <v:rect id="_x0000_i1032" style="width:2in;height:1pt" o:hrpct="0" o:hralign="center" o:hrstd="t" o:hrnoshade="t" o:hr="t" fillcolor="black [3213]" stroked="f"/>
        </w:pict>
      </w:r>
    </w:p>
    <w:p w:rsidR="00FE43CC" w:rsidRDefault="00FE43CC" w:rsidP="008D292F">
      <w:pPr>
        <w:rPr>
          <w:sz w:val="20"/>
          <w:szCs w:val="20"/>
        </w:rPr>
      </w:pPr>
    </w:p>
    <w:p w:rsidR="00FE43CC" w:rsidRPr="00FE43CC" w:rsidRDefault="00FE43CC" w:rsidP="008D292F">
      <w:pPr>
        <w:rPr>
          <w:sz w:val="20"/>
          <w:szCs w:val="20"/>
        </w:rPr>
      </w:pPr>
      <w:r>
        <w:rPr>
          <w:sz w:val="20"/>
          <w:szCs w:val="20"/>
          <w:u w:val="single"/>
        </w:rPr>
        <w:t>RÉSUMÉ DE L’AFFAIRE</w:t>
      </w:r>
    </w:p>
    <w:p w:rsidR="00FE43CC" w:rsidRDefault="00FE43CC"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E01E7" w:rsidRPr="00613D68" w:rsidTr="002F0EB9">
        <w:tc>
          <w:tcPr>
            <w:tcW w:w="5000" w:type="pct"/>
            <w:gridSpan w:val="3"/>
          </w:tcPr>
          <w:p w:rsidR="005E01E7" w:rsidRPr="00E6448B" w:rsidRDefault="005E01E7" w:rsidP="002F0EB9">
            <w:pPr>
              <w:jc w:val="both"/>
              <w:rPr>
                <w:sz w:val="20"/>
                <w:lang w:val="fr-CA"/>
              </w:rPr>
            </w:pPr>
            <w:r w:rsidRPr="00E6448B">
              <w:rPr>
                <w:i/>
                <w:sz w:val="20"/>
                <w:lang w:val="fr-CA"/>
              </w:rPr>
              <w:t xml:space="preserve">Charte canadienne des droits et libertés </w:t>
            </w:r>
            <w:r w:rsidRPr="00E6448B">
              <w:rPr>
                <w:sz w:val="20"/>
                <w:lang w:val="fr-CA"/>
              </w:rPr>
              <w:t>— Extradition — Appel interjeté de l’ordonnance d’incarcération — Contrôle judiciaire de l’arrêté d’extradition — La division 83.01(1)</w:t>
            </w:r>
            <w:r w:rsidRPr="00E6448B">
              <w:rPr>
                <w:i/>
                <w:sz w:val="20"/>
                <w:lang w:val="fr-CA"/>
              </w:rPr>
              <w:t>b</w:t>
            </w:r>
            <w:r w:rsidRPr="00E6448B">
              <w:rPr>
                <w:sz w:val="20"/>
                <w:lang w:val="fr-CA"/>
              </w:rPr>
              <w:t xml:space="preserve">)(i)(A) du </w:t>
            </w:r>
            <w:r w:rsidRPr="00E6448B">
              <w:rPr>
                <w:i/>
                <w:sz w:val="20"/>
                <w:lang w:val="fr-CA"/>
              </w:rPr>
              <w:t>Code criminel</w:t>
            </w:r>
            <w:r w:rsidRPr="00E6448B">
              <w:rPr>
                <w:sz w:val="20"/>
                <w:lang w:val="fr-CA"/>
              </w:rPr>
              <w:t xml:space="preserve"> contrevient</w:t>
            </w:r>
            <w:r w:rsidRPr="00E6448B">
              <w:rPr>
                <w:sz w:val="20"/>
                <w:lang w:val="fr-CA"/>
              </w:rPr>
              <w:noBreakHyphen/>
              <w:t>elle à l’al. 2</w:t>
            </w:r>
            <w:r w:rsidRPr="00E6448B">
              <w:rPr>
                <w:i/>
                <w:sz w:val="20"/>
                <w:lang w:val="fr-CA"/>
              </w:rPr>
              <w:t>b</w:t>
            </w:r>
            <w:r w:rsidRPr="00E6448B">
              <w:rPr>
                <w:sz w:val="20"/>
                <w:lang w:val="fr-CA"/>
              </w:rPr>
              <w:t xml:space="preserve">) de la </w:t>
            </w:r>
            <w:r w:rsidRPr="00E6448B">
              <w:rPr>
                <w:i/>
                <w:sz w:val="20"/>
                <w:lang w:val="fr-CA"/>
              </w:rPr>
              <w:t>Charte</w:t>
            </w:r>
            <w:r w:rsidRPr="00E6448B">
              <w:rPr>
                <w:sz w:val="20"/>
                <w:lang w:val="fr-CA"/>
              </w:rPr>
              <w:t xml:space="preserve">? — La définition du terme « activité terroriste » et son application aux dispositions relatives au terrorisme prévues au </w:t>
            </w:r>
            <w:r w:rsidRPr="00E6448B">
              <w:rPr>
                <w:i/>
                <w:sz w:val="20"/>
                <w:lang w:val="fr-CA"/>
              </w:rPr>
              <w:t>Code criminel</w:t>
            </w:r>
            <w:r w:rsidRPr="00E6448B">
              <w:rPr>
                <w:sz w:val="20"/>
                <w:lang w:val="fr-CA"/>
              </w:rPr>
              <w:t>, tout particulièrement l’art. 83.18, sont</w:t>
            </w:r>
            <w:r w:rsidRPr="00E6448B">
              <w:rPr>
                <w:sz w:val="20"/>
                <w:lang w:val="fr-CA"/>
              </w:rPr>
              <w:noBreakHyphen/>
              <w:t>elles d’une portée excessive emportant leur inconstitutionnalité et contreviennent</w:t>
            </w:r>
            <w:r w:rsidRPr="00E6448B">
              <w:rPr>
                <w:sz w:val="20"/>
                <w:lang w:val="fr-CA"/>
              </w:rPr>
              <w:noBreakHyphen/>
              <w:t xml:space="preserve">elles à l’art. 7 de la </w:t>
            </w:r>
            <w:r w:rsidRPr="00E6448B">
              <w:rPr>
                <w:i/>
                <w:sz w:val="20"/>
                <w:lang w:val="fr-CA"/>
              </w:rPr>
              <w:t>Charte</w:t>
            </w:r>
            <w:r w:rsidRPr="00E6448B">
              <w:rPr>
                <w:sz w:val="20"/>
                <w:lang w:val="fr-CA"/>
              </w:rPr>
              <w:t xml:space="preserve">? — La décision selon laquelle l’extradition ne restreint pas de manière injustifiée les droits du demandeur garantis par le par. 6(1) de la </w:t>
            </w:r>
            <w:r w:rsidRPr="00E6448B">
              <w:rPr>
                <w:i/>
                <w:sz w:val="20"/>
                <w:lang w:val="fr-CA"/>
              </w:rPr>
              <w:t>Charte</w:t>
            </w:r>
            <w:r w:rsidRPr="00E6448B">
              <w:rPr>
                <w:sz w:val="20"/>
                <w:lang w:val="fr-CA"/>
              </w:rPr>
              <w:t xml:space="preserve"> était</w:t>
            </w:r>
            <w:r w:rsidRPr="00E6448B">
              <w:rPr>
                <w:sz w:val="20"/>
                <w:lang w:val="fr-CA"/>
              </w:rPr>
              <w:noBreakHyphen/>
              <w:t>elle raisonnable? — La preuve était</w:t>
            </w:r>
            <w:r w:rsidRPr="00E6448B">
              <w:rPr>
                <w:sz w:val="20"/>
                <w:lang w:val="fr-CA"/>
              </w:rPr>
              <w:noBreakHyphen/>
              <w:t>elle suffisante pour justifier son incarcération à l’égard des infractions désignées dans l’arrêté introductif d’instance? — Le ministre de la Justice a</w:t>
            </w:r>
            <w:r w:rsidRPr="00E6448B">
              <w:rPr>
                <w:sz w:val="20"/>
                <w:lang w:val="fr-CA"/>
              </w:rPr>
              <w:noBreakHyphen/>
              <w:t>t</w:t>
            </w:r>
            <w:r w:rsidRPr="00E6448B">
              <w:rPr>
                <w:sz w:val="20"/>
                <w:lang w:val="fr-CA"/>
              </w:rPr>
              <w:noBreakHyphen/>
              <w:t>il manqué à l’obligation d’équité procédurale garantie au demandeur?</w:t>
            </w:r>
          </w:p>
          <w:p w:rsidR="005E01E7" w:rsidRPr="00E6448B" w:rsidRDefault="005E01E7" w:rsidP="002F0EB9">
            <w:pPr>
              <w:rPr>
                <w:sz w:val="20"/>
                <w:lang w:val="fr-CA"/>
              </w:rPr>
            </w:pPr>
            <w:r w:rsidRPr="00E6448B">
              <w:rPr>
                <w:sz w:val="20"/>
                <w:lang w:val="fr-CA"/>
              </w:rPr>
              <w:t xml:space="preserve"> </w:t>
            </w:r>
          </w:p>
        </w:tc>
      </w:tr>
      <w:tr w:rsidR="005E01E7" w:rsidRPr="00E6448B" w:rsidTr="002F0EB9">
        <w:tc>
          <w:tcPr>
            <w:tcW w:w="5000" w:type="pct"/>
            <w:gridSpan w:val="3"/>
          </w:tcPr>
          <w:p w:rsidR="005E01E7" w:rsidRPr="00E6448B" w:rsidRDefault="005E01E7" w:rsidP="002F0EB9">
            <w:pPr>
              <w:jc w:val="both"/>
              <w:rPr>
                <w:sz w:val="20"/>
                <w:lang w:val="fr-CA"/>
              </w:rPr>
            </w:pPr>
            <w:r w:rsidRPr="00E6448B">
              <w:rPr>
                <w:sz w:val="20"/>
                <w:lang w:val="fr-CA"/>
              </w:rPr>
              <w:t>Les É.</w:t>
            </w:r>
            <w:r w:rsidRPr="00E6448B">
              <w:rPr>
                <w:sz w:val="20"/>
                <w:lang w:val="fr-CA"/>
              </w:rPr>
              <w:noBreakHyphen/>
              <w:t>U. sollicitent l’extradition du demandeur pour qu’il subisse son procès pour infractions de terrorisme.  Il est accusé d’avoir aidé les Tigres de libération de l’Eelam tamoul (TLET).  Il aurait, au nom des TLET, acheté de l’équipement aéronautique et de communication ainsi que des logiciels de conception de sous</w:t>
            </w:r>
            <w:r w:rsidRPr="00E6448B">
              <w:rPr>
                <w:sz w:val="20"/>
                <w:lang w:val="fr-CA"/>
              </w:rPr>
              <w:noBreakHyphen/>
              <w:t>marins et de navires de guerre, blanchi des fonds et conseillé d’autres personnes sur les moyens de passer clandestinement des biens aux TLET.  À son audience d’incarcération, le demandeur a sollicité un jugement déclarant l’inconstitutionnalité de la définition d’« activité terroriste » à l’al. 83.01(1)</w:t>
            </w:r>
            <w:r w:rsidRPr="00E6448B">
              <w:rPr>
                <w:i/>
                <w:sz w:val="20"/>
                <w:lang w:val="fr-CA"/>
              </w:rPr>
              <w:t>b</w:t>
            </w:r>
            <w:r w:rsidRPr="00E6448B">
              <w:rPr>
                <w:sz w:val="20"/>
                <w:lang w:val="fr-CA"/>
              </w:rPr>
              <w:t xml:space="preserve">) et de son application aux dispositions sur le terrorisme du </w:t>
            </w:r>
            <w:r w:rsidRPr="00E6448B">
              <w:rPr>
                <w:i/>
                <w:sz w:val="20"/>
                <w:lang w:val="fr-CA"/>
              </w:rPr>
              <w:t>Code criminel</w:t>
            </w:r>
            <w:r w:rsidRPr="00E6448B">
              <w:rPr>
                <w:sz w:val="20"/>
                <w:lang w:val="fr-CA"/>
              </w:rPr>
              <w:t xml:space="preserve">.  Devant le ministre, le demandeur a fait valoir que son extradition violerait le droit que lui garantit le par. 6(1) de la </w:t>
            </w:r>
            <w:r w:rsidRPr="00E6448B">
              <w:rPr>
                <w:i/>
                <w:sz w:val="20"/>
                <w:lang w:val="fr-CA"/>
              </w:rPr>
              <w:t>Charte</w:t>
            </w:r>
            <w:r w:rsidRPr="00E6448B">
              <w:rPr>
                <w:sz w:val="20"/>
                <w:lang w:val="fr-CA"/>
              </w:rPr>
              <w:t>.  Le juge siégeant à l’audience d’incarcération a rejeté la requête constitutionnelle et a ordonné l’incarcération du demandeur en vue de son extradition.  Le ministre a pris l’arrêté d’extradition.</w:t>
            </w:r>
          </w:p>
          <w:p w:rsidR="005E01E7" w:rsidRPr="00E6448B" w:rsidRDefault="005E01E7" w:rsidP="002F0EB9">
            <w:pPr>
              <w:rPr>
                <w:sz w:val="20"/>
                <w:lang w:val="fr-CA"/>
              </w:rPr>
            </w:pPr>
          </w:p>
        </w:tc>
      </w:tr>
      <w:tr w:rsidR="005E01E7" w:rsidRPr="00A77989" w:rsidTr="002F0EB9">
        <w:tc>
          <w:tcPr>
            <w:tcW w:w="2427" w:type="pct"/>
          </w:tcPr>
          <w:p w:rsidR="005E01E7" w:rsidRPr="00E6448B" w:rsidRDefault="005E01E7" w:rsidP="002F0EB9">
            <w:pPr>
              <w:rPr>
                <w:sz w:val="20"/>
                <w:lang w:val="fr-CA"/>
              </w:rPr>
            </w:pPr>
            <w:r w:rsidRPr="00E6448B">
              <w:rPr>
                <w:sz w:val="20"/>
                <w:lang w:val="fr-CA"/>
              </w:rPr>
              <w:t>5 mars 2009</w:t>
            </w:r>
          </w:p>
          <w:p w:rsidR="005E01E7" w:rsidRPr="00E6448B" w:rsidRDefault="005E01E7" w:rsidP="002F0EB9">
            <w:pPr>
              <w:rPr>
                <w:sz w:val="20"/>
                <w:lang w:val="fr-CA"/>
              </w:rPr>
            </w:pPr>
            <w:r w:rsidRPr="00E6448B">
              <w:rPr>
                <w:sz w:val="20"/>
                <w:lang w:val="fr-CA"/>
              </w:rPr>
              <w:t>Cour supérieure de justice de l’Ontario</w:t>
            </w:r>
          </w:p>
          <w:p w:rsidR="005E01E7" w:rsidRPr="00E6448B" w:rsidRDefault="005E01E7" w:rsidP="002F0EB9">
            <w:pPr>
              <w:rPr>
                <w:sz w:val="20"/>
                <w:lang w:val="fr-CA"/>
              </w:rPr>
            </w:pPr>
            <w:r w:rsidRPr="00E6448B">
              <w:rPr>
                <w:sz w:val="20"/>
                <w:lang w:val="fr-CA"/>
              </w:rPr>
              <w:t xml:space="preserve">(juge Pattillo) </w:t>
            </w:r>
          </w:p>
          <w:p w:rsidR="005E01E7" w:rsidRPr="00E6448B" w:rsidRDefault="005E01E7" w:rsidP="002F0EB9">
            <w:pPr>
              <w:rPr>
                <w:sz w:val="20"/>
                <w:lang w:val="fr-CA"/>
              </w:rPr>
            </w:pPr>
          </w:p>
        </w:tc>
        <w:tc>
          <w:tcPr>
            <w:tcW w:w="243" w:type="pct"/>
          </w:tcPr>
          <w:p w:rsidR="005E01E7" w:rsidRPr="00E6448B" w:rsidRDefault="005E01E7" w:rsidP="002F0EB9">
            <w:pPr>
              <w:rPr>
                <w:sz w:val="20"/>
                <w:lang w:val="fr-CA"/>
              </w:rPr>
            </w:pPr>
          </w:p>
        </w:tc>
        <w:tc>
          <w:tcPr>
            <w:tcW w:w="2330" w:type="pct"/>
          </w:tcPr>
          <w:p w:rsidR="005E01E7" w:rsidRPr="00E6448B" w:rsidRDefault="005E01E7" w:rsidP="002F0EB9">
            <w:pPr>
              <w:jc w:val="both"/>
              <w:rPr>
                <w:sz w:val="20"/>
                <w:lang w:val="fr-CA"/>
              </w:rPr>
            </w:pPr>
            <w:r w:rsidRPr="00E6448B">
              <w:rPr>
                <w:sz w:val="20"/>
                <w:lang w:val="fr-CA"/>
              </w:rPr>
              <w:t>Ordonnance d’incarcération du demandeur en vue de son extradition</w:t>
            </w:r>
          </w:p>
        </w:tc>
      </w:tr>
      <w:tr w:rsidR="005E01E7" w:rsidRPr="00E6448B" w:rsidTr="002F0EB9">
        <w:tc>
          <w:tcPr>
            <w:tcW w:w="2427" w:type="pct"/>
          </w:tcPr>
          <w:p w:rsidR="005E01E7" w:rsidRPr="00E6448B" w:rsidRDefault="005E01E7" w:rsidP="002F0EB9">
            <w:pPr>
              <w:rPr>
                <w:sz w:val="20"/>
                <w:lang w:val="fr-CA"/>
              </w:rPr>
            </w:pPr>
            <w:r w:rsidRPr="00E6448B">
              <w:rPr>
                <w:sz w:val="20"/>
                <w:lang w:val="fr-CA"/>
              </w:rPr>
              <w:t>17 novembre 2009</w:t>
            </w:r>
          </w:p>
          <w:p w:rsidR="005E01E7" w:rsidRPr="00E6448B" w:rsidRDefault="005E01E7" w:rsidP="002F0EB9">
            <w:pPr>
              <w:rPr>
                <w:sz w:val="20"/>
                <w:lang w:val="fr-CA"/>
              </w:rPr>
            </w:pPr>
            <w:r w:rsidRPr="00E6448B">
              <w:rPr>
                <w:sz w:val="20"/>
                <w:lang w:val="fr-CA"/>
              </w:rPr>
              <w:t>Ministre de la Justice</w:t>
            </w:r>
          </w:p>
          <w:p w:rsidR="005E01E7" w:rsidRPr="00E6448B" w:rsidRDefault="005E01E7" w:rsidP="002F0EB9">
            <w:pPr>
              <w:rPr>
                <w:sz w:val="20"/>
                <w:lang w:val="fr-CA"/>
              </w:rPr>
            </w:pPr>
            <w:r w:rsidRPr="00E6448B">
              <w:rPr>
                <w:sz w:val="20"/>
                <w:lang w:val="fr-CA"/>
              </w:rPr>
              <w:t>(L’hon. R. Nicholson)</w:t>
            </w:r>
          </w:p>
          <w:p w:rsidR="005E01E7" w:rsidRPr="00E6448B" w:rsidRDefault="005E01E7" w:rsidP="002F0EB9">
            <w:pPr>
              <w:rPr>
                <w:sz w:val="20"/>
                <w:lang w:val="fr-CA"/>
              </w:rPr>
            </w:pPr>
          </w:p>
        </w:tc>
        <w:tc>
          <w:tcPr>
            <w:tcW w:w="243" w:type="pct"/>
          </w:tcPr>
          <w:p w:rsidR="005E01E7" w:rsidRPr="00E6448B" w:rsidRDefault="005E01E7" w:rsidP="002F0EB9">
            <w:pPr>
              <w:rPr>
                <w:sz w:val="20"/>
                <w:lang w:val="fr-CA"/>
              </w:rPr>
            </w:pPr>
          </w:p>
        </w:tc>
        <w:tc>
          <w:tcPr>
            <w:tcW w:w="2330" w:type="pct"/>
          </w:tcPr>
          <w:p w:rsidR="005E01E7" w:rsidRPr="00E6448B" w:rsidRDefault="005E01E7" w:rsidP="002F0EB9">
            <w:pPr>
              <w:rPr>
                <w:sz w:val="20"/>
                <w:lang w:val="fr-CA"/>
              </w:rPr>
            </w:pPr>
            <w:r w:rsidRPr="00E6448B">
              <w:rPr>
                <w:sz w:val="20"/>
                <w:lang w:val="fr-CA"/>
              </w:rPr>
              <w:t>Arrêté d’extradition du demandeur</w:t>
            </w:r>
          </w:p>
          <w:p w:rsidR="005E01E7" w:rsidRPr="00E6448B" w:rsidRDefault="005E01E7" w:rsidP="002F0EB9">
            <w:pPr>
              <w:rPr>
                <w:sz w:val="20"/>
                <w:lang w:val="fr-CA"/>
              </w:rPr>
            </w:pPr>
          </w:p>
        </w:tc>
      </w:tr>
      <w:tr w:rsidR="005E01E7" w:rsidRPr="00A77989" w:rsidTr="002F0EB9">
        <w:tc>
          <w:tcPr>
            <w:tcW w:w="2427" w:type="pct"/>
          </w:tcPr>
          <w:p w:rsidR="005E01E7" w:rsidRPr="00E6448B" w:rsidRDefault="005E01E7" w:rsidP="002F0EB9">
            <w:pPr>
              <w:rPr>
                <w:sz w:val="20"/>
                <w:lang w:val="fr-CA"/>
              </w:rPr>
            </w:pPr>
            <w:r w:rsidRPr="00E6448B">
              <w:rPr>
                <w:sz w:val="20"/>
                <w:lang w:val="fr-CA"/>
              </w:rPr>
              <w:t>17 décembre 2010</w:t>
            </w:r>
          </w:p>
          <w:p w:rsidR="005E01E7" w:rsidRPr="00E6448B" w:rsidRDefault="005E01E7" w:rsidP="002F0EB9">
            <w:pPr>
              <w:rPr>
                <w:sz w:val="20"/>
                <w:lang w:val="fr-CA"/>
              </w:rPr>
            </w:pPr>
            <w:r w:rsidRPr="00E6448B">
              <w:rPr>
                <w:sz w:val="20"/>
                <w:lang w:val="fr-CA"/>
              </w:rPr>
              <w:t>Cour d’appel de l’Ontario</w:t>
            </w:r>
          </w:p>
          <w:p w:rsidR="005E01E7" w:rsidRPr="00E6448B" w:rsidRDefault="005E01E7" w:rsidP="002F0EB9">
            <w:pPr>
              <w:rPr>
                <w:sz w:val="20"/>
                <w:lang w:val="fr-CA"/>
              </w:rPr>
            </w:pPr>
            <w:r w:rsidRPr="00E6448B">
              <w:rPr>
                <w:sz w:val="20"/>
                <w:lang w:val="fr-CA"/>
              </w:rPr>
              <w:t>(juges Doherty, Moldaver et Cronk)</w:t>
            </w:r>
          </w:p>
          <w:p w:rsidR="005E01E7" w:rsidRPr="00E6448B" w:rsidRDefault="005E01E7" w:rsidP="002F0EB9">
            <w:pPr>
              <w:rPr>
                <w:sz w:val="20"/>
                <w:lang w:val="fr-CA"/>
              </w:rPr>
            </w:pPr>
            <w:r w:rsidRPr="00E6448B">
              <w:rPr>
                <w:sz w:val="20"/>
                <w:lang w:val="fr-CA"/>
              </w:rPr>
              <w:t>2010 ONCA 857</w:t>
            </w:r>
          </w:p>
          <w:p w:rsidR="005E01E7" w:rsidRPr="00E6448B" w:rsidRDefault="005E01E7" w:rsidP="002F0EB9">
            <w:pPr>
              <w:rPr>
                <w:sz w:val="20"/>
                <w:lang w:val="fr-CA"/>
              </w:rPr>
            </w:pPr>
            <w:r w:rsidRPr="00E6448B">
              <w:rPr>
                <w:sz w:val="20"/>
                <w:lang w:val="fr-CA"/>
              </w:rPr>
              <w:t>C50140/C51419</w:t>
            </w:r>
          </w:p>
          <w:p w:rsidR="005E01E7" w:rsidRPr="00E6448B" w:rsidRDefault="005E01E7" w:rsidP="002F0EB9">
            <w:pPr>
              <w:rPr>
                <w:sz w:val="20"/>
                <w:lang w:val="fr-CA"/>
              </w:rPr>
            </w:pPr>
          </w:p>
        </w:tc>
        <w:tc>
          <w:tcPr>
            <w:tcW w:w="243" w:type="pct"/>
          </w:tcPr>
          <w:p w:rsidR="005E01E7" w:rsidRPr="00E6448B" w:rsidRDefault="005E01E7" w:rsidP="002F0EB9">
            <w:pPr>
              <w:rPr>
                <w:sz w:val="20"/>
                <w:lang w:val="fr-CA"/>
              </w:rPr>
            </w:pPr>
          </w:p>
        </w:tc>
        <w:tc>
          <w:tcPr>
            <w:tcW w:w="2330" w:type="pct"/>
          </w:tcPr>
          <w:p w:rsidR="005E01E7" w:rsidRPr="00E6448B" w:rsidRDefault="005E01E7" w:rsidP="002F0EB9">
            <w:pPr>
              <w:jc w:val="both"/>
              <w:rPr>
                <w:sz w:val="20"/>
                <w:lang w:val="fr-CA"/>
              </w:rPr>
            </w:pPr>
            <w:r w:rsidRPr="00E6448B">
              <w:rPr>
                <w:sz w:val="20"/>
                <w:lang w:val="fr-CA"/>
              </w:rPr>
              <w:t xml:space="preserve">Appel de l’ordonnance d’incarcération et demande de contrôle judiciaire de l’arrêté d’extradition rejetées </w:t>
            </w:r>
          </w:p>
          <w:p w:rsidR="005E01E7" w:rsidRPr="00E6448B" w:rsidRDefault="005E01E7" w:rsidP="002F0EB9">
            <w:pPr>
              <w:rPr>
                <w:sz w:val="20"/>
                <w:lang w:val="fr-CA"/>
              </w:rPr>
            </w:pPr>
          </w:p>
        </w:tc>
      </w:tr>
      <w:tr w:rsidR="005E01E7" w:rsidRPr="00E6448B" w:rsidTr="002F0EB9">
        <w:tc>
          <w:tcPr>
            <w:tcW w:w="2427" w:type="pct"/>
          </w:tcPr>
          <w:p w:rsidR="005E01E7" w:rsidRPr="00E6448B" w:rsidRDefault="005E01E7" w:rsidP="002F0EB9">
            <w:pPr>
              <w:rPr>
                <w:sz w:val="20"/>
                <w:lang w:val="fr-CA"/>
              </w:rPr>
            </w:pPr>
            <w:r w:rsidRPr="00E6448B">
              <w:rPr>
                <w:sz w:val="20"/>
                <w:lang w:val="fr-CA"/>
              </w:rPr>
              <w:t xml:space="preserve">15 février 2011  </w:t>
            </w:r>
          </w:p>
          <w:p w:rsidR="005E01E7" w:rsidRPr="00E6448B" w:rsidRDefault="005E01E7" w:rsidP="002F0EB9">
            <w:pPr>
              <w:rPr>
                <w:sz w:val="20"/>
                <w:lang w:val="fr-CA"/>
              </w:rPr>
            </w:pPr>
            <w:r w:rsidRPr="00E6448B">
              <w:rPr>
                <w:sz w:val="20"/>
                <w:lang w:val="fr-CA"/>
              </w:rPr>
              <w:t>Cour suprême du Canada</w:t>
            </w:r>
          </w:p>
        </w:tc>
        <w:tc>
          <w:tcPr>
            <w:tcW w:w="243" w:type="pct"/>
          </w:tcPr>
          <w:p w:rsidR="005E01E7" w:rsidRPr="00E6448B" w:rsidRDefault="005E01E7" w:rsidP="002F0EB9">
            <w:pPr>
              <w:rPr>
                <w:sz w:val="20"/>
                <w:lang w:val="fr-CA"/>
              </w:rPr>
            </w:pPr>
          </w:p>
        </w:tc>
        <w:tc>
          <w:tcPr>
            <w:tcW w:w="2330" w:type="pct"/>
          </w:tcPr>
          <w:p w:rsidR="005E01E7" w:rsidRPr="00E6448B" w:rsidRDefault="005E01E7" w:rsidP="002F0EB9">
            <w:pPr>
              <w:rPr>
                <w:sz w:val="20"/>
                <w:lang w:val="fr-CA"/>
              </w:rPr>
            </w:pPr>
            <w:r w:rsidRPr="00E6448B">
              <w:rPr>
                <w:sz w:val="20"/>
                <w:lang w:val="fr-CA"/>
              </w:rPr>
              <w:t>Demande d’autorisation d’appel déposée</w:t>
            </w:r>
          </w:p>
        </w:tc>
      </w:tr>
    </w:tbl>
    <w:p w:rsidR="00FE43CC" w:rsidRDefault="00FE43CC" w:rsidP="008D292F">
      <w:pPr>
        <w:rPr>
          <w:sz w:val="20"/>
          <w:szCs w:val="20"/>
        </w:rPr>
      </w:pPr>
    </w:p>
    <w:p w:rsidR="00FE43CC" w:rsidRDefault="00AB3236" w:rsidP="008D292F">
      <w:pPr>
        <w:rPr>
          <w:sz w:val="20"/>
          <w:szCs w:val="20"/>
          <w:lang w:val="fr-CA"/>
        </w:rPr>
      </w:pPr>
      <w:r w:rsidRPr="00AB3236">
        <w:rPr>
          <w:sz w:val="20"/>
          <w:szCs w:val="20"/>
          <w:lang w:val="fr-CA"/>
        </w:rPr>
        <w:pict>
          <v:rect id="_x0000_i1033" style="width:2in;height:1pt" o:hrpct="0" o:hralign="center" o:hrstd="t" o:hrnoshade="t" o:hr="t" fillcolor="black [3213]" stroked="f"/>
        </w:pict>
      </w:r>
    </w:p>
    <w:p w:rsidR="005306BC" w:rsidRDefault="005306BC">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11242" w:rsidRPr="007A0F5C" w:rsidTr="004B78B6">
        <w:trPr>
          <w:cantSplit/>
        </w:trPr>
        <w:tc>
          <w:tcPr>
            <w:tcW w:w="1458" w:type="dxa"/>
          </w:tcPr>
          <w:p w:rsidR="00011242" w:rsidRPr="007A0F5C" w:rsidRDefault="00011242" w:rsidP="004B78B6">
            <w:pPr>
              <w:rPr>
                <w:rFonts w:cs="Times New Roman"/>
                <w:sz w:val="20"/>
                <w:szCs w:val="20"/>
              </w:rPr>
            </w:pPr>
            <w:r w:rsidRPr="007A0F5C">
              <w:rPr>
                <w:rStyle w:val="SCCFileNumberChar"/>
                <w:sz w:val="20"/>
                <w:szCs w:val="20"/>
              </w:rPr>
              <w:lastRenderedPageBreak/>
              <w:t>34013</w:t>
            </w:r>
          </w:p>
          <w:p w:rsidR="00011242" w:rsidRPr="007A0F5C" w:rsidRDefault="00011242" w:rsidP="004B78B6">
            <w:pPr>
              <w:rPr>
                <w:rFonts w:cs="Times New Roman"/>
                <w:b/>
                <w:sz w:val="20"/>
                <w:szCs w:val="20"/>
                <w:lang w:val="fr-CA"/>
              </w:rPr>
            </w:pPr>
          </w:p>
        </w:tc>
        <w:tc>
          <w:tcPr>
            <w:tcW w:w="8118" w:type="dxa"/>
          </w:tcPr>
          <w:p w:rsidR="00011242" w:rsidRPr="007A0F5C" w:rsidRDefault="00011242" w:rsidP="00011242">
            <w:pPr>
              <w:jc w:val="both"/>
              <w:rPr>
                <w:rFonts w:cs="Times New Roman"/>
                <w:sz w:val="20"/>
                <w:szCs w:val="20"/>
              </w:rPr>
            </w:pPr>
            <w:r w:rsidRPr="00011242">
              <w:rPr>
                <w:rStyle w:val="SCCLsocChar"/>
                <w:rFonts w:cs="Times New Roman"/>
                <w:sz w:val="20"/>
                <w:szCs w:val="20"/>
                <w:lang w:val="en-CA"/>
              </w:rPr>
              <w:t>Piratheepan Nadarajah v. United States of America, Minister of Justice and Attorney General of Canada</w:t>
            </w:r>
            <w:r w:rsidRPr="007A0F5C">
              <w:rPr>
                <w:rFonts w:cs="Times New Roman"/>
                <w:sz w:val="20"/>
                <w:szCs w:val="20"/>
              </w:rPr>
              <w:t xml:space="preserve"> (Ont.) (Criminal) (By Leave)</w:t>
            </w:r>
          </w:p>
          <w:p w:rsidR="00011242" w:rsidRPr="007A0F5C" w:rsidRDefault="00011242" w:rsidP="004B78B6">
            <w:pPr>
              <w:rPr>
                <w:rFonts w:cs="Times New Roman"/>
                <w:sz w:val="20"/>
                <w:szCs w:val="20"/>
              </w:rPr>
            </w:pPr>
          </w:p>
        </w:tc>
      </w:tr>
      <w:tr w:rsidR="00011242" w:rsidRPr="007A0F5C" w:rsidTr="004B78B6">
        <w:trPr>
          <w:cantSplit/>
        </w:trPr>
        <w:tc>
          <w:tcPr>
            <w:tcW w:w="1458" w:type="dxa"/>
          </w:tcPr>
          <w:p w:rsidR="00011242" w:rsidRPr="007A0F5C" w:rsidRDefault="00011242" w:rsidP="004B78B6">
            <w:pPr>
              <w:rPr>
                <w:rFonts w:cs="Times New Roman"/>
                <w:sz w:val="20"/>
                <w:szCs w:val="20"/>
              </w:rPr>
            </w:pPr>
            <w:r w:rsidRPr="007A0F5C">
              <w:rPr>
                <w:rFonts w:cs="Times New Roman"/>
                <w:sz w:val="20"/>
                <w:szCs w:val="20"/>
              </w:rPr>
              <w:t>Coram :</w:t>
            </w:r>
          </w:p>
        </w:tc>
        <w:tc>
          <w:tcPr>
            <w:tcW w:w="8118" w:type="dxa"/>
          </w:tcPr>
          <w:p w:rsidR="00011242" w:rsidRPr="007A0F5C" w:rsidRDefault="00011242" w:rsidP="004B78B6">
            <w:pPr>
              <w:rPr>
                <w:rFonts w:cs="Times New Roman"/>
                <w:sz w:val="20"/>
                <w:szCs w:val="20"/>
              </w:rPr>
            </w:pPr>
            <w:r w:rsidRPr="00011242">
              <w:rPr>
                <w:rStyle w:val="SCCCoramChar"/>
                <w:rFonts w:cs="Times New Roman"/>
                <w:sz w:val="20"/>
                <w:szCs w:val="20"/>
                <w:lang w:val="en-CA"/>
              </w:rPr>
              <w:t>Binnie, Abella and Rothstein JJ.</w:t>
            </w:r>
          </w:p>
          <w:p w:rsidR="00011242" w:rsidRPr="007A0F5C" w:rsidRDefault="00011242" w:rsidP="004B78B6">
            <w:pPr>
              <w:rPr>
                <w:rFonts w:cs="Times New Roman"/>
                <w:sz w:val="20"/>
                <w:szCs w:val="20"/>
                <w:u w:val="single"/>
              </w:rPr>
            </w:pPr>
          </w:p>
        </w:tc>
      </w:tr>
      <w:tr w:rsidR="00011242" w:rsidRPr="00A77989" w:rsidTr="004B78B6">
        <w:trPr>
          <w:cantSplit/>
        </w:trPr>
        <w:tc>
          <w:tcPr>
            <w:tcW w:w="9576" w:type="dxa"/>
            <w:gridSpan w:val="2"/>
          </w:tcPr>
          <w:p w:rsidR="00011242" w:rsidRPr="007A0F5C" w:rsidRDefault="00011242" w:rsidP="004B78B6">
            <w:pPr>
              <w:pStyle w:val="SCCShortJudgment"/>
              <w:rPr>
                <w:rFonts w:cs="Times New Roman"/>
                <w:szCs w:val="20"/>
              </w:rPr>
            </w:pPr>
            <w:r w:rsidRPr="007A0F5C">
              <w:rPr>
                <w:rFonts w:cs="Times New Roman"/>
                <w:szCs w:val="20"/>
              </w:rPr>
              <w:t xml:space="preserve">The application for leave to appeal from the judgment of the Court of Appeal for Ontario, Numbers C50139 and C51418, 2010 ONCA 859, dated December 17, 2010, is granted without costs.  This appeal will be heard with </w:t>
            </w:r>
            <w:r w:rsidRPr="00577F5A">
              <w:rPr>
                <w:rFonts w:cs="Times New Roman"/>
                <w:i/>
                <w:szCs w:val="20"/>
              </w:rPr>
              <w:t>Suresh Sriskandarajah v. United States of America, Minister of Justice and Attorney General of Canada</w:t>
            </w:r>
            <w:r w:rsidRPr="007A0F5C">
              <w:rPr>
                <w:rFonts w:cs="Times New Roman"/>
                <w:szCs w:val="20"/>
              </w:rPr>
              <w:t xml:space="preserve"> (34009) and </w:t>
            </w:r>
            <w:r w:rsidRPr="00577F5A">
              <w:rPr>
                <w:rFonts w:cs="Times New Roman"/>
                <w:i/>
                <w:szCs w:val="20"/>
              </w:rPr>
              <w:t>Mohammad Momin Khawaja v. Her Majesty the Queen</w:t>
            </w:r>
            <w:r w:rsidRPr="007A0F5C">
              <w:rPr>
                <w:rFonts w:cs="Times New Roman"/>
                <w:szCs w:val="20"/>
              </w:rPr>
              <w:t xml:space="preserve"> (34103).</w:t>
            </w:r>
          </w:p>
          <w:p w:rsidR="00011242" w:rsidRPr="007A0F5C" w:rsidRDefault="00011242" w:rsidP="004B78B6">
            <w:pPr>
              <w:pStyle w:val="SCCShortJudgment"/>
              <w:ind w:firstLine="0"/>
              <w:rPr>
                <w:rFonts w:cs="Times New Roman"/>
                <w:szCs w:val="20"/>
              </w:rPr>
            </w:pPr>
          </w:p>
          <w:p w:rsidR="00011242" w:rsidRPr="007A0F5C" w:rsidRDefault="00011242" w:rsidP="00011242">
            <w:pPr>
              <w:pStyle w:val="SCCShortJudgment"/>
              <w:rPr>
                <w:rFonts w:cs="Times New Roman"/>
                <w:szCs w:val="20"/>
                <w:lang w:val="fr-CA"/>
              </w:rPr>
            </w:pPr>
            <w:r w:rsidRPr="007A0F5C">
              <w:rPr>
                <w:rFonts w:cs="Times New Roman"/>
                <w:szCs w:val="20"/>
                <w:lang w:val="fr-CA"/>
              </w:rPr>
              <w:t xml:space="preserve">La demande d’autorisation d’appel de l’arrêt de la Cour d’appel de l’Ontario, numéros C50139 et C51418, 2010 ONCA 859, daté du 17 décembre 2010, est accordée sans dépens.  Cet appel sera entendu avec </w:t>
            </w:r>
            <w:r w:rsidRPr="00577F5A">
              <w:rPr>
                <w:rFonts w:cs="Times New Roman"/>
                <w:i/>
                <w:szCs w:val="20"/>
                <w:lang w:val="fr-CA"/>
              </w:rPr>
              <w:t>Suresh Sriskandarajah c. États-Unis d’Amérique, Ministre de la Justice  et Procureur général du Canada</w:t>
            </w:r>
            <w:r w:rsidRPr="007A0F5C">
              <w:rPr>
                <w:rFonts w:cs="Times New Roman"/>
                <w:szCs w:val="20"/>
                <w:lang w:val="fr-CA"/>
              </w:rPr>
              <w:t xml:space="preserve"> (34009) et </w:t>
            </w:r>
            <w:r w:rsidRPr="00577F5A">
              <w:rPr>
                <w:rFonts w:cs="Times New Roman"/>
                <w:i/>
                <w:szCs w:val="20"/>
                <w:lang w:val="fr-CA"/>
              </w:rPr>
              <w:t>Mohammad Momin Khawaja c. Sa Majesté la Reine</w:t>
            </w:r>
            <w:r w:rsidRPr="007A0F5C">
              <w:rPr>
                <w:rFonts w:cs="Times New Roman"/>
                <w:szCs w:val="20"/>
                <w:lang w:val="fr-CA"/>
              </w:rPr>
              <w:t xml:space="preserve"> (34103).</w:t>
            </w:r>
          </w:p>
        </w:tc>
      </w:tr>
    </w:tbl>
    <w:p w:rsidR="00011242" w:rsidRDefault="00011242"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09C7" w:rsidRPr="00E6448B" w:rsidTr="002F0EB9">
        <w:tc>
          <w:tcPr>
            <w:tcW w:w="5000" w:type="pct"/>
            <w:gridSpan w:val="3"/>
          </w:tcPr>
          <w:p w:rsidR="007609C7" w:rsidRPr="00E6448B" w:rsidRDefault="007609C7" w:rsidP="002F0EB9">
            <w:pPr>
              <w:jc w:val="both"/>
              <w:rPr>
                <w:sz w:val="20"/>
              </w:rPr>
            </w:pPr>
            <w:r w:rsidRPr="00E6448B">
              <w:rPr>
                <w:i/>
                <w:sz w:val="20"/>
              </w:rPr>
              <w:t>Canadian Charter of Rights and Freedoms</w:t>
            </w:r>
            <w:r w:rsidRPr="00E6448B">
              <w:rPr>
                <w:sz w:val="20"/>
              </w:rPr>
              <w:t xml:space="preserve"> — Extradition — Appeal from committal — Judicial Review of Surrender Order — Whether s. 83.01(1)(b)(i)(a) of the </w:t>
            </w:r>
            <w:r w:rsidRPr="00E6448B">
              <w:rPr>
                <w:i/>
                <w:sz w:val="20"/>
              </w:rPr>
              <w:t>Criminal Code</w:t>
            </w:r>
            <w:r w:rsidRPr="00E6448B">
              <w:rPr>
                <w:sz w:val="20"/>
              </w:rPr>
              <w:t xml:space="preserve"> contravenes s. 2(b) of the </w:t>
            </w:r>
            <w:r w:rsidRPr="00E6448B">
              <w:rPr>
                <w:i/>
                <w:sz w:val="20"/>
              </w:rPr>
              <w:t>Charter</w:t>
            </w:r>
            <w:r w:rsidRPr="00E6448B">
              <w:rPr>
                <w:sz w:val="20"/>
              </w:rPr>
              <w:t xml:space="preserve"> — Whether definition of “terrorist activity” and its operation throughout the terrorism provisions of the </w:t>
            </w:r>
            <w:r w:rsidRPr="00E6448B">
              <w:rPr>
                <w:i/>
                <w:sz w:val="20"/>
              </w:rPr>
              <w:t>Criminal Code</w:t>
            </w:r>
            <w:r w:rsidRPr="00E6448B">
              <w:rPr>
                <w:sz w:val="20"/>
              </w:rPr>
              <w:t xml:space="preserve">, specifically section 83.18, are unconstitutionally overbroad and contravene s. 7 of the </w:t>
            </w:r>
            <w:r w:rsidRPr="00E6448B">
              <w:rPr>
                <w:i/>
                <w:sz w:val="20"/>
              </w:rPr>
              <w:t>Charter</w:t>
            </w:r>
            <w:r w:rsidRPr="00E6448B">
              <w:rPr>
                <w:sz w:val="20"/>
              </w:rPr>
              <w:t xml:space="preserve"> — Whether decision that surrender does not unjustifiably limit the applicant’s rights under section 6(1) of the </w:t>
            </w:r>
            <w:r w:rsidRPr="00E6448B">
              <w:rPr>
                <w:i/>
                <w:sz w:val="20"/>
              </w:rPr>
              <w:t>Charter</w:t>
            </w:r>
            <w:r w:rsidRPr="00E6448B">
              <w:rPr>
                <w:sz w:val="20"/>
              </w:rPr>
              <w:t xml:space="preserve"> was reasonable — Whether evidence was sufficient to justify committal on the offences set out in the Authority to Proceed </w:t>
            </w:r>
          </w:p>
          <w:p w:rsidR="007609C7" w:rsidRPr="00E6448B" w:rsidRDefault="007609C7" w:rsidP="002F0EB9">
            <w:pPr>
              <w:rPr>
                <w:sz w:val="20"/>
              </w:rPr>
            </w:pPr>
          </w:p>
        </w:tc>
      </w:tr>
      <w:tr w:rsidR="007609C7" w:rsidRPr="00E6448B" w:rsidTr="002F0EB9">
        <w:tc>
          <w:tcPr>
            <w:tcW w:w="5000" w:type="pct"/>
            <w:gridSpan w:val="3"/>
          </w:tcPr>
          <w:p w:rsidR="007609C7" w:rsidRPr="00E6448B" w:rsidRDefault="007609C7" w:rsidP="002F0EB9">
            <w:pPr>
              <w:jc w:val="both"/>
              <w:rPr>
                <w:sz w:val="20"/>
              </w:rPr>
            </w:pPr>
            <w:r w:rsidRPr="00E6448B">
              <w:rPr>
                <w:sz w:val="20"/>
              </w:rPr>
              <w:t xml:space="preserve">The U.S.A. seeks the applicant’s extradition to stand trial on terrorism charges for alleged involvement with and assistance of the Liberation Tigers of Tamil Eelam.  The Record of the Case alleges that he was part of a group of individuals who attempted to purchase surface-to-air missiles and AK-47s in the United States on behalf of the LTTE.  At the committal hearing, the applicant sought a declaration that the definition of “terrorist activity” in s. 83.01(1)(b), and its use in the terrorist provisions of the </w:t>
            </w:r>
            <w:r w:rsidRPr="00E6448B">
              <w:rPr>
                <w:i/>
                <w:sz w:val="20"/>
              </w:rPr>
              <w:t>Criminal Code</w:t>
            </w:r>
            <w:r w:rsidRPr="00E6448B">
              <w:rPr>
                <w:sz w:val="20"/>
              </w:rPr>
              <w:t xml:space="preserve"> are unconstitutional.  Before the Minister, he submitted that his surrender would breach s. 6(1) of the </w:t>
            </w:r>
            <w:r w:rsidRPr="00E6448B">
              <w:rPr>
                <w:i/>
                <w:sz w:val="20"/>
              </w:rPr>
              <w:t>Charter</w:t>
            </w:r>
            <w:r w:rsidRPr="00E6448B">
              <w:rPr>
                <w:sz w:val="20"/>
              </w:rPr>
              <w:t>.  The committal judge dismissed the constitutional motion and ordered the applicant committed for extradition.  The Minister ordered his surrender.</w:t>
            </w:r>
          </w:p>
          <w:p w:rsidR="007609C7" w:rsidRPr="00E6448B" w:rsidRDefault="007609C7" w:rsidP="002F0EB9">
            <w:pPr>
              <w:rPr>
                <w:sz w:val="20"/>
              </w:rPr>
            </w:pPr>
          </w:p>
        </w:tc>
      </w:tr>
      <w:tr w:rsidR="007609C7" w:rsidRPr="00E6448B" w:rsidTr="002F0EB9">
        <w:tc>
          <w:tcPr>
            <w:tcW w:w="2427" w:type="pct"/>
          </w:tcPr>
          <w:p w:rsidR="007609C7" w:rsidRPr="00E6448B" w:rsidRDefault="007609C7" w:rsidP="002F0EB9">
            <w:pPr>
              <w:rPr>
                <w:sz w:val="20"/>
              </w:rPr>
            </w:pPr>
            <w:r w:rsidRPr="00E6448B">
              <w:rPr>
                <w:sz w:val="20"/>
              </w:rPr>
              <w:t>March 5, 2009</w:t>
            </w:r>
          </w:p>
          <w:p w:rsidR="007609C7" w:rsidRPr="00E6448B" w:rsidRDefault="007609C7" w:rsidP="002F0EB9">
            <w:pPr>
              <w:rPr>
                <w:sz w:val="20"/>
              </w:rPr>
            </w:pPr>
            <w:r w:rsidRPr="00E6448B">
              <w:rPr>
                <w:sz w:val="20"/>
              </w:rPr>
              <w:t>Ontario Superior Court of Justice</w:t>
            </w:r>
          </w:p>
          <w:p w:rsidR="007609C7" w:rsidRPr="00E6448B" w:rsidRDefault="007609C7" w:rsidP="002F0EB9">
            <w:pPr>
              <w:rPr>
                <w:sz w:val="20"/>
              </w:rPr>
            </w:pPr>
            <w:r w:rsidRPr="00E6448B">
              <w:rPr>
                <w:sz w:val="20"/>
              </w:rPr>
              <w:t xml:space="preserve">(Pattillo J.) </w:t>
            </w:r>
          </w:p>
          <w:p w:rsidR="007609C7" w:rsidRPr="00E6448B" w:rsidRDefault="007609C7" w:rsidP="002F0EB9">
            <w:pPr>
              <w:rPr>
                <w:sz w:val="20"/>
              </w:rPr>
            </w:pPr>
          </w:p>
        </w:tc>
        <w:tc>
          <w:tcPr>
            <w:tcW w:w="243" w:type="pct"/>
          </w:tcPr>
          <w:p w:rsidR="007609C7" w:rsidRPr="00E6448B" w:rsidRDefault="007609C7" w:rsidP="002F0EB9">
            <w:pPr>
              <w:rPr>
                <w:sz w:val="20"/>
              </w:rPr>
            </w:pPr>
          </w:p>
        </w:tc>
        <w:tc>
          <w:tcPr>
            <w:tcW w:w="2330" w:type="pct"/>
          </w:tcPr>
          <w:p w:rsidR="007609C7" w:rsidRPr="00E6448B" w:rsidRDefault="007609C7" w:rsidP="002F0EB9">
            <w:pPr>
              <w:rPr>
                <w:sz w:val="20"/>
              </w:rPr>
            </w:pPr>
            <w:r w:rsidRPr="00E6448B">
              <w:rPr>
                <w:sz w:val="20"/>
              </w:rPr>
              <w:t>Applicant committed for extradition</w:t>
            </w:r>
          </w:p>
        </w:tc>
      </w:tr>
      <w:tr w:rsidR="007609C7" w:rsidRPr="00E6448B" w:rsidTr="002F0EB9">
        <w:tc>
          <w:tcPr>
            <w:tcW w:w="2427" w:type="pct"/>
          </w:tcPr>
          <w:p w:rsidR="007609C7" w:rsidRPr="00E6448B" w:rsidRDefault="007609C7" w:rsidP="002F0EB9">
            <w:pPr>
              <w:rPr>
                <w:sz w:val="20"/>
              </w:rPr>
            </w:pPr>
            <w:r w:rsidRPr="00E6448B">
              <w:rPr>
                <w:sz w:val="20"/>
              </w:rPr>
              <w:t>November 17, 2009</w:t>
            </w:r>
          </w:p>
          <w:p w:rsidR="007609C7" w:rsidRPr="00E6448B" w:rsidRDefault="007609C7" w:rsidP="002F0EB9">
            <w:pPr>
              <w:rPr>
                <w:sz w:val="20"/>
              </w:rPr>
            </w:pPr>
            <w:r w:rsidRPr="00E6448B">
              <w:rPr>
                <w:sz w:val="20"/>
              </w:rPr>
              <w:t>Minister of Justice</w:t>
            </w:r>
          </w:p>
          <w:p w:rsidR="007609C7" w:rsidRPr="00E6448B" w:rsidRDefault="007609C7" w:rsidP="002F0EB9">
            <w:pPr>
              <w:rPr>
                <w:sz w:val="20"/>
              </w:rPr>
            </w:pPr>
            <w:r w:rsidRPr="00E6448B">
              <w:rPr>
                <w:sz w:val="20"/>
              </w:rPr>
              <w:t>(Hon. R. Nicholson)</w:t>
            </w:r>
          </w:p>
          <w:p w:rsidR="007609C7" w:rsidRPr="00E6448B" w:rsidRDefault="007609C7" w:rsidP="002F0EB9">
            <w:pPr>
              <w:rPr>
                <w:sz w:val="20"/>
              </w:rPr>
            </w:pPr>
          </w:p>
        </w:tc>
        <w:tc>
          <w:tcPr>
            <w:tcW w:w="243" w:type="pct"/>
          </w:tcPr>
          <w:p w:rsidR="007609C7" w:rsidRPr="00E6448B" w:rsidRDefault="007609C7" w:rsidP="002F0EB9">
            <w:pPr>
              <w:rPr>
                <w:sz w:val="20"/>
              </w:rPr>
            </w:pPr>
          </w:p>
        </w:tc>
        <w:tc>
          <w:tcPr>
            <w:tcW w:w="2330" w:type="pct"/>
          </w:tcPr>
          <w:p w:rsidR="007609C7" w:rsidRPr="00E6448B" w:rsidRDefault="007609C7" w:rsidP="002F0EB9">
            <w:pPr>
              <w:rPr>
                <w:sz w:val="20"/>
              </w:rPr>
            </w:pPr>
            <w:r w:rsidRPr="00E6448B">
              <w:rPr>
                <w:sz w:val="20"/>
              </w:rPr>
              <w:t>Order to surrender applicant for extradition</w:t>
            </w:r>
          </w:p>
          <w:p w:rsidR="007609C7" w:rsidRPr="00E6448B" w:rsidRDefault="007609C7" w:rsidP="002F0EB9">
            <w:pPr>
              <w:rPr>
                <w:sz w:val="20"/>
              </w:rPr>
            </w:pPr>
          </w:p>
        </w:tc>
      </w:tr>
      <w:tr w:rsidR="007609C7" w:rsidRPr="00E6448B" w:rsidTr="002F0EB9">
        <w:tc>
          <w:tcPr>
            <w:tcW w:w="2427" w:type="pct"/>
          </w:tcPr>
          <w:p w:rsidR="007609C7" w:rsidRPr="00E6448B" w:rsidRDefault="007609C7" w:rsidP="002F0EB9">
            <w:pPr>
              <w:rPr>
                <w:sz w:val="20"/>
              </w:rPr>
            </w:pPr>
            <w:r w:rsidRPr="00E6448B">
              <w:rPr>
                <w:sz w:val="20"/>
              </w:rPr>
              <w:t>December 17, 2010</w:t>
            </w:r>
          </w:p>
          <w:p w:rsidR="007609C7" w:rsidRPr="00E6448B" w:rsidRDefault="007609C7" w:rsidP="002F0EB9">
            <w:pPr>
              <w:rPr>
                <w:sz w:val="20"/>
              </w:rPr>
            </w:pPr>
            <w:r w:rsidRPr="00E6448B">
              <w:rPr>
                <w:sz w:val="20"/>
              </w:rPr>
              <w:t>Court of Appeal for Ontario</w:t>
            </w:r>
          </w:p>
          <w:p w:rsidR="007609C7" w:rsidRPr="00E6448B" w:rsidRDefault="007609C7" w:rsidP="002F0EB9">
            <w:pPr>
              <w:rPr>
                <w:sz w:val="20"/>
              </w:rPr>
            </w:pPr>
            <w:r w:rsidRPr="00E6448B">
              <w:rPr>
                <w:sz w:val="20"/>
              </w:rPr>
              <w:t>(Doherty, Moldaver, Cronk JJ.A.)</w:t>
            </w:r>
          </w:p>
          <w:p w:rsidR="007609C7" w:rsidRPr="00E6448B" w:rsidRDefault="007609C7" w:rsidP="002F0EB9">
            <w:pPr>
              <w:rPr>
                <w:sz w:val="20"/>
              </w:rPr>
            </w:pPr>
            <w:r w:rsidRPr="00E6448B">
              <w:rPr>
                <w:sz w:val="20"/>
              </w:rPr>
              <w:t>2010 ONCA 859</w:t>
            </w:r>
          </w:p>
          <w:p w:rsidR="007609C7" w:rsidRPr="00E6448B" w:rsidRDefault="007609C7" w:rsidP="002F0EB9">
            <w:pPr>
              <w:rPr>
                <w:sz w:val="20"/>
              </w:rPr>
            </w:pPr>
            <w:r w:rsidRPr="00E6448B">
              <w:rPr>
                <w:sz w:val="20"/>
              </w:rPr>
              <w:t>C50139/C51418</w:t>
            </w:r>
          </w:p>
          <w:p w:rsidR="007609C7" w:rsidRPr="00E6448B" w:rsidRDefault="007609C7" w:rsidP="002F0EB9">
            <w:pPr>
              <w:rPr>
                <w:sz w:val="20"/>
              </w:rPr>
            </w:pPr>
          </w:p>
        </w:tc>
        <w:tc>
          <w:tcPr>
            <w:tcW w:w="243" w:type="pct"/>
          </w:tcPr>
          <w:p w:rsidR="007609C7" w:rsidRPr="00E6448B" w:rsidRDefault="007609C7" w:rsidP="002F0EB9">
            <w:pPr>
              <w:rPr>
                <w:sz w:val="20"/>
              </w:rPr>
            </w:pPr>
          </w:p>
        </w:tc>
        <w:tc>
          <w:tcPr>
            <w:tcW w:w="2330" w:type="pct"/>
          </w:tcPr>
          <w:p w:rsidR="007609C7" w:rsidRPr="00E6448B" w:rsidRDefault="007609C7" w:rsidP="002F0EB9">
            <w:pPr>
              <w:jc w:val="both"/>
              <w:rPr>
                <w:sz w:val="20"/>
              </w:rPr>
            </w:pPr>
            <w:r w:rsidRPr="00E6448B">
              <w:rPr>
                <w:sz w:val="20"/>
              </w:rPr>
              <w:t>Appeal from committal order and application for judicial review of surrender order dismissed</w:t>
            </w:r>
          </w:p>
          <w:p w:rsidR="007609C7" w:rsidRPr="00E6448B" w:rsidRDefault="007609C7" w:rsidP="002F0EB9">
            <w:pPr>
              <w:rPr>
                <w:sz w:val="20"/>
              </w:rPr>
            </w:pPr>
          </w:p>
        </w:tc>
      </w:tr>
      <w:tr w:rsidR="007609C7" w:rsidRPr="00E6448B" w:rsidTr="002F0EB9">
        <w:tc>
          <w:tcPr>
            <w:tcW w:w="2427" w:type="pct"/>
          </w:tcPr>
          <w:p w:rsidR="007609C7" w:rsidRPr="00E6448B" w:rsidRDefault="007609C7" w:rsidP="002F0EB9">
            <w:pPr>
              <w:rPr>
                <w:sz w:val="20"/>
              </w:rPr>
            </w:pPr>
            <w:r w:rsidRPr="00E6448B">
              <w:rPr>
                <w:sz w:val="20"/>
              </w:rPr>
              <w:t xml:space="preserve">February 15, 2011  </w:t>
            </w:r>
          </w:p>
          <w:p w:rsidR="007609C7" w:rsidRPr="00E6448B" w:rsidRDefault="007609C7" w:rsidP="002F0EB9">
            <w:pPr>
              <w:rPr>
                <w:sz w:val="20"/>
              </w:rPr>
            </w:pPr>
            <w:r w:rsidRPr="00E6448B">
              <w:rPr>
                <w:sz w:val="20"/>
              </w:rPr>
              <w:t>Supreme Court of Canada</w:t>
            </w:r>
          </w:p>
        </w:tc>
        <w:tc>
          <w:tcPr>
            <w:tcW w:w="243" w:type="pct"/>
          </w:tcPr>
          <w:p w:rsidR="007609C7" w:rsidRPr="00E6448B" w:rsidRDefault="007609C7" w:rsidP="002F0EB9">
            <w:pPr>
              <w:rPr>
                <w:sz w:val="20"/>
              </w:rPr>
            </w:pPr>
          </w:p>
        </w:tc>
        <w:tc>
          <w:tcPr>
            <w:tcW w:w="2330" w:type="pct"/>
          </w:tcPr>
          <w:p w:rsidR="007609C7" w:rsidRPr="00E6448B" w:rsidRDefault="007609C7" w:rsidP="002F0EB9">
            <w:pPr>
              <w:rPr>
                <w:sz w:val="20"/>
              </w:rPr>
            </w:pPr>
            <w:r w:rsidRPr="00E6448B">
              <w:rPr>
                <w:sz w:val="20"/>
              </w:rPr>
              <w:t>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34" style="width:2in;height:1pt" o:hrpct="0" o:hralign="center" o:hrstd="t" o:hrnoshade="t" o:hr="t" fillcolor="black [3213]" stroked="f"/>
        </w:pict>
      </w:r>
    </w:p>
    <w:p w:rsidR="00FE43CC" w:rsidRPr="00FE43CC" w:rsidRDefault="00FE43CC" w:rsidP="00FE43CC">
      <w:pPr>
        <w:rPr>
          <w:sz w:val="20"/>
          <w:szCs w:val="20"/>
        </w:rPr>
      </w:pPr>
      <w:r>
        <w:rPr>
          <w:sz w:val="20"/>
          <w:szCs w:val="20"/>
          <w:u w:val="single"/>
        </w:rPr>
        <w:lastRenderedPageBreak/>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09C7" w:rsidRPr="00A77989" w:rsidTr="002F0EB9">
        <w:tc>
          <w:tcPr>
            <w:tcW w:w="5000" w:type="pct"/>
            <w:gridSpan w:val="3"/>
          </w:tcPr>
          <w:p w:rsidR="007609C7" w:rsidRPr="00E6448B" w:rsidRDefault="007609C7" w:rsidP="002F0EB9">
            <w:pPr>
              <w:jc w:val="both"/>
              <w:rPr>
                <w:sz w:val="20"/>
                <w:lang w:val="fr-CA"/>
              </w:rPr>
            </w:pPr>
            <w:r w:rsidRPr="00E6448B">
              <w:rPr>
                <w:i/>
                <w:sz w:val="20"/>
                <w:lang w:val="fr-CA"/>
              </w:rPr>
              <w:t xml:space="preserve">Charte canadienne des droits et libertés </w:t>
            </w:r>
            <w:r w:rsidRPr="00E6448B">
              <w:rPr>
                <w:sz w:val="20"/>
                <w:lang w:val="fr-CA"/>
              </w:rPr>
              <w:t>— Extradition — Appel interjeté de l’ordonnance d’incarcération — Contrôle judiciaire de l’arrêté d’extradition — La division 83.01(1)</w:t>
            </w:r>
            <w:r w:rsidRPr="00E6448B">
              <w:rPr>
                <w:i/>
                <w:sz w:val="20"/>
                <w:lang w:val="fr-CA"/>
              </w:rPr>
              <w:t>b</w:t>
            </w:r>
            <w:r w:rsidRPr="00E6448B">
              <w:rPr>
                <w:sz w:val="20"/>
                <w:lang w:val="fr-CA"/>
              </w:rPr>
              <w:t xml:space="preserve">)(i)(A) du </w:t>
            </w:r>
            <w:r w:rsidRPr="00E6448B">
              <w:rPr>
                <w:i/>
                <w:sz w:val="20"/>
                <w:lang w:val="fr-CA"/>
              </w:rPr>
              <w:t>Code criminel</w:t>
            </w:r>
            <w:r w:rsidRPr="00E6448B">
              <w:rPr>
                <w:sz w:val="20"/>
                <w:lang w:val="fr-CA"/>
              </w:rPr>
              <w:t xml:space="preserve"> contrevient</w:t>
            </w:r>
            <w:r w:rsidRPr="00E6448B">
              <w:rPr>
                <w:sz w:val="20"/>
                <w:lang w:val="fr-CA"/>
              </w:rPr>
              <w:noBreakHyphen/>
              <w:t>elle à l’al. 2</w:t>
            </w:r>
            <w:r w:rsidRPr="00E6448B">
              <w:rPr>
                <w:i/>
                <w:sz w:val="20"/>
                <w:lang w:val="fr-CA"/>
              </w:rPr>
              <w:t>b</w:t>
            </w:r>
            <w:r w:rsidRPr="00E6448B">
              <w:rPr>
                <w:sz w:val="20"/>
                <w:lang w:val="fr-CA"/>
              </w:rPr>
              <w:t xml:space="preserve">) de la </w:t>
            </w:r>
            <w:r w:rsidRPr="00E6448B">
              <w:rPr>
                <w:i/>
                <w:sz w:val="20"/>
                <w:lang w:val="fr-CA"/>
              </w:rPr>
              <w:t>Charte</w:t>
            </w:r>
            <w:r w:rsidRPr="00E6448B">
              <w:rPr>
                <w:sz w:val="20"/>
                <w:lang w:val="fr-CA"/>
              </w:rPr>
              <w:t xml:space="preserve">? — La définition du terme « activité terroriste » et son application aux dispositions relatives au terrorisme prévues au </w:t>
            </w:r>
            <w:r w:rsidRPr="00E6448B">
              <w:rPr>
                <w:i/>
                <w:sz w:val="20"/>
                <w:lang w:val="fr-CA"/>
              </w:rPr>
              <w:t>Code criminel</w:t>
            </w:r>
            <w:r w:rsidRPr="00E6448B">
              <w:rPr>
                <w:sz w:val="20"/>
                <w:lang w:val="fr-CA"/>
              </w:rPr>
              <w:t>, tout particulièrement l’art. 83.18, sont</w:t>
            </w:r>
            <w:r w:rsidRPr="00E6448B">
              <w:rPr>
                <w:sz w:val="20"/>
                <w:lang w:val="fr-CA"/>
              </w:rPr>
              <w:noBreakHyphen/>
              <w:t>elles d’une portée excessive emportant leur inconstitutionnalité et contreviennent</w:t>
            </w:r>
            <w:r w:rsidRPr="00E6448B">
              <w:rPr>
                <w:sz w:val="20"/>
                <w:lang w:val="fr-CA"/>
              </w:rPr>
              <w:noBreakHyphen/>
              <w:t xml:space="preserve">elles à l’art. 7 de la </w:t>
            </w:r>
            <w:r w:rsidRPr="00E6448B">
              <w:rPr>
                <w:i/>
                <w:sz w:val="20"/>
                <w:lang w:val="fr-CA"/>
              </w:rPr>
              <w:t>Charte</w:t>
            </w:r>
            <w:r w:rsidRPr="00E6448B">
              <w:rPr>
                <w:sz w:val="20"/>
                <w:lang w:val="fr-CA"/>
              </w:rPr>
              <w:t xml:space="preserve">?  La décision selon laquelle l’extradition ne restreint pas de manière injustifiée le droit que garantit le par. 6(1) de la </w:t>
            </w:r>
            <w:r w:rsidRPr="00E6448B">
              <w:rPr>
                <w:i/>
                <w:sz w:val="20"/>
                <w:lang w:val="fr-CA"/>
              </w:rPr>
              <w:t>Charte</w:t>
            </w:r>
            <w:r w:rsidRPr="00E6448B">
              <w:rPr>
                <w:sz w:val="20"/>
                <w:lang w:val="fr-CA"/>
              </w:rPr>
              <w:t xml:space="preserve"> au demandeur était</w:t>
            </w:r>
            <w:r w:rsidRPr="00E6448B">
              <w:rPr>
                <w:sz w:val="20"/>
                <w:lang w:val="fr-CA"/>
              </w:rPr>
              <w:noBreakHyphen/>
              <w:t>elle raisonnable? — La preuve était</w:t>
            </w:r>
            <w:r w:rsidRPr="00E6448B">
              <w:rPr>
                <w:sz w:val="20"/>
                <w:lang w:val="fr-CA"/>
              </w:rPr>
              <w:noBreakHyphen/>
              <w:t xml:space="preserve">elle suffisante pour justifier son incarcération à l’égard des infractions désignées dans l’arrêté introductif d’instance? </w:t>
            </w:r>
          </w:p>
          <w:p w:rsidR="007609C7" w:rsidRPr="00E6448B" w:rsidRDefault="007609C7" w:rsidP="002F0EB9">
            <w:pPr>
              <w:rPr>
                <w:sz w:val="20"/>
                <w:lang w:val="fr-CA"/>
              </w:rPr>
            </w:pPr>
          </w:p>
        </w:tc>
      </w:tr>
      <w:tr w:rsidR="007609C7" w:rsidRPr="00E6448B" w:rsidTr="002F0EB9">
        <w:tc>
          <w:tcPr>
            <w:tcW w:w="5000" w:type="pct"/>
            <w:gridSpan w:val="3"/>
          </w:tcPr>
          <w:p w:rsidR="007609C7" w:rsidRPr="00E6448B" w:rsidRDefault="007609C7" w:rsidP="002F0EB9">
            <w:pPr>
              <w:jc w:val="both"/>
              <w:rPr>
                <w:sz w:val="20"/>
                <w:lang w:val="fr-CA"/>
              </w:rPr>
            </w:pPr>
            <w:r w:rsidRPr="00E6448B">
              <w:rPr>
                <w:sz w:val="20"/>
                <w:lang w:val="fr-CA"/>
              </w:rPr>
              <w:t>Les É.</w:t>
            </w:r>
            <w:r w:rsidRPr="00E6448B">
              <w:rPr>
                <w:sz w:val="20"/>
                <w:lang w:val="fr-CA"/>
              </w:rPr>
              <w:noBreakHyphen/>
              <w:t>U. sollicitent l’extradition du demandeur pour qu’il subisse son procès pour infractions de terrorisme.  Il est accusé d’être impliqué avec les Tigres de libération de l’Eelam tamoul (TLET) et d’avoir aidé ce groupe.  Selon le dossier d’extradition, il appartiendrait à un groupe qui aurait tenté d’acheter des missiles surface</w:t>
            </w:r>
            <w:r w:rsidRPr="00E6448B">
              <w:rPr>
                <w:sz w:val="20"/>
                <w:lang w:val="fr-CA"/>
              </w:rPr>
              <w:noBreakHyphen/>
              <w:t>air et des AK</w:t>
            </w:r>
            <w:r w:rsidRPr="00E6448B">
              <w:rPr>
                <w:sz w:val="20"/>
                <w:lang w:val="fr-CA"/>
              </w:rPr>
              <w:noBreakHyphen/>
              <w:t>47 aux États</w:t>
            </w:r>
            <w:r w:rsidRPr="00E6448B">
              <w:rPr>
                <w:sz w:val="20"/>
                <w:lang w:val="fr-CA"/>
              </w:rPr>
              <w:noBreakHyphen/>
              <w:t>Unis au nom des TLET.  À son audience d’incarcération, le demandeur a sollicité un jugement déclarant l’inconstitutionnalité de la définition d’ « activité terroriste » à l’al. 83.01(1)</w:t>
            </w:r>
            <w:r w:rsidRPr="00E6448B">
              <w:rPr>
                <w:i/>
                <w:sz w:val="20"/>
                <w:lang w:val="fr-CA"/>
              </w:rPr>
              <w:t>b</w:t>
            </w:r>
            <w:r w:rsidRPr="00E6448B">
              <w:rPr>
                <w:sz w:val="20"/>
                <w:lang w:val="fr-CA"/>
              </w:rPr>
              <w:t xml:space="preserve">) et de son application aux dispositions sur le terrorisme du </w:t>
            </w:r>
            <w:r w:rsidRPr="00E6448B">
              <w:rPr>
                <w:i/>
                <w:sz w:val="20"/>
                <w:lang w:val="fr-CA"/>
              </w:rPr>
              <w:t>Code criminel</w:t>
            </w:r>
            <w:r w:rsidRPr="00E6448B">
              <w:rPr>
                <w:sz w:val="20"/>
                <w:lang w:val="fr-CA"/>
              </w:rPr>
              <w:t xml:space="preserve">.  Devant le ministre, le demandeur a fait valoir que son extradition violerait le droit que lui garantit le par. 6(1) de la </w:t>
            </w:r>
            <w:r w:rsidRPr="00E6448B">
              <w:rPr>
                <w:i/>
                <w:sz w:val="20"/>
                <w:lang w:val="fr-CA"/>
              </w:rPr>
              <w:t>Charte</w:t>
            </w:r>
            <w:r w:rsidRPr="00E6448B">
              <w:rPr>
                <w:sz w:val="20"/>
                <w:lang w:val="fr-CA"/>
              </w:rPr>
              <w:t>.  Le juge siégeant à l’audience d’incarcération a rejeté la requête constitutionnelle et a ordonné l’incarcération du demandeur en vue de son extradition.  Le ministre a pris l’arrêté d’extradition.</w:t>
            </w:r>
          </w:p>
          <w:p w:rsidR="007609C7" w:rsidRPr="00E6448B" w:rsidRDefault="007609C7" w:rsidP="002F0EB9">
            <w:pPr>
              <w:rPr>
                <w:sz w:val="20"/>
                <w:lang w:val="fr-CA"/>
              </w:rPr>
            </w:pPr>
          </w:p>
        </w:tc>
      </w:tr>
      <w:tr w:rsidR="007609C7" w:rsidRPr="00A77989" w:rsidTr="002F0EB9">
        <w:tc>
          <w:tcPr>
            <w:tcW w:w="2427" w:type="pct"/>
          </w:tcPr>
          <w:p w:rsidR="007609C7" w:rsidRPr="00E6448B" w:rsidRDefault="007609C7" w:rsidP="002F0EB9">
            <w:pPr>
              <w:rPr>
                <w:sz w:val="20"/>
                <w:lang w:val="fr-CA"/>
              </w:rPr>
            </w:pPr>
            <w:r w:rsidRPr="00E6448B">
              <w:rPr>
                <w:sz w:val="20"/>
                <w:lang w:val="fr-CA"/>
              </w:rPr>
              <w:t>5 mars 2009</w:t>
            </w:r>
          </w:p>
          <w:p w:rsidR="007609C7" w:rsidRPr="00E6448B" w:rsidRDefault="007609C7" w:rsidP="002F0EB9">
            <w:pPr>
              <w:rPr>
                <w:sz w:val="20"/>
                <w:lang w:val="fr-CA"/>
              </w:rPr>
            </w:pPr>
            <w:r w:rsidRPr="00E6448B">
              <w:rPr>
                <w:sz w:val="20"/>
                <w:lang w:val="fr-CA"/>
              </w:rPr>
              <w:t xml:space="preserve">Cour supérieure de justice de l’Ontario </w:t>
            </w:r>
          </w:p>
          <w:p w:rsidR="007609C7" w:rsidRPr="00E6448B" w:rsidRDefault="007609C7" w:rsidP="002F0EB9">
            <w:pPr>
              <w:rPr>
                <w:sz w:val="20"/>
                <w:lang w:val="fr-CA"/>
              </w:rPr>
            </w:pPr>
            <w:r w:rsidRPr="00E6448B">
              <w:rPr>
                <w:sz w:val="20"/>
                <w:lang w:val="fr-CA"/>
              </w:rPr>
              <w:t xml:space="preserve">(juge Pattillo) </w:t>
            </w:r>
          </w:p>
          <w:p w:rsidR="007609C7" w:rsidRPr="00E6448B" w:rsidRDefault="007609C7" w:rsidP="002F0EB9">
            <w:pPr>
              <w:rPr>
                <w:sz w:val="20"/>
                <w:lang w:val="fr-CA"/>
              </w:rPr>
            </w:pPr>
          </w:p>
        </w:tc>
        <w:tc>
          <w:tcPr>
            <w:tcW w:w="243" w:type="pct"/>
          </w:tcPr>
          <w:p w:rsidR="007609C7" w:rsidRPr="00E6448B" w:rsidRDefault="007609C7" w:rsidP="002F0EB9">
            <w:pPr>
              <w:rPr>
                <w:sz w:val="20"/>
                <w:lang w:val="fr-CA"/>
              </w:rPr>
            </w:pPr>
          </w:p>
        </w:tc>
        <w:tc>
          <w:tcPr>
            <w:tcW w:w="2330" w:type="pct"/>
          </w:tcPr>
          <w:p w:rsidR="007609C7" w:rsidRPr="00E6448B" w:rsidRDefault="007609C7" w:rsidP="002F0EB9">
            <w:pPr>
              <w:jc w:val="both"/>
              <w:rPr>
                <w:sz w:val="20"/>
                <w:lang w:val="fr-CA"/>
              </w:rPr>
            </w:pPr>
            <w:r w:rsidRPr="00E6448B">
              <w:rPr>
                <w:sz w:val="20"/>
                <w:lang w:val="fr-CA"/>
              </w:rPr>
              <w:t>Ordonnance d’incarcération du demandeur en vue de son extradition</w:t>
            </w:r>
          </w:p>
        </w:tc>
      </w:tr>
      <w:tr w:rsidR="007609C7" w:rsidRPr="00E6448B" w:rsidTr="002F0EB9">
        <w:tc>
          <w:tcPr>
            <w:tcW w:w="2427" w:type="pct"/>
          </w:tcPr>
          <w:p w:rsidR="007609C7" w:rsidRPr="00E6448B" w:rsidRDefault="007609C7" w:rsidP="002F0EB9">
            <w:pPr>
              <w:rPr>
                <w:sz w:val="20"/>
                <w:lang w:val="fr-CA"/>
              </w:rPr>
            </w:pPr>
            <w:r w:rsidRPr="00E6448B">
              <w:rPr>
                <w:sz w:val="20"/>
                <w:lang w:val="fr-CA"/>
              </w:rPr>
              <w:t>17 novembre 2009</w:t>
            </w:r>
          </w:p>
          <w:p w:rsidR="007609C7" w:rsidRPr="00E6448B" w:rsidRDefault="007609C7" w:rsidP="002F0EB9">
            <w:pPr>
              <w:rPr>
                <w:sz w:val="20"/>
                <w:lang w:val="fr-CA"/>
              </w:rPr>
            </w:pPr>
            <w:r w:rsidRPr="00E6448B">
              <w:rPr>
                <w:sz w:val="20"/>
                <w:lang w:val="fr-CA"/>
              </w:rPr>
              <w:t>Ministre de la Justice</w:t>
            </w:r>
          </w:p>
          <w:p w:rsidR="007609C7" w:rsidRPr="00E6448B" w:rsidRDefault="007609C7" w:rsidP="002F0EB9">
            <w:pPr>
              <w:rPr>
                <w:sz w:val="20"/>
                <w:lang w:val="fr-CA"/>
              </w:rPr>
            </w:pPr>
            <w:r w:rsidRPr="00E6448B">
              <w:rPr>
                <w:sz w:val="20"/>
                <w:lang w:val="fr-CA"/>
              </w:rPr>
              <w:t>(L’hon. R. Nicholson)</w:t>
            </w:r>
          </w:p>
          <w:p w:rsidR="007609C7" w:rsidRPr="00E6448B" w:rsidRDefault="007609C7" w:rsidP="002F0EB9">
            <w:pPr>
              <w:rPr>
                <w:sz w:val="20"/>
                <w:lang w:val="fr-CA"/>
              </w:rPr>
            </w:pPr>
          </w:p>
        </w:tc>
        <w:tc>
          <w:tcPr>
            <w:tcW w:w="243" w:type="pct"/>
          </w:tcPr>
          <w:p w:rsidR="007609C7" w:rsidRPr="00E6448B" w:rsidRDefault="007609C7" w:rsidP="002F0EB9">
            <w:pPr>
              <w:rPr>
                <w:sz w:val="20"/>
                <w:lang w:val="fr-CA"/>
              </w:rPr>
            </w:pPr>
          </w:p>
        </w:tc>
        <w:tc>
          <w:tcPr>
            <w:tcW w:w="2330" w:type="pct"/>
          </w:tcPr>
          <w:p w:rsidR="007609C7" w:rsidRPr="00E6448B" w:rsidRDefault="007609C7" w:rsidP="002F0EB9">
            <w:pPr>
              <w:rPr>
                <w:sz w:val="20"/>
                <w:lang w:val="fr-CA"/>
              </w:rPr>
            </w:pPr>
            <w:r w:rsidRPr="00E6448B">
              <w:rPr>
                <w:sz w:val="20"/>
                <w:lang w:val="fr-CA"/>
              </w:rPr>
              <w:t>Arrêté d’extradition du demandeur</w:t>
            </w:r>
          </w:p>
          <w:p w:rsidR="007609C7" w:rsidRPr="00E6448B" w:rsidRDefault="007609C7" w:rsidP="002F0EB9">
            <w:pPr>
              <w:rPr>
                <w:sz w:val="20"/>
                <w:lang w:val="fr-CA"/>
              </w:rPr>
            </w:pPr>
          </w:p>
        </w:tc>
      </w:tr>
      <w:tr w:rsidR="007609C7" w:rsidRPr="00A77989" w:rsidTr="002F0EB9">
        <w:tc>
          <w:tcPr>
            <w:tcW w:w="2427" w:type="pct"/>
          </w:tcPr>
          <w:p w:rsidR="007609C7" w:rsidRPr="00E6448B" w:rsidRDefault="007609C7" w:rsidP="002F0EB9">
            <w:pPr>
              <w:rPr>
                <w:sz w:val="20"/>
                <w:lang w:val="fr-CA"/>
              </w:rPr>
            </w:pPr>
            <w:r w:rsidRPr="00E6448B">
              <w:rPr>
                <w:sz w:val="20"/>
                <w:lang w:val="fr-CA"/>
              </w:rPr>
              <w:t>17 décembre 2010</w:t>
            </w:r>
          </w:p>
          <w:p w:rsidR="007609C7" w:rsidRPr="00E6448B" w:rsidRDefault="007609C7" w:rsidP="002F0EB9">
            <w:pPr>
              <w:rPr>
                <w:sz w:val="20"/>
                <w:lang w:val="fr-CA"/>
              </w:rPr>
            </w:pPr>
            <w:r w:rsidRPr="00E6448B">
              <w:rPr>
                <w:sz w:val="20"/>
                <w:lang w:val="fr-CA"/>
              </w:rPr>
              <w:t>Cour d’appel de l’Ontario</w:t>
            </w:r>
          </w:p>
          <w:p w:rsidR="007609C7" w:rsidRPr="00E6448B" w:rsidRDefault="007609C7" w:rsidP="002F0EB9">
            <w:pPr>
              <w:rPr>
                <w:sz w:val="20"/>
                <w:lang w:val="fr-CA"/>
              </w:rPr>
            </w:pPr>
            <w:r w:rsidRPr="00E6448B">
              <w:rPr>
                <w:sz w:val="20"/>
                <w:lang w:val="fr-CA"/>
              </w:rPr>
              <w:t>(juges Doherty, Moldaver et Cronk)</w:t>
            </w:r>
          </w:p>
          <w:p w:rsidR="007609C7" w:rsidRPr="00E6448B" w:rsidRDefault="007609C7" w:rsidP="002F0EB9">
            <w:pPr>
              <w:rPr>
                <w:sz w:val="20"/>
                <w:lang w:val="fr-CA"/>
              </w:rPr>
            </w:pPr>
            <w:r w:rsidRPr="00E6448B">
              <w:rPr>
                <w:sz w:val="20"/>
                <w:lang w:val="fr-CA"/>
              </w:rPr>
              <w:t>2010 ONCA 859</w:t>
            </w:r>
          </w:p>
          <w:p w:rsidR="007609C7" w:rsidRPr="00E6448B" w:rsidRDefault="007609C7" w:rsidP="002F0EB9">
            <w:pPr>
              <w:rPr>
                <w:sz w:val="20"/>
                <w:lang w:val="fr-CA"/>
              </w:rPr>
            </w:pPr>
            <w:r w:rsidRPr="00E6448B">
              <w:rPr>
                <w:sz w:val="20"/>
                <w:lang w:val="fr-CA"/>
              </w:rPr>
              <w:t>C50139/C51418</w:t>
            </w:r>
          </w:p>
          <w:p w:rsidR="007609C7" w:rsidRPr="00E6448B" w:rsidRDefault="007609C7" w:rsidP="002F0EB9">
            <w:pPr>
              <w:rPr>
                <w:sz w:val="20"/>
                <w:lang w:val="fr-CA"/>
              </w:rPr>
            </w:pPr>
          </w:p>
        </w:tc>
        <w:tc>
          <w:tcPr>
            <w:tcW w:w="243" w:type="pct"/>
          </w:tcPr>
          <w:p w:rsidR="007609C7" w:rsidRPr="00E6448B" w:rsidRDefault="007609C7" w:rsidP="002F0EB9">
            <w:pPr>
              <w:rPr>
                <w:sz w:val="20"/>
                <w:lang w:val="fr-CA"/>
              </w:rPr>
            </w:pPr>
          </w:p>
        </w:tc>
        <w:tc>
          <w:tcPr>
            <w:tcW w:w="2330" w:type="pct"/>
          </w:tcPr>
          <w:p w:rsidR="007609C7" w:rsidRPr="00E6448B" w:rsidRDefault="007609C7" w:rsidP="002F0EB9">
            <w:pPr>
              <w:jc w:val="both"/>
              <w:rPr>
                <w:sz w:val="20"/>
                <w:lang w:val="fr-CA"/>
              </w:rPr>
            </w:pPr>
            <w:r w:rsidRPr="00E6448B">
              <w:rPr>
                <w:sz w:val="20"/>
                <w:lang w:val="fr-CA"/>
              </w:rPr>
              <w:t>Appel de l’ordonnance d’incarcération et demande de contrôle judiciaire de l’arrêté d’extradition rejetées</w:t>
            </w:r>
          </w:p>
          <w:p w:rsidR="007609C7" w:rsidRPr="00E6448B" w:rsidRDefault="007609C7" w:rsidP="002F0EB9">
            <w:pPr>
              <w:jc w:val="both"/>
              <w:rPr>
                <w:sz w:val="20"/>
                <w:lang w:val="fr-CA"/>
              </w:rPr>
            </w:pPr>
          </w:p>
        </w:tc>
      </w:tr>
      <w:tr w:rsidR="007609C7" w:rsidRPr="00E6448B" w:rsidTr="002F0EB9">
        <w:tc>
          <w:tcPr>
            <w:tcW w:w="2427" w:type="pct"/>
          </w:tcPr>
          <w:p w:rsidR="007609C7" w:rsidRPr="00E6448B" w:rsidRDefault="007609C7" w:rsidP="002F0EB9">
            <w:pPr>
              <w:rPr>
                <w:sz w:val="20"/>
                <w:lang w:val="fr-CA"/>
              </w:rPr>
            </w:pPr>
            <w:r w:rsidRPr="00E6448B">
              <w:rPr>
                <w:sz w:val="20"/>
                <w:lang w:val="fr-CA"/>
              </w:rPr>
              <w:t xml:space="preserve">15 février 2011  </w:t>
            </w:r>
          </w:p>
          <w:p w:rsidR="007609C7" w:rsidRPr="00E6448B" w:rsidRDefault="007609C7" w:rsidP="002F0EB9">
            <w:pPr>
              <w:rPr>
                <w:sz w:val="20"/>
                <w:lang w:val="fr-CA"/>
              </w:rPr>
            </w:pPr>
            <w:r w:rsidRPr="00E6448B">
              <w:rPr>
                <w:sz w:val="20"/>
                <w:lang w:val="fr-CA"/>
              </w:rPr>
              <w:t>Cour suprême du Canada</w:t>
            </w:r>
          </w:p>
        </w:tc>
        <w:tc>
          <w:tcPr>
            <w:tcW w:w="243" w:type="pct"/>
          </w:tcPr>
          <w:p w:rsidR="007609C7" w:rsidRPr="00E6448B" w:rsidRDefault="007609C7" w:rsidP="002F0EB9">
            <w:pPr>
              <w:rPr>
                <w:sz w:val="20"/>
                <w:lang w:val="fr-CA"/>
              </w:rPr>
            </w:pPr>
          </w:p>
        </w:tc>
        <w:tc>
          <w:tcPr>
            <w:tcW w:w="2330" w:type="pct"/>
          </w:tcPr>
          <w:p w:rsidR="007609C7" w:rsidRPr="00E6448B" w:rsidRDefault="007609C7" w:rsidP="002F0EB9">
            <w:pPr>
              <w:rPr>
                <w:sz w:val="20"/>
                <w:lang w:val="fr-CA"/>
              </w:rPr>
            </w:pPr>
            <w:r w:rsidRPr="00E6448B">
              <w:rPr>
                <w:sz w:val="20"/>
                <w:lang w:val="fr-CA"/>
              </w:rPr>
              <w:t>Demande d’autorisation d’appel déposée</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35"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989" w:rsidRPr="000830C2" w:rsidTr="004B78B6">
        <w:trPr>
          <w:cantSplit/>
        </w:trPr>
        <w:tc>
          <w:tcPr>
            <w:tcW w:w="1458" w:type="dxa"/>
          </w:tcPr>
          <w:p w:rsidR="00A77989" w:rsidRPr="000830C2" w:rsidRDefault="00A77989" w:rsidP="004B78B6">
            <w:pPr>
              <w:rPr>
                <w:rFonts w:cs="Times New Roman"/>
                <w:sz w:val="20"/>
                <w:szCs w:val="20"/>
              </w:rPr>
            </w:pPr>
            <w:r w:rsidRPr="000830C2">
              <w:rPr>
                <w:rStyle w:val="SCCFileNumberChar"/>
                <w:sz w:val="20"/>
                <w:szCs w:val="20"/>
              </w:rPr>
              <w:t>34040</w:t>
            </w:r>
          </w:p>
          <w:p w:rsidR="00A77989" w:rsidRPr="000830C2" w:rsidRDefault="00A77989" w:rsidP="004B78B6">
            <w:pPr>
              <w:rPr>
                <w:rFonts w:cs="Times New Roman"/>
                <w:b/>
                <w:sz w:val="20"/>
                <w:szCs w:val="20"/>
                <w:lang w:val="fr-CA"/>
              </w:rPr>
            </w:pPr>
          </w:p>
        </w:tc>
        <w:tc>
          <w:tcPr>
            <w:tcW w:w="8118" w:type="dxa"/>
          </w:tcPr>
          <w:p w:rsidR="00A77989" w:rsidRPr="000830C2" w:rsidRDefault="00A77989" w:rsidP="00A77989">
            <w:pPr>
              <w:jc w:val="both"/>
              <w:rPr>
                <w:rFonts w:cs="Times New Roman"/>
                <w:sz w:val="20"/>
                <w:szCs w:val="20"/>
              </w:rPr>
            </w:pPr>
            <w:r w:rsidRPr="000830C2">
              <w:rPr>
                <w:rStyle w:val="SCCLsocChar"/>
                <w:rFonts w:cs="Times New Roman"/>
                <w:sz w:val="20"/>
                <w:szCs w:val="20"/>
                <w:lang w:val="en-CA"/>
              </w:rPr>
              <w:t>Frederick Moore on behalf of Jeffrey P. Moore v. Her Majesty the Queen in Right of the Province of British Columbia as represented by the Ministry of Education</w:t>
            </w:r>
            <w:r w:rsidR="00D71C6A">
              <w:rPr>
                <w:rStyle w:val="SCCLsocChar"/>
                <w:rFonts w:cs="Times New Roman"/>
                <w:sz w:val="20"/>
                <w:szCs w:val="20"/>
                <w:lang w:val="en-CA"/>
              </w:rPr>
              <w:t xml:space="preserve"> and</w:t>
            </w:r>
            <w:r w:rsidRPr="000830C2">
              <w:rPr>
                <w:rStyle w:val="SCCLsocChar"/>
                <w:rFonts w:cs="Times New Roman"/>
                <w:sz w:val="20"/>
                <w:szCs w:val="20"/>
                <w:lang w:val="en-CA"/>
              </w:rPr>
              <w:t xml:space="preserve"> Board of Education of School District No.44 (North Vancouver), formerly known as The Board of School Trustees of School District No.44 (North Vancouver)</w:t>
            </w:r>
            <w:r w:rsidRPr="000830C2">
              <w:rPr>
                <w:rFonts w:cs="Times New Roman"/>
                <w:sz w:val="20"/>
                <w:szCs w:val="20"/>
              </w:rPr>
              <w:t xml:space="preserve"> (B.C.) (Civil) (By Leave)</w:t>
            </w:r>
          </w:p>
          <w:p w:rsidR="00A77989" w:rsidRPr="000830C2" w:rsidRDefault="00A77989" w:rsidP="004B78B6">
            <w:pPr>
              <w:rPr>
                <w:rFonts w:cs="Times New Roman"/>
                <w:sz w:val="20"/>
                <w:szCs w:val="20"/>
              </w:rPr>
            </w:pPr>
          </w:p>
        </w:tc>
      </w:tr>
      <w:tr w:rsidR="00A77989" w:rsidRPr="000830C2" w:rsidTr="004B78B6">
        <w:trPr>
          <w:cantSplit/>
        </w:trPr>
        <w:tc>
          <w:tcPr>
            <w:tcW w:w="1458" w:type="dxa"/>
          </w:tcPr>
          <w:p w:rsidR="00A77989" w:rsidRPr="000830C2" w:rsidRDefault="00A77989" w:rsidP="004B78B6">
            <w:pPr>
              <w:rPr>
                <w:rFonts w:cs="Times New Roman"/>
                <w:sz w:val="20"/>
                <w:szCs w:val="20"/>
              </w:rPr>
            </w:pPr>
            <w:r w:rsidRPr="000830C2">
              <w:rPr>
                <w:rFonts w:cs="Times New Roman"/>
                <w:sz w:val="20"/>
                <w:szCs w:val="20"/>
              </w:rPr>
              <w:t>Coram :</w:t>
            </w:r>
          </w:p>
        </w:tc>
        <w:tc>
          <w:tcPr>
            <w:tcW w:w="8118" w:type="dxa"/>
          </w:tcPr>
          <w:p w:rsidR="00A77989" w:rsidRPr="000830C2" w:rsidRDefault="00A77989" w:rsidP="004B78B6">
            <w:pPr>
              <w:rPr>
                <w:rFonts w:cs="Times New Roman"/>
                <w:sz w:val="20"/>
                <w:szCs w:val="20"/>
              </w:rPr>
            </w:pPr>
            <w:r w:rsidRPr="000830C2">
              <w:rPr>
                <w:rStyle w:val="SCCCoramChar"/>
                <w:rFonts w:cs="Times New Roman"/>
                <w:sz w:val="20"/>
                <w:szCs w:val="20"/>
                <w:lang w:val="en-CA"/>
              </w:rPr>
              <w:t>McLachlin C.J. and Deschamps and Charron JJ.</w:t>
            </w:r>
          </w:p>
          <w:p w:rsidR="00A77989" w:rsidRPr="000830C2" w:rsidRDefault="00A77989" w:rsidP="004B78B6">
            <w:pPr>
              <w:rPr>
                <w:rFonts w:cs="Times New Roman"/>
                <w:sz w:val="20"/>
                <w:szCs w:val="20"/>
                <w:u w:val="single"/>
              </w:rPr>
            </w:pPr>
          </w:p>
        </w:tc>
      </w:tr>
      <w:tr w:rsidR="00A77989" w:rsidRPr="000830C2" w:rsidTr="004B78B6">
        <w:trPr>
          <w:cantSplit/>
        </w:trPr>
        <w:tc>
          <w:tcPr>
            <w:tcW w:w="9576" w:type="dxa"/>
            <w:gridSpan w:val="2"/>
          </w:tcPr>
          <w:p w:rsidR="00A77989" w:rsidRPr="000830C2" w:rsidRDefault="00BE06F7" w:rsidP="004B78B6">
            <w:pPr>
              <w:pStyle w:val="SCCShortJudgment"/>
              <w:rPr>
                <w:rFonts w:cs="Times New Roman"/>
                <w:szCs w:val="20"/>
              </w:rPr>
            </w:pPr>
            <w:r w:rsidRPr="004B0C0C">
              <w:rPr>
                <w:szCs w:val="20"/>
              </w:rPr>
              <w:lastRenderedPageBreak/>
              <w:t>The motions for an extension of time to serve and file the application for leave to appeal and the respondents’ response are granted without costs.</w:t>
            </w:r>
            <w:r>
              <w:rPr>
                <w:szCs w:val="20"/>
              </w:rPr>
              <w:t xml:space="preserve">  </w:t>
            </w:r>
            <w:r w:rsidR="00A77989" w:rsidRPr="000830C2">
              <w:rPr>
                <w:rFonts w:cs="Times New Roman"/>
                <w:szCs w:val="20"/>
              </w:rPr>
              <w:t>The application for leave to appeal from the judgment of the Court of Appeal for British Columbia (Vancouver), Number CA035936, 2010 BCCA 478, dated October 29, 2010, is granted without costs.</w:t>
            </w:r>
          </w:p>
          <w:p w:rsidR="00A77989" w:rsidRPr="000830C2" w:rsidRDefault="00A77989" w:rsidP="004B78B6">
            <w:pPr>
              <w:pStyle w:val="SCCShortJudgment"/>
              <w:ind w:firstLine="0"/>
              <w:rPr>
                <w:rFonts w:cs="Times New Roman"/>
                <w:szCs w:val="20"/>
              </w:rPr>
            </w:pPr>
          </w:p>
          <w:p w:rsidR="00A77989" w:rsidRPr="000830C2" w:rsidRDefault="00BE06F7" w:rsidP="00BE06F7">
            <w:pPr>
              <w:pStyle w:val="SCCShortJudgment"/>
              <w:rPr>
                <w:rFonts w:cs="Times New Roman"/>
                <w:szCs w:val="20"/>
                <w:lang w:val="fr-CA"/>
              </w:rPr>
            </w:pPr>
            <w:r w:rsidRPr="004B0C0C">
              <w:rPr>
                <w:szCs w:val="20"/>
                <w:lang w:val="fr-CA"/>
              </w:rPr>
              <w:t>Les requ</w:t>
            </w:r>
            <w:r w:rsidRPr="004B0C0C">
              <w:rPr>
                <w:rFonts w:cs="Times New Roman"/>
                <w:szCs w:val="20"/>
                <w:lang w:val="fr-CA"/>
              </w:rPr>
              <w:t>êt</w:t>
            </w:r>
            <w:r w:rsidRPr="004B0C0C">
              <w:rPr>
                <w:szCs w:val="20"/>
                <w:lang w:val="fr-CA"/>
              </w:rPr>
              <w:t>es en prorogation du d</w:t>
            </w:r>
            <w:r w:rsidRPr="004B0C0C">
              <w:rPr>
                <w:rFonts w:cs="Times New Roman"/>
                <w:szCs w:val="20"/>
                <w:lang w:val="fr-CA"/>
              </w:rPr>
              <w:t>é</w:t>
            </w:r>
            <w:r w:rsidRPr="004B0C0C">
              <w:rPr>
                <w:szCs w:val="20"/>
                <w:lang w:val="fr-CA"/>
              </w:rPr>
              <w:t>lai de signification et de d</w:t>
            </w:r>
            <w:r w:rsidRPr="004B0C0C">
              <w:rPr>
                <w:rFonts w:cs="Times New Roman"/>
                <w:szCs w:val="20"/>
                <w:lang w:val="fr-CA"/>
              </w:rPr>
              <w:t>é</w:t>
            </w:r>
            <w:r w:rsidRPr="004B0C0C">
              <w:rPr>
                <w:szCs w:val="20"/>
                <w:lang w:val="fr-CA"/>
              </w:rPr>
              <w:t>p</w:t>
            </w:r>
            <w:r w:rsidRPr="004B0C0C">
              <w:rPr>
                <w:rFonts w:cs="Times New Roman"/>
                <w:szCs w:val="20"/>
                <w:lang w:val="fr-CA"/>
              </w:rPr>
              <w:t>ô</w:t>
            </w:r>
            <w:r w:rsidRPr="004B0C0C">
              <w:rPr>
                <w:szCs w:val="20"/>
                <w:lang w:val="fr-CA"/>
              </w:rPr>
              <w:t>t de la demande d’autorisation d’appel et de la réponse des intimés sont accord</w:t>
            </w:r>
            <w:r w:rsidRPr="004B0C0C">
              <w:rPr>
                <w:rFonts w:cs="Times New Roman"/>
                <w:szCs w:val="20"/>
                <w:lang w:val="fr-CA"/>
              </w:rPr>
              <w:t>é</w:t>
            </w:r>
            <w:r w:rsidRPr="004B0C0C">
              <w:rPr>
                <w:szCs w:val="20"/>
                <w:lang w:val="fr-CA"/>
              </w:rPr>
              <w:t>es sans dépens.</w:t>
            </w:r>
            <w:r>
              <w:rPr>
                <w:szCs w:val="20"/>
                <w:lang w:val="fr-CA"/>
              </w:rPr>
              <w:t xml:space="preserve">  </w:t>
            </w:r>
            <w:r w:rsidR="00A77989" w:rsidRPr="000830C2">
              <w:rPr>
                <w:rFonts w:cs="Times New Roman"/>
                <w:szCs w:val="20"/>
                <w:lang w:val="fr-CA"/>
              </w:rPr>
              <w:t>La demande d’autorisation d’appel de l’arrêt de la Cour d’appel de la Colombie-Britannique (Vancouver), numéro CA035936, 2010 BCCA 478, daté du 29 octobre 2010, est accordée sans dépens.</w:t>
            </w:r>
          </w:p>
        </w:tc>
      </w:tr>
    </w:tbl>
    <w:p w:rsidR="00A77989" w:rsidRPr="00A77989" w:rsidRDefault="00A77989"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F3A5B" w:rsidRPr="00E6448B" w:rsidTr="002F0EB9">
        <w:tc>
          <w:tcPr>
            <w:tcW w:w="5000" w:type="pct"/>
            <w:gridSpan w:val="3"/>
          </w:tcPr>
          <w:p w:rsidR="006F3A5B" w:rsidRPr="00E6448B" w:rsidRDefault="006F3A5B" w:rsidP="002F0EB9">
            <w:pPr>
              <w:jc w:val="both"/>
              <w:rPr>
                <w:rFonts w:eastAsia="Calibri"/>
                <w:sz w:val="20"/>
              </w:rPr>
            </w:pPr>
            <w:r w:rsidRPr="00E6448B">
              <w:rPr>
                <w:rFonts w:eastAsia="Calibri"/>
                <w:sz w:val="20"/>
              </w:rPr>
              <w:t xml:space="preserve">Human Rights — Discriminatory practices — Duty to accommodate — Mental or physical disability — Right to equality — Goods and services — Right to dignity — British Columbia Human Rights Tribunal (the “Tribunal”) finding </w:t>
            </w:r>
            <w:r w:rsidRPr="00E6448B">
              <w:rPr>
                <w:rFonts w:eastAsia="Calibri"/>
                <w:i/>
                <w:sz w:val="20"/>
              </w:rPr>
              <w:t>prima facie</w:t>
            </w:r>
            <w:r w:rsidRPr="00E6448B">
              <w:rPr>
                <w:rFonts w:eastAsia="Calibri"/>
                <w:sz w:val="20"/>
              </w:rPr>
              <w:t xml:space="preserve"> individual and systemic discrimination when the respondents failed to ensure that the needs of the applicant’s dyslexic son and other severely learning disabled (“SLD”) students were appropriately accommodated — Reviewing judge quashing tribunal decision on the basis that the tribunal incorrectly identified the “service that was customarily available to the public” and the comparator group, and that there was insufficient evidence for a discrimination analysis — Appellate majority finding applicant had not established that the accommodation his son received was below the legislative standard — How is the “service” in “service customarily available to the public” statutory human rights provisions construed </w:t>
            </w:r>
            <w:r w:rsidRPr="00E6448B">
              <w:rPr>
                <w:rFonts w:eastAsia="Calibri"/>
                <w:sz w:val="20"/>
              </w:rPr>
              <w:noBreakHyphen/>
              <w:t xml:space="preserve"> Did the majority of the BC Court of Appeal err by taking an overly narrow approach that undermines human rights protections — How is the comparator chosen under statutory human rights legislation — Did the majority of the BC Court of Appeal err in interpreting </w:t>
            </w:r>
            <w:r w:rsidRPr="00E6448B">
              <w:rPr>
                <w:rFonts w:eastAsia="Calibri"/>
                <w:i/>
                <w:sz w:val="20"/>
              </w:rPr>
              <w:t>Auton (Guardian ad Litem of) v. British Columbia (Attorney General)</w:t>
            </w:r>
            <w:r w:rsidRPr="00E6448B">
              <w:rPr>
                <w:rFonts w:eastAsia="Calibri"/>
                <w:sz w:val="20"/>
              </w:rPr>
              <w:t xml:space="preserve">, 2004 SCC 78, [2004] 3 S.C.R. 657, as mandating a narrow approach to the comparator group that undermines statutory human rights protections, such that persons with disabilities can only compare themselves to others with disabilities — </w:t>
            </w:r>
            <w:r w:rsidRPr="00E6448B">
              <w:rPr>
                <w:rFonts w:eastAsia="Calibri"/>
                <w:i/>
                <w:sz w:val="20"/>
              </w:rPr>
              <w:t>Human Rights Code</w:t>
            </w:r>
            <w:r w:rsidRPr="00E6448B">
              <w:rPr>
                <w:rFonts w:eastAsia="Calibri"/>
                <w:sz w:val="20"/>
              </w:rPr>
              <w:t>, R.S.B.C. 1996, c. 210 (the “</w:t>
            </w:r>
            <w:r w:rsidRPr="00E6448B">
              <w:rPr>
                <w:rFonts w:eastAsia="Calibri"/>
                <w:i/>
                <w:sz w:val="20"/>
              </w:rPr>
              <w:t>Code</w:t>
            </w:r>
            <w:r w:rsidRPr="00E6448B">
              <w:rPr>
                <w:rFonts w:eastAsia="Calibri"/>
                <w:sz w:val="20"/>
              </w:rPr>
              <w:t>”), s. 8.</w:t>
            </w:r>
          </w:p>
          <w:p w:rsidR="006F3A5B" w:rsidRPr="00E6448B" w:rsidRDefault="006F3A5B" w:rsidP="002F0EB9">
            <w:pPr>
              <w:jc w:val="both"/>
              <w:rPr>
                <w:rFonts w:eastAsia="Calibri"/>
                <w:sz w:val="20"/>
              </w:rPr>
            </w:pPr>
          </w:p>
        </w:tc>
      </w:tr>
      <w:tr w:rsidR="006F3A5B" w:rsidRPr="00E6448B" w:rsidTr="002F0EB9">
        <w:tc>
          <w:tcPr>
            <w:tcW w:w="5000" w:type="pct"/>
            <w:gridSpan w:val="3"/>
          </w:tcPr>
          <w:p w:rsidR="006F3A5B" w:rsidRPr="00E6448B" w:rsidRDefault="006F3A5B" w:rsidP="002F0EB9">
            <w:pPr>
              <w:jc w:val="both"/>
              <w:rPr>
                <w:rFonts w:eastAsia="Calibri"/>
                <w:sz w:val="20"/>
              </w:rPr>
            </w:pPr>
            <w:r w:rsidRPr="00E6448B">
              <w:rPr>
                <w:rFonts w:eastAsia="Calibri"/>
                <w:sz w:val="20"/>
              </w:rPr>
              <w:t xml:space="preserve">Two complaints were filed by the applicant alleging individual and systemic discrimination by The Board of Trustees School Division No. 44 (North Vancouver) (the “District”) and Her Majesty the Queen in Right of the Province of British Columbia as represented by the Ministry of Education (the “Ministry”), for failing to accommodate his son’s severe learning disability (dyslexia) in the provision of his education program, contrary to s. 8 of the </w:t>
            </w:r>
            <w:r w:rsidRPr="00E6448B">
              <w:rPr>
                <w:rFonts w:eastAsia="Calibri"/>
                <w:i/>
                <w:sz w:val="20"/>
              </w:rPr>
              <w:t>Code</w:t>
            </w:r>
            <w:r w:rsidRPr="00E6448B">
              <w:rPr>
                <w:rFonts w:eastAsia="Calibri"/>
                <w:sz w:val="20"/>
              </w:rPr>
              <w:t xml:space="preserve">.  The Tribunal found </w:t>
            </w:r>
            <w:r w:rsidRPr="00E6448B">
              <w:rPr>
                <w:rFonts w:eastAsia="Calibri"/>
                <w:i/>
                <w:sz w:val="20"/>
              </w:rPr>
              <w:t>prima facie</w:t>
            </w:r>
            <w:r w:rsidRPr="00E6448B">
              <w:rPr>
                <w:rFonts w:eastAsia="Calibri"/>
                <w:sz w:val="20"/>
              </w:rPr>
              <w:t xml:space="preserve"> individual discrimination when the District and the Ministry failed to ensure that the son’s disability needs were appropriately accommodated when he was not provided with sufficiently early or intensive and effective remediation.  There was </w:t>
            </w:r>
            <w:r w:rsidRPr="00E6448B">
              <w:rPr>
                <w:rFonts w:eastAsia="Calibri"/>
                <w:i/>
                <w:sz w:val="20"/>
              </w:rPr>
              <w:t>prima facie</w:t>
            </w:r>
            <w:r w:rsidRPr="00E6448B">
              <w:rPr>
                <w:rFonts w:eastAsia="Calibri"/>
                <w:sz w:val="20"/>
              </w:rPr>
              <w:t xml:space="preserve"> systemic discrimination by the District when it cut services to SLD students disproportionately, without analyzing the impact on them or ensuring that there were sufficient alternative services in place.  There was </w:t>
            </w:r>
            <w:r w:rsidRPr="00E6448B">
              <w:rPr>
                <w:rFonts w:eastAsia="Calibri"/>
                <w:i/>
                <w:sz w:val="20"/>
              </w:rPr>
              <w:t>prima facie</w:t>
            </w:r>
            <w:r w:rsidRPr="00E6448B">
              <w:rPr>
                <w:rFonts w:eastAsia="Calibri"/>
                <w:sz w:val="20"/>
              </w:rPr>
              <w:t xml:space="preserve"> systemic discrimination by the Ministry when it under</w:t>
            </w:r>
            <w:r w:rsidRPr="00E6448B">
              <w:rPr>
                <w:rFonts w:eastAsia="Calibri"/>
                <w:sz w:val="20"/>
              </w:rPr>
              <w:noBreakHyphen/>
              <w:t>funded the actual incidence of SLD students by imposition of a cap on funding for “high incidence/low cost” disabled students, when it under</w:t>
            </w:r>
            <w:r w:rsidRPr="00E6448B">
              <w:rPr>
                <w:rFonts w:eastAsia="Calibri"/>
                <w:sz w:val="20"/>
              </w:rPr>
              <w:noBreakHyphen/>
              <w:t>funded the District resulting in significant cuts to services to SLD students, when it focussed its monitoring only on spending and fiscal concerns, and when it failed to ensure that early intervention and a range of services for SLD students was mandatory. Neither the District nor the Ministry were found to have established undue hardship. </w:t>
            </w:r>
          </w:p>
          <w:p w:rsidR="006F3A5B" w:rsidRPr="00E6448B" w:rsidRDefault="006F3A5B" w:rsidP="002F0EB9">
            <w:pPr>
              <w:jc w:val="both"/>
              <w:rPr>
                <w:rFonts w:eastAsia="Calibri"/>
                <w:sz w:val="20"/>
              </w:rPr>
            </w:pPr>
          </w:p>
        </w:tc>
      </w:tr>
      <w:tr w:rsidR="006F3A5B" w:rsidRPr="00E6448B" w:rsidTr="002F0EB9">
        <w:tc>
          <w:tcPr>
            <w:tcW w:w="2427" w:type="pct"/>
          </w:tcPr>
          <w:p w:rsidR="006F3A5B" w:rsidRPr="00E6448B" w:rsidRDefault="006F3A5B" w:rsidP="002F0EB9">
            <w:pPr>
              <w:jc w:val="both"/>
              <w:rPr>
                <w:rFonts w:eastAsia="Calibri"/>
                <w:sz w:val="20"/>
              </w:rPr>
            </w:pPr>
            <w:r w:rsidRPr="00E6448B">
              <w:rPr>
                <w:rFonts w:eastAsia="Calibri"/>
                <w:sz w:val="20"/>
              </w:rPr>
              <w:t>February 29, 2008</w:t>
            </w:r>
          </w:p>
          <w:p w:rsidR="006F3A5B" w:rsidRPr="00E6448B" w:rsidRDefault="006F3A5B" w:rsidP="002F0EB9">
            <w:pPr>
              <w:jc w:val="both"/>
              <w:rPr>
                <w:rFonts w:eastAsia="Calibri"/>
                <w:sz w:val="20"/>
              </w:rPr>
            </w:pPr>
            <w:r w:rsidRPr="00E6448B">
              <w:rPr>
                <w:rFonts w:eastAsia="Calibri"/>
                <w:sz w:val="20"/>
              </w:rPr>
              <w:t>Supreme Court of British Columbia</w:t>
            </w:r>
          </w:p>
          <w:p w:rsidR="006F3A5B" w:rsidRPr="00E6448B" w:rsidRDefault="006F3A5B" w:rsidP="002F0EB9">
            <w:pPr>
              <w:jc w:val="both"/>
              <w:rPr>
                <w:rFonts w:eastAsia="Calibri"/>
                <w:sz w:val="20"/>
              </w:rPr>
            </w:pPr>
            <w:r w:rsidRPr="00E6448B">
              <w:rPr>
                <w:rFonts w:eastAsia="Calibri"/>
                <w:sz w:val="20"/>
              </w:rPr>
              <w:t>(Dillon J.)</w:t>
            </w:r>
          </w:p>
          <w:p w:rsidR="006F3A5B" w:rsidRPr="00E6448B" w:rsidRDefault="006F3A5B" w:rsidP="002F0EB9">
            <w:pPr>
              <w:jc w:val="both"/>
              <w:rPr>
                <w:rFonts w:eastAsia="Calibri"/>
                <w:sz w:val="20"/>
              </w:rPr>
            </w:pPr>
            <w:r w:rsidRPr="00E6448B">
              <w:rPr>
                <w:rFonts w:eastAsia="Calibri"/>
                <w:sz w:val="20"/>
              </w:rPr>
              <w:t>2008 BCSC 264; S061119</w:t>
            </w:r>
          </w:p>
          <w:p w:rsidR="006F3A5B" w:rsidRPr="00E6448B" w:rsidRDefault="006F3A5B" w:rsidP="002F0EB9">
            <w:pPr>
              <w:jc w:val="both"/>
              <w:rPr>
                <w:rFonts w:eastAsia="Calibri"/>
                <w:sz w:val="20"/>
              </w:rPr>
            </w:pPr>
          </w:p>
        </w:tc>
        <w:tc>
          <w:tcPr>
            <w:tcW w:w="243" w:type="pct"/>
          </w:tcPr>
          <w:p w:rsidR="006F3A5B" w:rsidRPr="00E6448B" w:rsidRDefault="006F3A5B" w:rsidP="002F0EB9">
            <w:pPr>
              <w:jc w:val="both"/>
              <w:rPr>
                <w:rFonts w:eastAsia="Calibri"/>
                <w:sz w:val="20"/>
              </w:rPr>
            </w:pPr>
          </w:p>
        </w:tc>
        <w:tc>
          <w:tcPr>
            <w:tcW w:w="2330" w:type="pct"/>
          </w:tcPr>
          <w:p w:rsidR="006F3A5B" w:rsidRPr="00E6448B" w:rsidRDefault="006F3A5B" w:rsidP="002F0EB9">
            <w:pPr>
              <w:jc w:val="both"/>
              <w:rPr>
                <w:rFonts w:eastAsia="Calibri"/>
                <w:sz w:val="20"/>
              </w:rPr>
            </w:pPr>
            <w:r w:rsidRPr="00E6448B">
              <w:rPr>
                <w:rFonts w:eastAsia="Calibri"/>
                <w:sz w:val="20"/>
              </w:rPr>
              <w:t>Petition allowed and the Tribunal’s decision quashed</w:t>
            </w:r>
          </w:p>
          <w:p w:rsidR="006F3A5B" w:rsidRPr="00E6448B" w:rsidRDefault="006F3A5B" w:rsidP="002F0EB9">
            <w:pPr>
              <w:jc w:val="both"/>
              <w:rPr>
                <w:rFonts w:eastAsia="Calibri"/>
                <w:sz w:val="20"/>
              </w:rPr>
            </w:pPr>
          </w:p>
        </w:tc>
      </w:tr>
      <w:tr w:rsidR="006F3A5B" w:rsidRPr="00E6448B" w:rsidTr="002F0EB9">
        <w:tc>
          <w:tcPr>
            <w:tcW w:w="2427" w:type="pct"/>
          </w:tcPr>
          <w:p w:rsidR="006F3A5B" w:rsidRPr="00E6448B" w:rsidRDefault="006F3A5B" w:rsidP="002F0EB9">
            <w:pPr>
              <w:jc w:val="both"/>
              <w:rPr>
                <w:rFonts w:eastAsia="Calibri"/>
                <w:sz w:val="20"/>
              </w:rPr>
            </w:pPr>
            <w:r w:rsidRPr="00E6448B">
              <w:rPr>
                <w:rFonts w:eastAsia="Calibri"/>
                <w:sz w:val="20"/>
              </w:rPr>
              <w:t>October 29, 2010</w:t>
            </w:r>
          </w:p>
          <w:p w:rsidR="006F3A5B" w:rsidRPr="00E6448B" w:rsidRDefault="006F3A5B" w:rsidP="002F0EB9">
            <w:pPr>
              <w:jc w:val="both"/>
              <w:rPr>
                <w:rFonts w:eastAsia="Calibri"/>
                <w:sz w:val="20"/>
              </w:rPr>
            </w:pPr>
            <w:r w:rsidRPr="00E6448B">
              <w:rPr>
                <w:rFonts w:eastAsia="Calibri"/>
                <w:sz w:val="20"/>
              </w:rPr>
              <w:t>Court of Appeal for British Columbia (Vancouver)</w:t>
            </w:r>
          </w:p>
          <w:p w:rsidR="006F3A5B" w:rsidRPr="00E6448B" w:rsidRDefault="006F3A5B" w:rsidP="002F0EB9">
            <w:pPr>
              <w:jc w:val="both"/>
              <w:rPr>
                <w:rFonts w:eastAsia="Calibri"/>
                <w:sz w:val="20"/>
              </w:rPr>
            </w:pPr>
            <w:r w:rsidRPr="00E6448B">
              <w:rPr>
                <w:rFonts w:eastAsia="Calibri"/>
                <w:sz w:val="20"/>
              </w:rPr>
              <w:t>(Rowles (dissenting), Saunders and Low JJ.A.)</w:t>
            </w:r>
          </w:p>
          <w:p w:rsidR="006F3A5B" w:rsidRPr="00E6448B" w:rsidRDefault="006F3A5B" w:rsidP="002F0EB9">
            <w:pPr>
              <w:jc w:val="both"/>
              <w:rPr>
                <w:rFonts w:eastAsia="Calibri"/>
                <w:sz w:val="20"/>
              </w:rPr>
            </w:pPr>
            <w:r w:rsidRPr="00E6448B">
              <w:rPr>
                <w:rFonts w:eastAsia="Calibri"/>
                <w:sz w:val="20"/>
              </w:rPr>
              <w:t>2010 BCCA 478; CA035936</w:t>
            </w:r>
          </w:p>
          <w:p w:rsidR="006F3A5B" w:rsidRPr="00E6448B" w:rsidRDefault="006F3A5B" w:rsidP="002F0EB9">
            <w:pPr>
              <w:jc w:val="both"/>
              <w:rPr>
                <w:rFonts w:eastAsia="Calibri"/>
                <w:sz w:val="20"/>
              </w:rPr>
            </w:pPr>
          </w:p>
        </w:tc>
        <w:tc>
          <w:tcPr>
            <w:tcW w:w="243" w:type="pct"/>
          </w:tcPr>
          <w:p w:rsidR="006F3A5B" w:rsidRPr="00E6448B" w:rsidRDefault="006F3A5B" w:rsidP="002F0EB9">
            <w:pPr>
              <w:jc w:val="both"/>
              <w:rPr>
                <w:rFonts w:eastAsia="Calibri"/>
                <w:sz w:val="20"/>
              </w:rPr>
            </w:pPr>
          </w:p>
        </w:tc>
        <w:tc>
          <w:tcPr>
            <w:tcW w:w="2330" w:type="pct"/>
          </w:tcPr>
          <w:p w:rsidR="006F3A5B" w:rsidRPr="00E6448B" w:rsidRDefault="006F3A5B" w:rsidP="002F0EB9">
            <w:pPr>
              <w:jc w:val="both"/>
              <w:rPr>
                <w:rFonts w:eastAsia="Calibri"/>
                <w:sz w:val="20"/>
              </w:rPr>
            </w:pPr>
            <w:r w:rsidRPr="00E6448B">
              <w:rPr>
                <w:rFonts w:eastAsia="Calibri"/>
                <w:sz w:val="20"/>
              </w:rPr>
              <w:t>Appeal dismissed</w:t>
            </w:r>
          </w:p>
          <w:p w:rsidR="006F3A5B" w:rsidRPr="00E6448B" w:rsidRDefault="006F3A5B" w:rsidP="002F0EB9">
            <w:pPr>
              <w:jc w:val="both"/>
              <w:rPr>
                <w:rFonts w:eastAsia="Calibri"/>
                <w:sz w:val="20"/>
              </w:rPr>
            </w:pPr>
          </w:p>
        </w:tc>
      </w:tr>
      <w:tr w:rsidR="006F3A5B" w:rsidRPr="00E6448B" w:rsidTr="00C4696B">
        <w:trPr>
          <w:cantSplit/>
        </w:trPr>
        <w:tc>
          <w:tcPr>
            <w:tcW w:w="2427" w:type="pct"/>
          </w:tcPr>
          <w:p w:rsidR="006F3A5B" w:rsidRPr="00E6448B" w:rsidRDefault="006F3A5B" w:rsidP="002F0EB9">
            <w:pPr>
              <w:jc w:val="both"/>
              <w:rPr>
                <w:rFonts w:eastAsia="Calibri"/>
                <w:sz w:val="20"/>
              </w:rPr>
            </w:pPr>
            <w:r w:rsidRPr="00E6448B">
              <w:rPr>
                <w:rFonts w:eastAsia="Calibri"/>
                <w:sz w:val="20"/>
              </w:rPr>
              <w:lastRenderedPageBreak/>
              <w:t>January 11, 2011</w:t>
            </w:r>
          </w:p>
          <w:p w:rsidR="006F3A5B" w:rsidRPr="00E6448B" w:rsidRDefault="006F3A5B" w:rsidP="002F0EB9">
            <w:pPr>
              <w:jc w:val="both"/>
              <w:rPr>
                <w:rFonts w:eastAsia="Calibri"/>
                <w:sz w:val="20"/>
              </w:rPr>
            </w:pPr>
            <w:r w:rsidRPr="00E6448B">
              <w:rPr>
                <w:rFonts w:eastAsia="Calibri"/>
                <w:sz w:val="20"/>
              </w:rPr>
              <w:t>Supreme Court of Canada</w:t>
            </w:r>
          </w:p>
        </w:tc>
        <w:tc>
          <w:tcPr>
            <w:tcW w:w="243" w:type="pct"/>
          </w:tcPr>
          <w:p w:rsidR="006F3A5B" w:rsidRPr="00E6448B" w:rsidRDefault="006F3A5B" w:rsidP="002F0EB9">
            <w:pPr>
              <w:jc w:val="both"/>
              <w:rPr>
                <w:rFonts w:eastAsia="Calibri"/>
                <w:sz w:val="20"/>
              </w:rPr>
            </w:pPr>
          </w:p>
        </w:tc>
        <w:tc>
          <w:tcPr>
            <w:tcW w:w="2330" w:type="pct"/>
          </w:tcPr>
          <w:p w:rsidR="006F3A5B" w:rsidRPr="00E6448B" w:rsidRDefault="006F3A5B" w:rsidP="002F0EB9">
            <w:pPr>
              <w:jc w:val="both"/>
              <w:rPr>
                <w:rFonts w:eastAsia="Calibri"/>
                <w:sz w:val="20"/>
              </w:rPr>
            </w:pPr>
            <w:r w:rsidRPr="00E6448B">
              <w:rPr>
                <w:rFonts w:eastAsia="Calibri"/>
                <w:sz w:val="20"/>
              </w:rPr>
              <w:t>Motion for an extension of time and 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36"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F3A5B" w:rsidRPr="00A77989" w:rsidTr="002F0EB9">
        <w:tc>
          <w:tcPr>
            <w:tcW w:w="5000" w:type="pct"/>
            <w:gridSpan w:val="3"/>
          </w:tcPr>
          <w:p w:rsidR="006F3A5B" w:rsidRPr="00E6448B" w:rsidRDefault="006F3A5B" w:rsidP="002F0EB9">
            <w:pPr>
              <w:jc w:val="both"/>
              <w:rPr>
                <w:rFonts w:eastAsia="Calibri"/>
                <w:sz w:val="20"/>
                <w:lang w:val="fr-CA"/>
              </w:rPr>
            </w:pPr>
            <w:r w:rsidRPr="00E6448B">
              <w:rPr>
                <w:rFonts w:eastAsia="Calibri"/>
                <w:sz w:val="20"/>
                <w:lang w:val="fr-CA"/>
              </w:rPr>
              <w:t>Droits de la personne — Pratiques discriminatoires — Obligation d’accommodement — Déficience mentale ou physique — Droit à l’égalité — Biens et services — Droit à la dignité — Le tribunal des droits de la personne de la Colombie</w:t>
            </w:r>
            <w:r w:rsidRPr="00E6448B">
              <w:rPr>
                <w:rFonts w:eastAsia="Calibri"/>
                <w:sz w:val="20"/>
                <w:lang w:val="fr-CA"/>
              </w:rPr>
              <w:noBreakHyphen/>
              <w:t>Britannique (le « tribunal ») a conclu à première vue à l’existence d’une discrimination individuelle et institutionnelle</w:t>
            </w:r>
            <w:r w:rsidRPr="00E6448B">
              <w:rPr>
                <w:rFonts w:eastAsia="Calibri"/>
                <w:i/>
                <w:sz w:val="20"/>
                <w:lang w:val="fr-CA"/>
              </w:rPr>
              <w:t xml:space="preserve"> </w:t>
            </w:r>
            <w:r w:rsidRPr="00E6448B">
              <w:rPr>
                <w:rFonts w:eastAsia="Calibri"/>
                <w:sz w:val="20"/>
                <w:lang w:val="fr-CA"/>
              </w:rPr>
              <w:t>lorsque les intimés ont omis de prendre des mesures d’accommodement appropriées à l’égard des besoins du fils dyslexique du demandeur et d’autres élèves ayant de graves troubles d’apprentissage — Le juge siégeant en révision a annulé la décision du tribunal au motif que le tribunal avait mal identifié le [</w:t>
            </w:r>
            <w:r w:rsidRPr="00E6448B">
              <w:rPr>
                <w:rFonts w:eastAsia="Calibri"/>
                <w:smallCaps/>
                <w:sz w:val="20"/>
                <w:lang w:val="fr-CA"/>
              </w:rPr>
              <w:t>traduction</w:t>
            </w:r>
            <w:r w:rsidRPr="00E6448B">
              <w:rPr>
                <w:rFonts w:eastAsia="Calibri"/>
                <w:sz w:val="20"/>
                <w:lang w:val="fr-CA"/>
              </w:rPr>
              <w:t>] « service habituellement offert au public » ainsi que le groupe de comparaison et qu’il n’y avait pas assez de preuve pour faire l’analyse de la discrimination — Les juges majoritaires en appel ont conclu que le demandeur n’avait pas établi que les mesures d’accommodement prises à l’égard de son fils étaient inférieures à la norme législative — Comment doit</w:t>
            </w:r>
            <w:r w:rsidRPr="00E6448B">
              <w:rPr>
                <w:rFonts w:eastAsia="Calibri"/>
                <w:sz w:val="20"/>
                <w:lang w:val="fr-CA"/>
              </w:rPr>
              <w:noBreakHyphen/>
              <w:t>on interpréter le mot « service » dans l’expression [</w:t>
            </w:r>
            <w:r w:rsidRPr="00E6448B">
              <w:rPr>
                <w:rFonts w:eastAsia="Calibri"/>
                <w:smallCaps/>
                <w:sz w:val="20"/>
                <w:lang w:val="fr-CA"/>
              </w:rPr>
              <w:t>traduction</w:t>
            </w:r>
            <w:r w:rsidRPr="00E6448B">
              <w:rPr>
                <w:rFonts w:eastAsia="Calibri"/>
                <w:sz w:val="20"/>
                <w:lang w:val="fr-CA"/>
              </w:rPr>
              <w:t>] « service habituellement offert au public » prévue dans le texte de loi sur les droits de la personne? — Les juges majoritaires de la Cour d’appel de la Colombie</w:t>
            </w:r>
            <w:r w:rsidRPr="00E6448B">
              <w:rPr>
                <w:rFonts w:eastAsia="Calibri"/>
                <w:sz w:val="20"/>
                <w:lang w:val="fr-CA"/>
              </w:rPr>
              <w:noBreakHyphen/>
              <w:t>Britannique ont</w:t>
            </w:r>
            <w:r w:rsidRPr="00E6448B">
              <w:rPr>
                <w:rFonts w:eastAsia="Calibri"/>
                <w:sz w:val="20"/>
                <w:lang w:val="fr-CA"/>
              </w:rPr>
              <w:noBreakHyphen/>
              <w:t>ils commis une erreur en adoptant une approche trop étroite qui mine les protections des droits de la personne? — Les juges majoritaires de la Cour d’appel de la Colombie</w:t>
            </w:r>
            <w:r w:rsidRPr="00E6448B">
              <w:rPr>
                <w:rFonts w:eastAsia="Calibri"/>
                <w:sz w:val="20"/>
                <w:lang w:val="fr-CA"/>
              </w:rPr>
              <w:noBreakHyphen/>
              <w:t>Britannique ont</w:t>
            </w:r>
            <w:r w:rsidRPr="00E6448B">
              <w:rPr>
                <w:rFonts w:eastAsia="Calibri"/>
                <w:sz w:val="20"/>
                <w:lang w:val="fr-CA"/>
              </w:rPr>
              <w:noBreakHyphen/>
              <w:t xml:space="preserve">ils commis une erreur en interprétant l’arrêt </w:t>
            </w:r>
            <w:r w:rsidRPr="00E6448B">
              <w:rPr>
                <w:rFonts w:eastAsia="Calibri"/>
                <w:i/>
                <w:sz w:val="20"/>
                <w:lang w:val="fr-CA"/>
              </w:rPr>
              <w:t>Auton (Tutrice à l’instance de) c. Colombie</w:t>
            </w:r>
            <w:r w:rsidRPr="00E6448B">
              <w:rPr>
                <w:rFonts w:eastAsia="Calibri"/>
                <w:i/>
                <w:sz w:val="20"/>
                <w:lang w:val="fr-CA"/>
              </w:rPr>
              <w:noBreakHyphen/>
              <w:t>Britannique (Procureur général)</w:t>
            </w:r>
            <w:r w:rsidRPr="00E6448B">
              <w:rPr>
                <w:rFonts w:eastAsia="Calibri"/>
                <w:sz w:val="20"/>
                <w:lang w:val="fr-CA"/>
              </w:rPr>
              <w:t xml:space="preserve">, 2004 CSC 78, [2004] 3 R.C.S. 657, comme prescrivant une analyse étroite du groupe de comparaison qui mine les protections légales des droits de la personne, si bien que les personnes ayant des déficiences ne peuvent se comparer qu’à d’autres personnes ayant des déficiences? — </w:t>
            </w:r>
            <w:r w:rsidRPr="00E6448B">
              <w:rPr>
                <w:rFonts w:eastAsia="Calibri"/>
                <w:i/>
                <w:sz w:val="20"/>
                <w:lang w:val="fr-CA"/>
              </w:rPr>
              <w:t>Human Rights Code</w:t>
            </w:r>
            <w:r w:rsidRPr="00E6448B">
              <w:rPr>
                <w:rFonts w:eastAsia="Calibri"/>
                <w:sz w:val="20"/>
                <w:lang w:val="fr-CA"/>
              </w:rPr>
              <w:t>, R.S.B.C. 1996, ch. 210 (le « </w:t>
            </w:r>
            <w:r w:rsidRPr="00E6448B">
              <w:rPr>
                <w:rFonts w:eastAsia="Calibri"/>
                <w:i/>
                <w:sz w:val="20"/>
                <w:lang w:val="fr-CA"/>
              </w:rPr>
              <w:t>Code</w:t>
            </w:r>
            <w:r w:rsidRPr="00E6448B">
              <w:rPr>
                <w:rFonts w:eastAsia="Calibri"/>
                <w:sz w:val="20"/>
                <w:lang w:val="fr-CA"/>
              </w:rPr>
              <w:t> »), art. 8.</w:t>
            </w:r>
          </w:p>
          <w:p w:rsidR="006F3A5B" w:rsidRPr="00E6448B" w:rsidRDefault="006F3A5B" w:rsidP="002F0EB9">
            <w:pPr>
              <w:jc w:val="both"/>
              <w:rPr>
                <w:rFonts w:eastAsia="Calibri"/>
                <w:sz w:val="20"/>
                <w:lang w:val="fr-CA"/>
              </w:rPr>
            </w:pPr>
          </w:p>
        </w:tc>
      </w:tr>
      <w:tr w:rsidR="006F3A5B" w:rsidRPr="00A77989" w:rsidTr="002F0EB9">
        <w:tc>
          <w:tcPr>
            <w:tcW w:w="5000" w:type="pct"/>
            <w:gridSpan w:val="3"/>
          </w:tcPr>
          <w:p w:rsidR="006F3A5B" w:rsidRPr="00E6448B" w:rsidRDefault="006F3A5B" w:rsidP="002F0EB9">
            <w:pPr>
              <w:jc w:val="both"/>
              <w:rPr>
                <w:rFonts w:eastAsia="Calibri"/>
                <w:sz w:val="20"/>
                <w:lang w:val="fr-CA"/>
              </w:rPr>
            </w:pPr>
            <w:r w:rsidRPr="00E6448B">
              <w:rPr>
                <w:rFonts w:eastAsia="Calibri"/>
                <w:sz w:val="20"/>
                <w:lang w:val="fr-CA"/>
              </w:rPr>
              <w:t>Le demandeur a déposé deux plaintes dans lesquelles il allègue que The Board of Trustees School Division No. 44 (North Vancouver) (le « district ») et Sa Majesté la Reine du chef de la Province de Colombie</w:t>
            </w:r>
            <w:r w:rsidRPr="00E6448B">
              <w:rPr>
                <w:rFonts w:eastAsia="Calibri"/>
                <w:sz w:val="20"/>
                <w:lang w:val="fr-CA"/>
              </w:rPr>
              <w:noBreakHyphen/>
              <w:t xml:space="preserve">Britannique, représentée par le ministère de l’Éducation (le « ministère ») ont fait preuve de discrimination individuelle et institutionnelle, parce qu’ils n’ont pas pris de mesures d’accommodement à l’égard du grave trouble d’apprentissage (la dyslexie) de son fils dans la prestation de son programme d’éducation, contrairement à l’art. 8 du </w:t>
            </w:r>
            <w:r w:rsidRPr="00E6448B">
              <w:rPr>
                <w:rFonts w:eastAsia="Calibri"/>
                <w:i/>
                <w:sz w:val="20"/>
                <w:lang w:val="fr-CA"/>
              </w:rPr>
              <w:t>Code</w:t>
            </w:r>
            <w:r w:rsidRPr="00E6448B">
              <w:rPr>
                <w:rFonts w:eastAsia="Calibri"/>
                <w:sz w:val="20"/>
                <w:lang w:val="fr-CA"/>
              </w:rPr>
              <w:t>.  Le tribunal a conclu à première vue à l’existence de discrimination individuelle lorsque le district et le ministère ont omis de faire en sorte que des mesures d’accommodement appropriées soient prises à l’égard des besoins du fils relativement à sa déficience, c’est</w:t>
            </w:r>
            <w:r w:rsidRPr="00E6448B">
              <w:rPr>
                <w:rFonts w:eastAsia="Calibri"/>
                <w:sz w:val="20"/>
                <w:lang w:val="fr-CA"/>
              </w:rPr>
              <w:noBreakHyphen/>
              <w:t>à</w:t>
            </w:r>
            <w:r w:rsidRPr="00E6448B">
              <w:rPr>
                <w:rFonts w:eastAsia="Calibri"/>
                <w:sz w:val="20"/>
                <w:lang w:val="fr-CA"/>
              </w:rPr>
              <w:noBreakHyphen/>
              <w:t>dire de ne pas lui avoir fourni suffisamment tôt des services d’orthopédagogie intensifs et efficaces. Le district aurait à première vue fait preuve de discrimination institutionnelle lorsqu’il a supprimé des services aux élèves ayant de graves troubles d’apprentissage de façon disproportionnée, sans analyser les répercussions sur ces élèves ou sans assurer qu’il y avait des services de rechange suffisants en place.  Le ministère aurait à première vue fait preuve de discrimination institutionnelle lorsqu’il a sous</w:t>
            </w:r>
            <w:r w:rsidRPr="00E6448B">
              <w:rPr>
                <w:rFonts w:eastAsia="Calibri"/>
                <w:sz w:val="20"/>
                <w:lang w:val="fr-CA"/>
              </w:rPr>
              <w:noBreakHyphen/>
              <w:t>financé l’incidence réelle des élèves ayant de graves troubles d’apprentissage en imposant un plafond sur le financement affecté aux élèves ayant des déficiences [</w:t>
            </w:r>
            <w:r w:rsidRPr="00E6448B">
              <w:rPr>
                <w:rFonts w:eastAsia="Calibri"/>
                <w:smallCaps/>
                <w:sz w:val="20"/>
                <w:lang w:val="fr-CA"/>
              </w:rPr>
              <w:t>traduction</w:t>
            </w:r>
            <w:r w:rsidRPr="00E6448B">
              <w:rPr>
                <w:rFonts w:eastAsia="Calibri"/>
                <w:sz w:val="20"/>
                <w:lang w:val="fr-CA"/>
              </w:rPr>
              <w:t>] « à haute incidence/peu coûteuses » lorsqu’il a sous</w:t>
            </w:r>
            <w:r w:rsidRPr="00E6448B">
              <w:rPr>
                <w:rFonts w:eastAsia="Calibri"/>
                <w:sz w:val="20"/>
                <w:lang w:val="fr-CA"/>
              </w:rPr>
              <w:noBreakHyphen/>
              <w:t xml:space="preserve">financé le district, entraînant des suppressions importantes des services offerts aux élèves ayant de graves troubles d’apprentissage, lorsqu’il a limité ses contrôles à de simples questions de dépenses et de fiscalité et lorsqu’il a omis de faire en sorte que l’intervention précoce et une gamme de services offerts aux élèves ayant de graves troubles d’apprentissage soit obligatoire.  Le tribunal a conclu que ni le district ni le ministère n’avait établi de contrainte excessive. </w:t>
            </w:r>
          </w:p>
          <w:p w:rsidR="006F3A5B" w:rsidRPr="00E6448B" w:rsidRDefault="006F3A5B" w:rsidP="002F0EB9">
            <w:pPr>
              <w:jc w:val="both"/>
              <w:rPr>
                <w:rFonts w:eastAsia="Calibri"/>
                <w:sz w:val="20"/>
                <w:lang w:val="fr-CA"/>
              </w:rPr>
            </w:pPr>
          </w:p>
        </w:tc>
      </w:tr>
      <w:tr w:rsidR="006F3A5B" w:rsidRPr="00A77989" w:rsidTr="002F0EB9">
        <w:tblPrEx>
          <w:tblLook w:val="04A0"/>
        </w:tblPrEx>
        <w:tc>
          <w:tcPr>
            <w:tcW w:w="2427" w:type="pct"/>
          </w:tcPr>
          <w:p w:rsidR="006F3A5B" w:rsidRPr="00E6448B" w:rsidRDefault="006F3A5B" w:rsidP="002F0EB9">
            <w:pPr>
              <w:jc w:val="both"/>
              <w:rPr>
                <w:rFonts w:eastAsia="Calibri"/>
                <w:sz w:val="20"/>
                <w:lang w:val="fr-CA"/>
              </w:rPr>
            </w:pPr>
            <w:r w:rsidRPr="00E6448B">
              <w:rPr>
                <w:rFonts w:eastAsia="Calibri"/>
                <w:sz w:val="20"/>
                <w:lang w:val="fr-CA"/>
              </w:rPr>
              <w:t>29 février 2008</w:t>
            </w:r>
          </w:p>
          <w:p w:rsidR="006F3A5B" w:rsidRPr="00E6448B" w:rsidRDefault="006F3A5B" w:rsidP="002F0EB9">
            <w:pPr>
              <w:jc w:val="both"/>
              <w:rPr>
                <w:rFonts w:eastAsia="Calibri"/>
                <w:sz w:val="20"/>
                <w:lang w:val="fr-CA"/>
              </w:rPr>
            </w:pPr>
            <w:r w:rsidRPr="00E6448B">
              <w:rPr>
                <w:rFonts w:eastAsia="Calibri"/>
                <w:sz w:val="20"/>
                <w:lang w:val="fr-CA"/>
              </w:rPr>
              <w:t>Cour suprême de la Colombie</w:t>
            </w:r>
            <w:r w:rsidRPr="00E6448B">
              <w:rPr>
                <w:rFonts w:eastAsia="Calibri"/>
                <w:sz w:val="20"/>
                <w:lang w:val="fr-CA"/>
              </w:rPr>
              <w:noBreakHyphen/>
              <w:t>Britannique</w:t>
            </w:r>
          </w:p>
          <w:p w:rsidR="006F3A5B" w:rsidRPr="00E6448B" w:rsidRDefault="006F3A5B" w:rsidP="002F0EB9">
            <w:pPr>
              <w:jc w:val="both"/>
              <w:rPr>
                <w:rFonts w:eastAsia="Calibri"/>
                <w:sz w:val="20"/>
                <w:lang w:val="fr-CA"/>
              </w:rPr>
            </w:pPr>
            <w:r w:rsidRPr="00E6448B">
              <w:rPr>
                <w:rFonts w:eastAsia="Calibri"/>
                <w:sz w:val="20"/>
                <w:lang w:val="fr-CA"/>
              </w:rPr>
              <w:t>(Juge Dillon)</w:t>
            </w:r>
          </w:p>
          <w:p w:rsidR="006F3A5B" w:rsidRPr="00E6448B" w:rsidRDefault="006F3A5B" w:rsidP="002F0EB9">
            <w:pPr>
              <w:jc w:val="both"/>
              <w:rPr>
                <w:rFonts w:eastAsia="Calibri"/>
                <w:sz w:val="20"/>
              </w:rPr>
            </w:pPr>
            <w:r w:rsidRPr="00E6448B">
              <w:rPr>
                <w:rFonts w:eastAsia="Calibri"/>
                <w:sz w:val="20"/>
                <w:lang w:val="fr-CA"/>
              </w:rPr>
              <w:t xml:space="preserve">2008 BCSC 264; </w:t>
            </w:r>
            <w:r w:rsidRPr="00E6448B">
              <w:rPr>
                <w:rFonts w:eastAsia="Calibri"/>
                <w:sz w:val="20"/>
              </w:rPr>
              <w:t>S061119</w:t>
            </w:r>
          </w:p>
          <w:p w:rsidR="006F3A5B" w:rsidRPr="00E6448B" w:rsidRDefault="006F3A5B" w:rsidP="002F0EB9">
            <w:pPr>
              <w:jc w:val="both"/>
              <w:rPr>
                <w:rFonts w:eastAsia="Calibri"/>
                <w:sz w:val="20"/>
              </w:rPr>
            </w:pPr>
          </w:p>
        </w:tc>
        <w:tc>
          <w:tcPr>
            <w:tcW w:w="243" w:type="pct"/>
          </w:tcPr>
          <w:p w:rsidR="006F3A5B" w:rsidRPr="00E6448B" w:rsidRDefault="006F3A5B" w:rsidP="002F0EB9">
            <w:pPr>
              <w:jc w:val="both"/>
              <w:rPr>
                <w:rFonts w:eastAsia="Calibri"/>
                <w:sz w:val="20"/>
              </w:rPr>
            </w:pPr>
          </w:p>
        </w:tc>
        <w:tc>
          <w:tcPr>
            <w:tcW w:w="2330" w:type="pct"/>
          </w:tcPr>
          <w:p w:rsidR="006F3A5B" w:rsidRPr="00E6448B" w:rsidRDefault="006F3A5B" w:rsidP="002F0EB9">
            <w:pPr>
              <w:jc w:val="both"/>
              <w:rPr>
                <w:rFonts w:eastAsia="Calibri"/>
                <w:sz w:val="20"/>
                <w:lang w:val="fr-CA"/>
              </w:rPr>
            </w:pPr>
            <w:r w:rsidRPr="00E6448B">
              <w:rPr>
                <w:rFonts w:eastAsia="Calibri"/>
                <w:sz w:val="20"/>
                <w:lang w:val="fr-CA"/>
              </w:rPr>
              <w:t>Requête accueillie et décision du tribunal, annulée</w:t>
            </w:r>
          </w:p>
          <w:p w:rsidR="006F3A5B" w:rsidRPr="00E6448B" w:rsidRDefault="006F3A5B" w:rsidP="002F0EB9">
            <w:pPr>
              <w:jc w:val="both"/>
              <w:rPr>
                <w:rFonts w:eastAsia="Calibri"/>
                <w:sz w:val="20"/>
                <w:lang w:val="fr-CA"/>
              </w:rPr>
            </w:pPr>
          </w:p>
        </w:tc>
      </w:tr>
      <w:tr w:rsidR="006F3A5B" w:rsidRPr="00E6448B" w:rsidTr="00C4696B">
        <w:tblPrEx>
          <w:tblLook w:val="04A0"/>
        </w:tblPrEx>
        <w:trPr>
          <w:cantSplit/>
        </w:trPr>
        <w:tc>
          <w:tcPr>
            <w:tcW w:w="2427" w:type="pct"/>
          </w:tcPr>
          <w:p w:rsidR="006F3A5B" w:rsidRPr="00E6448B" w:rsidRDefault="006F3A5B" w:rsidP="002F0EB9">
            <w:pPr>
              <w:jc w:val="both"/>
              <w:rPr>
                <w:rFonts w:eastAsia="Calibri"/>
                <w:sz w:val="20"/>
                <w:lang w:val="fr-CA"/>
              </w:rPr>
            </w:pPr>
            <w:r w:rsidRPr="00E6448B">
              <w:rPr>
                <w:rFonts w:eastAsia="Calibri"/>
                <w:sz w:val="20"/>
                <w:lang w:val="fr-CA"/>
              </w:rPr>
              <w:lastRenderedPageBreak/>
              <w:t>29 octobre 2010</w:t>
            </w:r>
          </w:p>
          <w:p w:rsidR="006F3A5B" w:rsidRPr="00E6448B" w:rsidRDefault="006F3A5B" w:rsidP="002F0EB9">
            <w:pPr>
              <w:jc w:val="both"/>
              <w:rPr>
                <w:rFonts w:eastAsia="Calibri"/>
                <w:sz w:val="20"/>
                <w:lang w:val="fr-CA"/>
              </w:rPr>
            </w:pPr>
            <w:r w:rsidRPr="00E6448B">
              <w:rPr>
                <w:rFonts w:eastAsia="Calibri"/>
                <w:sz w:val="20"/>
                <w:lang w:val="fr-CA"/>
              </w:rPr>
              <w:t>Cour d’appel de la Colombie</w:t>
            </w:r>
            <w:r w:rsidRPr="00E6448B">
              <w:rPr>
                <w:rFonts w:eastAsia="Calibri"/>
                <w:sz w:val="20"/>
                <w:lang w:val="fr-CA"/>
              </w:rPr>
              <w:noBreakHyphen/>
              <w:t xml:space="preserve">Britannique </w:t>
            </w:r>
          </w:p>
          <w:p w:rsidR="006F3A5B" w:rsidRPr="00E6448B" w:rsidRDefault="006F3A5B" w:rsidP="002F0EB9">
            <w:pPr>
              <w:jc w:val="both"/>
              <w:rPr>
                <w:rFonts w:eastAsia="Calibri"/>
                <w:sz w:val="20"/>
                <w:lang w:val="fr-CA"/>
              </w:rPr>
            </w:pPr>
            <w:r w:rsidRPr="00E6448B">
              <w:rPr>
                <w:rFonts w:eastAsia="Calibri"/>
                <w:sz w:val="20"/>
                <w:lang w:val="fr-CA"/>
              </w:rPr>
              <w:t>(Vancouver)</w:t>
            </w:r>
          </w:p>
          <w:p w:rsidR="006F3A5B" w:rsidRPr="00E6448B" w:rsidRDefault="006F3A5B" w:rsidP="002F0EB9">
            <w:pPr>
              <w:jc w:val="both"/>
              <w:rPr>
                <w:rFonts w:eastAsia="Calibri"/>
                <w:sz w:val="20"/>
                <w:lang w:val="fr-CA"/>
              </w:rPr>
            </w:pPr>
            <w:r w:rsidRPr="00E6448B">
              <w:rPr>
                <w:rFonts w:eastAsia="Calibri"/>
                <w:sz w:val="20"/>
                <w:lang w:val="fr-CA"/>
              </w:rPr>
              <w:t>(Juges Rowles (dissidente), Saunders et Low)</w:t>
            </w:r>
          </w:p>
          <w:p w:rsidR="006F3A5B" w:rsidRPr="00E6448B" w:rsidRDefault="006F3A5B" w:rsidP="002F0EB9">
            <w:pPr>
              <w:jc w:val="both"/>
              <w:rPr>
                <w:rFonts w:eastAsia="Calibri"/>
                <w:sz w:val="20"/>
              </w:rPr>
            </w:pPr>
            <w:r w:rsidRPr="00E6448B">
              <w:rPr>
                <w:rFonts w:eastAsia="Calibri"/>
                <w:sz w:val="20"/>
                <w:lang w:val="fr-CA"/>
              </w:rPr>
              <w:t xml:space="preserve">2010 BCCA 478; </w:t>
            </w:r>
            <w:r w:rsidRPr="00E6448B">
              <w:rPr>
                <w:rFonts w:eastAsia="Calibri"/>
                <w:sz w:val="20"/>
              </w:rPr>
              <w:t>CA035936</w:t>
            </w:r>
          </w:p>
          <w:p w:rsidR="006F3A5B" w:rsidRPr="00E6448B" w:rsidRDefault="006F3A5B" w:rsidP="002F0EB9">
            <w:pPr>
              <w:jc w:val="both"/>
              <w:rPr>
                <w:rFonts w:eastAsia="Calibri"/>
                <w:sz w:val="20"/>
              </w:rPr>
            </w:pPr>
          </w:p>
        </w:tc>
        <w:tc>
          <w:tcPr>
            <w:tcW w:w="243" w:type="pct"/>
          </w:tcPr>
          <w:p w:rsidR="006F3A5B" w:rsidRPr="00E6448B" w:rsidRDefault="006F3A5B" w:rsidP="002F0EB9">
            <w:pPr>
              <w:jc w:val="both"/>
              <w:rPr>
                <w:rFonts w:eastAsia="Calibri"/>
                <w:sz w:val="20"/>
              </w:rPr>
            </w:pPr>
          </w:p>
        </w:tc>
        <w:tc>
          <w:tcPr>
            <w:tcW w:w="2330" w:type="pct"/>
          </w:tcPr>
          <w:p w:rsidR="006F3A5B" w:rsidRPr="00E6448B" w:rsidRDefault="006F3A5B" w:rsidP="002F0EB9">
            <w:pPr>
              <w:jc w:val="both"/>
              <w:rPr>
                <w:rFonts w:eastAsia="Calibri"/>
                <w:sz w:val="20"/>
                <w:lang w:val="fr-CA"/>
              </w:rPr>
            </w:pPr>
            <w:r w:rsidRPr="00E6448B">
              <w:rPr>
                <w:rFonts w:eastAsia="Calibri"/>
                <w:sz w:val="20"/>
                <w:lang w:val="fr-CA"/>
              </w:rPr>
              <w:t>Appel rejeté</w:t>
            </w:r>
          </w:p>
          <w:p w:rsidR="006F3A5B" w:rsidRPr="00E6448B" w:rsidRDefault="006F3A5B" w:rsidP="002F0EB9">
            <w:pPr>
              <w:jc w:val="both"/>
              <w:rPr>
                <w:rFonts w:eastAsia="Calibri"/>
                <w:sz w:val="20"/>
              </w:rPr>
            </w:pPr>
          </w:p>
        </w:tc>
      </w:tr>
      <w:tr w:rsidR="006F3A5B" w:rsidRPr="00A77989" w:rsidTr="00A77989">
        <w:tblPrEx>
          <w:tblLook w:val="04A0"/>
        </w:tblPrEx>
        <w:trPr>
          <w:cantSplit/>
        </w:trPr>
        <w:tc>
          <w:tcPr>
            <w:tcW w:w="2427" w:type="pct"/>
          </w:tcPr>
          <w:p w:rsidR="006F3A5B" w:rsidRPr="00E6448B" w:rsidRDefault="006F3A5B" w:rsidP="002F0EB9">
            <w:pPr>
              <w:jc w:val="both"/>
              <w:rPr>
                <w:rFonts w:eastAsia="Calibri"/>
                <w:sz w:val="20"/>
                <w:lang w:val="fr-CA"/>
              </w:rPr>
            </w:pPr>
            <w:r w:rsidRPr="00E6448B">
              <w:rPr>
                <w:rFonts w:eastAsia="Calibri"/>
                <w:sz w:val="20"/>
                <w:lang w:val="fr-CA"/>
              </w:rPr>
              <w:t>11 janvier 2011</w:t>
            </w:r>
          </w:p>
          <w:p w:rsidR="006F3A5B" w:rsidRPr="00E6448B" w:rsidRDefault="006F3A5B" w:rsidP="002F0EB9">
            <w:pPr>
              <w:jc w:val="both"/>
              <w:rPr>
                <w:rFonts w:eastAsia="Calibri"/>
                <w:sz w:val="20"/>
                <w:lang w:val="fr-CA"/>
              </w:rPr>
            </w:pPr>
            <w:r w:rsidRPr="00E6448B">
              <w:rPr>
                <w:rFonts w:eastAsia="Calibri"/>
                <w:sz w:val="20"/>
                <w:lang w:val="fr-CA"/>
              </w:rPr>
              <w:t>Cour suprême du Canada</w:t>
            </w:r>
          </w:p>
        </w:tc>
        <w:tc>
          <w:tcPr>
            <w:tcW w:w="243" w:type="pct"/>
          </w:tcPr>
          <w:p w:rsidR="006F3A5B" w:rsidRPr="00E6448B" w:rsidRDefault="006F3A5B" w:rsidP="002F0EB9">
            <w:pPr>
              <w:jc w:val="both"/>
              <w:rPr>
                <w:rFonts w:eastAsia="Calibri"/>
                <w:sz w:val="20"/>
                <w:lang w:val="fr-CA"/>
              </w:rPr>
            </w:pPr>
          </w:p>
        </w:tc>
        <w:tc>
          <w:tcPr>
            <w:tcW w:w="2330" w:type="pct"/>
          </w:tcPr>
          <w:p w:rsidR="00A77989" w:rsidRPr="00E6448B" w:rsidRDefault="006F3A5B" w:rsidP="00A77989">
            <w:pPr>
              <w:jc w:val="both"/>
              <w:rPr>
                <w:rFonts w:eastAsia="Calibri"/>
                <w:sz w:val="20"/>
                <w:lang w:val="fr-CA"/>
              </w:rPr>
            </w:pPr>
            <w:r w:rsidRPr="00E6448B">
              <w:rPr>
                <w:rFonts w:eastAsia="Calibri"/>
                <w:sz w:val="20"/>
                <w:lang w:val="fr-CA"/>
              </w:rPr>
              <w:t>Requête en prorogation de délai et demande d’autorisation d’appel, déposée</w:t>
            </w:r>
          </w:p>
        </w:tc>
      </w:tr>
    </w:tbl>
    <w:p w:rsidR="00A77989" w:rsidRDefault="00A77989" w:rsidP="00FE43CC">
      <w:pPr>
        <w:rPr>
          <w:sz w:val="20"/>
          <w:szCs w:val="20"/>
          <w:lang w:val="fr-CA"/>
        </w:rPr>
      </w:pPr>
    </w:p>
    <w:p w:rsidR="00FE43CC" w:rsidRDefault="00AB3236" w:rsidP="00FE43CC">
      <w:pPr>
        <w:rPr>
          <w:sz w:val="20"/>
          <w:szCs w:val="20"/>
          <w:lang w:val="fr-CA"/>
        </w:rPr>
      </w:pPr>
      <w:r w:rsidRPr="00AB3236">
        <w:rPr>
          <w:sz w:val="20"/>
          <w:szCs w:val="20"/>
          <w:lang w:val="fr-CA"/>
        </w:rPr>
        <w:pict>
          <v:rect id="_x0000_i1037"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77989" w:rsidRPr="00A77989" w:rsidTr="004B78B6">
        <w:trPr>
          <w:cantSplit/>
        </w:trPr>
        <w:tc>
          <w:tcPr>
            <w:tcW w:w="1458" w:type="dxa"/>
          </w:tcPr>
          <w:p w:rsidR="00A77989" w:rsidRPr="00A77989" w:rsidRDefault="00A77989" w:rsidP="004B78B6">
            <w:pPr>
              <w:rPr>
                <w:rFonts w:cs="Times New Roman"/>
                <w:sz w:val="20"/>
                <w:szCs w:val="20"/>
              </w:rPr>
            </w:pPr>
            <w:r w:rsidRPr="00A77989">
              <w:rPr>
                <w:rStyle w:val="SCCFileNumberChar"/>
                <w:sz w:val="20"/>
                <w:szCs w:val="20"/>
              </w:rPr>
              <w:t>34041</w:t>
            </w:r>
          </w:p>
          <w:p w:rsidR="00A77989" w:rsidRPr="00A77989" w:rsidRDefault="00A77989" w:rsidP="004B78B6">
            <w:pPr>
              <w:rPr>
                <w:rFonts w:cs="Times New Roman"/>
                <w:b/>
                <w:sz w:val="20"/>
                <w:szCs w:val="20"/>
                <w:lang w:val="fr-CA"/>
              </w:rPr>
            </w:pPr>
          </w:p>
        </w:tc>
        <w:tc>
          <w:tcPr>
            <w:tcW w:w="8118" w:type="dxa"/>
          </w:tcPr>
          <w:p w:rsidR="00A77989" w:rsidRPr="00A77989" w:rsidRDefault="00A77989" w:rsidP="00A77989">
            <w:pPr>
              <w:jc w:val="both"/>
              <w:rPr>
                <w:rFonts w:cs="Times New Roman"/>
                <w:sz w:val="20"/>
                <w:szCs w:val="20"/>
              </w:rPr>
            </w:pPr>
            <w:r w:rsidRPr="00A77989">
              <w:rPr>
                <w:rStyle w:val="SCCLsocChar"/>
                <w:rFonts w:cs="Times New Roman"/>
                <w:sz w:val="20"/>
                <w:szCs w:val="20"/>
                <w:lang w:val="en-CA"/>
              </w:rPr>
              <w:t>Frederick Moore on behalf of Jeffrey P. Moore v. Her Majesty the Queen in Right of the Province of British Columbia as represented by the Ministry of Education</w:t>
            </w:r>
            <w:r w:rsidR="00240F54">
              <w:rPr>
                <w:rStyle w:val="SCCLsocChar"/>
                <w:rFonts w:cs="Times New Roman"/>
                <w:sz w:val="20"/>
                <w:szCs w:val="20"/>
                <w:lang w:val="en-CA"/>
              </w:rPr>
              <w:t xml:space="preserve"> and</w:t>
            </w:r>
            <w:r w:rsidRPr="00A77989">
              <w:rPr>
                <w:rStyle w:val="SCCLsocChar"/>
                <w:rFonts w:cs="Times New Roman"/>
                <w:sz w:val="20"/>
                <w:szCs w:val="20"/>
                <w:lang w:val="en-CA"/>
              </w:rPr>
              <w:t xml:space="preserve"> Board of Education of School District No.44 (North Vancouver) formerly known as The Board of School Trustees of School District No.44 (North Vancouver)</w:t>
            </w:r>
            <w:r w:rsidRPr="00A77989">
              <w:rPr>
                <w:rFonts w:cs="Times New Roman"/>
                <w:sz w:val="20"/>
                <w:szCs w:val="20"/>
              </w:rPr>
              <w:t xml:space="preserve"> (B.C.) (Civil) (By Leave)</w:t>
            </w:r>
          </w:p>
          <w:p w:rsidR="00A77989" w:rsidRPr="00A77989" w:rsidRDefault="00A77989" w:rsidP="004B78B6">
            <w:pPr>
              <w:rPr>
                <w:rFonts w:cs="Times New Roman"/>
                <w:sz w:val="20"/>
                <w:szCs w:val="20"/>
              </w:rPr>
            </w:pPr>
          </w:p>
        </w:tc>
      </w:tr>
      <w:tr w:rsidR="00A77989" w:rsidRPr="00A77989" w:rsidTr="004B78B6">
        <w:trPr>
          <w:cantSplit/>
        </w:trPr>
        <w:tc>
          <w:tcPr>
            <w:tcW w:w="1458" w:type="dxa"/>
          </w:tcPr>
          <w:p w:rsidR="00A77989" w:rsidRPr="00A77989" w:rsidRDefault="00A77989" w:rsidP="004B78B6">
            <w:pPr>
              <w:rPr>
                <w:rFonts w:cs="Times New Roman"/>
                <w:sz w:val="20"/>
                <w:szCs w:val="20"/>
              </w:rPr>
            </w:pPr>
            <w:r w:rsidRPr="00A77989">
              <w:rPr>
                <w:rFonts w:cs="Times New Roman"/>
                <w:sz w:val="20"/>
                <w:szCs w:val="20"/>
              </w:rPr>
              <w:t>Coram :</w:t>
            </w:r>
          </w:p>
        </w:tc>
        <w:tc>
          <w:tcPr>
            <w:tcW w:w="8118" w:type="dxa"/>
          </w:tcPr>
          <w:p w:rsidR="00A77989" w:rsidRPr="00A77989" w:rsidRDefault="00A77989" w:rsidP="004B78B6">
            <w:pPr>
              <w:rPr>
                <w:rFonts w:cs="Times New Roman"/>
                <w:sz w:val="20"/>
                <w:szCs w:val="20"/>
              </w:rPr>
            </w:pPr>
            <w:r w:rsidRPr="00A77989">
              <w:rPr>
                <w:rStyle w:val="SCCCoramChar"/>
                <w:rFonts w:cs="Times New Roman"/>
                <w:sz w:val="20"/>
                <w:szCs w:val="20"/>
                <w:lang w:val="en-CA"/>
              </w:rPr>
              <w:t>McLachlin C.J. and Deschamps and Charron JJ.</w:t>
            </w:r>
          </w:p>
          <w:p w:rsidR="00A77989" w:rsidRPr="00A77989" w:rsidRDefault="00A77989" w:rsidP="004B78B6">
            <w:pPr>
              <w:rPr>
                <w:rFonts w:cs="Times New Roman"/>
                <w:sz w:val="20"/>
                <w:szCs w:val="20"/>
                <w:u w:val="single"/>
              </w:rPr>
            </w:pPr>
          </w:p>
        </w:tc>
      </w:tr>
      <w:tr w:rsidR="00A77989" w:rsidRPr="00A77989" w:rsidTr="004B78B6">
        <w:trPr>
          <w:cantSplit/>
        </w:trPr>
        <w:tc>
          <w:tcPr>
            <w:tcW w:w="9576" w:type="dxa"/>
            <w:gridSpan w:val="2"/>
          </w:tcPr>
          <w:p w:rsidR="00A77989" w:rsidRPr="00A77989" w:rsidRDefault="00F67ABC" w:rsidP="004B78B6">
            <w:pPr>
              <w:pStyle w:val="SCCShortJudgment"/>
              <w:rPr>
                <w:rFonts w:cs="Times New Roman"/>
                <w:szCs w:val="20"/>
              </w:rPr>
            </w:pPr>
            <w:r>
              <w:t xml:space="preserve">The motions for an extension of time to serve and file the application for leave to appeal and the respondents’ response are granted without costs.  </w:t>
            </w:r>
            <w:r w:rsidR="00A77989" w:rsidRPr="00A77989">
              <w:rPr>
                <w:rFonts w:cs="Times New Roman"/>
                <w:szCs w:val="20"/>
              </w:rPr>
              <w:t>The application for leave to appeal from the judgment of the Court of Appeal for British Columbia (Vancouver), Number CA035937, 2010 BCCA 478, dated October 29, 2010, is granted without costs.</w:t>
            </w:r>
          </w:p>
          <w:p w:rsidR="00A77989" w:rsidRPr="00A77989" w:rsidRDefault="00A77989" w:rsidP="004B78B6">
            <w:pPr>
              <w:pStyle w:val="SCCShortJudgment"/>
              <w:ind w:firstLine="0"/>
              <w:rPr>
                <w:rFonts w:cs="Times New Roman"/>
                <w:szCs w:val="20"/>
              </w:rPr>
            </w:pPr>
          </w:p>
          <w:p w:rsidR="00A77989" w:rsidRPr="00A77989" w:rsidRDefault="00F67ABC" w:rsidP="00A77989">
            <w:pPr>
              <w:pStyle w:val="SCCShortJudgment"/>
              <w:rPr>
                <w:rFonts w:cs="Times New Roman"/>
                <w:szCs w:val="20"/>
                <w:lang w:val="fr-CA"/>
              </w:rPr>
            </w:pPr>
            <w:r>
              <w:rPr>
                <w:lang w:val="fr-CA"/>
              </w:rPr>
              <w:t>L</w:t>
            </w:r>
            <w:r w:rsidRPr="00CB23E5">
              <w:rPr>
                <w:lang w:val="fr-CA"/>
              </w:rPr>
              <w:t>es</w:t>
            </w:r>
            <w:r>
              <w:rPr>
                <w:lang w:val="fr-CA"/>
              </w:rPr>
              <w:t xml:space="preserve"> requ</w:t>
            </w:r>
            <w:r>
              <w:rPr>
                <w:rFonts w:cs="Times New Roman"/>
                <w:lang w:val="fr-CA"/>
              </w:rPr>
              <w:t>êt</w:t>
            </w:r>
            <w:r>
              <w:rPr>
                <w:lang w:val="fr-CA"/>
              </w:rPr>
              <w:t>e</w:t>
            </w:r>
            <w:r w:rsidRPr="00CB23E5">
              <w:rPr>
                <w:lang w:val="fr-CA"/>
              </w:rPr>
              <w:t>s</w:t>
            </w:r>
            <w:r>
              <w:rPr>
                <w:lang w:val="fr-CA"/>
              </w:rPr>
              <w:t xml:space="preserve"> en prorogation du d</w:t>
            </w:r>
            <w:r>
              <w:rPr>
                <w:rFonts w:cs="Times New Roman"/>
                <w:lang w:val="fr-CA"/>
              </w:rPr>
              <w:t>é</w:t>
            </w:r>
            <w:r>
              <w:rPr>
                <w:lang w:val="fr-CA"/>
              </w:rPr>
              <w:t>lai de signification et de d</w:t>
            </w:r>
            <w:r>
              <w:rPr>
                <w:rFonts w:cs="Times New Roman"/>
                <w:lang w:val="fr-CA"/>
              </w:rPr>
              <w:t>é</w:t>
            </w:r>
            <w:r>
              <w:rPr>
                <w:lang w:val="fr-CA"/>
              </w:rPr>
              <w:t>p</w:t>
            </w:r>
            <w:r>
              <w:rPr>
                <w:rFonts w:cs="Times New Roman"/>
                <w:lang w:val="fr-CA"/>
              </w:rPr>
              <w:t>ô</w:t>
            </w:r>
            <w:r>
              <w:rPr>
                <w:lang w:val="fr-CA"/>
              </w:rPr>
              <w:t>t de la demande d’autorisation d’appel et de la réponse des intimés sont accord</w:t>
            </w:r>
            <w:r>
              <w:rPr>
                <w:rFonts w:cs="Times New Roman"/>
                <w:lang w:val="fr-CA"/>
              </w:rPr>
              <w:t>é</w:t>
            </w:r>
            <w:r>
              <w:rPr>
                <w:lang w:val="fr-CA"/>
              </w:rPr>
              <w:t>e</w:t>
            </w:r>
            <w:r w:rsidRPr="00CB23E5">
              <w:rPr>
                <w:lang w:val="fr-CA"/>
              </w:rPr>
              <w:t>s</w:t>
            </w:r>
            <w:r>
              <w:rPr>
                <w:lang w:val="fr-CA"/>
              </w:rPr>
              <w:t xml:space="preserve"> sans dépens.  </w:t>
            </w:r>
            <w:r w:rsidR="00A77989" w:rsidRPr="00A77989">
              <w:rPr>
                <w:rFonts w:cs="Times New Roman"/>
                <w:szCs w:val="20"/>
                <w:lang w:val="fr-CA"/>
              </w:rPr>
              <w:t>La demande d’autorisation d’appel de l’arrêt de la Cour d’appel de la Colombie-Britannique (Vancouver), numéro CA035937, 2010 BCCA 478, daté du 29 octobre 2010, est accordée sans dépens.</w:t>
            </w:r>
          </w:p>
        </w:tc>
      </w:tr>
    </w:tbl>
    <w:p w:rsidR="00A77989" w:rsidRPr="00A77989" w:rsidRDefault="00A77989"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809"/>
        <w:gridCol w:w="278"/>
        <w:gridCol w:w="4440"/>
      </w:tblGrid>
      <w:tr w:rsidR="006F3A5B" w:rsidRPr="00E6448B" w:rsidTr="002F0EB9">
        <w:tc>
          <w:tcPr>
            <w:tcW w:w="5000" w:type="pct"/>
            <w:gridSpan w:val="3"/>
          </w:tcPr>
          <w:p w:rsidR="006F3A5B" w:rsidRPr="00E6448B" w:rsidRDefault="006F3A5B" w:rsidP="002F0EB9">
            <w:pPr>
              <w:jc w:val="both"/>
              <w:rPr>
                <w:rFonts w:eastAsia="Calibri"/>
                <w:sz w:val="20"/>
              </w:rPr>
            </w:pPr>
            <w:r w:rsidRPr="00E6448B">
              <w:rPr>
                <w:rFonts w:eastAsia="Calibri"/>
                <w:sz w:val="20"/>
              </w:rPr>
              <w:t xml:space="preserve">Human Rights — Discriminatory practices — Duty to accommodate — Mental or physical disability — Right to equality — Goods and services — Right to dignity — British Columbia Human Rights Tribunal (the “Tribunal”) finding </w:t>
            </w:r>
            <w:r w:rsidRPr="00E6448B">
              <w:rPr>
                <w:rFonts w:eastAsia="Calibri"/>
                <w:i/>
                <w:sz w:val="20"/>
              </w:rPr>
              <w:t>prima facie</w:t>
            </w:r>
            <w:r w:rsidRPr="00E6448B">
              <w:rPr>
                <w:rFonts w:eastAsia="Calibri"/>
                <w:sz w:val="20"/>
              </w:rPr>
              <w:t xml:space="preserve"> individual and systemic discrimination when the respondents failed to ensure that the needs of the applicant’s dyslexic son and other severely learning disabled (“SLD”) students were appropriately accommodated — Reviewing judge quashing tribunal decision on the basis that the tribunal incorrectly identified the “service that was customarily available to the public” and the comparator group, and that there was insufficient evidence for a discrimination analysis — Appellate majority finding applicant had not established that the accommodation his son received was below the legislative standard — How is the “service” in “service customarily available to the public” statutory human rights provisions construed — Did the majority of the BC Court of Appeal err by taking an overly narrow approach that undermines human rights protections — How is the comparator chosen under statutory human rights legislation — Did the majority of the BC Court of Appeal err in interpreting </w:t>
            </w:r>
            <w:r w:rsidRPr="00E6448B">
              <w:rPr>
                <w:rFonts w:eastAsia="Calibri"/>
                <w:i/>
                <w:sz w:val="20"/>
              </w:rPr>
              <w:t>Auton (Guardian ad Litem of) v. British Columbia (Attorney General)</w:t>
            </w:r>
            <w:r w:rsidRPr="00E6448B">
              <w:rPr>
                <w:rFonts w:eastAsia="Calibri"/>
                <w:sz w:val="20"/>
              </w:rPr>
              <w:t xml:space="preserve">, 2004 SCC 78, [2004] 3 S.C.R. 657, as mandating a narrow approach to the comparator group that undermines statutory human rights protections, such that persons with disabilities can only compare themselves to others with disabilities — </w:t>
            </w:r>
            <w:r w:rsidRPr="00E6448B">
              <w:rPr>
                <w:rFonts w:eastAsia="Calibri"/>
                <w:i/>
                <w:sz w:val="20"/>
              </w:rPr>
              <w:t>Human Rights Code</w:t>
            </w:r>
            <w:r w:rsidRPr="00E6448B">
              <w:rPr>
                <w:rFonts w:eastAsia="Calibri"/>
                <w:sz w:val="20"/>
              </w:rPr>
              <w:t>, R.S.B.C. 1996, c. 210 (the “</w:t>
            </w:r>
            <w:r w:rsidRPr="00E6448B">
              <w:rPr>
                <w:rFonts w:eastAsia="Calibri"/>
                <w:i/>
                <w:sz w:val="20"/>
              </w:rPr>
              <w:t>Code</w:t>
            </w:r>
            <w:r w:rsidRPr="00E6448B">
              <w:rPr>
                <w:rFonts w:eastAsia="Calibri"/>
                <w:sz w:val="20"/>
              </w:rPr>
              <w:t>”), s. 8.</w:t>
            </w:r>
          </w:p>
          <w:p w:rsidR="006F3A5B" w:rsidRPr="00E6448B" w:rsidRDefault="006F3A5B" w:rsidP="002F0EB9">
            <w:pPr>
              <w:jc w:val="both"/>
              <w:rPr>
                <w:rFonts w:eastAsia="Calibri"/>
                <w:sz w:val="20"/>
              </w:rPr>
            </w:pPr>
          </w:p>
        </w:tc>
      </w:tr>
      <w:tr w:rsidR="006F3A5B" w:rsidRPr="00E6448B" w:rsidTr="002F0EB9">
        <w:tc>
          <w:tcPr>
            <w:tcW w:w="5000" w:type="pct"/>
            <w:gridSpan w:val="3"/>
          </w:tcPr>
          <w:p w:rsidR="006F3A5B" w:rsidRPr="00E6448B" w:rsidRDefault="006F3A5B" w:rsidP="002F0EB9">
            <w:pPr>
              <w:jc w:val="both"/>
              <w:rPr>
                <w:rFonts w:eastAsia="Calibri"/>
                <w:sz w:val="20"/>
              </w:rPr>
            </w:pPr>
            <w:r w:rsidRPr="00E6448B">
              <w:rPr>
                <w:rFonts w:eastAsia="Calibri"/>
                <w:sz w:val="20"/>
              </w:rPr>
              <w:t xml:space="preserve">Two complaints were filed by the applicant alleging individual and systemic discrimination by The Board of Trustees School Division No. 44 (North Vancouver) (the “District”) and Her Majesty the Queen in Right of the Province of British Columbia as represented by the Ministry of Education (the “Ministry”), for failing to accommodate his son’s severe learning disability (dyslexia) in the provision of his education program, contrary to s. 8 of the </w:t>
            </w:r>
            <w:r w:rsidRPr="00E6448B">
              <w:rPr>
                <w:rFonts w:eastAsia="Calibri"/>
                <w:i/>
                <w:sz w:val="20"/>
              </w:rPr>
              <w:t>Code</w:t>
            </w:r>
            <w:r w:rsidRPr="00E6448B">
              <w:rPr>
                <w:rFonts w:eastAsia="Calibri"/>
                <w:sz w:val="20"/>
              </w:rPr>
              <w:t xml:space="preserve">.  The Tribunal found </w:t>
            </w:r>
            <w:r w:rsidRPr="00E6448B">
              <w:rPr>
                <w:rFonts w:eastAsia="Calibri"/>
                <w:i/>
                <w:sz w:val="20"/>
              </w:rPr>
              <w:t>prima facie</w:t>
            </w:r>
            <w:r w:rsidRPr="00E6448B">
              <w:rPr>
                <w:rFonts w:eastAsia="Calibri"/>
                <w:sz w:val="20"/>
              </w:rPr>
              <w:t xml:space="preserve"> individual discrimination when the District and the Ministry failed to ensure that the son’s disability needs were appropriately accommodated when he was not provided with sufficiently early or intensive and </w:t>
            </w:r>
            <w:r w:rsidRPr="00E6448B">
              <w:rPr>
                <w:rFonts w:eastAsia="Calibri"/>
                <w:sz w:val="20"/>
              </w:rPr>
              <w:lastRenderedPageBreak/>
              <w:t xml:space="preserve">effective remediation.  There was </w:t>
            </w:r>
            <w:r w:rsidRPr="00E6448B">
              <w:rPr>
                <w:rFonts w:eastAsia="Calibri"/>
                <w:i/>
                <w:sz w:val="20"/>
              </w:rPr>
              <w:t>prima facie</w:t>
            </w:r>
            <w:r w:rsidRPr="00E6448B">
              <w:rPr>
                <w:rFonts w:eastAsia="Calibri"/>
                <w:sz w:val="20"/>
              </w:rPr>
              <w:t xml:space="preserve"> systemic discrimination by the District when it cut services to SLD students disproportionately, without analyzing the impact on them or ensuring that there were sufficient alternative services in place.  There was </w:t>
            </w:r>
            <w:r w:rsidRPr="00E6448B">
              <w:rPr>
                <w:rFonts w:eastAsia="Calibri"/>
                <w:i/>
                <w:sz w:val="20"/>
              </w:rPr>
              <w:t>prima facie</w:t>
            </w:r>
            <w:r w:rsidRPr="00E6448B">
              <w:rPr>
                <w:rFonts w:eastAsia="Calibri"/>
                <w:sz w:val="20"/>
              </w:rPr>
              <w:t xml:space="preserve"> systemic discrimination by the Ministry when it under-funded the actual incidence of SLD students by imposition of a cap on funding for “high incidence/low cost” disabled students, when it under-funded the District resulting in significant cuts to services to SLD students, when it focussed its monitoring only on spending and fiscal concerns, and when it failed to ensure that early intervention and a range of services for SLD students was mandatory. Neither the District nor the Ministry were found to have established undue hardship. </w:t>
            </w:r>
          </w:p>
          <w:p w:rsidR="006F3A5B" w:rsidRPr="00E6448B" w:rsidRDefault="006F3A5B" w:rsidP="002F0EB9">
            <w:pPr>
              <w:jc w:val="both"/>
              <w:rPr>
                <w:rFonts w:eastAsia="Calibri"/>
                <w:sz w:val="20"/>
              </w:rPr>
            </w:pPr>
          </w:p>
        </w:tc>
      </w:tr>
      <w:tr w:rsidR="006F3A5B" w:rsidRPr="00E6448B" w:rsidTr="008813F0">
        <w:trPr>
          <w:cantSplit/>
        </w:trPr>
        <w:tc>
          <w:tcPr>
            <w:tcW w:w="2524" w:type="pct"/>
          </w:tcPr>
          <w:p w:rsidR="006F3A5B" w:rsidRPr="00E6448B" w:rsidRDefault="006F3A5B" w:rsidP="002F0EB9">
            <w:pPr>
              <w:jc w:val="both"/>
              <w:rPr>
                <w:rFonts w:eastAsia="Calibri"/>
                <w:sz w:val="20"/>
              </w:rPr>
            </w:pPr>
            <w:r w:rsidRPr="00E6448B">
              <w:rPr>
                <w:rFonts w:eastAsia="Calibri"/>
                <w:sz w:val="20"/>
              </w:rPr>
              <w:lastRenderedPageBreak/>
              <w:t>February 29, 2008</w:t>
            </w:r>
          </w:p>
          <w:p w:rsidR="006F3A5B" w:rsidRPr="00E6448B" w:rsidRDefault="006F3A5B" w:rsidP="002F0EB9">
            <w:pPr>
              <w:jc w:val="both"/>
              <w:rPr>
                <w:rFonts w:eastAsia="Calibri"/>
                <w:sz w:val="20"/>
              </w:rPr>
            </w:pPr>
            <w:r w:rsidRPr="00E6448B">
              <w:rPr>
                <w:rFonts w:eastAsia="Calibri"/>
                <w:sz w:val="20"/>
              </w:rPr>
              <w:t>Supreme Court of British Columbia</w:t>
            </w:r>
          </w:p>
          <w:p w:rsidR="006F3A5B" w:rsidRPr="00E6448B" w:rsidRDefault="006F3A5B" w:rsidP="002F0EB9">
            <w:pPr>
              <w:jc w:val="both"/>
              <w:rPr>
                <w:rFonts w:eastAsia="Calibri"/>
                <w:sz w:val="20"/>
              </w:rPr>
            </w:pPr>
            <w:r w:rsidRPr="00E6448B">
              <w:rPr>
                <w:rFonts w:eastAsia="Calibri"/>
                <w:sz w:val="20"/>
              </w:rPr>
              <w:t>(Dillon J.)</w:t>
            </w:r>
          </w:p>
          <w:p w:rsidR="006F3A5B" w:rsidRPr="00E6448B" w:rsidRDefault="006F3A5B" w:rsidP="002F0EB9">
            <w:pPr>
              <w:jc w:val="both"/>
              <w:rPr>
                <w:rFonts w:eastAsia="Calibri"/>
                <w:sz w:val="20"/>
              </w:rPr>
            </w:pPr>
            <w:r w:rsidRPr="00E6448B">
              <w:rPr>
                <w:rFonts w:eastAsia="Calibri"/>
                <w:sz w:val="20"/>
              </w:rPr>
              <w:t>2008 BCSC 264; S061120</w:t>
            </w:r>
          </w:p>
          <w:p w:rsidR="006F3A5B" w:rsidRPr="00E6448B" w:rsidRDefault="006F3A5B" w:rsidP="002F0EB9">
            <w:pPr>
              <w:jc w:val="both"/>
              <w:rPr>
                <w:rFonts w:eastAsia="Calibri"/>
                <w:sz w:val="20"/>
              </w:rPr>
            </w:pPr>
          </w:p>
        </w:tc>
        <w:tc>
          <w:tcPr>
            <w:tcW w:w="146" w:type="pct"/>
          </w:tcPr>
          <w:p w:rsidR="006F3A5B" w:rsidRPr="00E6448B" w:rsidRDefault="006F3A5B" w:rsidP="002F0EB9">
            <w:pPr>
              <w:jc w:val="both"/>
              <w:rPr>
                <w:rFonts w:eastAsia="Calibri"/>
                <w:sz w:val="20"/>
              </w:rPr>
            </w:pPr>
          </w:p>
        </w:tc>
        <w:tc>
          <w:tcPr>
            <w:tcW w:w="2330" w:type="pct"/>
          </w:tcPr>
          <w:p w:rsidR="006F3A5B" w:rsidRPr="00E6448B" w:rsidRDefault="006F3A5B" w:rsidP="002F0EB9">
            <w:pPr>
              <w:jc w:val="both"/>
              <w:rPr>
                <w:rFonts w:eastAsia="Calibri"/>
                <w:sz w:val="20"/>
              </w:rPr>
            </w:pPr>
            <w:r w:rsidRPr="00E6448B">
              <w:rPr>
                <w:rFonts w:eastAsia="Calibri"/>
                <w:sz w:val="20"/>
              </w:rPr>
              <w:t>Petition by the District allowed and the Tribunal’s decision quashed</w:t>
            </w:r>
          </w:p>
          <w:p w:rsidR="006F3A5B" w:rsidRPr="00E6448B" w:rsidRDefault="006F3A5B" w:rsidP="002F0EB9">
            <w:pPr>
              <w:jc w:val="both"/>
              <w:rPr>
                <w:rFonts w:eastAsia="Calibri"/>
                <w:sz w:val="20"/>
              </w:rPr>
            </w:pPr>
          </w:p>
        </w:tc>
      </w:tr>
      <w:tr w:rsidR="006F3A5B" w:rsidRPr="00E6448B" w:rsidTr="008813F0">
        <w:trPr>
          <w:cantSplit/>
        </w:trPr>
        <w:tc>
          <w:tcPr>
            <w:tcW w:w="2524" w:type="pct"/>
          </w:tcPr>
          <w:p w:rsidR="006F3A5B" w:rsidRPr="00E6448B" w:rsidRDefault="006F3A5B" w:rsidP="002F0EB9">
            <w:pPr>
              <w:jc w:val="both"/>
              <w:rPr>
                <w:rFonts w:eastAsia="Calibri"/>
                <w:sz w:val="20"/>
              </w:rPr>
            </w:pPr>
            <w:r w:rsidRPr="00E6448B">
              <w:rPr>
                <w:rFonts w:eastAsia="Calibri"/>
                <w:sz w:val="20"/>
              </w:rPr>
              <w:t>October 29, 2010</w:t>
            </w:r>
          </w:p>
          <w:p w:rsidR="006F3A5B" w:rsidRPr="00E6448B" w:rsidRDefault="006F3A5B" w:rsidP="002F0EB9">
            <w:pPr>
              <w:jc w:val="both"/>
              <w:rPr>
                <w:rFonts w:eastAsia="Calibri"/>
                <w:sz w:val="20"/>
              </w:rPr>
            </w:pPr>
            <w:r w:rsidRPr="00E6448B">
              <w:rPr>
                <w:rFonts w:eastAsia="Calibri"/>
                <w:sz w:val="20"/>
              </w:rPr>
              <w:t xml:space="preserve">Court of Appeal for British Columbia </w:t>
            </w:r>
          </w:p>
          <w:p w:rsidR="006F3A5B" w:rsidRPr="00E6448B" w:rsidRDefault="006F3A5B" w:rsidP="002F0EB9">
            <w:pPr>
              <w:jc w:val="both"/>
              <w:rPr>
                <w:rFonts w:eastAsia="Calibri"/>
                <w:sz w:val="20"/>
              </w:rPr>
            </w:pPr>
            <w:r w:rsidRPr="00E6448B">
              <w:rPr>
                <w:rFonts w:eastAsia="Calibri"/>
                <w:sz w:val="20"/>
              </w:rPr>
              <w:t>(Vancouver)</w:t>
            </w:r>
          </w:p>
          <w:p w:rsidR="006F3A5B" w:rsidRPr="00E6448B" w:rsidRDefault="006F3A5B" w:rsidP="002F0EB9">
            <w:pPr>
              <w:jc w:val="both"/>
              <w:rPr>
                <w:rFonts w:eastAsia="Calibri"/>
                <w:sz w:val="20"/>
              </w:rPr>
            </w:pPr>
            <w:r w:rsidRPr="00E6448B">
              <w:rPr>
                <w:rFonts w:eastAsia="Calibri"/>
                <w:sz w:val="20"/>
              </w:rPr>
              <w:t>(Rowles (dissenting), Saunders and Low JJ.A.)</w:t>
            </w:r>
          </w:p>
          <w:p w:rsidR="006F3A5B" w:rsidRPr="00E6448B" w:rsidRDefault="006F3A5B" w:rsidP="002F0EB9">
            <w:pPr>
              <w:jc w:val="both"/>
              <w:rPr>
                <w:rFonts w:eastAsia="Calibri"/>
                <w:sz w:val="20"/>
              </w:rPr>
            </w:pPr>
            <w:r w:rsidRPr="00E6448B">
              <w:rPr>
                <w:rFonts w:eastAsia="Calibri"/>
                <w:sz w:val="20"/>
              </w:rPr>
              <w:t>2010 BCCA 478; CA035937</w:t>
            </w:r>
          </w:p>
          <w:p w:rsidR="006F3A5B" w:rsidRPr="00E6448B" w:rsidRDefault="006F3A5B" w:rsidP="002F0EB9">
            <w:pPr>
              <w:jc w:val="both"/>
              <w:rPr>
                <w:rFonts w:eastAsia="Calibri"/>
                <w:sz w:val="20"/>
              </w:rPr>
            </w:pPr>
          </w:p>
        </w:tc>
        <w:tc>
          <w:tcPr>
            <w:tcW w:w="146" w:type="pct"/>
          </w:tcPr>
          <w:p w:rsidR="006F3A5B" w:rsidRPr="00E6448B" w:rsidRDefault="006F3A5B" w:rsidP="002F0EB9">
            <w:pPr>
              <w:jc w:val="both"/>
              <w:rPr>
                <w:rFonts w:eastAsia="Calibri"/>
                <w:sz w:val="20"/>
              </w:rPr>
            </w:pPr>
          </w:p>
        </w:tc>
        <w:tc>
          <w:tcPr>
            <w:tcW w:w="2330" w:type="pct"/>
          </w:tcPr>
          <w:p w:rsidR="006F3A5B" w:rsidRPr="00E6448B" w:rsidRDefault="006F3A5B" w:rsidP="002F0EB9">
            <w:pPr>
              <w:jc w:val="both"/>
              <w:rPr>
                <w:rFonts w:eastAsia="Calibri"/>
                <w:sz w:val="20"/>
              </w:rPr>
            </w:pPr>
            <w:r w:rsidRPr="00E6448B">
              <w:rPr>
                <w:rFonts w:eastAsia="Calibri"/>
                <w:sz w:val="20"/>
              </w:rPr>
              <w:t>Appeal dismissed</w:t>
            </w:r>
          </w:p>
          <w:p w:rsidR="006F3A5B" w:rsidRPr="00E6448B" w:rsidRDefault="006F3A5B" w:rsidP="002F0EB9">
            <w:pPr>
              <w:jc w:val="both"/>
              <w:rPr>
                <w:rFonts w:eastAsia="Calibri"/>
                <w:sz w:val="20"/>
              </w:rPr>
            </w:pPr>
          </w:p>
        </w:tc>
      </w:tr>
      <w:tr w:rsidR="006F3A5B" w:rsidRPr="00E6448B" w:rsidTr="008813F0">
        <w:trPr>
          <w:cantSplit/>
        </w:trPr>
        <w:tc>
          <w:tcPr>
            <w:tcW w:w="2524" w:type="pct"/>
          </w:tcPr>
          <w:p w:rsidR="006F3A5B" w:rsidRPr="00E6448B" w:rsidRDefault="006F3A5B" w:rsidP="002F0EB9">
            <w:pPr>
              <w:jc w:val="both"/>
              <w:rPr>
                <w:rFonts w:eastAsia="Calibri"/>
                <w:sz w:val="20"/>
              </w:rPr>
            </w:pPr>
            <w:r w:rsidRPr="00E6448B">
              <w:rPr>
                <w:rFonts w:eastAsia="Calibri"/>
                <w:sz w:val="20"/>
              </w:rPr>
              <w:t>January 11, 2011</w:t>
            </w:r>
          </w:p>
          <w:p w:rsidR="006F3A5B" w:rsidRPr="00E6448B" w:rsidRDefault="006F3A5B" w:rsidP="002F0EB9">
            <w:pPr>
              <w:jc w:val="both"/>
              <w:rPr>
                <w:rFonts w:eastAsia="Calibri"/>
                <w:sz w:val="20"/>
              </w:rPr>
            </w:pPr>
            <w:r w:rsidRPr="00E6448B">
              <w:rPr>
                <w:rFonts w:eastAsia="Calibri"/>
                <w:sz w:val="20"/>
              </w:rPr>
              <w:t>Supreme Court of Canada</w:t>
            </w:r>
          </w:p>
        </w:tc>
        <w:tc>
          <w:tcPr>
            <w:tcW w:w="146" w:type="pct"/>
          </w:tcPr>
          <w:p w:rsidR="006F3A5B" w:rsidRPr="00E6448B" w:rsidRDefault="006F3A5B" w:rsidP="002F0EB9">
            <w:pPr>
              <w:jc w:val="both"/>
              <w:rPr>
                <w:rFonts w:eastAsia="Calibri"/>
                <w:sz w:val="20"/>
              </w:rPr>
            </w:pPr>
          </w:p>
        </w:tc>
        <w:tc>
          <w:tcPr>
            <w:tcW w:w="2330" w:type="pct"/>
          </w:tcPr>
          <w:p w:rsidR="006F3A5B" w:rsidRPr="00E6448B" w:rsidRDefault="006F3A5B" w:rsidP="002F0EB9">
            <w:pPr>
              <w:jc w:val="both"/>
              <w:rPr>
                <w:rFonts w:eastAsia="Calibri"/>
                <w:sz w:val="20"/>
              </w:rPr>
            </w:pPr>
            <w:r w:rsidRPr="00E6448B">
              <w:rPr>
                <w:rFonts w:eastAsia="Calibri"/>
                <w:sz w:val="20"/>
              </w:rPr>
              <w:t>Motion for an extension of time and 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38"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0A0"/>
      </w:tblPr>
      <w:tblGrid>
        <w:gridCol w:w="4809"/>
        <w:gridCol w:w="278"/>
        <w:gridCol w:w="4440"/>
      </w:tblGrid>
      <w:tr w:rsidR="006F3A5B" w:rsidRPr="00A77989" w:rsidTr="002F0EB9">
        <w:tc>
          <w:tcPr>
            <w:tcW w:w="5000" w:type="pct"/>
            <w:gridSpan w:val="3"/>
          </w:tcPr>
          <w:p w:rsidR="006F3A5B" w:rsidRPr="00E6448B" w:rsidRDefault="006F3A5B" w:rsidP="002F0EB9">
            <w:pPr>
              <w:jc w:val="both"/>
              <w:rPr>
                <w:rFonts w:eastAsia="Calibri"/>
                <w:sz w:val="20"/>
                <w:lang w:val="fr-CA"/>
              </w:rPr>
            </w:pPr>
            <w:r w:rsidRPr="00E6448B">
              <w:rPr>
                <w:rFonts w:eastAsia="Calibri"/>
                <w:sz w:val="20"/>
                <w:lang w:val="fr-CA"/>
              </w:rPr>
              <w:t>Droits de la personne — Pratiques discriminatoires — Obligation d’accommodement — Déficience mentale ou physique — Droit à l’égalité — Biens et services — Droit à la dignité — Le tribunal des droits de la personne de la Colombie</w:t>
            </w:r>
            <w:r w:rsidRPr="00E6448B">
              <w:rPr>
                <w:rFonts w:eastAsia="Calibri"/>
                <w:sz w:val="20"/>
                <w:lang w:val="fr-CA"/>
              </w:rPr>
              <w:noBreakHyphen/>
              <w:t>Britannique (le « tribunal ») a conclu à première vue à l’existence d’une discrimination individuelle et institutionnelle</w:t>
            </w:r>
            <w:r w:rsidRPr="00E6448B">
              <w:rPr>
                <w:rFonts w:eastAsia="Calibri"/>
                <w:i/>
                <w:sz w:val="20"/>
                <w:lang w:val="fr-CA"/>
              </w:rPr>
              <w:t xml:space="preserve"> </w:t>
            </w:r>
            <w:r w:rsidRPr="00E6448B">
              <w:rPr>
                <w:rFonts w:eastAsia="Calibri"/>
                <w:sz w:val="20"/>
                <w:lang w:val="fr-CA"/>
              </w:rPr>
              <w:t>lorsque les intimés ont omis de prendre des mesures d’accommodement appropriées à l’égard des besoins du fils dyslexique du demandeur et d’autres élèves ayant de graves troubles d’apprentissage — Le juge siégeant en révision a annulé la décision du tribunal au motif que le tribunal avait mal identifié le [</w:t>
            </w:r>
            <w:r w:rsidRPr="00E6448B">
              <w:rPr>
                <w:rFonts w:eastAsia="Calibri"/>
                <w:smallCaps/>
                <w:sz w:val="20"/>
                <w:lang w:val="fr-CA"/>
              </w:rPr>
              <w:t>traduction</w:t>
            </w:r>
            <w:r w:rsidRPr="00E6448B">
              <w:rPr>
                <w:rFonts w:eastAsia="Calibri"/>
                <w:sz w:val="20"/>
                <w:lang w:val="fr-CA"/>
              </w:rPr>
              <w:t>] « service habituellement offert au public » ainsi que le groupe de comparaison et qu’il n’y avait pas assez de preuve pour faire l’analyse de la discrimination — Les juges majoritaires en appel ont conclu que le demandeur n’avait pas établi que les mesures d’accommodement prises à l’égard de son fils étaient inférieures à la norme législative — Comment doit</w:t>
            </w:r>
            <w:r w:rsidRPr="00E6448B">
              <w:rPr>
                <w:rFonts w:eastAsia="Calibri"/>
                <w:sz w:val="20"/>
                <w:lang w:val="fr-CA"/>
              </w:rPr>
              <w:noBreakHyphen/>
              <w:t>on interpréter le mot « service » dans l’expression [</w:t>
            </w:r>
            <w:r w:rsidRPr="00E6448B">
              <w:rPr>
                <w:rFonts w:eastAsia="Calibri"/>
                <w:smallCaps/>
                <w:sz w:val="20"/>
                <w:lang w:val="fr-CA"/>
              </w:rPr>
              <w:t>traduction</w:t>
            </w:r>
            <w:r w:rsidRPr="00E6448B">
              <w:rPr>
                <w:rFonts w:eastAsia="Calibri"/>
                <w:sz w:val="20"/>
                <w:lang w:val="fr-CA"/>
              </w:rPr>
              <w:t>] « service habituellement offert au public » prévue dans le texte de loi sur les droits de la personne? — Les juges majoritaires de la Cour d’appel de la Colombie</w:t>
            </w:r>
            <w:r w:rsidRPr="00E6448B">
              <w:rPr>
                <w:rFonts w:eastAsia="Calibri"/>
                <w:sz w:val="20"/>
                <w:lang w:val="fr-CA"/>
              </w:rPr>
              <w:noBreakHyphen/>
              <w:t>Britannique ont</w:t>
            </w:r>
            <w:r w:rsidRPr="00E6448B">
              <w:rPr>
                <w:rFonts w:eastAsia="Calibri"/>
                <w:sz w:val="20"/>
                <w:lang w:val="fr-CA"/>
              </w:rPr>
              <w:noBreakHyphen/>
              <w:t>ils commis une erreur en adoptant une approche trop étroite qui mine les protections des droits de la personne? — Les juges majoritaires de la Cour d’appel de la Colombie</w:t>
            </w:r>
            <w:r w:rsidRPr="00E6448B">
              <w:rPr>
                <w:rFonts w:eastAsia="Calibri"/>
                <w:sz w:val="20"/>
                <w:lang w:val="fr-CA"/>
              </w:rPr>
              <w:noBreakHyphen/>
              <w:t>Britannique ont</w:t>
            </w:r>
            <w:r w:rsidRPr="00E6448B">
              <w:rPr>
                <w:rFonts w:eastAsia="Calibri"/>
                <w:sz w:val="20"/>
                <w:lang w:val="fr-CA"/>
              </w:rPr>
              <w:noBreakHyphen/>
              <w:t xml:space="preserve">ils commis une erreur en interprétant l’arrêt </w:t>
            </w:r>
            <w:r w:rsidRPr="00E6448B">
              <w:rPr>
                <w:rFonts w:eastAsia="Calibri"/>
                <w:i/>
                <w:sz w:val="20"/>
                <w:lang w:val="fr-CA"/>
              </w:rPr>
              <w:t>Auton (Tutrice à l’instance de) c. Colombie</w:t>
            </w:r>
            <w:r w:rsidRPr="00E6448B">
              <w:rPr>
                <w:rFonts w:eastAsia="Calibri"/>
                <w:i/>
                <w:sz w:val="20"/>
                <w:lang w:val="fr-CA"/>
              </w:rPr>
              <w:noBreakHyphen/>
              <w:t>Britannique (Procureur général)</w:t>
            </w:r>
            <w:r w:rsidRPr="00E6448B">
              <w:rPr>
                <w:rFonts w:eastAsia="Calibri"/>
                <w:sz w:val="20"/>
                <w:lang w:val="fr-CA"/>
              </w:rPr>
              <w:t xml:space="preserve">, 2004 CSC 78, [2004] 3 R.C.S. 657, comme prescrivant une analyse étroite du groupe de comparaison qui mine les protections légales des droits de la personne, si bien que les personnes ayant des déficiences ne peuvent se comparer qu’à d’autres personnes ayant des déficiences? — </w:t>
            </w:r>
            <w:r w:rsidRPr="00E6448B">
              <w:rPr>
                <w:rFonts w:eastAsia="Calibri"/>
                <w:i/>
                <w:sz w:val="20"/>
                <w:lang w:val="fr-CA"/>
              </w:rPr>
              <w:t>Human Rights Code</w:t>
            </w:r>
            <w:r w:rsidRPr="00E6448B">
              <w:rPr>
                <w:rFonts w:eastAsia="Calibri"/>
                <w:sz w:val="20"/>
                <w:lang w:val="fr-CA"/>
              </w:rPr>
              <w:t>, R.S.B.C. 1996, ch. 210 (le « </w:t>
            </w:r>
            <w:r w:rsidRPr="00E6448B">
              <w:rPr>
                <w:rFonts w:eastAsia="Calibri"/>
                <w:i/>
                <w:sz w:val="20"/>
                <w:lang w:val="fr-CA"/>
              </w:rPr>
              <w:t>Code</w:t>
            </w:r>
            <w:r w:rsidRPr="00E6448B">
              <w:rPr>
                <w:rFonts w:eastAsia="Calibri"/>
                <w:sz w:val="20"/>
                <w:lang w:val="fr-CA"/>
              </w:rPr>
              <w:t> »), art. 8.</w:t>
            </w:r>
          </w:p>
          <w:p w:rsidR="006F3A5B" w:rsidRPr="00E6448B" w:rsidRDefault="006F3A5B" w:rsidP="002F0EB9">
            <w:pPr>
              <w:jc w:val="both"/>
              <w:rPr>
                <w:rFonts w:eastAsia="Calibri"/>
                <w:sz w:val="20"/>
                <w:lang w:val="fr-CA"/>
              </w:rPr>
            </w:pPr>
          </w:p>
        </w:tc>
      </w:tr>
      <w:tr w:rsidR="006F3A5B" w:rsidRPr="00A77989" w:rsidTr="002F0EB9">
        <w:tc>
          <w:tcPr>
            <w:tcW w:w="5000" w:type="pct"/>
            <w:gridSpan w:val="3"/>
          </w:tcPr>
          <w:p w:rsidR="006F3A5B" w:rsidRPr="00E6448B" w:rsidRDefault="006F3A5B" w:rsidP="002F0EB9">
            <w:pPr>
              <w:jc w:val="both"/>
              <w:rPr>
                <w:rFonts w:eastAsia="Calibri"/>
                <w:sz w:val="20"/>
                <w:lang w:val="fr-CA"/>
              </w:rPr>
            </w:pPr>
            <w:r w:rsidRPr="00E6448B">
              <w:rPr>
                <w:rFonts w:eastAsia="Calibri"/>
                <w:sz w:val="20"/>
                <w:lang w:val="fr-CA"/>
              </w:rPr>
              <w:t>Le demandeur a déposé deux plaintes dans lesquelles il allègue que The Board of Trustees School Division No. 44 (North Vancouver) (le « district ») et Sa Majesté la Reine du chef de la Province de Colombie</w:t>
            </w:r>
            <w:r w:rsidRPr="00E6448B">
              <w:rPr>
                <w:rFonts w:eastAsia="Calibri"/>
                <w:sz w:val="20"/>
                <w:lang w:val="fr-CA"/>
              </w:rPr>
              <w:noBreakHyphen/>
              <w:t xml:space="preserve">Britannique, représentée par le ministère de l’Éducation (le « ministère ») ont fait preuve de discrimination individuelle et institutionnelle, parce qu’ils n’ont pas pris de mesures d’accommodement à l’égard du grave trouble d’apprentissage (la dyslexie) de son fils dans la prestation de son programme d’éducation, contrairement à l’art. 8 du </w:t>
            </w:r>
            <w:r w:rsidRPr="00E6448B">
              <w:rPr>
                <w:rFonts w:eastAsia="Calibri"/>
                <w:i/>
                <w:sz w:val="20"/>
                <w:lang w:val="fr-CA"/>
              </w:rPr>
              <w:t>Code</w:t>
            </w:r>
            <w:r w:rsidRPr="00E6448B">
              <w:rPr>
                <w:rFonts w:eastAsia="Calibri"/>
                <w:sz w:val="20"/>
                <w:lang w:val="fr-CA"/>
              </w:rPr>
              <w:t>.  Le tribunal a conclu à première vue à l’existence de discrimination individuelle lorsque le district et le ministère ont omis de faire en sorte que des mesures d’accommodement appropriées soient prises à l’égard des besoins du fils relativement à sa déficience, c’est</w:t>
            </w:r>
            <w:r w:rsidRPr="00E6448B">
              <w:rPr>
                <w:rFonts w:eastAsia="Calibri"/>
                <w:sz w:val="20"/>
                <w:lang w:val="fr-CA"/>
              </w:rPr>
              <w:noBreakHyphen/>
              <w:t>à</w:t>
            </w:r>
            <w:r w:rsidRPr="00E6448B">
              <w:rPr>
                <w:rFonts w:eastAsia="Calibri"/>
                <w:sz w:val="20"/>
                <w:lang w:val="fr-CA"/>
              </w:rPr>
              <w:noBreakHyphen/>
              <w:t xml:space="preserve">dire de ne pas lui avoir fourni suffisamment tôt des services d’orthopédagogie </w:t>
            </w:r>
            <w:r w:rsidRPr="00E6448B">
              <w:rPr>
                <w:rFonts w:eastAsia="Calibri"/>
                <w:sz w:val="20"/>
                <w:lang w:val="fr-CA"/>
              </w:rPr>
              <w:lastRenderedPageBreak/>
              <w:t>intensifs et efficaces. Le district aurait à première vue fait preuve de discrimination institutionnelle lorsqu’il a supprimé des services aux élèves ayant de graves troubles d’apprentissage de façon disproportionnée, sans analyser les répercussions sur ces élèves ou sans assurer qu’il y avait des services de rechange suffisants en place.  Le ministère aurait à première vue fait preuve de discrimination institutionnelle lorsqu’il a sous</w:t>
            </w:r>
            <w:r w:rsidRPr="00E6448B">
              <w:rPr>
                <w:rFonts w:eastAsia="Calibri"/>
                <w:sz w:val="20"/>
                <w:lang w:val="fr-CA"/>
              </w:rPr>
              <w:noBreakHyphen/>
              <w:t>financé l’incidence réelle des élèves ayant de graves troubles d’apprentissage en imposant un plafond sur le financement affecté aux élèves ayant des déficiences [</w:t>
            </w:r>
            <w:r w:rsidRPr="00E6448B">
              <w:rPr>
                <w:rFonts w:eastAsia="Calibri"/>
                <w:smallCaps/>
                <w:sz w:val="20"/>
                <w:lang w:val="fr-CA"/>
              </w:rPr>
              <w:t>traduction</w:t>
            </w:r>
            <w:r w:rsidRPr="00E6448B">
              <w:rPr>
                <w:rFonts w:eastAsia="Calibri"/>
                <w:sz w:val="20"/>
                <w:lang w:val="fr-CA"/>
              </w:rPr>
              <w:t>] « à haute incidence/peu coûteuses » lorsqu’il a sous</w:t>
            </w:r>
            <w:r w:rsidRPr="00E6448B">
              <w:rPr>
                <w:rFonts w:eastAsia="Calibri"/>
                <w:sz w:val="20"/>
                <w:lang w:val="fr-CA"/>
              </w:rPr>
              <w:noBreakHyphen/>
              <w:t xml:space="preserve">financé le district, entraînant des suppressions importantes des services offerts aux élèves ayant de graves troubles d’apprentissage, lorsqu’il a limité ses contrôles à de simples questions de dépenses et de fiscalité et lorsqu’il a omis de faire en sorte que l’intervention précoce et une gamme de services offerts aux élèves ayant de graves troubles d’apprentissage soit obligatoire.  Le tribunal a conclu que ni le district ni le ministère n’avait établi de contrainte excessive. </w:t>
            </w:r>
          </w:p>
          <w:p w:rsidR="006F3A5B" w:rsidRPr="00E6448B" w:rsidRDefault="006F3A5B" w:rsidP="002F0EB9">
            <w:pPr>
              <w:jc w:val="both"/>
              <w:rPr>
                <w:rFonts w:eastAsia="Calibri"/>
                <w:sz w:val="20"/>
                <w:lang w:val="fr-CA"/>
              </w:rPr>
            </w:pPr>
          </w:p>
        </w:tc>
      </w:tr>
      <w:tr w:rsidR="006F3A5B" w:rsidRPr="00A77989" w:rsidTr="002F0EB9">
        <w:tc>
          <w:tcPr>
            <w:tcW w:w="2524" w:type="pct"/>
          </w:tcPr>
          <w:p w:rsidR="006F3A5B" w:rsidRPr="00E6448B" w:rsidRDefault="006F3A5B" w:rsidP="002F0EB9">
            <w:pPr>
              <w:jc w:val="both"/>
              <w:rPr>
                <w:rFonts w:eastAsia="Calibri"/>
                <w:sz w:val="20"/>
                <w:lang w:val="fr-CA"/>
              </w:rPr>
            </w:pPr>
            <w:r w:rsidRPr="00E6448B">
              <w:rPr>
                <w:rFonts w:eastAsia="Calibri"/>
                <w:sz w:val="20"/>
                <w:lang w:val="fr-CA"/>
              </w:rPr>
              <w:lastRenderedPageBreak/>
              <w:t>29 février 2008</w:t>
            </w:r>
          </w:p>
          <w:p w:rsidR="006F3A5B" w:rsidRPr="00E6448B" w:rsidRDefault="006F3A5B" w:rsidP="002F0EB9">
            <w:pPr>
              <w:jc w:val="both"/>
              <w:rPr>
                <w:rFonts w:eastAsia="Calibri"/>
                <w:sz w:val="20"/>
                <w:lang w:val="fr-CA"/>
              </w:rPr>
            </w:pPr>
            <w:r w:rsidRPr="00E6448B">
              <w:rPr>
                <w:rFonts w:eastAsia="Calibri"/>
                <w:sz w:val="20"/>
                <w:lang w:val="fr-CA"/>
              </w:rPr>
              <w:t>Cour suprême de la Colombie</w:t>
            </w:r>
            <w:r w:rsidRPr="00E6448B">
              <w:rPr>
                <w:rFonts w:eastAsia="Calibri"/>
                <w:sz w:val="20"/>
                <w:lang w:val="fr-CA"/>
              </w:rPr>
              <w:noBreakHyphen/>
              <w:t>Britannique</w:t>
            </w:r>
          </w:p>
          <w:p w:rsidR="006F3A5B" w:rsidRPr="00E6448B" w:rsidRDefault="006F3A5B" w:rsidP="002F0EB9">
            <w:pPr>
              <w:jc w:val="both"/>
              <w:rPr>
                <w:rFonts w:eastAsia="Calibri"/>
                <w:sz w:val="20"/>
                <w:lang w:val="fr-CA"/>
              </w:rPr>
            </w:pPr>
            <w:r w:rsidRPr="00E6448B">
              <w:rPr>
                <w:rFonts w:eastAsia="Calibri"/>
                <w:sz w:val="20"/>
                <w:lang w:val="fr-CA"/>
              </w:rPr>
              <w:t>(Juge Dillon)</w:t>
            </w:r>
          </w:p>
          <w:p w:rsidR="006F3A5B" w:rsidRPr="00E6448B" w:rsidRDefault="006F3A5B" w:rsidP="002F0EB9">
            <w:pPr>
              <w:jc w:val="both"/>
              <w:rPr>
                <w:rFonts w:eastAsia="Calibri"/>
                <w:sz w:val="20"/>
                <w:lang w:val="fr-CA"/>
              </w:rPr>
            </w:pPr>
            <w:r w:rsidRPr="00E6448B">
              <w:rPr>
                <w:rFonts w:eastAsia="Calibri"/>
                <w:sz w:val="20"/>
                <w:lang w:val="fr-CA"/>
              </w:rPr>
              <w:t>2008 BCSC 264; S061120</w:t>
            </w:r>
          </w:p>
          <w:p w:rsidR="006F3A5B" w:rsidRPr="00E6448B" w:rsidRDefault="006F3A5B" w:rsidP="002F0EB9">
            <w:pPr>
              <w:jc w:val="both"/>
              <w:rPr>
                <w:rFonts w:eastAsia="Calibri"/>
                <w:sz w:val="20"/>
                <w:lang w:val="fr-CA"/>
              </w:rPr>
            </w:pPr>
          </w:p>
        </w:tc>
        <w:tc>
          <w:tcPr>
            <w:tcW w:w="146" w:type="pct"/>
          </w:tcPr>
          <w:p w:rsidR="006F3A5B" w:rsidRPr="00E6448B" w:rsidRDefault="006F3A5B" w:rsidP="002F0EB9">
            <w:pPr>
              <w:jc w:val="both"/>
              <w:rPr>
                <w:rFonts w:eastAsia="Calibri"/>
                <w:sz w:val="20"/>
                <w:lang w:val="fr-CA"/>
              </w:rPr>
            </w:pPr>
          </w:p>
        </w:tc>
        <w:tc>
          <w:tcPr>
            <w:tcW w:w="2330" w:type="pct"/>
          </w:tcPr>
          <w:p w:rsidR="006F3A5B" w:rsidRPr="00E6448B" w:rsidRDefault="006F3A5B" w:rsidP="002F0EB9">
            <w:pPr>
              <w:jc w:val="both"/>
              <w:rPr>
                <w:rFonts w:eastAsia="Calibri"/>
                <w:sz w:val="20"/>
                <w:lang w:val="fr-CA"/>
              </w:rPr>
            </w:pPr>
            <w:r w:rsidRPr="00E6448B">
              <w:rPr>
                <w:rFonts w:eastAsia="Calibri"/>
                <w:sz w:val="20"/>
                <w:lang w:val="fr-CA"/>
              </w:rPr>
              <w:t>Requête du district, accueillie et décision du tribunal, annulée</w:t>
            </w:r>
          </w:p>
          <w:p w:rsidR="006F3A5B" w:rsidRPr="00E6448B" w:rsidRDefault="006F3A5B" w:rsidP="002F0EB9">
            <w:pPr>
              <w:jc w:val="both"/>
              <w:rPr>
                <w:rFonts w:eastAsia="Calibri"/>
                <w:sz w:val="20"/>
                <w:lang w:val="fr-CA"/>
              </w:rPr>
            </w:pPr>
          </w:p>
        </w:tc>
      </w:tr>
      <w:tr w:rsidR="006F3A5B" w:rsidRPr="00E6448B" w:rsidTr="002F0EB9">
        <w:tc>
          <w:tcPr>
            <w:tcW w:w="2524" w:type="pct"/>
          </w:tcPr>
          <w:p w:rsidR="006F3A5B" w:rsidRPr="00E6448B" w:rsidRDefault="006F3A5B" w:rsidP="002F0EB9">
            <w:pPr>
              <w:jc w:val="both"/>
              <w:rPr>
                <w:rFonts w:eastAsia="Calibri"/>
                <w:sz w:val="20"/>
                <w:lang w:val="fr-CA"/>
              </w:rPr>
            </w:pPr>
            <w:r w:rsidRPr="00E6448B">
              <w:rPr>
                <w:rFonts w:eastAsia="Calibri"/>
                <w:sz w:val="20"/>
                <w:lang w:val="fr-CA"/>
              </w:rPr>
              <w:t>29 octobre 2010</w:t>
            </w:r>
          </w:p>
          <w:p w:rsidR="006F3A5B" w:rsidRPr="00E6448B" w:rsidRDefault="006F3A5B" w:rsidP="002F0EB9">
            <w:pPr>
              <w:jc w:val="both"/>
              <w:rPr>
                <w:rFonts w:eastAsia="Calibri"/>
                <w:sz w:val="20"/>
                <w:lang w:val="fr-CA"/>
              </w:rPr>
            </w:pPr>
            <w:r w:rsidRPr="00E6448B">
              <w:rPr>
                <w:rFonts w:eastAsia="Calibri"/>
                <w:sz w:val="20"/>
                <w:lang w:val="fr-CA"/>
              </w:rPr>
              <w:t>Cour d’appel de la Colombie</w:t>
            </w:r>
            <w:r w:rsidRPr="00E6448B">
              <w:rPr>
                <w:rFonts w:eastAsia="Calibri"/>
                <w:sz w:val="20"/>
                <w:lang w:val="fr-CA"/>
              </w:rPr>
              <w:noBreakHyphen/>
              <w:t xml:space="preserve">Britannique </w:t>
            </w:r>
          </w:p>
          <w:p w:rsidR="006F3A5B" w:rsidRPr="00E6448B" w:rsidRDefault="006F3A5B" w:rsidP="002F0EB9">
            <w:pPr>
              <w:jc w:val="both"/>
              <w:rPr>
                <w:rFonts w:eastAsia="Calibri"/>
                <w:sz w:val="20"/>
                <w:lang w:val="fr-CA"/>
              </w:rPr>
            </w:pPr>
            <w:r w:rsidRPr="00E6448B">
              <w:rPr>
                <w:rFonts w:eastAsia="Calibri"/>
                <w:sz w:val="20"/>
                <w:lang w:val="fr-CA"/>
              </w:rPr>
              <w:t>(Vancouver)</w:t>
            </w:r>
          </w:p>
          <w:p w:rsidR="006F3A5B" w:rsidRPr="00E6448B" w:rsidRDefault="006F3A5B" w:rsidP="002F0EB9">
            <w:pPr>
              <w:jc w:val="both"/>
              <w:rPr>
                <w:rFonts w:eastAsia="Calibri"/>
                <w:sz w:val="20"/>
                <w:lang w:val="fr-CA"/>
              </w:rPr>
            </w:pPr>
            <w:r w:rsidRPr="00E6448B">
              <w:rPr>
                <w:rFonts w:eastAsia="Calibri"/>
                <w:sz w:val="20"/>
                <w:lang w:val="fr-CA"/>
              </w:rPr>
              <w:t>(Juges Rowles (dissidente), Saunders et Low)</w:t>
            </w:r>
          </w:p>
          <w:p w:rsidR="006F3A5B" w:rsidRPr="00E6448B" w:rsidRDefault="006F3A5B" w:rsidP="002F0EB9">
            <w:pPr>
              <w:jc w:val="both"/>
              <w:rPr>
                <w:rFonts w:eastAsia="Calibri"/>
                <w:sz w:val="20"/>
                <w:lang w:val="fr-CA"/>
              </w:rPr>
            </w:pPr>
            <w:r w:rsidRPr="00E6448B">
              <w:rPr>
                <w:rFonts w:eastAsia="Calibri"/>
                <w:sz w:val="20"/>
                <w:lang w:val="fr-CA"/>
              </w:rPr>
              <w:t>2010 BCCA 478; CA035937</w:t>
            </w:r>
          </w:p>
          <w:p w:rsidR="006F3A5B" w:rsidRPr="00E6448B" w:rsidRDefault="006F3A5B" w:rsidP="002F0EB9">
            <w:pPr>
              <w:jc w:val="both"/>
              <w:rPr>
                <w:rFonts w:eastAsia="Calibri"/>
                <w:sz w:val="20"/>
                <w:lang w:val="fr-CA"/>
              </w:rPr>
            </w:pPr>
          </w:p>
        </w:tc>
        <w:tc>
          <w:tcPr>
            <w:tcW w:w="146" w:type="pct"/>
          </w:tcPr>
          <w:p w:rsidR="006F3A5B" w:rsidRPr="00E6448B" w:rsidRDefault="006F3A5B" w:rsidP="002F0EB9">
            <w:pPr>
              <w:jc w:val="both"/>
              <w:rPr>
                <w:rFonts w:eastAsia="Calibri"/>
                <w:sz w:val="20"/>
                <w:lang w:val="fr-CA"/>
              </w:rPr>
            </w:pPr>
          </w:p>
        </w:tc>
        <w:tc>
          <w:tcPr>
            <w:tcW w:w="2330" w:type="pct"/>
          </w:tcPr>
          <w:p w:rsidR="006F3A5B" w:rsidRPr="00E6448B" w:rsidRDefault="006F3A5B" w:rsidP="002F0EB9">
            <w:pPr>
              <w:jc w:val="both"/>
              <w:rPr>
                <w:rFonts w:eastAsia="Calibri"/>
                <w:sz w:val="20"/>
                <w:lang w:val="fr-CA"/>
              </w:rPr>
            </w:pPr>
            <w:r w:rsidRPr="00E6448B">
              <w:rPr>
                <w:rFonts w:eastAsia="Calibri"/>
                <w:sz w:val="20"/>
                <w:lang w:val="fr-CA"/>
              </w:rPr>
              <w:t>Appel rejeté</w:t>
            </w:r>
          </w:p>
          <w:p w:rsidR="006F3A5B" w:rsidRPr="00E6448B" w:rsidRDefault="006F3A5B" w:rsidP="002F0EB9">
            <w:pPr>
              <w:jc w:val="both"/>
              <w:rPr>
                <w:rFonts w:eastAsia="Calibri"/>
                <w:sz w:val="20"/>
                <w:lang w:val="fr-CA"/>
              </w:rPr>
            </w:pPr>
          </w:p>
        </w:tc>
      </w:tr>
      <w:tr w:rsidR="006F3A5B" w:rsidRPr="00A77989" w:rsidTr="002F0EB9">
        <w:tc>
          <w:tcPr>
            <w:tcW w:w="2524" w:type="pct"/>
          </w:tcPr>
          <w:p w:rsidR="006F3A5B" w:rsidRPr="00E6448B" w:rsidRDefault="006F3A5B" w:rsidP="002F0EB9">
            <w:pPr>
              <w:jc w:val="both"/>
              <w:rPr>
                <w:rFonts w:eastAsia="Calibri"/>
                <w:sz w:val="20"/>
                <w:lang w:val="fr-CA"/>
              </w:rPr>
            </w:pPr>
            <w:r w:rsidRPr="00E6448B">
              <w:rPr>
                <w:rFonts w:eastAsia="Calibri"/>
                <w:sz w:val="20"/>
                <w:lang w:val="fr-CA"/>
              </w:rPr>
              <w:t>11 janvier 2011</w:t>
            </w:r>
          </w:p>
          <w:p w:rsidR="006F3A5B" w:rsidRPr="00E6448B" w:rsidRDefault="006F3A5B" w:rsidP="002F0EB9">
            <w:pPr>
              <w:jc w:val="both"/>
              <w:rPr>
                <w:rFonts w:eastAsia="Calibri"/>
                <w:sz w:val="20"/>
                <w:lang w:val="fr-CA"/>
              </w:rPr>
            </w:pPr>
            <w:r w:rsidRPr="00E6448B">
              <w:rPr>
                <w:rFonts w:eastAsia="Calibri"/>
                <w:sz w:val="20"/>
                <w:lang w:val="fr-CA"/>
              </w:rPr>
              <w:t>Cour suprême du Canada</w:t>
            </w:r>
          </w:p>
        </w:tc>
        <w:tc>
          <w:tcPr>
            <w:tcW w:w="146" w:type="pct"/>
          </w:tcPr>
          <w:p w:rsidR="006F3A5B" w:rsidRPr="00E6448B" w:rsidRDefault="006F3A5B" w:rsidP="002F0EB9">
            <w:pPr>
              <w:jc w:val="both"/>
              <w:rPr>
                <w:rFonts w:eastAsia="Calibri"/>
                <w:sz w:val="20"/>
                <w:lang w:val="fr-CA"/>
              </w:rPr>
            </w:pPr>
          </w:p>
        </w:tc>
        <w:tc>
          <w:tcPr>
            <w:tcW w:w="2330" w:type="pct"/>
          </w:tcPr>
          <w:p w:rsidR="006F3A5B" w:rsidRPr="00E6448B" w:rsidRDefault="006F3A5B" w:rsidP="002F0EB9">
            <w:pPr>
              <w:jc w:val="both"/>
              <w:rPr>
                <w:rFonts w:eastAsia="Calibri"/>
                <w:sz w:val="20"/>
                <w:lang w:val="fr-CA"/>
              </w:rPr>
            </w:pPr>
            <w:r w:rsidRPr="00E6448B">
              <w:rPr>
                <w:rFonts w:eastAsia="Calibri"/>
                <w:sz w:val="20"/>
                <w:lang w:val="fr-CA"/>
              </w:rPr>
              <w:t>Requête en prorogation de délai et demande d’autorisation d’appel, déposée</w:t>
            </w:r>
          </w:p>
        </w:tc>
      </w:tr>
    </w:tbl>
    <w:p w:rsidR="00FE43CC" w:rsidRPr="006F3A5B" w:rsidRDefault="00FE43CC" w:rsidP="00FE43CC">
      <w:pPr>
        <w:rPr>
          <w:sz w:val="20"/>
          <w:szCs w:val="20"/>
          <w:lang w:val="fr-CA"/>
        </w:rPr>
      </w:pPr>
    </w:p>
    <w:p w:rsidR="00FE43CC" w:rsidRDefault="00AB3236" w:rsidP="00FE43CC">
      <w:pPr>
        <w:rPr>
          <w:sz w:val="20"/>
          <w:szCs w:val="20"/>
          <w:lang w:val="fr-CA"/>
        </w:rPr>
      </w:pPr>
      <w:r w:rsidRPr="00AB3236">
        <w:rPr>
          <w:sz w:val="20"/>
          <w:szCs w:val="20"/>
          <w:lang w:val="fr-CA"/>
        </w:rPr>
        <w:pict>
          <v:rect id="_x0000_i1039"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813F0" w:rsidRPr="008813F0" w:rsidTr="004B78B6">
        <w:trPr>
          <w:cantSplit/>
        </w:trPr>
        <w:tc>
          <w:tcPr>
            <w:tcW w:w="1458" w:type="dxa"/>
          </w:tcPr>
          <w:p w:rsidR="008813F0" w:rsidRPr="008813F0" w:rsidRDefault="008813F0" w:rsidP="004B78B6">
            <w:pPr>
              <w:rPr>
                <w:rFonts w:cs="Times New Roman"/>
                <w:sz w:val="20"/>
                <w:szCs w:val="20"/>
              </w:rPr>
            </w:pPr>
            <w:r w:rsidRPr="008813F0">
              <w:rPr>
                <w:rStyle w:val="SCCFileNumberChar"/>
                <w:sz w:val="20"/>
                <w:szCs w:val="20"/>
              </w:rPr>
              <w:t>34080</w:t>
            </w:r>
          </w:p>
          <w:p w:rsidR="008813F0" w:rsidRPr="008813F0" w:rsidRDefault="008813F0" w:rsidP="004B78B6">
            <w:pPr>
              <w:rPr>
                <w:rFonts w:cs="Times New Roman"/>
                <w:b/>
                <w:sz w:val="20"/>
                <w:szCs w:val="20"/>
                <w:lang w:val="fr-CA"/>
              </w:rPr>
            </w:pPr>
          </w:p>
        </w:tc>
        <w:tc>
          <w:tcPr>
            <w:tcW w:w="8118" w:type="dxa"/>
          </w:tcPr>
          <w:p w:rsidR="008813F0" w:rsidRPr="008813F0" w:rsidRDefault="008813F0" w:rsidP="004B78B6">
            <w:pPr>
              <w:rPr>
                <w:rFonts w:cs="Times New Roman"/>
                <w:sz w:val="20"/>
                <w:szCs w:val="20"/>
              </w:rPr>
            </w:pPr>
            <w:r w:rsidRPr="008813F0">
              <w:rPr>
                <w:rStyle w:val="SCCLsocChar"/>
                <w:rFonts w:cs="Times New Roman"/>
                <w:sz w:val="20"/>
                <w:szCs w:val="20"/>
                <w:lang w:val="en-CA"/>
              </w:rPr>
              <w:t>Adrian John Walle v. Her Majesty the Queen</w:t>
            </w:r>
            <w:r w:rsidRPr="008813F0">
              <w:rPr>
                <w:rFonts w:cs="Times New Roman"/>
                <w:sz w:val="20"/>
                <w:szCs w:val="20"/>
              </w:rPr>
              <w:t xml:space="preserve"> (Alta.) (Criminal) (By Leave)</w:t>
            </w:r>
          </w:p>
          <w:p w:rsidR="008813F0" w:rsidRPr="008813F0" w:rsidRDefault="008813F0" w:rsidP="004B78B6">
            <w:pPr>
              <w:rPr>
                <w:rFonts w:cs="Times New Roman"/>
                <w:sz w:val="20"/>
                <w:szCs w:val="20"/>
              </w:rPr>
            </w:pPr>
          </w:p>
        </w:tc>
      </w:tr>
      <w:tr w:rsidR="008813F0" w:rsidRPr="008813F0" w:rsidTr="004B78B6">
        <w:trPr>
          <w:cantSplit/>
        </w:trPr>
        <w:tc>
          <w:tcPr>
            <w:tcW w:w="1458" w:type="dxa"/>
          </w:tcPr>
          <w:p w:rsidR="008813F0" w:rsidRPr="008813F0" w:rsidRDefault="008813F0" w:rsidP="004B78B6">
            <w:pPr>
              <w:rPr>
                <w:rFonts w:cs="Times New Roman"/>
                <w:sz w:val="20"/>
                <w:szCs w:val="20"/>
              </w:rPr>
            </w:pPr>
            <w:r w:rsidRPr="008813F0">
              <w:rPr>
                <w:rFonts w:cs="Times New Roman"/>
                <w:sz w:val="20"/>
                <w:szCs w:val="20"/>
              </w:rPr>
              <w:t>Coram :</w:t>
            </w:r>
          </w:p>
        </w:tc>
        <w:tc>
          <w:tcPr>
            <w:tcW w:w="8118" w:type="dxa"/>
          </w:tcPr>
          <w:p w:rsidR="008813F0" w:rsidRPr="008813F0" w:rsidRDefault="008813F0" w:rsidP="004B78B6">
            <w:pPr>
              <w:rPr>
                <w:rFonts w:cs="Times New Roman"/>
                <w:sz w:val="20"/>
                <w:szCs w:val="20"/>
              </w:rPr>
            </w:pPr>
            <w:r w:rsidRPr="008813F0">
              <w:rPr>
                <w:rStyle w:val="SCCCoramChar"/>
                <w:rFonts w:cs="Times New Roman"/>
                <w:sz w:val="20"/>
                <w:szCs w:val="20"/>
                <w:lang w:val="en-CA"/>
              </w:rPr>
              <w:t>McLachlin C.J. and Deschamps and Charron JJ.</w:t>
            </w:r>
          </w:p>
          <w:p w:rsidR="008813F0" w:rsidRPr="008813F0" w:rsidRDefault="008813F0" w:rsidP="004B78B6">
            <w:pPr>
              <w:rPr>
                <w:rFonts w:cs="Times New Roman"/>
                <w:sz w:val="20"/>
                <w:szCs w:val="20"/>
                <w:u w:val="single"/>
              </w:rPr>
            </w:pPr>
          </w:p>
        </w:tc>
      </w:tr>
      <w:tr w:rsidR="008813F0" w:rsidRPr="008813F0" w:rsidTr="004B78B6">
        <w:trPr>
          <w:cantSplit/>
        </w:trPr>
        <w:tc>
          <w:tcPr>
            <w:tcW w:w="9576" w:type="dxa"/>
            <w:gridSpan w:val="2"/>
          </w:tcPr>
          <w:p w:rsidR="008813F0" w:rsidRPr="008813F0" w:rsidRDefault="00956E1A" w:rsidP="004B78B6">
            <w:pPr>
              <w:pStyle w:val="SCCShortJudgment"/>
              <w:rPr>
                <w:rFonts w:cs="Times New Roman"/>
                <w:szCs w:val="20"/>
              </w:rPr>
            </w:pPr>
            <w:r>
              <w:t xml:space="preserve">The motion for an extension of time to serve and file the respondent’s response is granted.  </w:t>
            </w:r>
            <w:r w:rsidR="008813F0" w:rsidRPr="008813F0">
              <w:rPr>
                <w:rFonts w:cs="Times New Roman"/>
                <w:szCs w:val="20"/>
              </w:rPr>
              <w:t>The application for leave to appeal from the judgment of the Court of Appeal of Alberta (Calgary), Number 0801-0350-A, 2010 ABCA 384, dated December 13, 2010, is granted without costs.</w:t>
            </w:r>
          </w:p>
          <w:p w:rsidR="008813F0" w:rsidRPr="008813F0" w:rsidRDefault="008813F0" w:rsidP="004B78B6">
            <w:pPr>
              <w:pStyle w:val="SCCShortJudgment"/>
              <w:ind w:firstLine="0"/>
              <w:rPr>
                <w:rFonts w:cs="Times New Roman"/>
                <w:szCs w:val="20"/>
              </w:rPr>
            </w:pPr>
          </w:p>
          <w:p w:rsidR="008813F0" w:rsidRPr="008813F0" w:rsidRDefault="00956E1A" w:rsidP="008813F0">
            <w:pPr>
              <w:pStyle w:val="SCCShortJudgment"/>
              <w:rPr>
                <w:rFonts w:cs="Times New Roman"/>
                <w:szCs w:val="20"/>
                <w:lang w:val="fr-CA"/>
              </w:rPr>
            </w:pPr>
            <w:r w:rsidRPr="00826129">
              <w:rPr>
                <w:lang w:val="fr-CA"/>
              </w:rPr>
              <w:t>La demande en prorogation du délai de signification et de dép</w:t>
            </w:r>
            <w:r>
              <w:rPr>
                <w:lang w:val="fr-CA"/>
              </w:rPr>
              <w:t xml:space="preserve">ôt de la réponse de l’intimée est accordée.  </w:t>
            </w:r>
            <w:r w:rsidR="008813F0" w:rsidRPr="008813F0">
              <w:rPr>
                <w:rFonts w:cs="Times New Roman"/>
                <w:szCs w:val="20"/>
                <w:lang w:val="fr-CA"/>
              </w:rPr>
              <w:t>La demande d’autorisation d’appel de l’arrêt de la Cour d'appel de l’Alberta (Calgary), numéro 0801-0350-A, 2010 ABCA 384, daté du 13 décembre 2010, est accordée sans dépens</w:t>
            </w:r>
          </w:p>
        </w:tc>
      </w:tr>
    </w:tbl>
    <w:p w:rsidR="008813F0" w:rsidRPr="008813F0" w:rsidRDefault="008813F0"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3C8A" w:rsidRPr="00E6448B" w:rsidTr="002F0EB9">
        <w:tc>
          <w:tcPr>
            <w:tcW w:w="5000" w:type="pct"/>
            <w:gridSpan w:val="3"/>
          </w:tcPr>
          <w:p w:rsidR="00C93C8A" w:rsidRPr="00E6448B" w:rsidRDefault="00C93C8A" w:rsidP="002F0EB9">
            <w:pPr>
              <w:jc w:val="both"/>
              <w:rPr>
                <w:sz w:val="20"/>
              </w:rPr>
            </w:pPr>
            <w:r w:rsidRPr="00E6448B">
              <w:rPr>
                <w:sz w:val="20"/>
              </w:rPr>
              <w:t>Criminal law — Defences — Common sense inference — Whether the Court of Appeal erred in failing to consider the evidence regarding the Applicant’s developmental disorder paired with his consumption of alcohol in assessing whether the requisite subjective mental state for murder had been proven beyond a reasonable doubt</w:t>
            </w:r>
          </w:p>
          <w:p w:rsidR="00C93C8A" w:rsidRPr="00E6448B" w:rsidRDefault="00C93C8A" w:rsidP="002F0EB9">
            <w:pPr>
              <w:rPr>
                <w:sz w:val="20"/>
              </w:rPr>
            </w:pPr>
          </w:p>
        </w:tc>
      </w:tr>
      <w:tr w:rsidR="00C93C8A" w:rsidRPr="00E6448B" w:rsidTr="002F0EB9">
        <w:tc>
          <w:tcPr>
            <w:tcW w:w="5000" w:type="pct"/>
            <w:gridSpan w:val="3"/>
          </w:tcPr>
          <w:p w:rsidR="00C93C8A" w:rsidRPr="00E6448B" w:rsidRDefault="00C93C8A" w:rsidP="002F0EB9">
            <w:pPr>
              <w:jc w:val="both"/>
              <w:rPr>
                <w:sz w:val="20"/>
              </w:rPr>
            </w:pPr>
            <w:r w:rsidRPr="00E6448B">
              <w:rPr>
                <w:sz w:val="20"/>
              </w:rPr>
              <w:t xml:space="preserve">Walle was convicted of the second degree murder of Jeffery Shuckburgh.  He appealed on the basis that he should have instead been convicted of manslaughter.  Walle argued that the trial judge erred in inferring intent based on the “common-sense” inference that a sane and sober person intends the natural and probable consequences of his actions.  The Court of Appeal found that evidence that Walle had recently been held in hospital under a mental health warrant, had developmental delays, and had been drinking to a point short of impairment before the killing was insufficient, in </w:t>
            </w:r>
            <w:r w:rsidRPr="00E6448B">
              <w:rPr>
                <w:sz w:val="20"/>
              </w:rPr>
              <w:lastRenderedPageBreak/>
              <w:t>and of itself, to lend an air of reality to the argument that he may therefore have lacked the requisite intent to kill.  Walle’s appeal was dismissed.</w:t>
            </w:r>
          </w:p>
          <w:p w:rsidR="00C93C8A" w:rsidRPr="00E6448B" w:rsidRDefault="00C93C8A" w:rsidP="002F0EB9">
            <w:pPr>
              <w:rPr>
                <w:sz w:val="20"/>
              </w:rPr>
            </w:pPr>
          </w:p>
        </w:tc>
      </w:tr>
      <w:tr w:rsidR="00C93C8A" w:rsidRPr="00E6448B" w:rsidTr="00C4696B">
        <w:trPr>
          <w:cantSplit/>
        </w:trPr>
        <w:tc>
          <w:tcPr>
            <w:tcW w:w="2427" w:type="pct"/>
          </w:tcPr>
          <w:p w:rsidR="00C93C8A" w:rsidRPr="00E6448B" w:rsidRDefault="00C93C8A" w:rsidP="002F0EB9">
            <w:pPr>
              <w:rPr>
                <w:sz w:val="20"/>
              </w:rPr>
            </w:pPr>
            <w:r w:rsidRPr="00E6448B">
              <w:rPr>
                <w:sz w:val="20"/>
              </w:rPr>
              <w:lastRenderedPageBreak/>
              <w:t>April 4, 2008</w:t>
            </w:r>
          </w:p>
          <w:p w:rsidR="00C93C8A" w:rsidRPr="00E6448B" w:rsidRDefault="00C93C8A" w:rsidP="002F0EB9">
            <w:pPr>
              <w:rPr>
                <w:sz w:val="20"/>
              </w:rPr>
            </w:pPr>
            <w:r w:rsidRPr="00E6448B">
              <w:rPr>
                <w:sz w:val="20"/>
              </w:rPr>
              <w:t>Court of Queen’s Bench of Alberta</w:t>
            </w:r>
          </w:p>
          <w:p w:rsidR="00C93C8A" w:rsidRPr="00E6448B" w:rsidRDefault="00C93C8A" w:rsidP="002F0EB9">
            <w:pPr>
              <w:rPr>
                <w:sz w:val="20"/>
              </w:rPr>
            </w:pPr>
            <w:r w:rsidRPr="00E6448B">
              <w:rPr>
                <w:sz w:val="20"/>
              </w:rPr>
              <w:t>(Hart J.)</w:t>
            </w:r>
          </w:p>
          <w:p w:rsidR="00C93C8A" w:rsidRPr="00E6448B" w:rsidRDefault="00C93C8A" w:rsidP="002F0EB9">
            <w:pPr>
              <w:rPr>
                <w:sz w:val="20"/>
              </w:rPr>
            </w:pPr>
          </w:p>
        </w:tc>
        <w:tc>
          <w:tcPr>
            <w:tcW w:w="243" w:type="pct"/>
          </w:tcPr>
          <w:p w:rsidR="00C93C8A" w:rsidRPr="00E6448B" w:rsidRDefault="00C93C8A" w:rsidP="002F0EB9">
            <w:pPr>
              <w:rPr>
                <w:sz w:val="20"/>
              </w:rPr>
            </w:pPr>
          </w:p>
        </w:tc>
        <w:tc>
          <w:tcPr>
            <w:tcW w:w="2330" w:type="pct"/>
          </w:tcPr>
          <w:p w:rsidR="00C93C8A" w:rsidRPr="00E6448B" w:rsidRDefault="00C93C8A" w:rsidP="002F0EB9">
            <w:pPr>
              <w:rPr>
                <w:sz w:val="20"/>
              </w:rPr>
            </w:pPr>
            <w:r w:rsidRPr="00E6448B">
              <w:rPr>
                <w:sz w:val="20"/>
              </w:rPr>
              <w:t>Applicant convicted of second degree murder</w:t>
            </w:r>
          </w:p>
          <w:p w:rsidR="00C93C8A" w:rsidRPr="00E6448B" w:rsidRDefault="00C93C8A" w:rsidP="002F0EB9">
            <w:pPr>
              <w:rPr>
                <w:sz w:val="20"/>
              </w:rPr>
            </w:pPr>
          </w:p>
        </w:tc>
      </w:tr>
      <w:tr w:rsidR="00C93C8A" w:rsidRPr="00E6448B" w:rsidTr="008813F0">
        <w:trPr>
          <w:cantSplit/>
        </w:trPr>
        <w:tc>
          <w:tcPr>
            <w:tcW w:w="2427" w:type="pct"/>
          </w:tcPr>
          <w:p w:rsidR="00C93C8A" w:rsidRPr="00E6448B" w:rsidRDefault="00C93C8A" w:rsidP="002F0EB9">
            <w:pPr>
              <w:rPr>
                <w:sz w:val="20"/>
              </w:rPr>
            </w:pPr>
            <w:r w:rsidRPr="00E6448B">
              <w:rPr>
                <w:sz w:val="20"/>
              </w:rPr>
              <w:t>December 13, 2010</w:t>
            </w:r>
          </w:p>
          <w:p w:rsidR="00C93C8A" w:rsidRPr="00E6448B" w:rsidRDefault="00C93C8A" w:rsidP="002F0EB9">
            <w:pPr>
              <w:rPr>
                <w:sz w:val="20"/>
              </w:rPr>
            </w:pPr>
            <w:r w:rsidRPr="00E6448B">
              <w:rPr>
                <w:sz w:val="20"/>
              </w:rPr>
              <w:t>Court of Appeal of Alberta (Calgary)</w:t>
            </w:r>
          </w:p>
          <w:p w:rsidR="00C93C8A" w:rsidRPr="00E6448B" w:rsidRDefault="00C93C8A" w:rsidP="002F0EB9">
            <w:pPr>
              <w:rPr>
                <w:sz w:val="20"/>
              </w:rPr>
            </w:pPr>
            <w:r w:rsidRPr="00E6448B">
              <w:rPr>
                <w:sz w:val="20"/>
              </w:rPr>
              <w:t>(O’Brien, Bielby and Sulatycky JJ.A.)</w:t>
            </w:r>
          </w:p>
          <w:p w:rsidR="00C93C8A" w:rsidRPr="00E6448B" w:rsidRDefault="00C93C8A" w:rsidP="002F0EB9">
            <w:pPr>
              <w:rPr>
                <w:sz w:val="20"/>
              </w:rPr>
            </w:pPr>
            <w:r w:rsidRPr="00E6448B">
              <w:rPr>
                <w:sz w:val="20"/>
              </w:rPr>
              <w:t>Neutral citation: 2010 ABCA 384</w:t>
            </w:r>
          </w:p>
          <w:p w:rsidR="00C93C8A" w:rsidRPr="00E6448B" w:rsidRDefault="00C93C8A" w:rsidP="002F0EB9">
            <w:pPr>
              <w:rPr>
                <w:sz w:val="20"/>
              </w:rPr>
            </w:pPr>
            <w:r w:rsidRPr="00E6448B">
              <w:rPr>
                <w:sz w:val="20"/>
              </w:rPr>
              <w:t>File no: 0801-0350-A</w:t>
            </w:r>
          </w:p>
          <w:p w:rsidR="00C93C8A" w:rsidRPr="00E6448B" w:rsidRDefault="00C93C8A" w:rsidP="002F0EB9">
            <w:pPr>
              <w:rPr>
                <w:sz w:val="20"/>
              </w:rPr>
            </w:pPr>
          </w:p>
        </w:tc>
        <w:tc>
          <w:tcPr>
            <w:tcW w:w="243" w:type="pct"/>
          </w:tcPr>
          <w:p w:rsidR="00C93C8A" w:rsidRPr="00E6448B" w:rsidRDefault="00C93C8A" w:rsidP="002F0EB9">
            <w:pPr>
              <w:rPr>
                <w:sz w:val="20"/>
              </w:rPr>
            </w:pPr>
          </w:p>
        </w:tc>
        <w:tc>
          <w:tcPr>
            <w:tcW w:w="2330" w:type="pct"/>
          </w:tcPr>
          <w:p w:rsidR="00C93C8A" w:rsidRPr="00E6448B" w:rsidRDefault="00C93C8A" w:rsidP="002F0EB9">
            <w:pPr>
              <w:rPr>
                <w:sz w:val="20"/>
              </w:rPr>
            </w:pPr>
            <w:r w:rsidRPr="00E6448B">
              <w:rPr>
                <w:sz w:val="20"/>
              </w:rPr>
              <w:t>Appeal dismissed</w:t>
            </w:r>
          </w:p>
          <w:p w:rsidR="00C93C8A" w:rsidRPr="00E6448B" w:rsidRDefault="00C93C8A" w:rsidP="002F0EB9">
            <w:pPr>
              <w:rPr>
                <w:sz w:val="20"/>
              </w:rPr>
            </w:pPr>
          </w:p>
        </w:tc>
      </w:tr>
      <w:tr w:rsidR="00C93C8A" w:rsidRPr="00E6448B" w:rsidTr="008813F0">
        <w:trPr>
          <w:cantSplit/>
        </w:trPr>
        <w:tc>
          <w:tcPr>
            <w:tcW w:w="2427" w:type="pct"/>
          </w:tcPr>
          <w:p w:rsidR="00C93C8A" w:rsidRPr="00E6448B" w:rsidRDefault="00C93C8A" w:rsidP="002F0EB9">
            <w:pPr>
              <w:rPr>
                <w:sz w:val="20"/>
              </w:rPr>
            </w:pPr>
            <w:r w:rsidRPr="00E6448B">
              <w:rPr>
                <w:sz w:val="20"/>
              </w:rPr>
              <w:t>February 2, 2011</w:t>
            </w:r>
          </w:p>
          <w:p w:rsidR="00C93C8A" w:rsidRPr="00E6448B" w:rsidRDefault="00C93C8A" w:rsidP="002F0EB9">
            <w:pPr>
              <w:rPr>
                <w:sz w:val="20"/>
              </w:rPr>
            </w:pPr>
            <w:r w:rsidRPr="00E6448B">
              <w:rPr>
                <w:sz w:val="20"/>
              </w:rPr>
              <w:t>Supreme Court of Canada</w:t>
            </w:r>
          </w:p>
          <w:p w:rsidR="00C93C8A" w:rsidRPr="00E6448B" w:rsidRDefault="00C93C8A" w:rsidP="002F0EB9">
            <w:pPr>
              <w:rPr>
                <w:sz w:val="20"/>
              </w:rPr>
            </w:pPr>
          </w:p>
        </w:tc>
        <w:tc>
          <w:tcPr>
            <w:tcW w:w="243" w:type="pct"/>
          </w:tcPr>
          <w:p w:rsidR="00C93C8A" w:rsidRPr="00E6448B" w:rsidRDefault="00C93C8A" w:rsidP="002F0EB9">
            <w:pPr>
              <w:rPr>
                <w:sz w:val="20"/>
              </w:rPr>
            </w:pPr>
          </w:p>
        </w:tc>
        <w:tc>
          <w:tcPr>
            <w:tcW w:w="2330" w:type="pct"/>
          </w:tcPr>
          <w:p w:rsidR="00C93C8A" w:rsidRPr="00E6448B" w:rsidRDefault="00C93C8A" w:rsidP="002F0EB9">
            <w:pPr>
              <w:rPr>
                <w:sz w:val="20"/>
              </w:rPr>
            </w:pPr>
            <w:r w:rsidRPr="00E6448B">
              <w:rPr>
                <w:sz w:val="20"/>
              </w:rPr>
              <w:t>Application for leave to appeal filed</w:t>
            </w:r>
          </w:p>
          <w:p w:rsidR="00C93C8A" w:rsidRPr="00E6448B" w:rsidRDefault="00C93C8A" w:rsidP="002F0EB9">
            <w:pPr>
              <w:rPr>
                <w:sz w:val="20"/>
              </w:rPr>
            </w:pPr>
          </w:p>
        </w:tc>
      </w:tr>
      <w:tr w:rsidR="00C93C8A" w:rsidRPr="00E6448B" w:rsidTr="008813F0">
        <w:trPr>
          <w:cantSplit/>
        </w:trPr>
        <w:tc>
          <w:tcPr>
            <w:tcW w:w="2427" w:type="pct"/>
          </w:tcPr>
          <w:p w:rsidR="00C93C8A" w:rsidRPr="00E6448B" w:rsidRDefault="00C93C8A" w:rsidP="002F0EB9">
            <w:pPr>
              <w:rPr>
                <w:sz w:val="20"/>
              </w:rPr>
            </w:pPr>
            <w:r w:rsidRPr="00E6448B">
              <w:rPr>
                <w:sz w:val="20"/>
              </w:rPr>
              <w:t>March 21, 2011</w:t>
            </w:r>
            <w:r w:rsidRPr="00E6448B">
              <w:rPr>
                <w:sz w:val="20"/>
              </w:rPr>
              <w:br/>
              <w:t>Supreme Court of Canada</w:t>
            </w:r>
          </w:p>
        </w:tc>
        <w:tc>
          <w:tcPr>
            <w:tcW w:w="243" w:type="pct"/>
          </w:tcPr>
          <w:p w:rsidR="00C93C8A" w:rsidRPr="00E6448B" w:rsidRDefault="00C93C8A" w:rsidP="002F0EB9">
            <w:pPr>
              <w:rPr>
                <w:sz w:val="20"/>
              </w:rPr>
            </w:pPr>
          </w:p>
        </w:tc>
        <w:tc>
          <w:tcPr>
            <w:tcW w:w="2330" w:type="pct"/>
          </w:tcPr>
          <w:p w:rsidR="00C93C8A" w:rsidRPr="00E6448B" w:rsidRDefault="00C93C8A" w:rsidP="002F0EB9">
            <w:pPr>
              <w:jc w:val="both"/>
              <w:rPr>
                <w:sz w:val="20"/>
              </w:rPr>
            </w:pPr>
            <w:r w:rsidRPr="00E6448B">
              <w:rPr>
                <w:sz w:val="20"/>
              </w:rPr>
              <w:t>Motion for an extension of time to serve and file the response to the 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0"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C93C8A" w:rsidRPr="00A77989" w:rsidTr="002F0EB9">
        <w:tc>
          <w:tcPr>
            <w:tcW w:w="5000" w:type="pct"/>
            <w:gridSpan w:val="3"/>
          </w:tcPr>
          <w:p w:rsidR="00C93C8A" w:rsidRPr="00E6448B" w:rsidRDefault="00C93C8A" w:rsidP="002F0EB9">
            <w:pPr>
              <w:jc w:val="both"/>
              <w:rPr>
                <w:sz w:val="20"/>
                <w:lang w:val="fr-CA"/>
              </w:rPr>
            </w:pPr>
            <w:r w:rsidRPr="00E6448B">
              <w:rPr>
                <w:sz w:val="20"/>
                <w:lang w:val="fr-CA"/>
              </w:rPr>
              <w:t>Droit criminel — Moyens de défense — Déduction conforme au bon sens — La Cour d'appel a</w:t>
            </w:r>
            <w:r w:rsidRPr="00E6448B">
              <w:rPr>
                <w:sz w:val="20"/>
                <w:lang w:val="fr-CA"/>
              </w:rPr>
              <w:noBreakHyphen/>
              <w:t>t</w:t>
            </w:r>
            <w:r w:rsidRPr="00E6448B">
              <w:rPr>
                <w:sz w:val="20"/>
                <w:lang w:val="fr-CA"/>
              </w:rPr>
              <w:noBreakHyphen/>
              <w:t>elle eu tort de ne pas avoir considéré les éléments de preuve portant sur le trouble de développement du demandeur associé à sa consommation d'alcool dans son appréciation de la question de savoir si l'état d’esprit subjectif requis pour commettre un meurtre avait été prouvé hors de tout doute raisonnable?</w:t>
            </w:r>
          </w:p>
          <w:p w:rsidR="00C93C8A" w:rsidRPr="00E6448B" w:rsidRDefault="00C93C8A" w:rsidP="002F0EB9">
            <w:pPr>
              <w:rPr>
                <w:sz w:val="20"/>
                <w:lang w:val="fr-CA"/>
              </w:rPr>
            </w:pPr>
          </w:p>
        </w:tc>
      </w:tr>
      <w:tr w:rsidR="00C93C8A" w:rsidRPr="00E6448B" w:rsidTr="002F0EB9">
        <w:tc>
          <w:tcPr>
            <w:tcW w:w="5000" w:type="pct"/>
            <w:gridSpan w:val="3"/>
          </w:tcPr>
          <w:p w:rsidR="00C93C8A" w:rsidRPr="00E6448B" w:rsidRDefault="00C93C8A" w:rsidP="002F0EB9">
            <w:pPr>
              <w:jc w:val="both"/>
              <w:rPr>
                <w:sz w:val="20"/>
                <w:lang w:val="fr-CA"/>
              </w:rPr>
            </w:pPr>
            <w:r w:rsidRPr="00E6448B">
              <w:rPr>
                <w:sz w:val="20"/>
                <w:lang w:val="fr-CA"/>
              </w:rPr>
              <w:t>Monsieur Walle a été déclaré coupable du meurtre au deuxième degré de Jeffery Shuckburgh.  Il a interjeté appel, plaidant qu'il aurait plutôt dû être déclaré coupable d'homicide involontaire coupable.  Monsieur Walle a plaidé que le juge du procès avait eu tort d’inférer une intention en s’appuyant sur la déduction « conforme au bon sens » qu’une personne saine et sobre veut les conséquences naturelles et probables de ses actes.  La Cour d'appel a conclu que la preuve selon laquelle M. Walle avait été récemment hospitalisé en vertu d'un mandat de santé mentale, qu'il avait des retards de développement et qu'il avait bu presque au point d'être ivre avant l'homicide était insuffisante à elle seule pour conférer vraisemblance à l'argument selon lequel il n’avait peut</w:t>
            </w:r>
            <w:r w:rsidRPr="00E6448B">
              <w:rPr>
                <w:sz w:val="20"/>
                <w:lang w:val="fr-CA"/>
              </w:rPr>
              <w:noBreakHyphen/>
              <w:t>être donc pas eu l'intention requise pour tuer.  L'appel de M. Walle a été rejeté.</w:t>
            </w:r>
          </w:p>
          <w:p w:rsidR="00C93C8A" w:rsidRPr="00E6448B" w:rsidRDefault="00C93C8A" w:rsidP="002F0EB9">
            <w:pPr>
              <w:rPr>
                <w:sz w:val="20"/>
                <w:lang w:val="fr-CA"/>
              </w:rPr>
            </w:pPr>
          </w:p>
        </w:tc>
      </w:tr>
      <w:tr w:rsidR="00C93C8A" w:rsidRPr="00A77989" w:rsidTr="002F0EB9">
        <w:tc>
          <w:tcPr>
            <w:tcW w:w="2427" w:type="pct"/>
          </w:tcPr>
          <w:p w:rsidR="00C93C8A" w:rsidRPr="00E6448B" w:rsidRDefault="00C93C8A" w:rsidP="002F0EB9">
            <w:pPr>
              <w:rPr>
                <w:sz w:val="20"/>
                <w:lang w:val="fr-CA"/>
              </w:rPr>
            </w:pPr>
            <w:r w:rsidRPr="00E6448B">
              <w:rPr>
                <w:sz w:val="20"/>
                <w:lang w:val="fr-CA"/>
              </w:rPr>
              <w:t>4 avril 2008</w:t>
            </w:r>
          </w:p>
          <w:p w:rsidR="00C93C8A" w:rsidRPr="00E6448B" w:rsidRDefault="00C93C8A" w:rsidP="002F0EB9">
            <w:pPr>
              <w:rPr>
                <w:sz w:val="20"/>
                <w:lang w:val="fr-CA"/>
              </w:rPr>
            </w:pPr>
            <w:r w:rsidRPr="00E6448B">
              <w:rPr>
                <w:sz w:val="20"/>
                <w:lang w:val="fr-CA"/>
              </w:rPr>
              <w:t xml:space="preserve">Cour du Banc de la Reine de l'Alberta </w:t>
            </w:r>
          </w:p>
          <w:p w:rsidR="00C93C8A" w:rsidRPr="00E6448B" w:rsidRDefault="00C93C8A" w:rsidP="002F0EB9">
            <w:pPr>
              <w:rPr>
                <w:sz w:val="20"/>
                <w:lang w:val="fr-CA"/>
              </w:rPr>
            </w:pPr>
            <w:r w:rsidRPr="00E6448B">
              <w:rPr>
                <w:sz w:val="20"/>
                <w:lang w:val="fr-CA"/>
              </w:rPr>
              <w:t>(Juge Hart)</w:t>
            </w:r>
          </w:p>
          <w:p w:rsidR="00C93C8A" w:rsidRPr="00E6448B" w:rsidRDefault="00C93C8A" w:rsidP="002F0EB9">
            <w:pPr>
              <w:rPr>
                <w:sz w:val="20"/>
                <w:lang w:val="fr-CA"/>
              </w:rPr>
            </w:pPr>
          </w:p>
        </w:tc>
        <w:tc>
          <w:tcPr>
            <w:tcW w:w="243" w:type="pct"/>
          </w:tcPr>
          <w:p w:rsidR="00C93C8A" w:rsidRPr="00E6448B" w:rsidRDefault="00C93C8A" w:rsidP="002F0EB9">
            <w:pPr>
              <w:rPr>
                <w:sz w:val="20"/>
                <w:lang w:val="fr-CA"/>
              </w:rPr>
            </w:pPr>
          </w:p>
        </w:tc>
        <w:tc>
          <w:tcPr>
            <w:tcW w:w="2330" w:type="pct"/>
          </w:tcPr>
          <w:p w:rsidR="00C93C8A" w:rsidRPr="00E6448B" w:rsidRDefault="00C93C8A" w:rsidP="002F0EB9">
            <w:pPr>
              <w:jc w:val="both"/>
              <w:rPr>
                <w:sz w:val="20"/>
                <w:lang w:val="fr-CA"/>
              </w:rPr>
            </w:pPr>
            <w:r w:rsidRPr="00E6448B">
              <w:rPr>
                <w:sz w:val="20"/>
                <w:lang w:val="fr-CA"/>
              </w:rPr>
              <w:t>Demandeur déclaré coupable de meurtre au deuxième degré</w:t>
            </w:r>
          </w:p>
          <w:p w:rsidR="00C93C8A" w:rsidRPr="00E6448B" w:rsidRDefault="00C93C8A" w:rsidP="002F0EB9">
            <w:pPr>
              <w:rPr>
                <w:sz w:val="20"/>
                <w:lang w:val="fr-CA"/>
              </w:rPr>
            </w:pPr>
          </w:p>
        </w:tc>
      </w:tr>
      <w:tr w:rsidR="00C93C8A" w:rsidRPr="00E6448B" w:rsidTr="002F0EB9">
        <w:tc>
          <w:tcPr>
            <w:tcW w:w="2427" w:type="pct"/>
          </w:tcPr>
          <w:p w:rsidR="00C93C8A" w:rsidRPr="00E6448B" w:rsidRDefault="00C93C8A" w:rsidP="002F0EB9">
            <w:pPr>
              <w:rPr>
                <w:sz w:val="20"/>
                <w:lang w:val="fr-CA"/>
              </w:rPr>
            </w:pPr>
            <w:r w:rsidRPr="00E6448B">
              <w:rPr>
                <w:sz w:val="20"/>
                <w:lang w:val="fr-CA"/>
              </w:rPr>
              <w:t>13 décembre 2010</w:t>
            </w:r>
          </w:p>
          <w:p w:rsidR="00C93C8A" w:rsidRPr="00E6448B" w:rsidRDefault="00C93C8A" w:rsidP="002F0EB9">
            <w:pPr>
              <w:rPr>
                <w:sz w:val="20"/>
                <w:lang w:val="fr-CA"/>
              </w:rPr>
            </w:pPr>
            <w:r w:rsidRPr="00E6448B">
              <w:rPr>
                <w:sz w:val="20"/>
                <w:lang w:val="fr-CA"/>
              </w:rPr>
              <w:t>Cour d'appel de l'Alberta (Calgary)</w:t>
            </w:r>
          </w:p>
          <w:p w:rsidR="00C93C8A" w:rsidRPr="00E6448B" w:rsidRDefault="00C93C8A" w:rsidP="002F0EB9">
            <w:pPr>
              <w:rPr>
                <w:sz w:val="20"/>
                <w:lang w:val="fr-CA"/>
              </w:rPr>
            </w:pPr>
            <w:r w:rsidRPr="00E6448B">
              <w:rPr>
                <w:sz w:val="20"/>
                <w:lang w:val="fr-CA"/>
              </w:rPr>
              <w:t>(Juges O’Brien, Bielby et Sulatycky)</w:t>
            </w:r>
          </w:p>
          <w:p w:rsidR="00C93C8A" w:rsidRPr="00E6448B" w:rsidRDefault="00C93C8A" w:rsidP="002F0EB9">
            <w:pPr>
              <w:rPr>
                <w:sz w:val="20"/>
                <w:lang w:val="fr-CA"/>
              </w:rPr>
            </w:pPr>
            <w:r w:rsidRPr="00E6448B">
              <w:rPr>
                <w:sz w:val="20"/>
                <w:lang w:val="fr-CA"/>
              </w:rPr>
              <w:t>Référence neutre : 2010 ABCA 384</w:t>
            </w:r>
          </w:p>
          <w:p w:rsidR="00C93C8A" w:rsidRPr="00E6448B" w:rsidRDefault="00C93C8A" w:rsidP="002F0EB9">
            <w:pPr>
              <w:rPr>
                <w:sz w:val="20"/>
                <w:lang w:val="fr-CA"/>
              </w:rPr>
            </w:pPr>
            <w:r w:rsidRPr="00E6448B">
              <w:rPr>
                <w:sz w:val="20"/>
                <w:lang w:val="fr-CA"/>
              </w:rPr>
              <w:t>N</w:t>
            </w:r>
            <w:r w:rsidRPr="00E6448B">
              <w:rPr>
                <w:sz w:val="20"/>
                <w:vertAlign w:val="superscript"/>
                <w:lang w:val="fr-CA"/>
              </w:rPr>
              <w:t>o</w:t>
            </w:r>
            <w:r w:rsidRPr="00E6448B">
              <w:rPr>
                <w:sz w:val="20"/>
                <w:lang w:val="fr-CA"/>
              </w:rPr>
              <w:t xml:space="preserve"> du greffe : 0801</w:t>
            </w:r>
            <w:r w:rsidRPr="00E6448B">
              <w:rPr>
                <w:sz w:val="20"/>
                <w:lang w:val="fr-CA"/>
              </w:rPr>
              <w:noBreakHyphen/>
              <w:t>0350</w:t>
            </w:r>
            <w:r w:rsidRPr="00E6448B">
              <w:rPr>
                <w:sz w:val="20"/>
                <w:lang w:val="fr-CA"/>
              </w:rPr>
              <w:noBreakHyphen/>
              <w:t>A</w:t>
            </w:r>
          </w:p>
          <w:p w:rsidR="00C93C8A" w:rsidRPr="00E6448B" w:rsidRDefault="00C93C8A" w:rsidP="002F0EB9">
            <w:pPr>
              <w:rPr>
                <w:sz w:val="20"/>
                <w:lang w:val="fr-CA"/>
              </w:rPr>
            </w:pPr>
          </w:p>
        </w:tc>
        <w:tc>
          <w:tcPr>
            <w:tcW w:w="243" w:type="pct"/>
          </w:tcPr>
          <w:p w:rsidR="00C93C8A" w:rsidRPr="00E6448B" w:rsidRDefault="00C93C8A" w:rsidP="002F0EB9">
            <w:pPr>
              <w:rPr>
                <w:sz w:val="20"/>
                <w:lang w:val="fr-CA"/>
              </w:rPr>
            </w:pPr>
          </w:p>
        </w:tc>
        <w:tc>
          <w:tcPr>
            <w:tcW w:w="2330" w:type="pct"/>
          </w:tcPr>
          <w:p w:rsidR="00C93C8A" w:rsidRPr="00E6448B" w:rsidRDefault="00C93C8A" w:rsidP="002F0EB9">
            <w:pPr>
              <w:rPr>
                <w:sz w:val="20"/>
                <w:lang w:val="fr-CA"/>
              </w:rPr>
            </w:pPr>
            <w:r w:rsidRPr="00E6448B">
              <w:rPr>
                <w:sz w:val="20"/>
                <w:lang w:val="fr-CA"/>
              </w:rPr>
              <w:t>Appel rejeté</w:t>
            </w:r>
          </w:p>
          <w:p w:rsidR="00C93C8A" w:rsidRPr="00E6448B" w:rsidRDefault="00C93C8A" w:rsidP="002F0EB9">
            <w:pPr>
              <w:rPr>
                <w:sz w:val="20"/>
                <w:lang w:val="fr-CA"/>
              </w:rPr>
            </w:pPr>
          </w:p>
        </w:tc>
      </w:tr>
      <w:tr w:rsidR="00C93C8A" w:rsidRPr="00E6448B" w:rsidTr="002F0EB9">
        <w:tc>
          <w:tcPr>
            <w:tcW w:w="2427" w:type="pct"/>
          </w:tcPr>
          <w:p w:rsidR="00C93C8A" w:rsidRPr="00E6448B" w:rsidRDefault="00C93C8A" w:rsidP="002F0EB9">
            <w:pPr>
              <w:rPr>
                <w:sz w:val="20"/>
                <w:lang w:val="fr-CA"/>
              </w:rPr>
            </w:pPr>
            <w:r w:rsidRPr="00E6448B">
              <w:rPr>
                <w:sz w:val="20"/>
                <w:lang w:val="fr-CA"/>
              </w:rPr>
              <w:t>2 février 2011</w:t>
            </w:r>
          </w:p>
          <w:p w:rsidR="00C93C8A" w:rsidRPr="00E6448B" w:rsidRDefault="00C93C8A" w:rsidP="002F0EB9">
            <w:pPr>
              <w:rPr>
                <w:sz w:val="20"/>
                <w:lang w:val="fr-CA"/>
              </w:rPr>
            </w:pPr>
            <w:r w:rsidRPr="00E6448B">
              <w:rPr>
                <w:sz w:val="20"/>
                <w:lang w:val="fr-CA"/>
              </w:rPr>
              <w:t>Cour suprême du Canada</w:t>
            </w:r>
          </w:p>
          <w:p w:rsidR="00C93C8A" w:rsidRPr="00E6448B" w:rsidRDefault="00C93C8A" w:rsidP="002F0EB9">
            <w:pPr>
              <w:rPr>
                <w:sz w:val="20"/>
                <w:lang w:val="fr-CA"/>
              </w:rPr>
            </w:pPr>
          </w:p>
        </w:tc>
        <w:tc>
          <w:tcPr>
            <w:tcW w:w="243" w:type="pct"/>
          </w:tcPr>
          <w:p w:rsidR="00C93C8A" w:rsidRPr="00E6448B" w:rsidRDefault="00C93C8A" w:rsidP="002F0EB9">
            <w:pPr>
              <w:rPr>
                <w:sz w:val="20"/>
                <w:lang w:val="fr-CA"/>
              </w:rPr>
            </w:pPr>
          </w:p>
        </w:tc>
        <w:tc>
          <w:tcPr>
            <w:tcW w:w="2330" w:type="pct"/>
          </w:tcPr>
          <w:p w:rsidR="00C93C8A" w:rsidRPr="00E6448B" w:rsidRDefault="00C93C8A" w:rsidP="002F0EB9">
            <w:pPr>
              <w:rPr>
                <w:sz w:val="20"/>
                <w:lang w:val="fr-CA"/>
              </w:rPr>
            </w:pPr>
            <w:r w:rsidRPr="00E6448B">
              <w:rPr>
                <w:sz w:val="20"/>
                <w:lang w:val="fr-CA"/>
              </w:rPr>
              <w:t>Demande d'autorisation d'appel, déposée</w:t>
            </w:r>
          </w:p>
          <w:p w:rsidR="00C93C8A" w:rsidRPr="00E6448B" w:rsidRDefault="00C93C8A" w:rsidP="002F0EB9">
            <w:pPr>
              <w:rPr>
                <w:sz w:val="20"/>
                <w:lang w:val="fr-CA"/>
              </w:rPr>
            </w:pPr>
          </w:p>
        </w:tc>
      </w:tr>
      <w:tr w:rsidR="00C93C8A" w:rsidRPr="00A77989" w:rsidTr="00C4696B">
        <w:trPr>
          <w:cantSplit/>
        </w:trPr>
        <w:tc>
          <w:tcPr>
            <w:tcW w:w="2427" w:type="pct"/>
          </w:tcPr>
          <w:p w:rsidR="00C93C8A" w:rsidRPr="00E6448B" w:rsidRDefault="00C93C8A" w:rsidP="002F0EB9">
            <w:pPr>
              <w:rPr>
                <w:sz w:val="20"/>
                <w:lang w:val="fr-CA"/>
              </w:rPr>
            </w:pPr>
            <w:r w:rsidRPr="00E6448B">
              <w:rPr>
                <w:sz w:val="20"/>
                <w:lang w:val="fr-CA"/>
              </w:rPr>
              <w:lastRenderedPageBreak/>
              <w:t>21 mars 2011</w:t>
            </w:r>
            <w:r w:rsidRPr="00E6448B">
              <w:rPr>
                <w:sz w:val="20"/>
                <w:lang w:val="fr-CA"/>
              </w:rPr>
              <w:br/>
              <w:t>Cour suprême du Canada</w:t>
            </w:r>
          </w:p>
        </w:tc>
        <w:tc>
          <w:tcPr>
            <w:tcW w:w="243" w:type="pct"/>
          </w:tcPr>
          <w:p w:rsidR="00C93C8A" w:rsidRPr="00E6448B" w:rsidRDefault="00C93C8A" w:rsidP="002F0EB9">
            <w:pPr>
              <w:rPr>
                <w:sz w:val="20"/>
                <w:lang w:val="fr-CA"/>
              </w:rPr>
            </w:pPr>
          </w:p>
        </w:tc>
        <w:tc>
          <w:tcPr>
            <w:tcW w:w="2330" w:type="pct"/>
          </w:tcPr>
          <w:p w:rsidR="00C93C8A" w:rsidRPr="00E6448B" w:rsidRDefault="00C93C8A" w:rsidP="002F0EB9">
            <w:pPr>
              <w:jc w:val="both"/>
              <w:rPr>
                <w:sz w:val="20"/>
                <w:lang w:val="fr-CA"/>
              </w:rPr>
            </w:pPr>
            <w:r w:rsidRPr="00E6448B">
              <w:rPr>
                <w:sz w:val="20"/>
                <w:lang w:val="fr-CA"/>
              </w:rPr>
              <w:t>Requête en prorogation du délai de signification et de dépôt de la réponse à la demande d'autorisation d'appel, déposée</w:t>
            </w:r>
          </w:p>
        </w:tc>
      </w:tr>
    </w:tbl>
    <w:p w:rsidR="00FE43CC" w:rsidRPr="00C93C8A" w:rsidRDefault="00FE43CC" w:rsidP="00FE43CC">
      <w:pPr>
        <w:rPr>
          <w:sz w:val="20"/>
          <w:szCs w:val="20"/>
          <w:lang w:val="fr-CA"/>
        </w:rPr>
      </w:pPr>
    </w:p>
    <w:p w:rsidR="00FE43CC" w:rsidRDefault="00AB3236" w:rsidP="00FE43CC">
      <w:pPr>
        <w:rPr>
          <w:sz w:val="20"/>
          <w:szCs w:val="20"/>
          <w:lang w:val="fr-CA"/>
        </w:rPr>
      </w:pPr>
      <w:r w:rsidRPr="00AB3236">
        <w:rPr>
          <w:sz w:val="20"/>
          <w:szCs w:val="20"/>
          <w:lang w:val="fr-CA"/>
        </w:rPr>
        <w:pict>
          <v:rect id="_x0000_i1041"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C37FF" w:rsidRPr="009C37FF" w:rsidTr="004B78B6">
        <w:trPr>
          <w:cantSplit/>
        </w:trPr>
        <w:tc>
          <w:tcPr>
            <w:tcW w:w="1458" w:type="dxa"/>
          </w:tcPr>
          <w:p w:rsidR="009C37FF" w:rsidRPr="009C37FF" w:rsidRDefault="009C37FF" w:rsidP="004B78B6">
            <w:pPr>
              <w:rPr>
                <w:rFonts w:cs="Times New Roman"/>
                <w:sz w:val="20"/>
                <w:szCs w:val="20"/>
              </w:rPr>
            </w:pPr>
            <w:r w:rsidRPr="009C37FF">
              <w:rPr>
                <w:rStyle w:val="SCCFileNumberChar"/>
                <w:sz w:val="20"/>
                <w:szCs w:val="20"/>
              </w:rPr>
              <w:t>34096</w:t>
            </w:r>
          </w:p>
          <w:p w:rsidR="009C37FF" w:rsidRPr="009C37FF" w:rsidRDefault="009C37FF" w:rsidP="004B78B6">
            <w:pPr>
              <w:rPr>
                <w:rFonts w:cs="Times New Roman"/>
                <w:b/>
                <w:sz w:val="20"/>
                <w:szCs w:val="20"/>
                <w:lang w:val="fr-CA"/>
              </w:rPr>
            </w:pPr>
          </w:p>
        </w:tc>
        <w:tc>
          <w:tcPr>
            <w:tcW w:w="8118" w:type="dxa"/>
          </w:tcPr>
          <w:p w:rsidR="009C37FF" w:rsidRPr="009C37FF" w:rsidRDefault="009C37FF" w:rsidP="004B78B6">
            <w:pPr>
              <w:rPr>
                <w:rFonts w:cs="Times New Roman"/>
                <w:sz w:val="20"/>
                <w:szCs w:val="20"/>
              </w:rPr>
            </w:pPr>
            <w:r w:rsidRPr="009C37FF">
              <w:rPr>
                <w:rStyle w:val="SCCLsocChar"/>
                <w:rFonts w:cs="Times New Roman"/>
                <w:sz w:val="20"/>
                <w:szCs w:val="20"/>
                <w:lang w:val="en-CA"/>
              </w:rPr>
              <w:t>Ladislav Konecny v. Ontario Power Generation</w:t>
            </w:r>
            <w:r w:rsidRPr="009C37FF">
              <w:rPr>
                <w:rFonts w:cs="Times New Roman"/>
                <w:sz w:val="20"/>
                <w:szCs w:val="20"/>
              </w:rPr>
              <w:t xml:space="preserve"> (F</w:t>
            </w:r>
            <w:r>
              <w:rPr>
                <w:rFonts w:cs="Times New Roman"/>
                <w:sz w:val="20"/>
                <w:szCs w:val="20"/>
              </w:rPr>
              <w:t>.</w:t>
            </w:r>
            <w:r w:rsidRPr="009C37FF">
              <w:rPr>
                <w:rFonts w:cs="Times New Roman"/>
                <w:sz w:val="20"/>
                <w:szCs w:val="20"/>
              </w:rPr>
              <w:t>C</w:t>
            </w:r>
            <w:r>
              <w:rPr>
                <w:rFonts w:cs="Times New Roman"/>
                <w:sz w:val="20"/>
                <w:szCs w:val="20"/>
              </w:rPr>
              <w:t>.</w:t>
            </w:r>
            <w:r w:rsidRPr="009C37FF">
              <w:rPr>
                <w:rFonts w:cs="Times New Roman"/>
                <w:sz w:val="20"/>
                <w:szCs w:val="20"/>
              </w:rPr>
              <w:t>) (Civil) (By Leave)</w:t>
            </w:r>
          </w:p>
          <w:p w:rsidR="009C37FF" w:rsidRPr="009C37FF" w:rsidRDefault="009C37FF" w:rsidP="004B78B6">
            <w:pPr>
              <w:rPr>
                <w:rFonts w:cs="Times New Roman"/>
                <w:sz w:val="20"/>
                <w:szCs w:val="20"/>
              </w:rPr>
            </w:pPr>
          </w:p>
        </w:tc>
      </w:tr>
      <w:tr w:rsidR="009C37FF" w:rsidRPr="009C37FF" w:rsidTr="004B78B6">
        <w:trPr>
          <w:cantSplit/>
        </w:trPr>
        <w:tc>
          <w:tcPr>
            <w:tcW w:w="1458" w:type="dxa"/>
          </w:tcPr>
          <w:p w:rsidR="009C37FF" w:rsidRPr="009C37FF" w:rsidRDefault="009C37FF" w:rsidP="004B78B6">
            <w:pPr>
              <w:rPr>
                <w:rFonts w:cs="Times New Roman"/>
                <w:sz w:val="20"/>
                <w:szCs w:val="20"/>
              </w:rPr>
            </w:pPr>
            <w:r w:rsidRPr="009C37FF">
              <w:rPr>
                <w:rFonts w:cs="Times New Roman"/>
                <w:sz w:val="20"/>
                <w:szCs w:val="20"/>
              </w:rPr>
              <w:t>Coram :</w:t>
            </w:r>
          </w:p>
        </w:tc>
        <w:tc>
          <w:tcPr>
            <w:tcW w:w="8118" w:type="dxa"/>
          </w:tcPr>
          <w:p w:rsidR="009C37FF" w:rsidRPr="009C37FF" w:rsidRDefault="009C37FF" w:rsidP="004B78B6">
            <w:pPr>
              <w:rPr>
                <w:rFonts w:cs="Times New Roman"/>
                <w:sz w:val="20"/>
                <w:szCs w:val="20"/>
              </w:rPr>
            </w:pPr>
            <w:r w:rsidRPr="009C37FF">
              <w:rPr>
                <w:rStyle w:val="SCCCoramChar"/>
                <w:rFonts w:cs="Times New Roman"/>
                <w:sz w:val="20"/>
                <w:szCs w:val="20"/>
                <w:lang w:val="en-CA"/>
              </w:rPr>
              <w:t>Binnie, Abella and Rothstein JJ.</w:t>
            </w:r>
          </w:p>
          <w:p w:rsidR="009C37FF" w:rsidRPr="009C37FF" w:rsidRDefault="009C37FF" w:rsidP="004B78B6">
            <w:pPr>
              <w:rPr>
                <w:rFonts w:cs="Times New Roman"/>
                <w:sz w:val="20"/>
                <w:szCs w:val="20"/>
                <w:u w:val="single"/>
              </w:rPr>
            </w:pPr>
          </w:p>
        </w:tc>
      </w:tr>
      <w:tr w:rsidR="009C37FF" w:rsidRPr="009C37FF" w:rsidTr="004B78B6">
        <w:trPr>
          <w:cantSplit/>
        </w:trPr>
        <w:tc>
          <w:tcPr>
            <w:tcW w:w="9576" w:type="dxa"/>
            <w:gridSpan w:val="2"/>
          </w:tcPr>
          <w:p w:rsidR="009C37FF" w:rsidRPr="009C37FF" w:rsidRDefault="009C37FF" w:rsidP="004B78B6">
            <w:pPr>
              <w:pStyle w:val="SCCShortJudgment"/>
              <w:rPr>
                <w:rFonts w:cs="Times New Roman"/>
                <w:szCs w:val="20"/>
              </w:rPr>
            </w:pPr>
            <w:r w:rsidRPr="009C37FF">
              <w:rPr>
                <w:rFonts w:cs="Times New Roman"/>
                <w:szCs w:val="20"/>
              </w:rPr>
              <w:t>The application for leave to appeal from the judgment of the Federal Court of Appeal, Number A-24-10, 2010 FCA 340, dated December 13, 2010, is dismissed with costs.</w:t>
            </w:r>
          </w:p>
          <w:p w:rsidR="009C37FF" w:rsidRPr="009C37FF" w:rsidRDefault="009C37FF" w:rsidP="004B78B6">
            <w:pPr>
              <w:pStyle w:val="SCCShortJudgment"/>
              <w:ind w:firstLine="0"/>
              <w:rPr>
                <w:rFonts w:cs="Times New Roman"/>
                <w:szCs w:val="20"/>
              </w:rPr>
            </w:pPr>
          </w:p>
          <w:p w:rsidR="009C37FF" w:rsidRPr="009C37FF" w:rsidRDefault="009C37FF" w:rsidP="009C37FF">
            <w:pPr>
              <w:pStyle w:val="SCCShortJudgment"/>
              <w:rPr>
                <w:rFonts w:cs="Times New Roman"/>
                <w:szCs w:val="20"/>
                <w:lang w:val="fr-CA"/>
              </w:rPr>
            </w:pPr>
            <w:r w:rsidRPr="009C37FF">
              <w:rPr>
                <w:rFonts w:cs="Times New Roman"/>
                <w:szCs w:val="20"/>
                <w:lang w:val="fr-CA"/>
              </w:rPr>
              <w:t>La demande d’autorisation d’appel de l’arrêt de la Cour d’appel fédérale, numéro A-24-10, 2010 CAF 340, daté du 13 décembre 2010, est rejetée avec dépens.</w:t>
            </w:r>
          </w:p>
        </w:tc>
      </w:tr>
    </w:tbl>
    <w:p w:rsidR="009C37FF" w:rsidRPr="009C37FF" w:rsidRDefault="009C37FF"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7968" w:rsidRPr="00E6448B" w:rsidTr="002F0EB9">
        <w:tc>
          <w:tcPr>
            <w:tcW w:w="5000" w:type="pct"/>
            <w:gridSpan w:val="3"/>
          </w:tcPr>
          <w:p w:rsidR="00EF7968" w:rsidRPr="00E6448B" w:rsidRDefault="00EF7968" w:rsidP="002F0EB9">
            <w:pPr>
              <w:jc w:val="both"/>
              <w:rPr>
                <w:rFonts w:eastAsia="Calibri"/>
                <w:sz w:val="20"/>
              </w:rPr>
            </w:pPr>
            <w:r w:rsidRPr="00E6448B">
              <w:rPr>
                <w:rFonts w:eastAsia="Calibri"/>
                <w:sz w:val="20"/>
              </w:rPr>
              <w:t>Administrative law – Judicial review – Whether the Court of Appeal erred in its finding that the issues relating to procedural fairness were not properly before it as they were not raised by appellant in his pleadings – To what extent should judges identify relevant legal issues in dispute before them even if those issues have not been explicitly identified by self represented litigants in order to ensure that the ends of justice are met – Whether the Commission’s investigation was so inadequate as to constitute a breach of the appellant’s right to procedural fairness.</w:t>
            </w:r>
          </w:p>
          <w:p w:rsidR="00EF7968" w:rsidRPr="00E6448B" w:rsidRDefault="00EF7968" w:rsidP="002F0EB9">
            <w:pPr>
              <w:jc w:val="both"/>
              <w:rPr>
                <w:rFonts w:eastAsia="Calibri"/>
                <w:sz w:val="20"/>
              </w:rPr>
            </w:pPr>
          </w:p>
        </w:tc>
      </w:tr>
      <w:tr w:rsidR="00EF7968" w:rsidRPr="00E6448B" w:rsidTr="002F0EB9">
        <w:tc>
          <w:tcPr>
            <w:tcW w:w="5000" w:type="pct"/>
            <w:gridSpan w:val="3"/>
          </w:tcPr>
          <w:p w:rsidR="00EF7968" w:rsidRPr="00E6448B" w:rsidRDefault="00EF7968" w:rsidP="002F0EB9">
            <w:pPr>
              <w:jc w:val="both"/>
              <w:rPr>
                <w:rFonts w:eastAsia="Calibri"/>
                <w:sz w:val="20"/>
              </w:rPr>
            </w:pPr>
            <w:r w:rsidRPr="00E6448B">
              <w:rPr>
                <w:rFonts w:eastAsia="Calibri"/>
                <w:sz w:val="20"/>
              </w:rPr>
              <w:t>Mr. Konecny was employed by Ontario Power Generation and its predecessor, Ontario Hydro, as a civil engineer from 1987 until his termination on July 26, 2002. In August 1999, as an accommodation for side-effects of treatment for Multiple Sclerosis, he was offered accommodation in the form of a four-day work week. The four-day week caused his supervisor some concern, but his supervisor was also concerned about the quantity and quality of work. Shortly after these concerns arose, the supervisor received a report that Mr. Konecny was spending a lot of time on non-work-related phone calls. The supervisor consulted an Ontario Power Vice President. A similar complaint was made to the Corporate Security department.</w:t>
            </w:r>
          </w:p>
          <w:p w:rsidR="00EF7968" w:rsidRPr="00E6448B" w:rsidRDefault="00EF7968" w:rsidP="002F0EB9">
            <w:pPr>
              <w:jc w:val="both"/>
              <w:rPr>
                <w:rFonts w:eastAsia="Calibri"/>
                <w:sz w:val="20"/>
              </w:rPr>
            </w:pPr>
          </w:p>
          <w:p w:rsidR="00EF7968" w:rsidRPr="00E6448B" w:rsidRDefault="00EF7968" w:rsidP="002F0EB9">
            <w:pPr>
              <w:jc w:val="both"/>
              <w:rPr>
                <w:rFonts w:eastAsia="Calibri"/>
                <w:sz w:val="20"/>
              </w:rPr>
            </w:pPr>
            <w:r w:rsidRPr="00E6448B">
              <w:rPr>
                <w:rFonts w:eastAsia="Calibri"/>
                <w:sz w:val="20"/>
              </w:rPr>
              <w:t>In April 10, 2002, the Vice President authorized Corporate Security to investigate Mr. Konecny’s phone records for one month. A month later, Mr. Konecny was transferred to a new department with a new supervisor. The investigation was extended to cover a year. It revealed extensive phone and internet conduct concerning personal and personal commercial activities during working hours. Mr. Konecny was interviewed about this conduct when he returned from vacation in July 2002, and was terminated four days later.</w:t>
            </w:r>
          </w:p>
          <w:p w:rsidR="00EF7968" w:rsidRPr="00E6448B" w:rsidRDefault="00EF7968" w:rsidP="002F0EB9">
            <w:pPr>
              <w:jc w:val="both"/>
              <w:rPr>
                <w:rFonts w:eastAsia="Calibri"/>
                <w:sz w:val="20"/>
              </w:rPr>
            </w:pPr>
          </w:p>
          <w:p w:rsidR="00EF7968" w:rsidRPr="00E6448B" w:rsidRDefault="00EF7968" w:rsidP="002F0EB9">
            <w:pPr>
              <w:jc w:val="both"/>
              <w:rPr>
                <w:rFonts w:eastAsia="Calibri"/>
                <w:sz w:val="20"/>
              </w:rPr>
            </w:pPr>
            <w:r w:rsidRPr="00E6448B">
              <w:rPr>
                <w:rFonts w:eastAsia="Calibri"/>
                <w:sz w:val="20"/>
              </w:rPr>
              <w:t>Mr. Konecny’s union grieved his termination and was represented by a union lawyer during a hearing before an arbitrator. The grievance was dismissed. He then complained to the Canadian Human Rights Commission but, after submissions from counsel for both sides, it decided not to investigate the complaint for being out of time, made in bad faith, and frivolous. The Federal Court dismissed an application for judicial review, finding that the complaint was not out of time nor made in bad faith, but was frivolous. An appeal and a cross-appeal were dismissed.</w:t>
            </w:r>
          </w:p>
          <w:p w:rsidR="00EF7968" w:rsidRPr="00E6448B" w:rsidRDefault="00EF7968" w:rsidP="002F0EB9">
            <w:pPr>
              <w:jc w:val="both"/>
              <w:rPr>
                <w:rFonts w:eastAsia="Calibri"/>
                <w:sz w:val="20"/>
              </w:rPr>
            </w:pPr>
          </w:p>
        </w:tc>
      </w:tr>
      <w:tr w:rsidR="00EF7968" w:rsidRPr="00E6448B" w:rsidTr="002F0EB9">
        <w:tc>
          <w:tcPr>
            <w:tcW w:w="2427" w:type="pct"/>
          </w:tcPr>
          <w:p w:rsidR="00EF7968" w:rsidRPr="00E6448B" w:rsidRDefault="00EF7968" w:rsidP="002F0EB9">
            <w:pPr>
              <w:jc w:val="both"/>
              <w:rPr>
                <w:rFonts w:eastAsia="Calibri"/>
                <w:sz w:val="20"/>
              </w:rPr>
            </w:pPr>
            <w:r w:rsidRPr="00E6448B">
              <w:rPr>
                <w:rFonts w:eastAsia="Calibri"/>
                <w:sz w:val="20"/>
              </w:rPr>
              <w:t>December 17, 2009</w:t>
            </w:r>
          </w:p>
          <w:p w:rsidR="00EF7968" w:rsidRPr="00E6448B" w:rsidRDefault="00EF7968" w:rsidP="002F0EB9">
            <w:pPr>
              <w:jc w:val="both"/>
              <w:rPr>
                <w:rFonts w:eastAsia="Calibri"/>
                <w:sz w:val="20"/>
              </w:rPr>
            </w:pPr>
            <w:r w:rsidRPr="00E6448B">
              <w:rPr>
                <w:rFonts w:eastAsia="Calibri"/>
                <w:sz w:val="20"/>
              </w:rPr>
              <w:t>Federal Court</w:t>
            </w:r>
          </w:p>
          <w:p w:rsidR="00EF7968" w:rsidRPr="00E6448B" w:rsidRDefault="00EF7968" w:rsidP="002F0EB9">
            <w:pPr>
              <w:jc w:val="both"/>
              <w:rPr>
                <w:rFonts w:eastAsia="Calibri"/>
                <w:sz w:val="20"/>
              </w:rPr>
            </w:pPr>
            <w:r w:rsidRPr="00E6448B">
              <w:rPr>
                <w:rFonts w:eastAsia="Calibri"/>
                <w:sz w:val="20"/>
              </w:rPr>
              <w:t>(Simpson J.)</w:t>
            </w:r>
          </w:p>
          <w:p w:rsidR="00EF7968" w:rsidRPr="00E6448B" w:rsidRDefault="00EF7968" w:rsidP="002F0EB9">
            <w:pPr>
              <w:jc w:val="both"/>
              <w:rPr>
                <w:rFonts w:eastAsia="Calibri"/>
                <w:sz w:val="20"/>
              </w:rPr>
            </w:pPr>
            <w:r w:rsidRPr="00E6448B">
              <w:rPr>
                <w:rFonts w:eastAsia="Calibri"/>
                <w:sz w:val="20"/>
              </w:rPr>
              <w:t>Neutral citation: 2009 FC 1289</w:t>
            </w:r>
          </w:p>
          <w:p w:rsidR="00EF7968" w:rsidRPr="00E6448B" w:rsidRDefault="00EF7968" w:rsidP="002F0EB9">
            <w:pPr>
              <w:jc w:val="both"/>
              <w:rPr>
                <w:rFonts w:eastAsia="Calibri"/>
                <w:sz w:val="20"/>
              </w:rPr>
            </w:pPr>
          </w:p>
        </w:tc>
        <w:tc>
          <w:tcPr>
            <w:tcW w:w="243" w:type="pct"/>
          </w:tcPr>
          <w:p w:rsidR="00EF7968" w:rsidRPr="00E6448B" w:rsidRDefault="00EF7968" w:rsidP="002F0EB9">
            <w:pPr>
              <w:jc w:val="both"/>
              <w:rPr>
                <w:rFonts w:eastAsia="Calibri"/>
                <w:sz w:val="20"/>
              </w:rPr>
            </w:pPr>
          </w:p>
        </w:tc>
        <w:tc>
          <w:tcPr>
            <w:tcW w:w="2330" w:type="pct"/>
          </w:tcPr>
          <w:p w:rsidR="00EF7968" w:rsidRPr="00E6448B" w:rsidRDefault="00EF7968" w:rsidP="002F0EB9">
            <w:pPr>
              <w:jc w:val="both"/>
              <w:rPr>
                <w:rFonts w:eastAsia="Calibri"/>
                <w:sz w:val="20"/>
              </w:rPr>
            </w:pPr>
            <w:r w:rsidRPr="00E6448B">
              <w:rPr>
                <w:rFonts w:eastAsia="Calibri"/>
                <w:sz w:val="20"/>
              </w:rPr>
              <w:t>Application for judicial review dismissed</w:t>
            </w:r>
          </w:p>
        </w:tc>
      </w:tr>
      <w:tr w:rsidR="00EF7968" w:rsidRPr="00E6448B" w:rsidTr="00314AC4">
        <w:trPr>
          <w:cantSplit/>
        </w:trPr>
        <w:tc>
          <w:tcPr>
            <w:tcW w:w="2427" w:type="pct"/>
          </w:tcPr>
          <w:p w:rsidR="00EF7968" w:rsidRPr="00E6448B" w:rsidRDefault="00EF7968" w:rsidP="002F0EB9">
            <w:pPr>
              <w:jc w:val="both"/>
              <w:rPr>
                <w:rFonts w:eastAsia="Calibri"/>
                <w:sz w:val="20"/>
              </w:rPr>
            </w:pPr>
            <w:r w:rsidRPr="00E6448B">
              <w:rPr>
                <w:rFonts w:eastAsia="Calibri"/>
                <w:sz w:val="20"/>
              </w:rPr>
              <w:lastRenderedPageBreak/>
              <w:t>December 13, 2010</w:t>
            </w:r>
          </w:p>
          <w:p w:rsidR="00EF7968" w:rsidRPr="00E6448B" w:rsidRDefault="00EF7968" w:rsidP="002F0EB9">
            <w:pPr>
              <w:jc w:val="both"/>
              <w:rPr>
                <w:rFonts w:eastAsia="Calibri"/>
                <w:sz w:val="20"/>
              </w:rPr>
            </w:pPr>
            <w:r w:rsidRPr="00E6448B">
              <w:rPr>
                <w:rFonts w:eastAsia="Calibri"/>
                <w:sz w:val="20"/>
              </w:rPr>
              <w:t>Federal Court of Appeal</w:t>
            </w:r>
          </w:p>
          <w:p w:rsidR="00EF7968" w:rsidRPr="00E6448B" w:rsidRDefault="00EF7968" w:rsidP="002F0EB9">
            <w:pPr>
              <w:jc w:val="both"/>
              <w:rPr>
                <w:rFonts w:eastAsia="Calibri"/>
                <w:sz w:val="20"/>
              </w:rPr>
            </w:pPr>
            <w:r w:rsidRPr="00E6448B">
              <w:rPr>
                <w:rFonts w:eastAsia="Calibri"/>
                <w:sz w:val="20"/>
              </w:rPr>
              <w:t>(Dawson, Layden-Stevenson, Stratas JJ.A.)</w:t>
            </w:r>
          </w:p>
          <w:p w:rsidR="00EF7968" w:rsidRPr="00E6448B" w:rsidRDefault="00EF7968" w:rsidP="002F0EB9">
            <w:pPr>
              <w:jc w:val="both"/>
              <w:rPr>
                <w:rFonts w:eastAsia="Calibri"/>
                <w:sz w:val="20"/>
              </w:rPr>
            </w:pPr>
            <w:r w:rsidRPr="00E6448B">
              <w:rPr>
                <w:rFonts w:eastAsia="Calibri"/>
                <w:sz w:val="20"/>
              </w:rPr>
              <w:t>Neutral citation: 2010 FCA 340</w:t>
            </w:r>
          </w:p>
          <w:p w:rsidR="00EF7968" w:rsidRPr="00E6448B" w:rsidRDefault="00EF7968" w:rsidP="002F0EB9">
            <w:pPr>
              <w:jc w:val="both"/>
              <w:rPr>
                <w:rFonts w:eastAsia="Calibri"/>
                <w:sz w:val="20"/>
              </w:rPr>
            </w:pPr>
          </w:p>
        </w:tc>
        <w:tc>
          <w:tcPr>
            <w:tcW w:w="243" w:type="pct"/>
          </w:tcPr>
          <w:p w:rsidR="00EF7968" w:rsidRPr="00E6448B" w:rsidRDefault="00EF7968" w:rsidP="002F0EB9">
            <w:pPr>
              <w:jc w:val="both"/>
              <w:rPr>
                <w:rFonts w:eastAsia="Calibri"/>
                <w:sz w:val="20"/>
              </w:rPr>
            </w:pPr>
          </w:p>
        </w:tc>
        <w:tc>
          <w:tcPr>
            <w:tcW w:w="2330" w:type="pct"/>
          </w:tcPr>
          <w:p w:rsidR="00EF7968" w:rsidRPr="00E6448B" w:rsidRDefault="00EF7968" w:rsidP="002F0EB9">
            <w:pPr>
              <w:jc w:val="both"/>
              <w:rPr>
                <w:rFonts w:eastAsia="Calibri"/>
                <w:sz w:val="20"/>
              </w:rPr>
            </w:pPr>
            <w:r w:rsidRPr="00E6448B">
              <w:rPr>
                <w:rFonts w:eastAsia="Calibri"/>
                <w:sz w:val="20"/>
              </w:rPr>
              <w:t>Appeal and cross-appeal dismissed</w:t>
            </w:r>
          </w:p>
        </w:tc>
      </w:tr>
      <w:tr w:rsidR="00EF7968" w:rsidRPr="00E6448B" w:rsidTr="009C37FF">
        <w:trPr>
          <w:cantSplit/>
        </w:trPr>
        <w:tc>
          <w:tcPr>
            <w:tcW w:w="2427" w:type="pct"/>
          </w:tcPr>
          <w:p w:rsidR="00EF7968" w:rsidRPr="00E6448B" w:rsidRDefault="00EF7968" w:rsidP="002F0EB9">
            <w:pPr>
              <w:jc w:val="both"/>
              <w:rPr>
                <w:rFonts w:eastAsia="Calibri"/>
                <w:sz w:val="20"/>
              </w:rPr>
            </w:pPr>
            <w:r w:rsidRPr="00E6448B">
              <w:rPr>
                <w:rFonts w:eastAsia="Calibri"/>
                <w:sz w:val="20"/>
              </w:rPr>
              <w:t>February 11, 2011</w:t>
            </w:r>
          </w:p>
          <w:p w:rsidR="00EF7968" w:rsidRPr="00E6448B" w:rsidRDefault="00EF7968" w:rsidP="002F0EB9">
            <w:pPr>
              <w:jc w:val="both"/>
              <w:rPr>
                <w:rFonts w:eastAsia="Calibri"/>
                <w:sz w:val="20"/>
              </w:rPr>
            </w:pPr>
            <w:r w:rsidRPr="00E6448B">
              <w:rPr>
                <w:rFonts w:eastAsia="Calibri"/>
                <w:sz w:val="20"/>
              </w:rPr>
              <w:t>Supreme Court of Canada</w:t>
            </w:r>
          </w:p>
        </w:tc>
        <w:tc>
          <w:tcPr>
            <w:tcW w:w="243" w:type="pct"/>
          </w:tcPr>
          <w:p w:rsidR="00EF7968" w:rsidRPr="00E6448B" w:rsidRDefault="00EF7968" w:rsidP="002F0EB9">
            <w:pPr>
              <w:jc w:val="both"/>
              <w:rPr>
                <w:rFonts w:eastAsia="Calibri"/>
                <w:sz w:val="20"/>
              </w:rPr>
            </w:pPr>
          </w:p>
        </w:tc>
        <w:tc>
          <w:tcPr>
            <w:tcW w:w="2330" w:type="pct"/>
          </w:tcPr>
          <w:p w:rsidR="00EF7968" w:rsidRPr="00E6448B" w:rsidRDefault="00EF7968" w:rsidP="002F0EB9">
            <w:pPr>
              <w:jc w:val="both"/>
              <w:rPr>
                <w:rFonts w:eastAsia="Calibri"/>
                <w:sz w:val="20"/>
              </w:rPr>
            </w:pPr>
            <w:r w:rsidRPr="00E6448B">
              <w:rPr>
                <w:rFonts w:eastAsia="Calibri"/>
                <w:sz w:val="20"/>
              </w:rPr>
              <w:t>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2"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7968" w:rsidRPr="00A77989" w:rsidTr="002F0EB9">
        <w:tc>
          <w:tcPr>
            <w:tcW w:w="5000" w:type="pct"/>
            <w:gridSpan w:val="3"/>
          </w:tcPr>
          <w:p w:rsidR="00EF7968" w:rsidRPr="00E6448B" w:rsidRDefault="00EF7968" w:rsidP="002F0EB9">
            <w:pPr>
              <w:jc w:val="both"/>
              <w:rPr>
                <w:rFonts w:eastAsia="Calibri"/>
                <w:sz w:val="20"/>
                <w:lang w:val="fr-CA"/>
              </w:rPr>
            </w:pPr>
            <w:r w:rsidRPr="00E6448B">
              <w:rPr>
                <w:rFonts w:eastAsia="Calibri"/>
                <w:sz w:val="20"/>
                <w:lang w:val="fr-CA"/>
              </w:rPr>
              <w:t>Droit administratif – Contrôle judiciaire – La Cour d’appel a-t-elle commis une erreur en concluant qu’elle n’avait pas été adéquatement saisie des questions relatives à l’équité procédurale, l’appelant ne les ayant pas soulevées dans sa plaidoirie? – Pour que les fins de la justice soient servies, dans quelle mesure incombe-t-il aux juges de déterminer les questions juridiques pertinentes en litige dans l’affaire même si elles n’ont pas été présentées expressément par les plaideurs qui se représentent seuls? – L’enquête menée par la Commission était-elle si inadéquate qu’elle a porté atteinte au droit de l’appelant à l’équité procédurale?</w:t>
            </w:r>
          </w:p>
          <w:p w:rsidR="00EF7968" w:rsidRPr="00E6448B" w:rsidRDefault="00EF7968" w:rsidP="002F0EB9">
            <w:pPr>
              <w:jc w:val="both"/>
              <w:rPr>
                <w:rFonts w:eastAsia="Calibri"/>
                <w:sz w:val="20"/>
                <w:lang w:val="fr-CA"/>
              </w:rPr>
            </w:pPr>
          </w:p>
        </w:tc>
      </w:tr>
      <w:tr w:rsidR="00EF7968" w:rsidRPr="00E6448B" w:rsidTr="002F0EB9">
        <w:tc>
          <w:tcPr>
            <w:tcW w:w="5000" w:type="pct"/>
            <w:gridSpan w:val="3"/>
          </w:tcPr>
          <w:p w:rsidR="00EF7968" w:rsidRPr="00E6448B" w:rsidRDefault="00EF7968" w:rsidP="002F0EB9">
            <w:pPr>
              <w:jc w:val="both"/>
              <w:rPr>
                <w:rFonts w:eastAsia="Calibri"/>
                <w:sz w:val="20"/>
                <w:lang w:val="fr-CA"/>
              </w:rPr>
            </w:pPr>
            <w:r w:rsidRPr="00E6448B">
              <w:rPr>
                <w:rFonts w:eastAsia="Calibri"/>
                <w:sz w:val="20"/>
                <w:lang w:val="fr-CA"/>
              </w:rPr>
              <w:t>M. Konecny était employé par Ontario Power Generation et l’organisme qui l’a précédé,  Ontario Hydro, comme ingénieur civil de 1987 jusqu’à son congédiement le 26 juillet 2002.  En août 1999, en raison des effets secondaires d’un traitement qu’il suivait pour la sclérose en plaques, on lui a proposé comme mesure d’adaptation une semaine de travail de quatre jours.  Cette mesure d’adaptation ainsi que la quantité de travail fourni par M. Konecny et sa qualité préoccupaient son superviseur.  Peu après avoir formé de telles préoccupations, le superviseur a été informé que M. Konecny passait beaucoup de temps au téléphone à régler des questions sans rapport avec son travail.  Le superviseur a consulté un vice-président d’Ontario Power.  Le service de la sécurité de l’organisme a également reçu une plainte semblable.</w:t>
            </w:r>
          </w:p>
          <w:p w:rsidR="00EF7968" w:rsidRPr="00E6448B" w:rsidRDefault="00EF7968" w:rsidP="002F0EB9">
            <w:pPr>
              <w:jc w:val="both"/>
              <w:rPr>
                <w:rFonts w:eastAsia="Calibri"/>
                <w:sz w:val="20"/>
                <w:lang w:val="fr-CA"/>
              </w:rPr>
            </w:pPr>
          </w:p>
          <w:p w:rsidR="00EF7968" w:rsidRPr="00E6448B" w:rsidRDefault="00EF7968" w:rsidP="002F0EB9">
            <w:pPr>
              <w:jc w:val="both"/>
              <w:rPr>
                <w:rFonts w:eastAsia="Calibri"/>
                <w:sz w:val="20"/>
                <w:lang w:val="fr-CA"/>
              </w:rPr>
            </w:pPr>
            <w:r w:rsidRPr="00E6448B">
              <w:rPr>
                <w:rFonts w:eastAsia="Calibri"/>
                <w:sz w:val="20"/>
                <w:lang w:val="fr-CA"/>
              </w:rPr>
              <w:t>Le 10 avril 2002, le vice-président a autorisé le service de la sécurité à dépouiller le registre des appels de M. Konecny sur une période d’un mois.  Un mois plus tard, M. Konecny a été muté à un autre service, sous la direction d’un nouveau superviseur.  L’enquête, élargie pour porter sur une période d’un an, a révélé des communications téléphoniques et électroniques considérables ayant trait à des activités personnelles et à des activités commerciales privées tenues pendant les heures de travail.  M. Konecny a été interrogé à ce sujet à son retour de vacances en juillet 2002 et a été congédié quatre jours plus tard.</w:t>
            </w:r>
          </w:p>
          <w:p w:rsidR="00EF7968" w:rsidRPr="00E6448B" w:rsidRDefault="00EF7968" w:rsidP="002F0EB9">
            <w:pPr>
              <w:jc w:val="both"/>
              <w:rPr>
                <w:rFonts w:eastAsia="Calibri"/>
                <w:sz w:val="20"/>
                <w:lang w:val="fr-CA"/>
              </w:rPr>
            </w:pPr>
          </w:p>
          <w:p w:rsidR="00EF7968" w:rsidRPr="00E6448B" w:rsidRDefault="00EF7968" w:rsidP="002F0EB9">
            <w:pPr>
              <w:jc w:val="both"/>
              <w:rPr>
                <w:rFonts w:eastAsia="Calibri"/>
                <w:sz w:val="20"/>
              </w:rPr>
            </w:pPr>
            <w:r w:rsidRPr="00E6448B">
              <w:rPr>
                <w:rFonts w:eastAsia="Calibri"/>
                <w:sz w:val="20"/>
                <w:lang w:val="fr-CA"/>
              </w:rPr>
              <w:t xml:space="preserve">Le syndicat auquel appartient M. Konecny a déposé un grief à l’égard du congédiement et lui a fourni les services d’un avocat du syndicat à l’audience devant l’arbitre.  L’arbitre a rejeté le grief.  M. Konecny a ensuite porté plainte à la Commission canadienne des droits de la personne qui, après avoir entendu les avocats des deux parties, a décidé de ne pas enquêter sur la plainte parce qu’elle était prescrite, entachée de mauvaise foi et frivole.  La Cour fédérale a rejeté la demande de contrôle judiciaire, concluant que la plainte, qui n’était ni prescrite, ni entachée de mauvaise foi, était cependant frivole.  </w:t>
            </w:r>
            <w:r w:rsidRPr="00E6448B">
              <w:rPr>
                <w:rFonts w:eastAsia="Calibri"/>
                <w:sz w:val="20"/>
              </w:rPr>
              <w:t xml:space="preserve">L’appel et l’appel incident ont été rejetés.  </w:t>
            </w:r>
          </w:p>
          <w:p w:rsidR="00EF7968" w:rsidRPr="00E6448B" w:rsidRDefault="00EF7968" w:rsidP="002F0EB9">
            <w:pPr>
              <w:jc w:val="both"/>
              <w:rPr>
                <w:rFonts w:eastAsia="Calibri"/>
                <w:sz w:val="20"/>
              </w:rPr>
            </w:pPr>
          </w:p>
        </w:tc>
      </w:tr>
      <w:tr w:rsidR="00EF7968" w:rsidRPr="00A77989" w:rsidTr="002F0EB9">
        <w:tc>
          <w:tcPr>
            <w:tcW w:w="2427" w:type="pct"/>
          </w:tcPr>
          <w:p w:rsidR="00EF7968" w:rsidRPr="00E6448B" w:rsidRDefault="00EF7968" w:rsidP="002F0EB9">
            <w:pPr>
              <w:jc w:val="both"/>
              <w:rPr>
                <w:rFonts w:eastAsia="Calibri"/>
                <w:sz w:val="20"/>
                <w:lang w:val="fr-CA"/>
              </w:rPr>
            </w:pPr>
            <w:r w:rsidRPr="00E6448B">
              <w:rPr>
                <w:rFonts w:eastAsia="Calibri"/>
                <w:sz w:val="20"/>
                <w:lang w:val="fr-CA"/>
              </w:rPr>
              <w:t>Le 17 décembre 2009</w:t>
            </w:r>
          </w:p>
          <w:p w:rsidR="00EF7968" w:rsidRPr="00E6448B" w:rsidRDefault="00EF7968" w:rsidP="002F0EB9">
            <w:pPr>
              <w:jc w:val="both"/>
              <w:rPr>
                <w:rFonts w:eastAsia="Calibri"/>
                <w:sz w:val="20"/>
                <w:lang w:val="fr-CA"/>
              </w:rPr>
            </w:pPr>
            <w:r w:rsidRPr="00E6448B">
              <w:rPr>
                <w:rFonts w:eastAsia="Calibri"/>
                <w:sz w:val="20"/>
                <w:lang w:val="fr-CA"/>
              </w:rPr>
              <w:t>Cour fédérale</w:t>
            </w:r>
          </w:p>
          <w:p w:rsidR="00EF7968" w:rsidRPr="00E6448B" w:rsidRDefault="00EF7968" w:rsidP="002F0EB9">
            <w:pPr>
              <w:jc w:val="both"/>
              <w:rPr>
                <w:rFonts w:eastAsia="Calibri"/>
                <w:sz w:val="20"/>
                <w:lang w:val="fr-CA"/>
              </w:rPr>
            </w:pPr>
            <w:r w:rsidRPr="00E6448B">
              <w:rPr>
                <w:rFonts w:eastAsia="Calibri"/>
                <w:sz w:val="20"/>
                <w:lang w:val="fr-CA"/>
              </w:rPr>
              <w:t>(La juge Simpson)</w:t>
            </w:r>
          </w:p>
          <w:p w:rsidR="00EF7968" w:rsidRPr="00E6448B" w:rsidRDefault="00EF7968" w:rsidP="002F0EB9">
            <w:pPr>
              <w:jc w:val="both"/>
              <w:rPr>
                <w:rFonts w:eastAsia="Calibri"/>
                <w:sz w:val="20"/>
              </w:rPr>
            </w:pPr>
            <w:r w:rsidRPr="00E6448B">
              <w:rPr>
                <w:rFonts w:eastAsia="Calibri"/>
                <w:sz w:val="20"/>
              </w:rPr>
              <w:t>Référence neutre : 2009 FC 1289</w:t>
            </w:r>
          </w:p>
          <w:p w:rsidR="00EF7968" w:rsidRPr="00E6448B" w:rsidRDefault="00EF7968" w:rsidP="002F0EB9">
            <w:pPr>
              <w:jc w:val="both"/>
              <w:rPr>
                <w:rFonts w:eastAsia="Calibri"/>
                <w:sz w:val="20"/>
              </w:rPr>
            </w:pPr>
          </w:p>
        </w:tc>
        <w:tc>
          <w:tcPr>
            <w:tcW w:w="243" w:type="pct"/>
          </w:tcPr>
          <w:p w:rsidR="00EF7968" w:rsidRPr="00E6448B" w:rsidRDefault="00EF7968" w:rsidP="002F0EB9">
            <w:pPr>
              <w:jc w:val="both"/>
              <w:rPr>
                <w:rFonts w:eastAsia="Calibri"/>
                <w:sz w:val="20"/>
              </w:rPr>
            </w:pPr>
          </w:p>
        </w:tc>
        <w:tc>
          <w:tcPr>
            <w:tcW w:w="2330" w:type="pct"/>
          </w:tcPr>
          <w:p w:rsidR="00EF7968" w:rsidRPr="00E6448B" w:rsidRDefault="00EF7968" w:rsidP="002F0EB9">
            <w:pPr>
              <w:jc w:val="both"/>
              <w:rPr>
                <w:rFonts w:eastAsia="Calibri"/>
                <w:sz w:val="20"/>
                <w:lang w:val="fr-CA"/>
              </w:rPr>
            </w:pPr>
            <w:r w:rsidRPr="00E6448B">
              <w:rPr>
                <w:rFonts w:eastAsia="Calibri"/>
                <w:sz w:val="20"/>
                <w:lang w:val="fr-CA"/>
              </w:rPr>
              <w:t>Demande de contrôle judiciaire rejetée</w:t>
            </w:r>
          </w:p>
        </w:tc>
      </w:tr>
      <w:tr w:rsidR="00EF7968" w:rsidRPr="00A77989" w:rsidTr="002F0EB9">
        <w:tc>
          <w:tcPr>
            <w:tcW w:w="2427" w:type="pct"/>
          </w:tcPr>
          <w:p w:rsidR="00EF7968" w:rsidRPr="00E6448B" w:rsidRDefault="00EF7968" w:rsidP="002F0EB9">
            <w:pPr>
              <w:jc w:val="both"/>
              <w:rPr>
                <w:rFonts w:eastAsia="Calibri"/>
                <w:sz w:val="20"/>
                <w:lang w:val="fr-CA"/>
              </w:rPr>
            </w:pPr>
            <w:r w:rsidRPr="00E6448B">
              <w:rPr>
                <w:rFonts w:eastAsia="Calibri"/>
                <w:sz w:val="20"/>
                <w:lang w:val="fr-CA"/>
              </w:rPr>
              <w:t>Le 13 décembre 2010</w:t>
            </w:r>
          </w:p>
          <w:p w:rsidR="00EF7968" w:rsidRPr="00E6448B" w:rsidRDefault="00EF7968" w:rsidP="002F0EB9">
            <w:pPr>
              <w:jc w:val="both"/>
              <w:rPr>
                <w:rFonts w:eastAsia="Calibri"/>
                <w:sz w:val="20"/>
                <w:lang w:val="fr-CA"/>
              </w:rPr>
            </w:pPr>
            <w:r w:rsidRPr="00E6448B">
              <w:rPr>
                <w:rFonts w:eastAsia="Calibri"/>
                <w:sz w:val="20"/>
                <w:lang w:val="fr-CA"/>
              </w:rPr>
              <w:t>Cour d’appel fédérale</w:t>
            </w:r>
          </w:p>
          <w:p w:rsidR="00EF7968" w:rsidRPr="00E6448B" w:rsidRDefault="00EF7968" w:rsidP="002F0EB9">
            <w:pPr>
              <w:jc w:val="both"/>
              <w:rPr>
                <w:rFonts w:eastAsia="Calibri"/>
                <w:sz w:val="20"/>
                <w:lang w:val="fr-CA"/>
              </w:rPr>
            </w:pPr>
            <w:r w:rsidRPr="00E6448B">
              <w:rPr>
                <w:rFonts w:eastAsia="Calibri"/>
                <w:sz w:val="20"/>
                <w:lang w:val="fr-CA"/>
              </w:rPr>
              <w:t>(Les juges Dawson, Layden-Stevenson et Stratas)</w:t>
            </w:r>
          </w:p>
          <w:p w:rsidR="00EF7968" w:rsidRPr="00E6448B" w:rsidRDefault="00EF7968" w:rsidP="002F0EB9">
            <w:pPr>
              <w:jc w:val="both"/>
              <w:rPr>
                <w:rFonts w:eastAsia="Calibri"/>
                <w:sz w:val="20"/>
              </w:rPr>
            </w:pPr>
            <w:r w:rsidRPr="00E6448B">
              <w:rPr>
                <w:rFonts w:eastAsia="Calibri"/>
                <w:sz w:val="20"/>
              </w:rPr>
              <w:t>Référence neutre : 2010 FCA 340</w:t>
            </w:r>
          </w:p>
          <w:p w:rsidR="00EF7968" w:rsidRPr="00E6448B" w:rsidRDefault="00EF7968" w:rsidP="002F0EB9">
            <w:pPr>
              <w:jc w:val="both"/>
              <w:rPr>
                <w:rFonts w:eastAsia="Calibri"/>
                <w:sz w:val="20"/>
              </w:rPr>
            </w:pPr>
          </w:p>
        </w:tc>
        <w:tc>
          <w:tcPr>
            <w:tcW w:w="243" w:type="pct"/>
          </w:tcPr>
          <w:p w:rsidR="00EF7968" w:rsidRPr="00E6448B" w:rsidRDefault="00EF7968" w:rsidP="002F0EB9">
            <w:pPr>
              <w:jc w:val="both"/>
              <w:rPr>
                <w:rFonts w:eastAsia="Calibri"/>
                <w:sz w:val="20"/>
              </w:rPr>
            </w:pPr>
          </w:p>
        </w:tc>
        <w:tc>
          <w:tcPr>
            <w:tcW w:w="2330" w:type="pct"/>
          </w:tcPr>
          <w:p w:rsidR="00EF7968" w:rsidRPr="00E6448B" w:rsidRDefault="00EF7968" w:rsidP="002F0EB9">
            <w:pPr>
              <w:jc w:val="both"/>
              <w:rPr>
                <w:rFonts w:eastAsia="Calibri"/>
                <w:sz w:val="20"/>
                <w:lang w:val="fr-CA"/>
              </w:rPr>
            </w:pPr>
            <w:r w:rsidRPr="00E6448B">
              <w:rPr>
                <w:rFonts w:eastAsia="Calibri"/>
                <w:sz w:val="20"/>
                <w:lang w:val="fr-CA"/>
              </w:rPr>
              <w:t>Appel et appel incident rejetés</w:t>
            </w:r>
          </w:p>
        </w:tc>
      </w:tr>
      <w:tr w:rsidR="00EF7968" w:rsidRPr="00E6448B" w:rsidTr="00314AC4">
        <w:trPr>
          <w:cantSplit/>
        </w:trPr>
        <w:tc>
          <w:tcPr>
            <w:tcW w:w="2427" w:type="pct"/>
          </w:tcPr>
          <w:p w:rsidR="00EF7968" w:rsidRPr="00E6448B" w:rsidRDefault="00EF7968" w:rsidP="002F0EB9">
            <w:pPr>
              <w:jc w:val="both"/>
              <w:rPr>
                <w:rFonts w:eastAsia="Calibri"/>
                <w:sz w:val="20"/>
                <w:lang w:val="fr-CA"/>
              </w:rPr>
            </w:pPr>
            <w:r w:rsidRPr="00E6448B">
              <w:rPr>
                <w:rFonts w:eastAsia="Calibri"/>
                <w:sz w:val="20"/>
                <w:lang w:val="fr-CA"/>
              </w:rPr>
              <w:lastRenderedPageBreak/>
              <w:t>Le 11 février 2011</w:t>
            </w:r>
          </w:p>
          <w:p w:rsidR="00EF7968" w:rsidRPr="00E6448B" w:rsidRDefault="00EF7968" w:rsidP="002F0EB9">
            <w:pPr>
              <w:jc w:val="both"/>
              <w:rPr>
                <w:rFonts w:eastAsia="Calibri"/>
                <w:sz w:val="20"/>
                <w:lang w:val="fr-CA"/>
              </w:rPr>
            </w:pPr>
            <w:r w:rsidRPr="00E6448B">
              <w:rPr>
                <w:rFonts w:eastAsia="Calibri"/>
                <w:sz w:val="20"/>
                <w:lang w:val="fr-CA"/>
              </w:rPr>
              <w:t>Cour suprême du Canada</w:t>
            </w:r>
          </w:p>
        </w:tc>
        <w:tc>
          <w:tcPr>
            <w:tcW w:w="243" w:type="pct"/>
          </w:tcPr>
          <w:p w:rsidR="00EF7968" w:rsidRPr="00E6448B" w:rsidRDefault="00EF7968" w:rsidP="002F0EB9">
            <w:pPr>
              <w:jc w:val="both"/>
              <w:rPr>
                <w:rFonts w:eastAsia="Calibri"/>
                <w:sz w:val="20"/>
                <w:lang w:val="fr-CA"/>
              </w:rPr>
            </w:pPr>
          </w:p>
        </w:tc>
        <w:tc>
          <w:tcPr>
            <w:tcW w:w="2330" w:type="pct"/>
          </w:tcPr>
          <w:p w:rsidR="00EF7968" w:rsidRPr="00E6448B" w:rsidRDefault="00EF7968" w:rsidP="002F0EB9">
            <w:pPr>
              <w:jc w:val="both"/>
              <w:rPr>
                <w:rFonts w:eastAsia="Calibri"/>
                <w:sz w:val="20"/>
              </w:rPr>
            </w:pPr>
            <w:r w:rsidRPr="00E6448B">
              <w:rPr>
                <w:rFonts w:eastAsia="Calibri"/>
                <w:sz w:val="20"/>
              </w:rPr>
              <w:t>Demande d’autorisation d’appel déposée</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3"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4256C" w:rsidRPr="00B4256C" w:rsidTr="004B78B6">
        <w:trPr>
          <w:cantSplit/>
        </w:trPr>
        <w:tc>
          <w:tcPr>
            <w:tcW w:w="1458" w:type="dxa"/>
          </w:tcPr>
          <w:p w:rsidR="00B4256C" w:rsidRPr="00B4256C" w:rsidRDefault="00B4256C" w:rsidP="004B78B6">
            <w:pPr>
              <w:rPr>
                <w:rFonts w:cs="Times New Roman"/>
                <w:sz w:val="20"/>
                <w:szCs w:val="20"/>
              </w:rPr>
            </w:pPr>
            <w:r w:rsidRPr="00B4256C">
              <w:rPr>
                <w:rStyle w:val="SCCFileNumberChar"/>
                <w:sz w:val="20"/>
                <w:szCs w:val="20"/>
              </w:rPr>
              <w:t>34103</w:t>
            </w:r>
          </w:p>
          <w:p w:rsidR="00B4256C" w:rsidRPr="00B4256C" w:rsidRDefault="00B4256C" w:rsidP="004B78B6">
            <w:pPr>
              <w:rPr>
                <w:rFonts w:cs="Times New Roman"/>
                <w:b/>
                <w:sz w:val="20"/>
                <w:szCs w:val="20"/>
                <w:lang w:val="fr-CA"/>
              </w:rPr>
            </w:pPr>
          </w:p>
        </w:tc>
        <w:tc>
          <w:tcPr>
            <w:tcW w:w="8118" w:type="dxa"/>
          </w:tcPr>
          <w:p w:rsidR="00B4256C" w:rsidRPr="00B4256C" w:rsidRDefault="00B4256C" w:rsidP="004B78B6">
            <w:pPr>
              <w:rPr>
                <w:rFonts w:cs="Times New Roman"/>
                <w:sz w:val="20"/>
                <w:szCs w:val="20"/>
              </w:rPr>
            </w:pPr>
            <w:r w:rsidRPr="00B4256C">
              <w:rPr>
                <w:rStyle w:val="SCCLsocChar"/>
                <w:rFonts w:cs="Times New Roman"/>
                <w:sz w:val="20"/>
                <w:szCs w:val="20"/>
                <w:lang w:val="en-CA"/>
              </w:rPr>
              <w:t>Mohammad Momin Khawaja v. Her Majesty the Queen</w:t>
            </w:r>
            <w:r w:rsidRPr="00B4256C">
              <w:rPr>
                <w:rFonts w:cs="Times New Roman"/>
                <w:sz w:val="20"/>
                <w:szCs w:val="20"/>
              </w:rPr>
              <w:t xml:space="preserve"> (Ont.) (Criminal) (By Leave)</w:t>
            </w:r>
          </w:p>
          <w:p w:rsidR="00B4256C" w:rsidRPr="00B4256C" w:rsidRDefault="00B4256C" w:rsidP="004B78B6">
            <w:pPr>
              <w:rPr>
                <w:rFonts w:cs="Times New Roman"/>
                <w:sz w:val="20"/>
                <w:szCs w:val="20"/>
              </w:rPr>
            </w:pPr>
          </w:p>
        </w:tc>
      </w:tr>
      <w:tr w:rsidR="00B4256C" w:rsidRPr="00B4256C" w:rsidTr="004B78B6">
        <w:trPr>
          <w:cantSplit/>
        </w:trPr>
        <w:tc>
          <w:tcPr>
            <w:tcW w:w="1458" w:type="dxa"/>
          </w:tcPr>
          <w:p w:rsidR="00B4256C" w:rsidRPr="00B4256C" w:rsidRDefault="00B4256C" w:rsidP="004B78B6">
            <w:pPr>
              <w:rPr>
                <w:rFonts w:cs="Times New Roman"/>
                <w:sz w:val="20"/>
                <w:szCs w:val="20"/>
              </w:rPr>
            </w:pPr>
            <w:r w:rsidRPr="00B4256C">
              <w:rPr>
                <w:rFonts w:cs="Times New Roman"/>
                <w:sz w:val="20"/>
                <w:szCs w:val="20"/>
              </w:rPr>
              <w:t>Coram :</w:t>
            </w:r>
          </w:p>
        </w:tc>
        <w:tc>
          <w:tcPr>
            <w:tcW w:w="8118" w:type="dxa"/>
          </w:tcPr>
          <w:p w:rsidR="00B4256C" w:rsidRPr="00B4256C" w:rsidRDefault="00B4256C" w:rsidP="004B78B6">
            <w:pPr>
              <w:rPr>
                <w:rFonts w:cs="Times New Roman"/>
                <w:sz w:val="20"/>
                <w:szCs w:val="20"/>
              </w:rPr>
            </w:pPr>
            <w:r w:rsidRPr="00B4256C">
              <w:rPr>
                <w:rStyle w:val="SCCCoramChar"/>
                <w:rFonts w:cs="Times New Roman"/>
                <w:sz w:val="20"/>
                <w:szCs w:val="20"/>
                <w:lang w:val="en-CA"/>
              </w:rPr>
              <w:t>Binnie, Abella and Rothstein JJ.</w:t>
            </w:r>
          </w:p>
          <w:p w:rsidR="00B4256C" w:rsidRPr="00B4256C" w:rsidRDefault="00B4256C" w:rsidP="004B78B6">
            <w:pPr>
              <w:rPr>
                <w:rFonts w:cs="Times New Roman"/>
                <w:sz w:val="20"/>
                <w:szCs w:val="20"/>
                <w:u w:val="single"/>
              </w:rPr>
            </w:pPr>
          </w:p>
        </w:tc>
      </w:tr>
      <w:tr w:rsidR="00B4256C" w:rsidRPr="00B4256C" w:rsidTr="004B78B6">
        <w:trPr>
          <w:cantSplit/>
        </w:trPr>
        <w:tc>
          <w:tcPr>
            <w:tcW w:w="9576" w:type="dxa"/>
            <w:gridSpan w:val="2"/>
          </w:tcPr>
          <w:p w:rsidR="00B4256C" w:rsidRPr="00B4256C" w:rsidRDefault="00B4256C" w:rsidP="004B78B6">
            <w:pPr>
              <w:pStyle w:val="SCCShortJudgment"/>
              <w:rPr>
                <w:rFonts w:cs="Times New Roman"/>
                <w:szCs w:val="20"/>
              </w:rPr>
            </w:pPr>
            <w:r w:rsidRPr="00B4256C">
              <w:rPr>
                <w:rFonts w:cs="Times New Roman"/>
                <w:szCs w:val="20"/>
              </w:rPr>
              <w:t xml:space="preserve">The application for leave to appeal from the judgment of the Court of Appeal for Ontario, Numbers C50298 and C50299, 2010 ONCA 862, dated December 17, 2010, is granted without costs.  This appeal will be heard with </w:t>
            </w:r>
            <w:r w:rsidRPr="00314AC4">
              <w:rPr>
                <w:rFonts w:cs="Times New Roman"/>
                <w:i/>
                <w:szCs w:val="20"/>
              </w:rPr>
              <w:t>Suresh Sriskandarajah v. United States of America, Minister of Justice and Attorney General of Canada</w:t>
            </w:r>
            <w:r w:rsidRPr="00B4256C">
              <w:rPr>
                <w:rFonts w:cs="Times New Roman"/>
                <w:szCs w:val="20"/>
              </w:rPr>
              <w:t xml:space="preserve"> (34009) and </w:t>
            </w:r>
            <w:r w:rsidRPr="00314AC4">
              <w:rPr>
                <w:rFonts w:cs="Times New Roman"/>
                <w:i/>
                <w:szCs w:val="20"/>
              </w:rPr>
              <w:t>Piratheepan Nadarajah v. United States of America, Minister of Justice and Attorney General of Canada</w:t>
            </w:r>
            <w:r w:rsidRPr="00B4256C">
              <w:rPr>
                <w:rFonts w:cs="Times New Roman"/>
                <w:szCs w:val="20"/>
              </w:rPr>
              <w:t xml:space="preserve"> (34013).</w:t>
            </w:r>
          </w:p>
          <w:p w:rsidR="00B4256C" w:rsidRPr="00B4256C" w:rsidRDefault="00B4256C" w:rsidP="004B78B6">
            <w:pPr>
              <w:pStyle w:val="SCCShortJudgment"/>
              <w:ind w:firstLine="0"/>
              <w:rPr>
                <w:rFonts w:cs="Times New Roman"/>
                <w:szCs w:val="20"/>
              </w:rPr>
            </w:pPr>
          </w:p>
          <w:p w:rsidR="00B4256C" w:rsidRPr="00B4256C" w:rsidRDefault="00B4256C" w:rsidP="00B4256C">
            <w:pPr>
              <w:pStyle w:val="SCCShortJudgment"/>
              <w:rPr>
                <w:rFonts w:cs="Times New Roman"/>
                <w:szCs w:val="20"/>
                <w:lang w:val="fr-CA"/>
              </w:rPr>
            </w:pPr>
            <w:r w:rsidRPr="00B4256C">
              <w:rPr>
                <w:rFonts w:cs="Times New Roman"/>
                <w:szCs w:val="20"/>
                <w:lang w:val="fr-CA"/>
              </w:rPr>
              <w:t xml:space="preserve">La demande d’autorisation d’appel de l’arrêt de la Cour d’appel de l’Ontario, numéros C50298 et C50299, 2010 ONCA 862, daté du 17 décembre 2010, est accordée sans dépens.  Cet appel sera entendu avec </w:t>
            </w:r>
            <w:r w:rsidRPr="00314AC4">
              <w:rPr>
                <w:rFonts w:cs="Times New Roman"/>
                <w:i/>
                <w:szCs w:val="20"/>
                <w:lang w:val="fr-CA"/>
              </w:rPr>
              <w:t>Suresh Sriskandarajah c. États-Unis d’Amérique, Ministre de la Justice  et Procureur général du Canada</w:t>
            </w:r>
            <w:r w:rsidRPr="00B4256C">
              <w:rPr>
                <w:rFonts w:cs="Times New Roman"/>
                <w:szCs w:val="20"/>
                <w:lang w:val="fr-CA"/>
              </w:rPr>
              <w:t xml:space="preserve"> (34009) et </w:t>
            </w:r>
            <w:r w:rsidRPr="00314AC4">
              <w:rPr>
                <w:rFonts w:cs="Times New Roman"/>
                <w:i/>
                <w:szCs w:val="20"/>
                <w:lang w:val="fr-CA"/>
              </w:rPr>
              <w:t>Piratheepan Nadarajah c. États-Unis d’Amérique, Ministre de la Justice  et Procureur général du Canada</w:t>
            </w:r>
            <w:r w:rsidRPr="00B4256C">
              <w:rPr>
                <w:rFonts w:cs="Times New Roman"/>
                <w:szCs w:val="20"/>
                <w:lang w:val="fr-CA"/>
              </w:rPr>
              <w:t xml:space="preserve"> (34013).</w:t>
            </w:r>
          </w:p>
        </w:tc>
      </w:tr>
    </w:tbl>
    <w:p w:rsidR="00B4256C" w:rsidRPr="00B4256C" w:rsidRDefault="00B4256C"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7968" w:rsidRPr="00E6448B" w:rsidTr="002F0EB9">
        <w:tc>
          <w:tcPr>
            <w:tcW w:w="5000" w:type="pct"/>
            <w:gridSpan w:val="3"/>
          </w:tcPr>
          <w:p w:rsidR="00EF7968" w:rsidRPr="00E6448B" w:rsidRDefault="00EF7968" w:rsidP="002F0EB9">
            <w:pPr>
              <w:jc w:val="both"/>
              <w:rPr>
                <w:sz w:val="20"/>
              </w:rPr>
            </w:pPr>
            <w:r w:rsidRPr="00E6448B">
              <w:rPr>
                <w:i/>
                <w:sz w:val="20"/>
              </w:rPr>
              <w:t>Canadian Charter of Rights and Freedoms</w:t>
            </w:r>
            <w:r w:rsidRPr="00E6448B">
              <w:rPr>
                <w:sz w:val="20"/>
              </w:rPr>
              <w:t xml:space="preserve"> — Criminal Law — Terrorism offences — Elements of offence — The constitutionality of the definition of “terrorist activity” as defined in section 83.01(1)(b)(i)(A) of the </w:t>
            </w:r>
            <w:r w:rsidRPr="00E6448B">
              <w:rPr>
                <w:i/>
                <w:sz w:val="20"/>
              </w:rPr>
              <w:t>Criminal Code</w:t>
            </w:r>
            <w:r w:rsidRPr="00E6448B">
              <w:rPr>
                <w:sz w:val="20"/>
              </w:rPr>
              <w:t xml:space="preserve"> — Methods and sufficiency of proof of international terrorism crimes prosecuted under the </w:t>
            </w:r>
            <w:r w:rsidRPr="00E6448B">
              <w:rPr>
                <w:i/>
                <w:sz w:val="20"/>
              </w:rPr>
              <w:t>Criminal Code</w:t>
            </w:r>
            <w:r w:rsidRPr="00E6448B">
              <w:rPr>
                <w:sz w:val="20"/>
              </w:rPr>
              <w:t xml:space="preserve"> — The principles of sentencing as applied to terrorism crimes</w:t>
            </w:r>
          </w:p>
          <w:p w:rsidR="00EF7968" w:rsidRPr="00E6448B" w:rsidRDefault="00EF7968" w:rsidP="002F0EB9">
            <w:pPr>
              <w:rPr>
                <w:sz w:val="20"/>
              </w:rPr>
            </w:pPr>
          </w:p>
        </w:tc>
      </w:tr>
      <w:tr w:rsidR="00EF7968" w:rsidRPr="00E6448B" w:rsidTr="002F0EB9">
        <w:tc>
          <w:tcPr>
            <w:tcW w:w="5000" w:type="pct"/>
            <w:gridSpan w:val="3"/>
          </w:tcPr>
          <w:p w:rsidR="00EF7968" w:rsidRPr="00E6448B" w:rsidRDefault="00EF7968" w:rsidP="002F0EB9">
            <w:pPr>
              <w:jc w:val="both"/>
              <w:rPr>
                <w:sz w:val="20"/>
              </w:rPr>
            </w:pPr>
            <w:r w:rsidRPr="00E6448B">
              <w:rPr>
                <w:sz w:val="20"/>
              </w:rPr>
              <w:t>The applicant was convicted of building a detonator to cause a deadly explosion (a lesser included offence of wanting to cause an explosion at the behest of a terrorist group, keeping a deadly explosive substance (a lesser included offence of possessing an explosive substance with the intent of enabling a terrorist group to endanger others, participating in a terrorist group (a group based in London, England that plotted to bomb targets in Europe and the United Kingdom), instructing a person to finance terrorism, making available property to terrorists, contributing to a terrorist group and facilitating terrorism.  In pre</w:t>
            </w:r>
            <w:r w:rsidRPr="00E6448B">
              <w:rPr>
                <w:sz w:val="20"/>
              </w:rPr>
              <w:noBreakHyphen/>
              <w:t xml:space="preserve">trial proceedings, the trial judge held that s. 83.01(1)(b)(i)(A) of the </w:t>
            </w:r>
            <w:r w:rsidRPr="00E6448B">
              <w:rPr>
                <w:i/>
                <w:sz w:val="20"/>
              </w:rPr>
              <w:t>Criminal Code</w:t>
            </w:r>
            <w:r w:rsidRPr="00E6448B">
              <w:rPr>
                <w:sz w:val="20"/>
              </w:rPr>
              <w:t xml:space="preserve"> is unconstitutional and he severed it from the balance of s. 83.01.  He otherwise dismissed constitutional challenges to   terrorism provisions of the </w:t>
            </w:r>
            <w:r w:rsidRPr="00E6448B">
              <w:rPr>
                <w:i/>
                <w:sz w:val="20"/>
              </w:rPr>
              <w:t>Criminal Code</w:t>
            </w:r>
            <w:r w:rsidRPr="00E6448B">
              <w:rPr>
                <w:sz w:val="20"/>
              </w:rPr>
              <w:t>.</w:t>
            </w:r>
          </w:p>
          <w:p w:rsidR="00EF7968" w:rsidRPr="00E6448B" w:rsidRDefault="00EF7968" w:rsidP="002F0EB9">
            <w:pPr>
              <w:rPr>
                <w:sz w:val="20"/>
              </w:rPr>
            </w:pPr>
          </w:p>
        </w:tc>
      </w:tr>
      <w:tr w:rsidR="00EF7968" w:rsidRPr="00E6448B" w:rsidTr="002F0EB9">
        <w:tc>
          <w:tcPr>
            <w:tcW w:w="2427" w:type="pct"/>
          </w:tcPr>
          <w:p w:rsidR="00EF7968" w:rsidRPr="00E6448B" w:rsidRDefault="00EF7968" w:rsidP="002F0EB9">
            <w:pPr>
              <w:rPr>
                <w:sz w:val="20"/>
              </w:rPr>
            </w:pPr>
            <w:r w:rsidRPr="00E6448B">
              <w:rPr>
                <w:sz w:val="20"/>
              </w:rPr>
              <w:t xml:space="preserve">October 24, 2006 </w:t>
            </w:r>
          </w:p>
          <w:p w:rsidR="00EF7968" w:rsidRPr="00E6448B" w:rsidRDefault="00EF7968" w:rsidP="002F0EB9">
            <w:pPr>
              <w:rPr>
                <w:sz w:val="20"/>
              </w:rPr>
            </w:pPr>
            <w:r w:rsidRPr="00E6448B">
              <w:rPr>
                <w:sz w:val="20"/>
              </w:rPr>
              <w:t>Ontario Superior Court of Justice</w:t>
            </w:r>
          </w:p>
          <w:p w:rsidR="00EF7968" w:rsidRPr="00E6448B" w:rsidRDefault="00EF7968" w:rsidP="002F0EB9">
            <w:pPr>
              <w:rPr>
                <w:sz w:val="20"/>
              </w:rPr>
            </w:pPr>
            <w:r w:rsidRPr="00E6448B">
              <w:rPr>
                <w:sz w:val="20"/>
              </w:rPr>
              <w:t xml:space="preserve">(Rutherford J.) </w:t>
            </w:r>
          </w:p>
          <w:p w:rsidR="00EF7968" w:rsidRPr="00E6448B" w:rsidRDefault="00EF7968" w:rsidP="002F0EB9">
            <w:pPr>
              <w:rPr>
                <w:sz w:val="20"/>
              </w:rPr>
            </w:pPr>
          </w:p>
        </w:tc>
        <w:tc>
          <w:tcPr>
            <w:tcW w:w="243" w:type="pct"/>
          </w:tcPr>
          <w:p w:rsidR="00EF7968" w:rsidRPr="00E6448B" w:rsidRDefault="00EF7968" w:rsidP="002F0EB9">
            <w:pPr>
              <w:rPr>
                <w:sz w:val="20"/>
              </w:rPr>
            </w:pPr>
          </w:p>
        </w:tc>
        <w:tc>
          <w:tcPr>
            <w:tcW w:w="2330" w:type="pct"/>
          </w:tcPr>
          <w:p w:rsidR="00EF7968" w:rsidRPr="00E6448B" w:rsidRDefault="00EF7968" w:rsidP="002F0EB9">
            <w:pPr>
              <w:jc w:val="both"/>
              <w:rPr>
                <w:sz w:val="20"/>
              </w:rPr>
            </w:pPr>
            <w:r w:rsidRPr="00E6448B">
              <w:rPr>
                <w:sz w:val="20"/>
              </w:rPr>
              <w:t xml:space="preserve">Application for a declaration that terrorism provisions of the </w:t>
            </w:r>
            <w:r w:rsidRPr="00E6448B">
              <w:rPr>
                <w:i/>
                <w:sz w:val="20"/>
              </w:rPr>
              <w:t>Criminal Code</w:t>
            </w:r>
            <w:r w:rsidRPr="00E6448B">
              <w:rPr>
                <w:sz w:val="20"/>
              </w:rPr>
              <w:t xml:space="preserve"> are unconstitutional and of no force and effect allowed in part; </w:t>
            </w:r>
          </w:p>
          <w:p w:rsidR="00EF7968" w:rsidRPr="00E6448B" w:rsidRDefault="00EF7968" w:rsidP="002F0EB9">
            <w:pPr>
              <w:rPr>
                <w:sz w:val="20"/>
              </w:rPr>
            </w:pPr>
          </w:p>
        </w:tc>
      </w:tr>
      <w:tr w:rsidR="00EF7968" w:rsidRPr="00E6448B" w:rsidTr="002F0EB9">
        <w:tc>
          <w:tcPr>
            <w:tcW w:w="2427" w:type="pct"/>
          </w:tcPr>
          <w:p w:rsidR="00EF7968" w:rsidRPr="00E6448B" w:rsidRDefault="00EF7968" w:rsidP="002F0EB9">
            <w:pPr>
              <w:rPr>
                <w:sz w:val="20"/>
              </w:rPr>
            </w:pPr>
            <w:r w:rsidRPr="00E6448B">
              <w:rPr>
                <w:sz w:val="20"/>
              </w:rPr>
              <w:t>October 29, 2008</w:t>
            </w:r>
          </w:p>
          <w:p w:rsidR="00EF7968" w:rsidRPr="00E6448B" w:rsidRDefault="00EF7968" w:rsidP="002F0EB9">
            <w:pPr>
              <w:rPr>
                <w:sz w:val="20"/>
              </w:rPr>
            </w:pPr>
            <w:r w:rsidRPr="00E6448B">
              <w:rPr>
                <w:sz w:val="20"/>
              </w:rPr>
              <w:t>Ontario Superior Court of Justice</w:t>
            </w:r>
          </w:p>
          <w:p w:rsidR="00EF7968" w:rsidRPr="00E6448B" w:rsidRDefault="00EF7968" w:rsidP="002F0EB9">
            <w:pPr>
              <w:rPr>
                <w:sz w:val="20"/>
              </w:rPr>
            </w:pPr>
            <w:r w:rsidRPr="00E6448B">
              <w:rPr>
                <w:sz w:val="20"/>
              </w:rPr>
              <w:t xml:space="preserve">(Rutherford J.) </w:t>
            </w:r>
          </w:p>
          <w:p w:rsidR="00EF7968" w:rsidRPr="00E6448B" w:rsidRDefault="00EF7968" w:rsidP="002F0EB9">
            <w:pPr>
              <w:rPr>
                <w:sz w:val="20"/>
              </w:rPr>
            </w:pPr>
          </w:p>
        </w:tc>
        <w:tc>
          <w:tcPr>
            <w:tcW w:w="243" w:type="pct"/>
          </w:tcPr>
          <w:p w:rsidR="00EF7968" w:rsidRPr="00E6448B" w:rsidRDefault="00EF7968" w:rsidP="002F0EB9">
            <w:pPr>
              <w:rPr>
                <w:sz w:val="20"/>
              </w:rPr>
            </w:pPr>
          </w:p>
          <w:p w:rsidR="00EF7968" w:rsidRPr="00E6448B" w:rsidRDefault="00EF7968" w:rsidP="002F0EB9">
            <w:pPr>
              <w:rPr>
                <w:sz w:val="20"/>
              </w:rPr>
            </w:pPr>
          </w:p>
        </w:tc>
        <w:tc>
          <w:tcPr>
            <w:tcW w:w="2330" w:type="pct"/>
          </w:tcPr>
          <w:p w:rsidR="00EF7968" w:rsidRPr="00E6448B" w:rsidRDefault="00EF7968" w:rsidP="002F0EB9">
            <w:pPr>
              <w:rPr>
                <w:sz w:val="20"/>
              </w:rPr>
            </w:pPr>
            <w:r w:rsidRPr="00E6448B">
              <w:rPr>
                <w:sz w:val="20"/>
              </w:rPr>
              <w:t>Conviction for 7 terrorism</w:t>
            </w:r>
            <w:r w:rsidRPr="00E6448B">
              <w:rPr>
                <w:sz w:val="20"/>
              </w:rPr>
              <w:noBreakHyphen/>
              <w:t>related offences</w:t>
            </w:r>
          </w:p>
          <w:p w:rsidR="00EF7968" w:rsidRPr="00E6448B" w:rsidRDefault="00EF7968" w:rsidP="002F0EB9">
            <w:pPr>
              <w:rPr>
                <w:sz w:val="20"/>
              </w:rPr>
            </w:pPr>
          </w:p>
        </w:tc>
      </w:tr>
      <w:tr w:rsidR="00EF7968" w:rsidRPr="00E6448B" w:rsidTr="002F0EB9">
        <w:tc>
          <w:tcPr>
            <w:tcW w:w="2427" w:type="pct"/>
          </w:tcPr>
          <w:p w:rsidR="00EF7968" w:rsidRPr="00E6448B" w:rsidRDefault="00EF7968" w:rsidP="002F0EB9">
            <w:pPr>
              <w:rPr>
                <w:sz w:val="20"/>
              </w:rPr>
            </w:pPr>
            <w:r w:rsidRPr="00E6448B">
              <w:rPr>
                <w:sz w:val="20"/>
              </w:rPr>
              <w:t>March 12, 2009</w:t>
            </w:r>
          </w:p>
          <w:p w:rsidR="00EF7968" w:rsidRPr="00E6448B" w:rsidRDefault="00EF7968" w:rsidP="002F0EB9">
            <w:pPr>
              <w:rPr>
                <w:sz w:val="20"/>
              </w:rPr>
            </w:pPr>
            <w:r w:rsidRPr="00E6448B">
              <w:rPr>
                <w:sz w:val="20"/>
              </w:rPr>
              <w:t>Ontario Superior Court of Justice</w:t>
            </w:r>
          </w:p>
          <w:p w:rsidR="00EF7968" w:rsidRPr="00E6448B" w:rsidRDefault="00EF7968" w:rsidP="002F0EB9">
            <w:pPr>
              <w:rPr>
                <w:sz w:val="20"/>
              </w:rPr>
            </w:pPr>
            <w:r w:rsidRPr="00E6448B">
              <w:rPr>
                <w:sz w:val="20"/>
              </w:rPr>
              <w:t xml:space="preserve">(Rutherford J.) </w:t>
            </w:r>
          </w:p>
          <w:p w:rsidR="00EF7968" w:rsidRPr="00E6448B" w:rsidRDefault="00EF7968" w:rsidP="002F0EB9">
            <w:pPr>
              <w:rPr>
                <w:sz w:val="20"/>
              </w:rPr>
            </w:pPr>
          </w:p>
        </w:tc>
        <w:tc>
          <w:tcPr>
            <w:tcW w:w="243" w:type="pct"/>
          </w:tcPr>
          <w:p w:rsidR="00EF7968" w:rsidRPr="00E6448B" w:rsidRDefault="00EF7968" w:rsidP="002F0EB9">
            <w:pPr>
              <w:rPr>
                <w:sz w:val="20"/>
              </w:rPr>
            </w:pPr>
          </w:p>
        </w:tc>
        <w:tc>
          <w:tcPr>
            <w:tcW w:w="2330" w:type="pct"/>
          </w:tcPr>
          <w:p w:rsidR="00EF7968" w:rsidRPr="00E6448B" w:rsidRDefault="00EF7968" w:rsidP="002F0EB9">
            <w:pPr>
              <w:rPr>
                <w:sz w:val="20"/>
              </w:rPr>
            </w:pPr>
            <w:r w:rsidRPr="00E6448B">
              <w:rPr>
                <w:sz w:val="20"/>
              </w:rPr>
              <w:t>Sentence to 10.5 years imprisonment</w:t>
            </w:r>
          </w:p>
          <w:p w:rsidR="00EF7968" w:rsidRPr="00E6448B" w:rsidRDefault="00EF7968" w:rsidP="002F0EB9">
            <w:pPr>
              <w:rPr>
                <w:sz w:val="20"/>
              </w:rPr>
            </w:pPr>
          </w:p>
        </w:tc>
      </w:tr>
      <w:tr w:rsidR="00EF7968" w:rsidRPr="00E6448B" w:rsidTr="00457501">
        <w:trPr>
          <w:cantSplit/>
        </w:trPr>
        <w:tc>
          <w:tcPr>
            <w:tcW w:w="2427" w:type="pct"/>
          </w:tcPr>
          <w:p w:rsidR="00EF7968" w:rsidRPr="00E6448B" w:rsidRDefault="00EF7968" w:rsidP="002F0EB9">
            <w:pPr>
              <w:rPr>
                <w:sz w:val="20"/>
              </w:rPr>
            </w:pPr>
            <w:r w:rsidRPr="00E6448B">
              <w:rPr>
                <w:sz w:val="20"/>
              </w:rPr>
              <w:lastRenderedPageBreak/>
              <w:t>December 17, 2010</w:t>
            </w:r>
          </w:p>
          <w:p w:rsidR="00EF7968" w:rsidRPr="00E6448B" w:rsidRDefault="00EF7968" w:rsidP="002F0EB9">
            <w:pPr>
              <w:rPr>
                <w:sz w:val="20"/>
              </w:rPr>
            </w:pPr>
            <w:r w:rsidRPr="00E6448B">
              <w:rPr>
                <w:sz w:val="20"/>
              </w:rPr>
              <w:t>Court of Appeal for Ontario</w:t>
            </w:r>
          </w:p>
          <w:p w:rsidR="00EF7968" w:rsidRPr="00E6448B" w:rsidRDefault="00EF7968" w:rsidP="002F0EB9">
            <w:pPr>
              <w:rPr>
                <w:sz w:val="20"/>
              </w:rPr>
            </w:pPr>
            <w:r w:rsidRPr="00E6448B">
              <w:rPr>
                <w:sz w:val="20"/>
              </w:rPr>
              <w:t>(Doherty, Moldaver, Cronk JJ.A.)</w:t>
            </w:r>
          </w:p>
          <w:p w:rsidR="00EF7968" w:rsidRPr="00E6448B" w:rsidRDefault="00EF7968" w:rsidP="002F0EB9">
            <w:pPr>
              <w:rPr>
                <w:sz w:val="20"/>
              </w:rPr>
            </w:pPr>
            <w:r w:rsidRPr="00E6448B">
              <w:rPr>
                <w:sz w:val="20"/>
              </w:rPr>
              <w:t>2010 ONCA 862</w:t>
            </w:r>
          </w:p>
          <w:p w:rsidR="00EF7968" w:rsidRPr="00E6448B" w:rsidRDefault="00EF7968" w:rsidP="002F0EB9">
            <w:pPr>
              <w:rPr>
                <w:sz w:val="20"/>
              </w:rPr>
            </w:pPr>
            <w:r w:rsidRPr="00E6448B">
              <w:rPr>
                <w:sz w:val="20"/>
              </w:rPr>
              <w:t>Docket: C50298/50299</w:t>
            </w:r>
          </w:p>
          <w:p w:rsidR="00EF7968" w:rsidRPr="00E6448B" w:rsidRDefault="00EF7968" w:rsidP="002F0EB9">
            <w:pPr>
              <w:rPr>
                <w:sz w:val="20"/>
              </w:rPr>
            </w:pPr>
          </w:p>
        </w:tc>
        <w:tc>
          <w:tcPr>
            <w:tcW w:w="243" w:type="pct"/>
          </w:tcPr>
          <w:p w:rsidR="00EF7968" w:rsidRPr="00E6448B" w:rsidRDefault="00EF7968" w:rsidP="002F0EB9">
            <w:pPr>
              <w:rPr>
                <w:sz w:val="20"/>
              </w:rPr>
            </w:pPr>
          </w:p>
        </w:tc>
        <w:tc>
          <w:tcPr>
            <w:tcW w:w="2330" w:type="pct"/>
          </w:tcPr>
          <w:p w:rsidR="00EF7968" w:rsidRPr="00E6448B" w:rsidRDefault="00EF7968" w:rsidP="002F0EB9">
            <w:pPr>
              <w:jc w:val="both"/>
              <w:rPr>
                <w:color w:val="000000"/>
                <w:sz w:val="20"/>
              </w:rPr>
            </w:pPr>
            <w:r w:rsidRPr="00E6448B">
              <w:rPr>
                <w:sz w:val="20"/>
              </w:rPr>
              <w:t>Appeal from convictions and sentences dismissed; Cross</w:t>
            </w:r>
            <w:r w:rsidRPr="00E6448B">
              <w:rPr>
                <w:sz w:val="20"/>
              </w:rPr>
              <w:noBreakHyphen/>
              <w:t>appeal from sentences allowed. Sentence for building a detonator to cause a deadly explosion increased to life imprisonment; remaining sentences increased to consecutive terms of imprisonment totalling 24 years, concurrent; parole ineligibility set at 10 years</w:t>
            </w:r>
            <w:r w:rsidRPr="00E6448B">
              <w:rPr>
                <w:color w:val="000000"/>
                <w:sz w:val="20"/>
              </w:rPr>
              <w:t xml:space="preserve">  </w:t>
            </w:r>
          </w:p>
          <w:p w:rsidR="00EF7968" w:rsidRPr="00E6448B" w:rsidRDefault="00EF7968" w:rsidP="002F0EB9">
            <w:pPr>
              <w:rPr>
                <w:sz w:val="20"/>
              </w:rPr>
            </w:pPr>
          </w:p>
        </w:tc>
      </w:tr>
      <w:tr w:rsidR="00EF7968" w:rsidRPr="00E6448B" w:rsidTr="00457501">
        <w:trPr>
          <w:cantSplit/>
        </w:trPr>
        <w:tc>
          <w:tcPr>
            <w:tcW w:w="2427" w:type="pct"/>
          </w:tcPr>
          <w:p w:rsidR="00EF7968" w:rsidRPr="00E6448B" w:rsidRDefault="00EF7968" w:rsidP="002F0EB9">
            <w:pPr>
              <w:rPr>
                <w:sz w:val="20"/>
              </w:rPr>
            </w:pPr>
            <w:r w:rsidRPr="00E6448B">
              <w:rPr>
                <w:sz w:val="20"/>
              </w:rPr>
              <w:t>February 15, 2011</w:t>
            </w:r>
          </w:p>
          <w:p w:rsidR="00EF7968" w:rsidRPr="00E6448B" w:rsidRDefault="00EF7968" w:rsidP="002F0EB9">
            <w:pPr>
              <w:rPr>
                <w:sz w:val="20"/>
              </w:rPr>
            </w:pPr>
            <w:r w:rsidRPr="00E6448B">
              <w:rPr>
                <w:sz w:val="20"/>
              </w:rPr>
              <w:t>Supreme Court of Canada</w:t>
            </w:r>
          </w:p>
        </w:tc>
        <w:tc>
          <w:tcPr>
            <w:tcW w:w="243" w:type="pct"/>
          </w:tcPr>
          <w:p w:rsidR="00EF7968" w:rsidRPr="00E6448B" w:rsidRDefault="00EF7968" w:rsidP="002F0EB9">
            <w:pPr>
              <w:rPr>
                <w:sz w:val="20"/>
              </w:rPr>
            </w:pPr>
          </w:p>
        </w:tc>
        <w:tc>
          <w:tcPr>
            <w:tcW w:w="2330" w:type="pct"/>
          </w:tcPr>
          <w:p w:rsidR="00EF7968" w:rsidRPr="00E6448B" w:rsidRDefault="00EF7968" w:rsidP="002F0EB9">
            <w:pPr>
              <w:rPr>
                <w:sz w:val="20"/>
              </w:rPr>
            </w:pPr>
            <w:r w:rsidRPr="00E6448B">
              <w:rPr>
                <w:sz w:val="20"/>
              </w:rPr>
              <w:t>Application for leave to appeal filed</w:t>
            </w:r>
          </w:p>
          <w:p w:rsidR="00EF7968" w:rsidRPr="00E6448B" w:rsidRDefault="00EF7968" w:rsidP="002F0EB9">
            <w:pPr>
              <w:rPr>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4"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F7968" w:rsidRPr="00A77989" w:rsidTr="002F0EB9">
        <w:tc>
          <w:tcPr>
            <w:tcW w:w="5000" w:type="pct"/>
            <w:gridSpan w:val="3"/>
          </w:tcPr>
          <w:p w:rsidR="00EF7968" w:rsidRPr="00E6448B" w:rsidRDefault="00EF7968" w:rsidP="002F0EB9">
            <w:pPr>
              <w:jc w:val="both"/>
              <w:rPr>
                <w:rFonts w:eastAsia="Calibri"/>
                <w:sz w:val="20"/>
                <w:lang w:val="fr-CA"/>
              </w:rPr>
            </w:pPr>
            <w:r w:rsidRPr="00E6448B">
              <w:rPr>
                <w:rFonts w:eastAsia="Calibri"/>
                <w:i/>
                <w:sz w:val="20"/>
                <w:lang w:val="fr-CA"/>
              </w:rPr>
              <w:t xml:space="preserve">Charte canadienne des droits et libertés </w:t>
            </w:r>
            <w:r w:rsidRPr="00E6448B">
              <w:rPr>
                <w:rFonts w:eastAsia="Calibri"/>
                <w:sz w:val="20"/>
                <w:lang w:val="fr-CA"/>
              </w:rPr>
              <w:t>— Droit criminel — Infractions de terrorisme — Éléments de l’infraction — Constitutionnalité de la définition du terme « activité terroriste » prévue à la div. 83.01(1)</w:t>
            </w:r>
            <w:r w:rsidRPr="00E6448B">
              <w:rPr>
                <w:rFonts w:eastAsia="Calibri"/>
                <w:i/>
                <w:sz w:val="20"/>
                <w:lang w:val="fr-CA"/>
              </w:rPr>
              <w:t>b</w:t>
            </w:r>
            <w:r w:rsidRPr="00E6448B">
              <w:rPr>
                <w:rFonts w:eastAsia="Calibri"/>
                <w:sz w:val="20"/>
                <w:lang w:val="fr-CA"/>
              </w:rPr>
              <w:t xml:space="preserve">)(i)(A) du </w:t>
            </w:r>
            <w:r w:rsidRPr="00E6448B">
              <w:rPr>
                <w:rFonts w:eastAsia="Calibri"/>
                <w:i/>
                <w:sz w:val="20"/>
                <w:lang w:val="fr-CA"/>
              </w:rPr>
              <w:t>Code criminel</w:t>
            </w:r>
            <w:r w:rsidRPr="00E6448B">
              <w:rPr>
                <w:rFonts w:eastAsia="Calibri"/>
                <w:sz w:val="20"/>
                <w:lang w:val="fr-CA"/>
              </w:rPr>
              <w:t xml:space="preserve"> — Méthode de preuve et suffisance des éléments démontrant la perpétration à l’étranger de crimes de terrorisme poursuivis en vertu du </w:t>
            </w:r>
            <w:r w:rsidRPr="00E6448B">
              <w:rPr>
                <w:rFonts w:eastAsia="Calibri"/>
                <w:i/>
                <w:sz w:val="20"/>
                <w:lang w:val="fr-CA"/>
              </w:rPr>
              <w:t>Code criminel</w:t>
            </w:r>
            <w:r w:rsidRPr="00E6448B">
              <w:rPr>
                <w:rFonts w:eastAsia="Calibri"/>
                <w:sz w:val="20"/>
                <w:lang w:val="fr-CA"/>
              </w:rPr>
              <w:t xml:space="preserve"> — Principes de détermination de la peine applicables aux crimes de terrorisme</w:t>
            </w:r>
          </w:p>
          <w:p w:rsidR="00EF7968" w:rsidRPr="00E6448B" w:rsidRDefault="00EF7968" w:rsidP="002F0EB9">
            <w:pPr>
              <w:jc w:val="both"/>
              <w:rPr>
                <w:rFonts w:eastAsia="Calibri"/>
                <w:sz w:val="20"/>
                <w:lang w:val="fr-CA"/>
              </w:rPr>
            </w:pPr>
          </w:p>
        </w:tc>
      </w:tr>
      <w:tr w:rsidR="00EF7968" w:rsidRPr="00A77989" w:rsidTr="002F0EB9">
        <w:tc>
          <w:tcPr>
            <w:tcW w:w="5000" w:type="pct"/>
            <w:gridSpan w:val="3"/>
          </w:tcPr>
          <w:p w:rsidR="00EF7968" w:rsidRPr="00E6448B" w:rsidRDefault="00EF7968" w:rsidP="002F0EB9">
            <w:pPr>
              <w:jc w:val="both"/>
              <w:rPr>
                <w:rFonts w:eastAsia="Calibri"/>
                <w:sz w:val="20"/>
                <w:lang w:val="fr-CA"/>
              </w:rPr>
            </w:pPr>
            <w:r w:rsidRPr="00E6448B">
              <w:rPr>
                <w:rFonts w:eastAsia="Calibri"/>
                <w:sz w:val="20"/>
                <w:lang w:val="fr-CA"/>
              </w:rPr>
              <w:t>Le demandeur a été déclaré coupable d’avoir fabriqué un détonateur en vue de causer une explosion susceptible de causer la mort (une infraction moindre incluse dans celle d’intention de causer une explosion à la demande d’un groupe terroriste), d’avoir détenu une substance explosive susceptible de causer la mort (une infraction moindre incluse dans celle de possession d’une substance explosive en vue d’aider un groupe terroriste à mettre la vie d’autrui en danger), de participation à une activité d’un groupe terroriste (un groupe opérant depuis Londres, en Angleterre, qui complotait de faire sauter des cibles en Europe, dont au Royaume</w:t>
            </w:r>
            <w:r w:rsidRPr="00E6448B">
              <w:rPr>
                <w:rFonts w:eastAsia="Calibri"/>
                <w:sz w:val="20"/>
                <w:lang w:val="fr-CA"/>
              </w:rPr>
              <w:noBreakHyphen/>
              <w:t>Uni), d’avoir invité une autre personne à financer des activités terroristes, d’avoir rendu des biens disponibles à des fins terroristes, d’avoir contribué à une activité d’un groupe terroriste et d’avoir facilité une activité terroriste.  Dans une procédure préalable au procès, le juge de première instance a déclaré la div. 83.01(1)</w:t>
            </w:r>
            <w:r w:rsidRPr="00E6448B">
              <w:rPr>
                <w:rFonts w:eastAsia="Calibri"/>
                <w:i/>
                <w:sz w:val="20"/>
                <w:lang w:val="fr-CA"/>
              </w:rPr>
              <w:t>b</w:t>
            </w:r>
            <w:r w:rsidRPr="00E6448B">
              <w:rPr>
                <w:rFonts w:eastAsia="Calibri"/>
                <w:sz w:val="20"/>
                <w:lang w:val="fr-CA"/>
              </w:rPr>
              <w:t xml:space="preserve">)(i)(A) du </w:t>
            </w:r>
            <w:r w:rsidRPr="00E6448B">
              <w:rPr>
                <w:rFonts w:eastAsia="Calibri"/>
                <w:i/>
                <w:sz w:val="20"/>
                <w:lang w:val="fr-CA"/>
              </w:rPr>
              <w:t>Code criminel</w:t>
            </w:r>
            <w:r w:rsidRPr="00E6448B">
              <w:rPr>
                <w:rFonts w:eastAsia="Calibri"/>
                <w:sz w:val="20"/>
                <w:lang w:val="fr-CA"/>
              </w:rPr>
              <w:t xml:space="preserve"> inconstitutionnelle et l’a retranchée du reste de l’art. 83.01.  Il a rejeté les autres contestations constitutionnelles portant sur les dispositions sur le terrorisme prévues au </w:t>
            </w:r>
            <w:r w:rsidRPr="00E6448B">
              <w:rPr>
                <w:rFonts w:eastAsia="Calibri"/>
                <w:i/>
                <w:sz w:val="20"/>
                <w:lang w:val="fr-CA"/>
              </w:rPr>
              <w:t>Code</w:t>
            </w:r>
            <w:r w:rsidRPr="00E6448B">
              <w:rPr>
                <w:rFonts w:eastAsia="Calibri"/>
                <w:sz w:val="20"/>
                <w:lang w:val="fr-CA"/>
              </w:rPr>
              <w:t>.</w:t>
            </w:r>
          </w:p>
          <w:p w:rsidR="00EF7968" w:rsidRPr="00E6448B" w:rsidRDefault="00EF7968" w:rsidP="002F0EB9">
            <w:pPr>
              <w:jc w:val="both"/>
              <w:rPr>
                <w:rFonts w:eastAsia="Calibri"/>
                <w:sz w:val="20"/>
                <w:lang w:val="fr-CA"/>
              </w:rPr>
            </w:pPr>
          </w:p>
        </w:tc>
      </w:tr>
      <w:tr w:rsidR="00EF7968" w:rsidRPr="00A77989" w:rsidTr="002F0EB9">
        <w:tc>
          <w:tcPr>
            <w:tcW w:w="2427" w:type="pct"/>
          </w:tcPr>
          <w:p w:rsidR="00EF7968" w:rsidRPr="00E6448B" w:rsidRDefault="00EF7968" w:rsidP="002F0EB9">
            <w:pPr>
              <w:jc w:val="both"/>
              <w:rPr>
                <w:rFonts w:eastAsia="Calibri"/>
                <w:sz w:val="20"/>
                <w:lang w:val="fr-CA"/>
              </w:rPr>
            </w:pPr>
            <w:r w:rsidRPr="00E6448B">
              <w:rPr>
                <w:rFonts w:eastAsia="Calibri"/>
                <w:sz w:val="20"/>
                <w:lang w:val="fr-CA"/>
              </w:rPr>
              <w:t xml:space="preserve">24 octobre 2006 </w:t>
            </w:r>
          </w:p>
          <w:p w:rsidR="00EF7968" w:rsidRPr="00E6448B" w:rsidRDefault="00EF7968" w:rsidP="002F0EB9">
            <w:pPr>
              <w:jc w:val="both"/>
              <w:rPr>
                <w:rFonts w:eastAsia="Calibri"/>
                <w:sz w:val="20"/>
                <w:lang w:val="fr-CA"/>
              </w:rPr>
            </w:pPr>
            <w:r w:rsidRPr="00E6448B">
              <w:rPr>
                <w:rFonts w:eastAsia="Calibri"/>
                <w:sz w:val="20"/>
                <w:lang w:val="fr-CA"/>
              </w:rPr>
              <w:t xml:space="preserve">Cour supérieure de justice de l’Ontario </w:t>
            </w:r>
          </w:p>
          <w:p w:rsidR="00EF7968" w:rsidRPr="00E6448B" w:rsidRDefault="00EF7968" w:rsidP="002F0EB9">
            <w:pPr>
              <w:jc w:val="both"/>
              <w:rPr>
                <w:rFonts w:eastAsia="Calibri"/>
                <w:sz w:val="20"/>
                <w:lang w:val="fr-CA"/>
              </w:rPr>
            </w:pPr>
            <w:r w:rsidRPr="00E6448B">
              <w:rPr>
                <w:rFonts w:eastAsia="Calibri"/>
                <w:sz w:val="20"/>
                <w:lang w:val="fr-CA"/>
              </w:rPr>
              <w:t xml:space="preserve">(juge Rutherford) </w:t>
            </w:r>
          </w:p>
          <w:p w:rsidR="00EF7968" w:rsidRPr="00E6448B" w:rsidRDefault="00EF7968" w:rsidP="002F0EB9">
            <w:pPr>
              <w:jc w:val="both"/>
              <w:rPr>
                <w:rFonts w:eastAsia="Calibri"/>
                <w:sz w:val="20"/>
                <w:lang w:val="fr-CA"/>
              </w:rPr>
            </w:pPr>
          </w:p>
        </w:tc>
        <w:tc>
          <w:tcPr>
            <w:tcW w:w="243" w:type="pct"/>
          </w:tcPr>
          <w:p w:rsidR="00EF7968" w:rsidRPr="00E6448B" w:rsidRDefault="00EF7968" w:rsidP="002F0EB9">
            <w:pPr>
              <w:jc w:val="both"/>
              <w:rPr>
                <w:rFonts w:eastAsia="Calibri"/>
                <w:sz w:val="20"/>
                <w:lang w:val="fr-CA"/>
              </w:rPr>
            </w:pPr>
          </w:p>
        </w:tc>
        <w:tc>
          <w:tcPr>
            <w:tcW w:w="2330" w:type="pct"/>
          </w:tcPr>
          <w:p w:rsidR="00EF7968" w:rsidRPr="00E6448B" w:rsidRDefault="00EF7968" w:rsidP="002F0EB9">
            <w:pPr>
              <w:jc w:val="both"/>
              <w:rPr>
                <w:rFonts w:eastAsia="Calibri"/>
                <w:sz w:val="20"/>
                <w:lang w:val="fr-CA"/>
              </w:rPr>
            </w:pPr>
            <w:r w:rsidRPr="00E6448B">
              <w:rPr>
                <w:rFonts w:eastAsia="Calibri"/>
                <w:sz w:val="20"/>
                <w:lang w:val="fr-CA"/>
              </w:rPr>
              <w:t xml:space="preserve">Demande de jugement déclarant inconstitutionnelles les dispositions sur le terrorisme du </w:t>
            </w:r>
            <w:r w:rsidRPr="00E6448B">
              <w:rPr>
                <w:rFonts w:eastAsia="Calibri"/>
                <w:i/>
                <w:sz w:val="20"/>
                <w:lang w:val="fr-CA"/>
              </w:rPr>
              <w:t>Code criminel</w:t>
            </w:r>
            <w:r w:rsidRPr="00E6448B">
              <w:rPr>
                <w:rFonts w:eastAsia="Calibri"/>
                <w:sz w:val="20"/>
                <w:lang w:val="fr-CA"/>
              </w:rPr>
              <w:t xml:space="preserve"> et les déclarant inopérantes accueillie en partie;</w:t>
            </w:r>
          </w:p>
          <w:p w:rsidR="00EF7968" w:rsidRPr="00E6448B" w:rsidRDefault="00EF7968" w:rsidP="002F0EB9">
            <w:pPr>
              <w:jc w:val="both"/>
              <w:rPr>
                <w:rFonts w:eastAsia="Calibri"/>
                <w:sz w:val="20"/>
                <w:lang w:val="fr-CA"/>
              </w:rPr>
            </w:pPr>
          </w:p>
        </w:tc>
      </w:tr>
      <w:tr w:rsidR="00EF7968" w:rsidRPr="00A77989" w:rsidTr="002F0EB9">
        <w:tc>
          <w:tcPr>
            <w:tcW w:w="2427" w:type="pct"/>
          </w:tcPr>
          <w:p w:rsidR="00EF7968" w:rsidRPr="00E6448B" w:rsidRDefault="00EF7968" w:rsidP="002F0EB9">
            <w:pPr>
              <w:jc w:val="both"/>
              <w:rPr>
                <w:rFonts w:eastAsia="Calibri"/>
                <w:sz w:val="20"/>
                <w:lang w:val="fr-CA"/>
              </w:rPr>
            </w:pPr>
            <w:r w:rsidRPr="00E6448B">
              <w:rPr>
                <w:rFonts w:eastAsia="Calibri"/>
                <w:sz w:val="20"/>
                <w:lang w:val="fr-CA"/>
              </w:rPr>
              <w:t>29 octobre 2008</w:t>
            </w:r>
          </w:p>
          <w:p w:rsidR="00EF7968" w:rsidRPr="00E6448B" w:rsidRDefault="00EF7968" w:rsidP="002F0EB9">
            <w:pPr>
              <w:jc w:val="both"/>
              <w:rPr>
                <w:rFonts w:eastAsia="Calibri"/>
                <w:sz w:val="20"/>
                <w:lang w:val="fr-CA"/>
              </w:rPr>
            </w:pPr>
            <w:r w:rsidRPr="00E6448B">
              <w:rPr>
                <w:rFonts w:eastAsia="Calibri"/>
                <w:sz w:val="20"/>
                <w:lang w:val="fr-CA"/>
              </w:rPr>
              <w:t xml:space="preserve">Cour supérieure de justice de l’Ontario </w:t>
            </w:r>
          </w:p>
          <w:p w:rsidR="00EF7968" w:rsidRPr="00E6448B" w:rsidRDefault="00EF7968" w:rsidP="002F0EB9">
            <w:pPr>
              <w:jc w:val="both"/>
              <w:rPr>
                <w:rFonts w:eastAsia="Calibri"/>
                <w:sz w:val="20"/>
                <w:lang w:val="fr-CA"/>
              </w:rPr>
            </w:pPr>
            <w:r w:rsidRPr="00E6448B">
              <w:rPr>
                <w:rFonts w:eastAsia="Calibri"/>
                <w:sz w:val="20"/>
                <w:lang w:val="fr-CA"/>
              </w:rPr>
              <w:t xml:space="preserve">(juge Rutherford) </w:t>
            </w:r>
          </w:p>
          <w:p w:rsidR="00EF7968" w:rsidRPr="00E6448B" w:rsidRDefault="00EF7968" w:rsidP="002F0EB9">
            <w:pPr>
              <w:jc w:val="both"/>
              <w:rPr>
                <w:rFonts w:eastAsia="Calibri"/>
                <w:sz w:val="20"/>
                <w:lang w:val="fr-CA"/>
              </w:rPr>
            </w:pPr>
          </w:p>
        </w:tc>
        <w:tc>
          <w:tcPr>
            <w:tcW w:w="243" w:type="pct"/>
          </w:tcPr>
          <w:p w:rsidR="00EF7968" w:rsidRPr="00E6448B" w:rsidRDefault="00EF7968" w:rsidP="002F0EB9">
            <w:pPr>
              <w:jc w:val="both"/>
              <w:rPr>
                <w:rFonts w:eastAsia="Calibri"/>
                <w:sz w:val="20"/>
                <w:lang w:val="fr-CA"/>
              </w:rPr>
            </w:pPr>
          </w:p>
        </w:tc>
        <w:tc>
          <w:tcPr>
            <w:tcW w:w="2330" w:type="pct"/>
          </w:tcPr>
          <w:p w:rsidR="00EF7968" w:rsidRPr="00E6448B" w:rsidRDefault="00EF7968" w:rsidP="002F0EB9">
            <w:pPr>
              <w:jc w:val="both"/>
              <w:rPr>
                <w:rFonts w:eastAsia="Calibri"/>
                <w:sz w:val="20"/>
                <w:lang w:val="fr-CA"/>
              </w:rPr>
            </w:pPr>
            <w:r w:rsidRPr="00E6448B">
              <w:rPr>
                <w:rFonts w:eastAsia="Calibri"/>
                <w:sz w:val="20"/>
                <w:lang w:val="fr-CA"/>
              </w:rPr>
              <w:t>Déclaration de culpabilité sur sept chefs d’infractions de terrorisme</w:t>
            </w:r>
          </w:p>
          <w:p w:rsidR="00EF7968" w:rsidRPr="00E6448B" w:rsidRDefault="00EF7968" w:rsidP="002F0EB9">
            <w:pPr>
              <w:jc w:val="both"/>
              <w:rPr>
                <w:rFonts w:eastAsia="Calibri"/>
                <w:sz w:val="20"/>
                <w:lang w:val="fr-CA"/>
              </w:rPr>
            </w:pPr>
          </w:p>
        </w:tc>
      </w:tr>
      <w:tr w:rsidR="00EF7968" w:rsidRPr="00A77989" w:rsidTr="002F0EB9">
        <w:tc>
          <w:tcPr>
            <w:tcW w:w="2427" w:type="pct"/>
          </w:tcPr>
          <w:p w:rsidR="00EF7968" w:rsidRPr="00E6448B" w:rsidRDefault="00EF7968" w:rsidP="002F0EB9">
            <w:pPr>
              <w:jc w:val="both"/>
              <w:rPr>
                <w:rFonts w:eastAsia="Calibri"/>
                <w:sz w:val="20"/>
                <w:lang w:val="fr-CA"/>
              </w:rPr>
            </w:pPr>
            <w:r w:rsidRPr="00E6448B">
              <w:rPr>
                <w:rFonts w:eastAsia="Calibri"/>
                <w:sz w:val="20"/>
                <w:lang w:val="fr-CA"/>
              </w:rPr>
              <w:t>12 mars 2009</w:t>
            </w:r>
          </w:p>
          <w:p w:rsidR="00EF7968" w:rsidRPr="00E6448B" w:rsidRDefault="00EF7968" w:rsidP="002F0EB9">
            <w:pPr>
              <w:jc w:val="both"/>
              <w:rPr>
                <w:rFonts w:eastAsia="Calibri"/>
                <w:sz w:val="20"/>
                <w:lang w:val="fr-CA"/>
              </w:rPr>
            </w:pPr>
            <w:r w:rsidRPr="00E6448B">
              <w:rPr>
                <w:rFonts w:eastAsia="Calibri"/>
                <w:sz w:val="20"/>
                <w:lang w:val="fr-CA"/>
              </w:rPr>
              <w:t xml:space="preserve">Cour supérieure de justice de l’Ontario </w:t>
            </w:r>
          </w:p>
          <w:p w:rsidR="00EF7968" w:rsidRPr="00E6448B" w:rsidRDefault="00EF7968" w:rsidP="002F0EB9">
            <w:pPr>
              <w:jc w:val="both"/>
              <w:rPr>
                <w:rFonts w:eastAsia="Calibri"/>
                <w:sz w:val="20"/>
                <w:lang w:val="fr-CA"/>
              </w:rPr>
            </w:pPr>
            <w:r w:rsidRPr="00E6448B">
              <w:rPr>
                <w:rFonts w:eastAsia="Calibri"/>
                <w:sz w:val="20"/>
                <w:lang w:val="fr-CA"/>
              </w:rPr>
              <w:t xml:space="preserve">(juge Rutherford) </w:t>
            </w:r>
          </w:p>
          <w:p w:rsidR="00EF7968" w:rsidRPr="00E6448B" w:rsidRDefault="00EF7968" w:rsidP="002F0EB9">
            <w:pPr>
              <w:jc w:val="both"/>
              <w:rPr>
                <w:rFonts w:eastAsia="Calibri"/>
                <w:sz w:val="20"/>
                <w:lang w:val="fr-CA"/>
              </w:rPr>
            </w:pPr>
          </w:p>
        </w:tc>
        <w:tc>
          <w:tcPr>
            <w:tcW w:w="243" w:type="pct"/>
          </w:tcPr>
          <w:p w:rsidR="00EF7968" w:rsidRPr="00E6448B" w:rsidRDefault="00EF7968" w:rsidP="002F0EB9">
            <w:pPr>
              <w:jc w:val="both"/>
              <w:rPr>
                <w:rFonts w:eastAsia="Calibri"/>
                <w:sz w:val="20"/>
                <w:lang w:val="fr-CA"/>
              </w:rPr>
            </w:pPr>
          </w:p>
        </w:tc>
        <w:tc>
          <w:tcPr>
            <w:tcW w:w="2330" w:type="pct"/>
          </w:tcPr>
          <w:p w:rsidR="00EF7968" w:rsidRPr="00E6448B" w:rsidRDefault="00EF7968" w:rsidP="002F0EB9">
            <w:pPr>
              <w:jc w:val="both"/>
              <w:rPr>
                <w:rFonts w:eastAsia="Calibri"/>
                <w:sz w:val="20"/>
                <w:lang w:val="fr-CA"/>
              </w:rPr>
            </w:pPr>
            <w:r w:rsidRPr="00E6448B">
              <w:rPr>
                <w:rFonts w:eastAsia="Calibri"/>
                <w:sz w:val="20"/>
                <w:lang w:val="fr-CA"/>
              </w:rPr>
              <w:t xml:space="preserve">Condamnation à une peine d’incarcération de 10,5 ans </w:t>
            </w:r>
          </w:p>
          <w:p w:rsidR="00EF7968" w:rsidRPr="00E6448B" w:rsidRDefault="00EF7968" w:rsidP="002F0EB9">
            <w:pPr>
              <w:jc w:val="both"/>
              <w:rPr>
                <w:rFonts w:eastAsia="Calibri"/>
                <w:sz w:val="20"/>
                <w:lang w:val="fr-CA"/>
              </w:rPr>
            </w:pPr>
          </w:p>
        </w:tc>
      </w:tr>
      <w:tr w:rsidR="00EF7968" w:rsidRPr="00A77989" w:rsidTr="00457501">
        <w:trPr>
          <w:cantSplit/>
        </w:trPr>
        <w:tc>
          <w:tcPr>
            <w:tcW w:w="2427" w:type="pct"/>
          </w:tcPr>
          <w:p w:rsidR="00EF7968" w:rsidRPr="00E6448B" w:rsidRDefault="00EF7968" w:rsidP="002F0EB9">
            <w:pPr>
              <w:jc w:val="both"/>
              <w:rPr>
                <w:rFonts w:eastAsia="Calibri"/>
                <w:sz w:val="20"/>
                <w:lang w:val="fr-CA"/>
              </w:rPr>
            </w:pPr>
            <w:r w:rsidRPr="00E6448B">
              <w:rPr>
                <w:rFonts w:eastAsia="Calibri"/>
                <w:sz w:val="20"/>
                <w:lang w:val="fr-CA"/>
              </w:rPr>
              <w:lastRenderedPageBreak/>
              <w:t>17 décembre 2010</w:t>
            </w:r>
          </w:p>
          <w:p w:rsidR="00EF7968" w:rsidRPr="00E6448B" w:rsidRDefault="00EF7968" w:rsidP="002F0EB9">
            <w:pPr>
              <w:jc w:val="both"/>
              <w:rPr>
                <w:rFonts w:eastAsia="Calibri"/>
                <w:sz w:val="20"/>
                <w:lang w:val="fr-CA"/>
              </w:rPr>
            </w:pPr>
            <w:r w:rsidRPr="00E6448B">
              <w:rPr>
                <w:rFonts w:eastAsia="Calibri"/>
                <w:sz w:val="20"/>
                <w:lang w:val="fr-CA"/>
              </w:rPr>
              <w:t>Cour d’appel de l’Ontario</w:t>
            </w:r>
          </w:p>
          <w:p w:rsidR="00EF7968" w:rsidRPr="00E6448B" w:rsidRDefault="00EF7968" w:rsidP="002F0EB9">
            <w:pPr>
              <w:jc w:val="both"/>
              <w:rPr>
                <w:rFonts w:eastAsia="Calibri"/>
                <w:sz w:val="20"/>
                <w:lang w:val="fr-CA"/>
              </w:rPr>
            </w:pPr>
            <w:r w:rsidRPr="00E6448B">
              <w:rPr>
                <w:rFonts w:eastAsia="Calibri"/>
                <w:sz w:val="20"/>
                <w:lang w:val="fr-CA"/>
              </w:rPr>
              <w:t>(juges Doherty, Moldaver et Cronk)</w:t>
            </w:r>
          </w:p>
          <w:p w:rsidR="00EF7968" w:rsidRPr="00E6448B" w:rsidRDefault="00EF7968" w:rsidP="002F0EB9">
            <w:pPr>
              <w:jc w:val="both"/>
              <w:rPr>
                <w:rFonts w:eastAsia="Calibri"/>
                <w:sz w:val="20"/>
                <w:lang w:val="fr-CA"/>
              </w:rPr>
            </w:pPr>
            <w:r w:rsidRPr="00E6448B">
              <w:rPr>
                <w:rFonts w:eastAsia="Calibri"/>
                <w:sz w:val="20"/>
                <w:lang w:val="fr-CA"/>
              </w:rPr>
              <w:t>2010 ONCA 862</w:t>
            </w:r>
          </w:p>
          <w:p w:rsidR="00EF7968" w:rsidRPr="00E6448B" w:rsidRDefault="00EF7968" w:rsidP="002F0EB9">
            <w:pPr>
              <w:jc w:val="both"/>
              <w:rPr>
                <w:rFonts w:eastAsia="Calibri"/>
                <w:sz w:val="20"/>
                <w:lang w:val="fr-CA"/>
              </w:rPr>
            </w:pPr>
            <w:r w:rsidRPr="00E6448B">
              <w:rPr>
                <w:rFonts w:eastAsia="Calibri"/>
                <w:sz w:val="20"/>
                <w:lang w:val="fr-CA"/>
              </w:rPr>
              <w:t>N</w:t>
            </w:r>
            <w:r w:rsidRPr="00E6448B">
              <w:rPr>
                <w:rFonts w:eastAsia="Calibri"/>
                <w:sz w:val="20"/>
                <w:vertAlign w:val="superscript"/>
                <w:lang w:val="fr-CA"/>
              </w:rPr>
              <w:t>o</w:t>
            </w:r>
            <w:r w:rsidRPr="00E6448B">
              <w:rPr>
                <w:rFonts w:eastAsia="Calibri"/>
                <w:sz w:val="20"/>
                <w:lang w:val="fr-CA"/>
              </w:rPr>
              <w:t xml:space="preserve"> du greffe : C50298/50299</w:t>
            </w:r>
          </w:p>
          <w:p w:rsidR="00EF7968" w:rsidRPr="00E6448B" w:rsidRDefault="00EF7968" w:rsidP="002F0EB9">
            <w:pPr>
              <w:jc w:val="both"/>
              <w:rPr>
                <w:rFonts w:eastAsia="Calibri"/>
                <w:sz w:val="20"/>
                <w:lang w:val="fr-CA"/>
              </w:rPr>
            </w:pPr>
          </w:p>
        </w:tc>
        <w:tc>
          <w:tcPr>
            <w:tcW w:w="243" w:type="pct"/>
          </w:tcPr>
          <w:p w:rsidR="00EF7968" w:rsidRPr="00E6448B" w:rsidRDefault="00EF7968" w:rsidP="002F0EB9">
            <w:pPr>
              <w:jc w:val="both"/>
              <w:rPr>
                <w:rFonts w:eastAsia="Calibri"/>
                <w:sz w:val="20"/>
                <w:lang w:val="fr-CA"/>
              </w:rPr>
            </w:pPr>
          </w:p>
        </w:tc>
        <w:tc>
          <w:tcPr>
            <w:tcW w:w="2330" w:type="pct"/>
          </w:tcPr>
          <w:p w:rsidR="00EF7968" w:rsidRPr="00E6448B" w:rsidRDefault="00EF7968" w:rsidP="002F0EB9">
            <w:pPr>
              <w:jc w:val="both"/>
              <w:rPr>
                <w:rFonts w:eastAsia="Calibri"/>
                <w:color w:val="000000"/>
                <w:sz w:val="20"/>
                <w:lang w:val="fr-CA"/>
              </w:rPr>
            </w:pPr>
            <w:r w:rsidRPr="00E6448B">
              <w:rPr>
                <w:rFonts w:eastAsia="Calibri"/>
                <w:sz w:val="20"/>
                <w:lang w:val="fr-CA"/>
              </w:rPr>
              <w:t>Appel des déclarations de culpabilité et des peines rejeté; appel incident des peines accueilli.  Alourdissement de la peine pour fabrication du détonateur en vue de causer une explosion susceptible de causer la mort : emprisonnement à perpétuité;  alourdissement des autres peines : peines consécutives d’une durée de 24 ans, à purger concurremment; inadmissibilité à la libération conditionnelle pendant dix ans</w:t>
            </w:r>
            <w:r w:rsidRPr="00E6448B">
              <w:rPr>
                <w:rFonts w:eastAsia="Calibri"/>
                <w:color w:val="000000"/>
                <w:sz w:val="20"/>
                <w:lang w:val="fr-CA"/>
              </w:rPr>
              <w:t xml:space="preserve"> </w:t>
            </w:r>
          </w:p>
          <w:p w:rsidR="00EF7968" w:rsidRPr="00E6448B" w:rsidRDefault="00EF7968" w:rsidP="002F0EB9">
            <w:pPr>
              <w:jc w:val="both"/>
              <w:rPr>
                <w:rFonts w:eastAsia="Calibri"/>
                <w:sz w:val="20"/>
                <w:lang w:val="fr-CA"/>
              </w:rPr>
            </w:pPr>
          </w:p>
        </w:tc>
      </w:tr>
      <w:tr w:rsidR="00EF7968" w:rsidRPr="00E6448B" w:rsidTr="00457501">
        <w:trPr>
          <w:cantSplit/>
        </w:trPr>
        <w:tc>
          <w:tcPr>
            <w:tcW w:w="2427" w:type="pct"/>
          </w:tcPr>
          <w:p w:rsidR="00EF7968" w:rsidRPr="00E6448B" w:rsidRDefault="00EF7968" w:rsidP="002F0EB9">
            <w:pPr>
              <w:jc w:val="both"/>
              <w:rPr>
                <w:rFonts w:eastAsia="Calibri"/>
                <w:sz w:val="20"/>
              </w:rPr>
            </w:pPr>
            <w:r w:rsidRPr="00E6448B">
              <w:rPr>
                <w:rFonts w:eastAsia="Calibri"/>
                <w:sz w:val="20"/>
              </w:rPr>
              <w:t>15 février 2011</w:t>
            </w:r>
          </w:p>
          <w:p w:rsidR="00EF7968" w:rsidRPr="00E6448B" w:rsidRDefault="00EF7968" w:rsidP="002F0EB9">
            <w:pPr>
              <w:jc w:val="both"/>
              <w:rPr>
                <w:rFonts w:eastAsia="Calibri"/>
                <w:sz w:val="20"/>
              </w:rPr>
            </w:pPr>
            <w:r w:rsidRPr="00E6448B">
              <w:rPr>
                <w:rFonts w:eastAsia="Calibri"/>
                <w:sz w:val="20"/>
              </w:rPr>
              <w:t>Supreme Court of Canada</w:t>
            </w:r>
          </w:p>
        </w:tc>
        <w:tc>
          <w:tcPr>
            <w:tcW w:w="243" w:type="pct"/>
          </w:tcPr>
          <w:p w:rsidR="00EF7968" w:rsidRPr="00E6448B" w:rsidRDefault="00EF7968" w:rsidP="002F0EB9">
            <w:pPr>
              <w:jc w:val="both"/>
              <w:rPr>
                <w:rFonts w:eastAsia="Calibri"/>
                <w:sz w:val="20"/>
              </w:rPr>
            </w:pPr>
          </w:p>
        </w:tc>
        <w:tc>
          <w:tcPr>
            <w:tcW w:w="2330" w:type="pct"/>
          </w:tcPr>
          <w:p w:rsidR="00EF7968" w:rsidRPr="00E6448B" w:rsidRDefault="00EF7968" w:rsidP="002F0EB9">
            <w:pPr>
              <w:jc w:val="both"/>
              <w:rPr>
                <w:rFonts w:eastAsia="Calibri"/>
                <w:sz w:val="20"/>
                <w:lang w:val="fr-CA"/>
              </w:rPr>
            </w:pPr>
            <w:r w:rsidRPr="00E6448B">
              <w:rPr>
                <w:rFonts w:eastAsia="Calibri"/>
                <w:sz w:val="20"/>
                <w:lang w:val="fr-CA"/>
              </w:rPr>
              <w:t xml:space="preserve">Demande d’autorisation d’appel déposée </w:t>
            </w:r>
          </w:p>
          <w:p w:rsidR="00EF7968" w:rsidRPr="00E6448B" w:rsidRDefault="00EF7968" w:rsidP="002F0EB9">
            <w:pPr>
              <w:jc w:val="both"/>
              <w:rPr>
                <w:rFonts w:eastAsia="Calibri"/>
                <w:sz w:val="20"/>
                <w:lang w:val="fr-CA"/>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5"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4256C" w:rsidRPr="00B4256C" w:rsidTr="004B78B6">
        <w:trPr>
          <w:cantSplit/>
        </w:trPr>
        <w:tc>
          <w:tcPr>
            <w:tcW w:w="1458" w:type="dxa"/>
          </w:tcPr>
          <w:p w:rsidR="00B4256C" w:rsidRPr="00B4256C" w:rsidRDefault="00B4256C" w:rsidP="004B78B6">
            <w:pPr>
              <w:rPr>
                <w:rFonts w:cs="Times New Roman"/>
                <w:sz w:val="20"/>
                <w:szCs w:val="20"/>
              </w:rPr>
            </w:pPr>
            <w:r w:rsidRPr="00B4256C">
              <w:rPr>
                <w:rStyle w:val="SCCFileNumberChar"/>
                <w:sz w:val="20"/>
                <w:szCs w:val="20"/>
              </w:rPr>
              <w:t>34110</w:t>
            </w:r>
          </w:p>
          <w:p w:rsidR="00B4256C" w:rsidRPr="00B4256C" w:rsidRDefault="00B4256C" w:rsidP="004B78B6">
            <w:pPr>
              <w:rPr>
                <w:rFonts w:cs="Times New Roman"/>
                <w:b/>
                <w:sz w:val="20"/>
                <w:szCs w:val="20"/>
                <w:lang w:val="fr-CA"/>
              </w:rPr>
            </w:pPr>
          </w:p>
        </w:tc>
        <w:tc>
          <w:tcPr>
            <w:tcW w:w="8118" w:type="dxa"/>
          </w:tcPr>
          <w:p w:rsidR="00B4256C" w:rsidRPr="00B4256C" w:rsidRDefault="00B4256C" w:rsidP="00B4256C">
            <w:pPr>
              <w:jc w:val="both"/>
              <w:rPr>
                <w:rFonts w:cs="Times New Roman"/>
                <w:sz w:val="20"/>
                <w:szCs w:val="20"/>
              </w:rPr>
            </w:pPr>
            <w:r w:rsidRPr="00B4256C">
              <w:rPr>
                <w:rStyle w:val="SCCLsocChar"/>
                <w:rFonts w:cs="Times New Roman"/>
                <w:sz w:val="20"/>
                <w:szCs w:val="20"/>
                <w:lang w:val="en-CA"/>
              </w:rPr>
              <w:t>Phillip Daniel Dickerson v. 1610396 Ontario Inc. c.o.b. as Carey's Pub &amp; Grill, Mike Habash and Dwayne Hurley</w:t>
            </w:r>
            <w:r w:rsidRPr="00B4256C">
              <w:rPr>
                <w:rFonts w:cs="Times New Roman"/>
                <w:sz w:val="20"/>
                <w:szCs w:val="20"/>
              </w:rPr>
              <w:t xml:space="preserve"> (Ont.) (Civil) (By Leave)</w:t>
            </w:r>
          </w:p>
          <w:p w:rsidR="00B4256C" w:rsidRPr="00B4256C" w:rsidRDefault="00B4256C" w:rsidP="004B78B6">
            <w:pPr>
              <w:rPr>
                <w:rFonts w:cs="Times New Roman"/>
                <w:sz w:val="20"/>
                <w:szCs w:val="20"/>
              </w:rPr>
            </w:pPr>
          </w:p>
        </w:tc>
      </w:tr>
      <w:tr w:rsidR="00B4256C" w:rsidRPr="00B4256C" w:rsidTr="004B78B6">
        <w:trPr>
          <w:cantSplit/>
        </w:trPr>
        <w:tc>
          <w:tcPr>
            <w:tcW w:w="1458" w:type="dxa"/>
          </w:tcPr>
          <w:p w:rsidR="00B4256C" w:rsidRPr="00B4256C" w:rsidRDefault="00B4256C" w:rsidP="004B78B6">
            <w:pPr>
              <w:rPr>
                <w:rFonts w:cs="Times New Roman"/>
                <w:sz w:val="20"/>
                <w:szCs w:val="20"/>
              </w:rPr>
            </w:pPr>
            <w:r w:rsidRPr="00B4256C">
              <w:rPr>
                <w:rFonts w:cs="Times New Roman"/>
                <w:sz w:val="20"/>
                <w:szCs w:val="20"/>
              </w:rPr>
              <w:t>Coram :</w:t>
            </w:r>
          </w:p>
        </w:tc>
        <w:tc>
          <w:tcPr>
            <w:tcW w:w="8118" w:type="dxa"/>
          </w:tcPr>
          <w:p w:rsidR="00B4256C" w:rsidRPr="00B4256C" w:rsidRDefault="00B4256C" w:rsidP="004B78B6">
            <w:pPr>
              <w:rPr>
                <w:rFonts w:cs="Times New Roman"/>
                <w:sz w:val="20"/>
                <w:szCs w:val="20"/>
              </w:rPr>
            </w:pPr>
            <w:r w:rsidRPr="00B4256C">
              <w:rPr>
                <w:rStyle w:val="SCCCoramChar"/>
                <w:rFonts w:cs="Times New Roman"/>
                <w:sz w:val="20"/>
                <w:szCs w:val="20"/>
                <w:lang w:val="en-CA"/>
              </w:rPr>
              <w:t>Binnie, Abella and Rothstein JJ.</w:t>
            </w:r>
          </w:p>
          <w:p w:rsidR="00B4256C" w:rsidRPr="00B4256C" w:rsidRDefault="00B4256C" w:rsidP="004B78B6">
            <w:pPr>
              <w:rPr>
                <w:rFonts w:cs="Times New Roman"/>
                <w:sz w:val="20"/>
                <w:szCs w:val="20"/>
                <w:u w:val="single"/>
              </w:rPr>
            </w:pPr>
          </w:p>
        </w:tc>
      </w:tr>
      <w:tr w:rsidR="00B4256C" w:rsidRPr="00B4256C" w:rsidTr="004B78B6">
        <w:trPr>
          <w:cantSplit/>
        </w:trPr>
        <w:tc>
          <w:tcPr>
            <w:tcW w:w="9576" w:type="dxa"/>
            <w:gridSpan w:val="2"/>
          </w:tcPr>
          <w:p w:rsidR="00B4256C" w:rsidRPr="00B4256C" w:rsidRDefault="00B4256C" w:rsidP="004B78B6">
            <w:pPr>
              <w:pStyle w:val="SCCShortJudgment"/>
              <w:rPr>
                <w:rFonts w:cs="Times New Roman"/>
                <w:szCs w:val="20"/>
              </w:rPr>
            </w:pPr>
            <w:r w:rsidRPr="00B4256C">
              <w:rPr>
                <w:rFonts w:cs="Times New Roman"/>
                <w:szCs w:val="20"/>
              </w:rPr>
              <w:t>The application for leave to appeal from the judgment of the Court of Appeal for Ontario, Number C50345, 2010 ONCA 894, dated December 23, 2010, is dismissed with costs.</w:t>
            </w:r>
          </w:p>
          <w:p w:rsidR="00B4256C" w:rsidRPr="00B4256C" w:rsidRDefault="00B4256C" w:rsidP="004B78B6">
            <w:pPr>
              <w:pStyle w:val="SCCShortJudgment"/>
              <w:ind w:firstLine="0"/>
              <w:rPr>
                <w:rFonts w:cs="Times New Roman"/>
                <w:szCs w:val="20"/>
              </w:rPr>
            </w:pPr>
          </w:p>
          <w:p w:rsidR="00B4256C" w:rsidRPr="00B4256C" w:rsidRDefault="00B4256C" w:rsidP="00B4256C">
            <w:pPr>
              <w:pStyle w:val="SCCShortJudgment"/>
              <w:rPr>
                <w:rFonts w:cs="Times New Roman"/>
                <w:szCs w:val="20"/>
                <w:lang w:val="fr-CA"/>
              </w:rPr>
            </w:pPr>
            <w:r w:rsidRPr="00B4256C">
              <w:rPr>
                <w:rFonts w:cs="Times New Roman"/>
                <w:szCs w:val="20"/>
                <w:lang w:val="fr-CA"/>
              </w:rPr>
              <w:t>La demande d’autorisation d’appel de l’arrêt de la Cour d’appel de l’Ontario, numéro C50345, 2010 ONCA 894, daté du 23 décembre 2010, est rejetée avec dépens.</w:t>
            </w:r>
          </w:p>
        </w:tc>
      </w:tr>
    </w:tbl>
    <w:p w:rsidR="00B4256C" w:rsidRPr="00B4256C" w:rsidRDefault="00B4256C"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0EB9" w:rsidRPr="00E6448B" w:rsidTr="002F0EB9">
        <w:tc>
          <w:tcPr>
            <w:tcW w:w="5000" w:type="pct"/>
            <w:gridSpan w:val="3"/>
          </w:tcPr>
          <w:p w:rsidR="002F0EB9" w:rsidRPr="00E6448B" w:rsidRDefault="002F0EB9" w:rsidP="002F0EB9">
            <w:pPr>
              <w:jc w:val="both"/>
              <w:rPr>
                <w:rFonts w:eastAsia="Calibri"/>
                <w:sz w:val="20"/>
              </w:rPr>
            </w:pPr>
            <w:r w:rsidRPr="00E6448B">
              <w:rPr>
                <w:rFonts w:eastAsia="Calibri"/>
                <w:sz w:val="20"/>
              </w:rPr>
              <w:t xml:space="preserve">Torts — Negligence — Liability of persons selling liquor — Whether commercial host should be held liable in damages under strict liability terms of s. 39 of </w:t>
            </w:r>
            <w:r w:rsidRPr="00E6448B">
              <w:rPr>
                <w:rFonts w:eastAsia="Calibri"/>
                <w:i/>
                <w:sz w:val="20"/>
              </w:rPr>
              <w:t>Liquor Licence Act</w:t>
            </w:r>
            <w:r w:rsidRPr="00E6448B">
              <w:rPr>
                <w:rFonts w:eastAsia="Calibri"/>
                <w:sz w:val="20"/>
              </w:rPr>
              <w:t>, R.S.O. 1990, c. L.19, for over-serving a patron to, or beyond, intoxication, if that patron then injures another person — Whether it would ever not be reasonably foreseeable that an intoxicated patron might cause injury to another person.</w:t>
            </w:r>
          </w:p>
          <w:p w:rsidR="002F0EB9" w:rsidRPr="00E6448B" w:rsidRDefault="002F0EB9" w:rsidP="002F0EB9">
            <w:pPr>
              <w:jc w:val="both"/>
              <w:rPr>
                <w:rFonts w:eastAsia="Calibri"/>
                <w:sz w:val="20"/>
              </w:rPr>
            </w:pPr>
          </w:p>
        </w:tc>
      </w:tr>
      <w:tr w:rsidR="002F0EB9" w:rsidRPr="00E6448B" w:rsidTr="002F0EB9">
        <w:tc>
          <w:tcPr>
            <w:tcW w:w="5000" w:type="pct"/>
            <w:gridSpan w:val="3"/>
          </w:tcPr>
          <w:p w:rsidR="002F0EB9" w:rsidRPr="00E6448B" w:rsidRDefault="002F0EB9" w:rsidP="002F0EB9">
            <w:pPr>
              <w:jc w:val="both"/>
              <w:rPr>
                <w:rFonts w:eastAsia="Calibri"/>
                <w:sz w:val="20"/>
              </w:rPr>
            </w:pPr>
            <w:r w:rsidRPr="00E6448B">
              <w:rPr>
                <w:rFonts w:eastAsia="Calibri"/>
                <w:sz w:val="20"/>
              </w:rPr>
              <w:t xml:space="preserve">The applicant was drinking at Carey’s Pub &amp; Grill, a college pub in London, Ontario, one evening.  Shortly after midnight, David Radcliffe, who had been drinking elsewhere that evening, arrived at the pub.  At closing time, the applicant and his friends left the pub, as did the Radcliffe group.  In the parking lot there was an exchange of words and a minor scuffle between the two groups.  Carey’s noticed this and two of its people came outside, broke up the altercation, and told the groups to go their separate ways.  However, shortly thereafter the groups crossed paths again at a nearby location.  A fight ensued, and Mr. Radcliffe assaulted the applicant, leaving him with a disabling brain injury.  </w:t>
            </w:r>
          </w:p>
          <w:p w:rsidR="002F0EB9" w:rsidRPr="00E6448B" w:rsidRDefault="002F0EB9" w:rsidP="002F0EB9">
            <w:pPr>
              <w:jc w:val="both"/>
              <w:rPr>
                <w:rFonts w:eastAsia="Calibri"/>
                <w:sz w:val="20"/>
              </w:rPr>
            </w:pPr>
          </w:p>
          <w:p w:rsidR="002F0EB9" w:rsidRPr="00E6448B" w:rsidRDefault="002F0EB9" w:rsidP="002F0EB9">
            <w:pPr>
              <w:jc w:val="both"/>
              <w:rPr>
                <w:rFonts w:eastAsia="Calibri"/>
                <w:sz w:val="20"/>
              </w:rPr>
            </w:pPr>
            <w:r w:rsidRPr="00E6448B">
              <w:rPr>
                <w:rFonts w:eastAsia="Calibri"/>
                <w:sz w:val="20"/>
              </w:rPr>
              <w:t xml:space="preserve">The applicant sued Mr. Radcliffe.  He also sued the owners and an employee of the pub, relying on the civil liability of persons selling liquor created by s. 39 of the </w:t>
            </w:r>
            <w:r w:rsidRPr="00E6448B">
              <w:rPr>
                <w:rFonts w:eastAsia="Calibri"/>
                <w:i/>
                <w:sz w:val="20"/>
              </w:rPr>
              <w:t xml:space="preserve">Liquor Licence Act.  </w:t>
            </w:r>
            <w:r w:rsidRPr="00E6448B">
              <w:rPr>
                <w:rFonts w:eastAsia="Calibri"/>
                <w:sz w:val="20"/>
              </w:rPr>
              <w:t>At trial, the jury found Mr. Radcliffe 100% responsible for the applicant’s injuries, while his claim against Carey’s was dismissed.  The applicant’s appeal against Carey’s was dismissed.</w:t>
            </w:r>
          </w:p>
          <w:p w:rsidR="002F0EB9" w:rsidRPr="00E6448B" w:rsidRDefault="002F0EB9" w:rsidP="002F0EB9">
            <w:pPr>
              <w:jc w:val="both"/>
              <w:rPr>
                <w:rFonts w:eastAsia="Calibri"/>
                <w:sz w:val="20"/>
              </w:rPr>
            </w:pPr>
          </w:p>
        </w:tc>
      </w:tr>
      <w:tr w:rsidR="002F0EB9" w:rsidRPr="00E6448B" w:rsidTr="002F0EB9">
        <w:tc>
          <w:tcPr>
            <w:tcW w:w="2427" w:type="pct"/>
          </w:tcPr>
          <w:p w:rsidR="002F0EB9" w:rsidRPr="00E6448B" w:rsidRDefault="002F0EB9" w:rsidP="002F0EB9">
            <w:pPr>
              <w:jc w:val="both"/>
              <w:rPr>
                <w:rFonts w:eastAsia="Calibri"/>
                <w:sz w:val="20"/>
              </w:rPr>
            </w:pPr>
            <w:r w:rsidRPr="00E6448B">
              <w:rPr>
                <w:rFonts w:eastAsia="Calibri"/>
                <w:sz w:val="20"/>
              </w:rPr>
              <w:t>March 24, 2009</w:t>
            </w:r>
          </w:p>
          <w:p w:rsidR="002F0EB9" w:rsidRPr="00E6448B" w:rsidRDefault="002F0EB9" w:rsidP="002F0EB9">
            <w:pPr>
              <w:jc w:val="both"/>
              <w:rPr>
                <w:rFonts w:eastAsia="Calibri"/>
                <w:sz w:val="20"/>
              </w:rPr>
            </w:pPr>
            <w:r w:rsidRPr="00E6448B">
              <w:rPr>
                <w:rFonts w:eastAsia="Calibri"/>
                <w:sz w:val="20"/>
              </w:rPr>
              <w:t>Ontario Superior Court of Justice</w:t>
            </w:r>
          </w:p>
          <w:p w:rsidR="002F0EB9" w:rsidRPr="00E6448B" w:rsidRDefault="002F0EB9" w:rsidP="002F0EB9">
            <w:pPr>
              <w:jc w:val="both"/>
              <w:rPr>
                <w:rFonts w:eastAsia="Calibri"/>
                <w:sz w:val="20"/>
              </w:rPr>
            </w:pPr>
            <w:r w:rsidRPr="00E6448B">
              <w:rPr>
                <w:rFonts w:eastAsia="Calibri"/>
                <w:sz w:val="20"/>
              </w:rPr>
              <w:t>(Little J.)</w:t>
            </w:r>
          </w:p>
          <w:p w:rsidR="002F0EB9" w:rsidRPr="00E6448B" w:rsidRDefault="002F0EB9" w:rsidP="002F0EB9">
            <w:pPr>
              <w:jc w:val="both"/>
              <w:rPr>
                <w:rFonts w:eastAsia="Calibri"/>
                <w:sz w:val="20"/>
              </w:rPr>
            </w:pP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rPr>
            </w:pPr>
            <w:r w:rsidRPr="00E6448B">
              <w:rPr>
                <w:rFonts w:eastAsia="Calibri"/>
                <w:sz w:val="20"/>
              </w:rPr>
              <w:t>Action dismissed</w:t>
            </w:r>
          </w:p>
        </w:tc>
      </w:tr>
      <w:tr w:rsidR="002F0EB9" w:rsidRPr="00E6448B" w:rsidTr="00457501">
        <w:trPr>
          <w:cantSplit/>
        </w:trPr>
        <w:tc>
          <w:tcPr>
            <w:tcW w:w="2427" w:type="pct"/>
          </w:tcPr>
          <w:p w:rsidR="002F0EB9" w:rsidRPr="00E6448B" w:rsidRDefault="002F0EB9" w:rsidP="002F0EB9">
            <w:pPr>
              <w:jc w:val="both"/>
              <w:rPr>
                <w:rFonts w:eastAsia="Calibri"/>
                <w:sz w:val="20"/>
              </w:rPr>
            </w:pPr>
            <w:r w:rsidRPr="00E6448B">
              <w:rPr>
                <w:rFonts w:eastAsia="Calibri"/>
                <w:sz w:val="20"/>
              </w:rPr>
              <w:lastRenderedPageBreak/>
              <w:t>December 23, 2010</w:t>
            </w:r>
          </w:p>
          <w:p w:rsidR="002F0EB9" w:rsidRPr="00E6448B" w:rsidRDefault="002F0EB9" w:rsidP="002F0EB9">
            <w:pPr>
              <w:jc w:val="both"/>
              <w:rPr>
                <w:rFonts w:eastAsia="Calibri"/>
                <w:sz w:val="20"/>
              </w:rPr>
            </w:pPr>
            <w:r w:rsidRPr="00E6448B">
              <w:rPr>
                <w:rFonts w:eastAsia="Calibri"/>
                <w:sz w:val="20"/>
              </w:rPr>
              <w:t>Court of Appeal for Ontario</w:t>
            </w:r>
          </w:p>
          <w:p w:rsidR="002F0EB9" w:rsidRPr="00E6448B" w:rsidRDefault="002F0EB9" w:rsidP="002F0EB9">
            <w:pPr>
              <w:jc w:val="both"/>
              <w:rPr>
                <w:rFonts w:eastAsia="Calibri"/>
                <w:sz w:val="20"/>
              </w:rPr>
            </w:pPr>
            <w:r w:rsidRPr="00E6448B">
              <w:rPr>
                <w:rFonts w:eastAsia="Calibri"/>
                <w:sz w:val="20"/>
              </w:rPr>
              <w:t>(Goudge, Cronk and Armstrong JJ.A.)</w:t>
            </w:r>
          </w:p>
          <w:p w:rsidR="002F0EB9" w:rsidRPr="00E6448B" w:rsidRDefault="002F0EB9" w:rsidP="002F0EB9">
            <w:pPr>
              <w:jc w:val="both"/>
              <w:rPr>
                <w:rFonts w:eastAsia="Calibri"/>
                <w:sz w:val="20"/>
              </w:rPr>
            </w:pPr>
            <w:r w:rsidRPr="00E6448B">
              <w:rPr>
                <w:rFonts w:eastAsia="Calibri"/>
                <w:sz w:val="20"/>
              </w:rPr>
              <w:t>2010 ONCA 894</w:t>
            </w:r>
          </w:p>
          <w:p w:rsidR="002F0EB9" w:rsidRPr="00E6448B" w:rsidRDefault="002F0EB9" w:rsidP="002F0EB9">
            <w:pPr>
              <w:jc w:val="both"/>
              <w:rPr>
                <w:rFonts w:eastAsia="Calibri"/>
                <w:sz w:val="20"/>
              </w:rPr>
            </w:pP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rPr>
            </w:pPr>
            <w:r w:rsidRPr="00E6448B">
              <w:rPr>
                <w:rFonts w:eastAsia="Calibri"/>
                <w:sz w:val="20"/>
              </w:rPr>
              <w:t>Appeal dismissed</w:t>
            </w:r>
          </w:p>
          <w:p w:rsidR="002F0EB9" w:rsidRPr="00E6448B" w:rsidRDefault="002F0EB9" w:rsidP="002F0EB9">
            <w:pPr>
              <w:jc w:val="both"/>
              <w:rPr>
                <w:rFonts w:eastAsia="Calibri"/>
                <w:sz w:val="20"/>
              </w:rPr>
            </w:pPr>
          </w:p>
        </w:tc>
      </w:tr>
      <w:tr w:rsidR="002F0EB9" w:rsidRPr="00E6448B" w:rsidTr="00457501">
        <w:trPr>
          <w:cantSplit/>
        </w:trPr>
        <w:tc>
          <w:tcPr>
            <w:tcW w:w="2427" w:type="pct"/>
          </w:tcPr>
          <w:p w:rsidR="002F0EB9" w:rsidRPr="00E6448B" w:rsidRDefault="002F0EB9" w:rsidP="002F0EB9">
            <w:pPr>
              <w:jc w:val="both"/>
              <w:rPr>
                <w:rFonts w:eastAsia="Calibri"/>
                <w:sz w:val="20"/>
              </w:rPr>
            </w:pPr>
            <w:r w:rsidRPr="00E6448B">
              <w:rPr>
                <w:rFonts w:eastAsia="Calibri"/>
                <w:sz w:val="20"/>
              </w:rPr>
              <w:t>February 18, 2011</w:t>
            </w:r>
          </w:p>
          <w:p w:rsidR="002F0EB9" w:rsidRPr="00E6448B" w:rsidRDefault="002F0EB9" w:rsidP="002F0EB9">
            <w:pPr>
              <w:jc w:val="both"/>
              <w:rPr>
                <w:rFonts w:eastAsia="Calibri"/>
                <w:sz w:val="20"/>
              </w:rPr>
            </w:pPr>
            <w:r w:rsidRPr="00E6448B">
              <w:rPr>
                <w:rFonts w:eastAsia="Calibri"/>
                <w:sz w:val="20"/>
              </w:rPr>
              <w:t>Supreme Court of Canada</w:t>
            </w: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rPr>
            </w:pPr>
            <w:r w:rsidRPr="00E6448B">
              <w:rPr>
                <w:rFonts w:eastAsia="Calibri"/>
                <w:sz w:val="20"/>
              </w:rPr>
              <w:t>Application for leave to appeal filed</w:t>
            </w:r>
          </w:p>
          <w:p w:rsidR="002F0EB9" w:rsidRPr="00E6448B" w:rsidRDefault="002F0EB9" w:rsidP="002F0EB9">
            <w:pPr>
              <w:jc w:val="both"/>
              <w:rPr>
                <w:rFonts w:eastAsia="Calibri"/>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6"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2F0EB9" w:rsidRPr="00A77989" w:rsidTr="002F0EB9">
        <w:tc>
          <w:tcPr>
            <w:tcW w:w="5000" w:type="pct"/>
            <w:gridSpan w:val="3"/>
          </w:tcPr>
          <w:p w:rsidR="002F0EB9" w:rsidRPr="00E6448B" w:rsidRDefault="002F0EB9" w:rsidP="002F0EB9">
            <w:pPr>
              <w:rPr>
                <w:sz w:val="20"/>
                <w:lang w:val="fr-CA"/>
              </w:rPr>
            </w:pPr>
            <w:r w:rsidRPr="00E6448B">
              <w:rPr>
                <w:sz w:val="20"/>
                <w:lang w:val="fr-CA"/>
              </w:rPr>
              <w:t>Responsabilité délictuelle — Négligence — Responsabilité des personnes qui vendent de l’alcool — Un hôte commercial devrait</w:t>
            </w:r>
            <w:r w:rsidRPr="00E6448B">
              <w:rPr>
                <w:sz w:val="20"/>
                <w:lang w:val="fr-CA"/>
              </w:rPr>
              <w:noBreakHyphen/>
              <w:t>il être tenu responsable en dommages</w:t>
            </w:r>
            <w:r w:rsidRPr="00E6448B">
              <w:rPr>
                <w:sz w:val="20"/>
                <w:lang w:val="fr-CA"/>
              </w:rPr>
              <w:noBreakHyphen/>
              <w:t>intérêts en responsabilité stricte aux termes de l’art. 39 de la</w:t>
            </w:r>
            <w:r w:rsidRPr="00E6448B">
              <w:rPr>
                <w:i/>
                <w:sz w:val="20"/>
                <w:lang w:val="fr-CA"/>
              </w:rPr>
              <w:t xml:space="preserve"> Loi sur les permis d’alcool</w:t>
            </w:r>
            <w:r w:rsidRPr="00E6448B">
              <w:rPr>
                <w:sz w:val="20"/>
                <w:lang w:val="fr-CA"/>
              </w:rPr>
              <w:t>, L.R.O. 1990, ch. L.19, pour avoir trop servi d’alcool à un client déjà ivre ou jusqu’à ce qu’il s’enivre si ce client blesse une autre personne par la suite? — Y a</w:t>
            </w:r>
            <w:r w:rsidRPr="00E6448B">
              <w:rPr>
                <w:sz w:val="20"/>
                <w:lang w:val="fr-CA"/>
              </w:rPr>
              <w:noBreakHyphen/>
              <w:t>t</w:t>
            </w:r>
            <w:r w:rsidRPr="00E6448B">
              <w:rPr>
                <w:sz w:val="20"/>
                <w:lang w:val="fr-CA"/>
              </w:rPr>
              <w:noBreakHyphen/>
              <w:t>il des cas où il ne serait pas raisonnablement prévisible qu’un client ivre puisse causer des blessures à une autre personne?</w:t>
            </w:r>
          </w:p>
          <w:p w:rsidR="002F0EB9" w:rsidRPr="00E6448B" w:rsidRDefault="002F0EB9" w:rsidP="002F0EB9">
            <w:pPr>
              <w:rPr>
                <w:sz w:val="20"/>
                <w:lang w:val="fr-CA"/>
              </w:rPr>
            </w:pPr>
          </w:p>
        </w:tc>
      </w:tr>
      <w:tr w:rsidR="002F0EB9" w:rsidRPr="00E6448B" w:rsidTr="002F0EB9">
        <w:tc>
          <w:tcPr>
            <w:tcW w:w="5000" w:type="pct"/>
            <w:gridSpan w:val="3"/>
          </w:tcPr>
          <w:p w:rsidR="002F0EB9" w:rsidRPr="00E6448B" w:rsidRDefault="002F0EB9" w:rsidP="002F0EB9">
            <w:pPr>
              <w:rPr>
                <w:sz w:val="20"/>
                <w:lang w:val="fr-CA"/>
              </w:rPr>
            </w:pPr>
            <w:r w:rsidRPr="00E6448B">
              <w:rPr>
                <w:sz w:val="20"/>
                <w:lang w:val="fr-CA"/>
              </w:rPr>
              <w:t>Le demandeur buvait pendant une soirée au Carey’s Pub &amp; Grill, un pub fréquenté par des étudiants situé à London (Ontario).  Peu après minuit, David Radcliffe, qui avait passé la soirée à boire ailleurs, est arrivé au pub.  À la fermeture, le demandeur et ses amis ont quitté le pub, tout comme le groupe de M. Radcliffe.  Dans le stationnement, il y a eu une altercation et une petite bagarre a éclaté entre les deux groupes.  La direction de Carey’s a vu ce qui se passait et deux de ses employés sont sortis; ils ont séparé les bagarreurs et ont dit aux groupes de quitter les lieux chacun de leur côté.  Toutefois, peu de temps après, les groupes se sont croisés de nouveau près de là. Une bagarre s’est ensuivie et M. Radcliffe a agressé le demandeur, qui a subi un traumatisme crânien qui l’a laissé handicapé.</w:t>
            </w:r>
          </w:p>
          <w:p w:rsidR="002F0EB9" w:rsidRPr="00E6448B" w:rsidRDefault="002F0EB9" w:rsidP="002F0EB9">
            <w:pPr>
              <w:rPr>
                <w:sz w:val="20"/>
                <w:lang w:val="fr-CA"/>
              </w:rPr>
            </w:pPr>
          </w:p>
          <w:p w:rsidR="002F0EB9" w:rsidRPr="00E6448B" w:rsidRDefault="002F0EB9" w:rsidP="002F0EB9">
            <w:pPr>
              <w:rPr>
                <w:sz w:val="20"/>
                <w:lang w:val="fr-CA"/>
              </w:rPr>
            </w:pPr>
            <w:r w:rsidRPr="00E6448B">
              <w:rPr>
                <w:sz w:val="20"/>
                <w:lang w:val="fr-CA"/>
              </w:rPr>
              <w:t>Le demandeur a poursuivi M. Radcliffe.  Il a également poursuivi les propriétaires et un employé du pub, s’appuyant sur la responsabilité civile des personnes qui vendent de l’alcool fondée sur l’art. 39 de la</w:t>
            </w:r>
            <w:r w:rsidRPr="00E6448B">
              <w:rPr>
                <w:i/>
                <w:sz w:val="20"/>
                <w:lang w:val="fr-CA"/>
              </w:rPr>
              <w:t xml:space="preserve"> Loi sur les permis d’alcool.</w:t>
            </w:r>
            <w:r w:rsidRPr="00E6448B">
              <w:rPr>
                <w:sz w:val="20"/>
                <w:lang w:val="fr-CA"/>
              </w:rPr>
              <w:t xml:space="preserve">  Au procès, le jury a conclu que M. Radcliffe était responsable à 100 % des blessures du demandeur, alors que sa demande contre Carey’s a été rejetée.  L’appel du demandeur contre Carey’s a été rejetée.</w:t>
            </w:r>
          </w:p>
          <w:p w:rsidR="002F0EB9" w:rsidRPr="00E6448B" w:rsidRDefault="002F0EB9" w:rsidP="002F0EB9">
            <w:pPr>
              <w:rPr>
                <w:sz w:val="20"/>
                <w:lang w:val="fr-CA"/>
              </w:rPr>
            </w:pPr>
          </w:p>
        </w:tc>
      </w:tr>
      <w:tr w:rsidR="002F0EB9" w:rsidRPr="00E6448B" w:rsidTr="002F0EB9">
        <w:tc>
          <w:tcPr>
            <w:tcW w:w="2427" w:type="pct"/>
          </w:tcPr>
          <w:p w:rsidR="002F0EB9" w:rsidRPr="00E6448B" w:rsidRDefault="002F0EB9" w:rsidP="002F0EB9">
            <w:pPr>
              <w:rPr>
                <w:sz w:val="20"/>
                <w:lang w:val="fr-CA"/>
              </w:rPr>
            </w:pPr>
            <w:r w:rsidRPr="00E6448B">
              <w:rPr>
                <w:sz w:val="20"/>
                <w:lang w:val="fr-CA"/>
              </w:rPr>
              <w:t>24 mars 2009</w:t>
            </w:r>
          </w:p>
          <w:p w:rsidR="002F0EB9" w:rsidRPr="00E6448B" w:rsidRDefault="002F0EB9" w:rsidP="002F0EB9">
            <w:pPr>
              <w:rPr>
                <w:sz w:val="20"/>
                <w:lang w:val="fr-CA"/>
              </w:rPr>
            </w:pPr>
            <w:r w:rsidRPr="00E6448B">
              <w:rPr>
                <w:sz w:val="20"/>
                <w:lang w:val="fr-CA"/>
              </w:rPr>
              <w:t xml:space="preserve">Cour supérieure de justice de l’Ontario </w:t>
            </w:r>
          </w:p>
          <w:p w:rsidR="002F0EB9" w:rsidRPr="00E6448B" w:rsidRDefault="002F0EB9" w:rsidP="002F0EB9">
            <w:pPr>
              <w:rPr>
                <w:sz w:val="20"/>
                <w:lang w:val="fr-CA"/>
              </w:rPr>
            </w:pPr>
            <w:r w:rsidRPr="00E6448B">
              <w:rPr>
                <w:sz w:val="20"/>
                <w:lang w:val="fr-CA"/>
              </w:rPr>
              <w:t>(Juge Little)</w:t>
            </w:r>
          </w:p>
          <w:p w:rsidR="002F0EB9" w:rsidRPr="00E6448B" w:rsidRDefault="002F0EB9" w:rsidP="002F0EB9">
            <w:pPr>
              <w:rPr>
                <w:sz w:val="20"/>
                <w:lang w:val="fr-CA"/>
              </w:rPr>
            </w:pPr>
          </w:p>
        </w:tc>
        <w:tc>
          <w:tcPr>
            <w:tcW w:w="243" w:type="pct"/>
          </w:tcPr>
          <w:p w:rsidR="002F0EB9" w:rsidRPr="00E6448B" w:rsidRDefault="002F0EB9" w:rsidP="002F0EB9">
            <w:pPr>
              <w:rPr>
                <w:sz w:val="20"/>
                <w:lang w:val="fr-CA"/>
              </w:rPr>
            </w:pPr>
          </w:p>
        </w:tc>
        <w:tc>
          <w:tcPr>
            <w:tcW w:w="2330" w:type="pct"/>
          </w:tcPr>
          <w:p w:rsidR="002F0EB9" w:rsidRPr="00E6448B" w:rsidRDefault="002F0EB9" w:rsidP="002F0EB9">
            <w:pPr>
              <w:rPr>
                <w:sz w:val="20"/>
                <w:lang w:val="fr-CA"/>
              </w:rPr>
            </w:pPr>
            <w:r w:rsidRPr="00E6448B">
              <w:rPr>
                <w:sz w:val="20"/>
                <w:lang w:val="fr-CA"/>
              </w:rPr>
              <w:t>Action rejetée</w:t>
            </w:r>
          </w:p>
        </w:tc>
      </w:tr>
      <w:tr w:rsidR="002F0EB9" w:rsidRPr="00E6448B" w:rsidTr="002F0EB9">
        <w:tc>
          <w:tcPr>
            <w:tcW w:w="2427" w:type="pct"/>
          </w:tcPr>
          <w:p w:rsidR="002F0EB9" w:rsidRPr="00E6448B" w:rsidRDefault="002F0EB9" w:rsidP="002F0EB9">
            <w:pPr>
              <w:rPr>
                <w:sz w:val="20"/>
                <w:lang w:val="fr-CA"/>
              </w:rPr>
            </w:pPr>
            <w:r w:rsidRPr="00E6448B">
              <w:rPr>
                <w:sz w:val="20"/>
                <w:lang w:val="fr-CA"/>
              </w:rPr>
              <w:t>23 décembre 2010</w:t>
            </w:r>
          </w:p>
          <w:p w:rsidR="002F0EB9" w:rsidRPr="00E6448B" w:rsidRDefault="002F0EB9" w:rsidP="002F0EB9">
            <w:pPr>
              <w:rPr>
                <w:sz w:val="20"/>
                <w:lang w:val="fr-CA"/>
              </w:rPr>
            </w:pPr>
            <w:r w:rsidRPr="00E6448B">
              <w:rPr>
                <w:sz w:val="20"/>
                <w:lang w:val="fr-CA"/>
              </w:rPr>
              <w:t xml:space="preserve">Cour d’appel de l’Ontario </w:t>
            </w:r>
          </w:p>
          <w:p w:rsidR="002F0EB9" w:rsidRPr="00E6448B" w:rsidRDefault="002F0EB9" w:rsidP="002F0EB9">
            <w:pPr>
              <w:rPr>
                <w:sz w:val="20"/>
                <w:lang w:val="fr-CA"/>
              </w:rPr>
            </w:pPr>
            <w:r w:rsidRPr="00E6448B">
              <w:rPr>
                <w:sz w:val="20"/>
                <w:lang w:val="fr-CA"/>
              </w:rPr>
              <w:t>(Juges Goudge, Cronk et Armstrong)</w:t>
            </w:r>
          </w:p>
          <w:p w:rsidR="002F0EB9" w:rsidRPr="00E6448B" w:rsidRDefault="002F0EB9" w:rsidP="002F0EB9">
            <w:pPr>
              <w:rPr>
                <w:sz w:val="20"/>
                <w:lang w:val="fr-CA"/>
              </w:rPr>
            </w:pPr>
            <w:r w:rsidRPr="00E6448B">
              <w:rPr>
                <w:sz w:val="20"/>
                <w:lang w:val="fr-CA"/>
              </w:rPr>
              <w:t>2010 ONCA 894</w:t>
            </w:r>
          </w:p>
          <w:p w:rsidR="002F0EB9" w:rsidRPr="00E6448B" w:rsidRDefault="002F0EB9" w:rsidP="002F0EB9">
            <w:pPr>
              <w:rPr>
                <w:sz w:val="20"/>
                <w:lang w:val="fr-CA"/>
              </w:rPr>
            </w:pPr>
          </w:p>
        </w:tc>
        <w:tc>
          <w:tcPr>
            <w:tcW w:w="243" w:type="pct"/>
          </w:tcPr>
          <w:p w:rsidR="002F0EB9" w:rsidRPr="00E6448B" w:rsidRDefault="002F0EB9" w:rsidP="002F0EB9">
            <w:pPr>
              <w:rPr>
                <w:sz w:val="20"/>
                <w:lang w:val="fr-CA"/>
              </w:rPr>
            </w:pPr>
          </w:p>
        </w:tc>
        <w:tc>
          <w:tcPr>
            <w:tcW w:w="2330" w:type="pct"/>
          </w:tcPr>
          <w:p w:rsidR="002F0EB9" w:rsidRPr="00E6448B" w:rsidRDefault="002F0EB9" w:rsidP="002F0EB9">
            <w:pPr>
              <w:rPr>
                <w:sz w:val="20"/>
                <w:lang w:val="fr-CA"/>
              </w:rPr>
            </w:pPr>
            <w:r w:rsidRPr="00E6448B">
              <w:rPr>
                <w:sz w:val="20"/>
                <w:lang w:val="fr-CA"/>
              </w:rPr>
              <w:t>Appel rejeté</w:t>
            </w:r>
          </w:p>
          <w:p w:rsidR="002F0EB9" w:rsidRPr="00E6448B" w:rsidRDefault="002F0EB9" w:rsidP="002F0EB9">
            <w:pPr>
              <w:rPr>
                <w:sz w:val="20"/>
                <w:lang w:val="fr-CA"/>
              </w:rPr>
            </w:pPr>
          </w:p>
        </w:tc>
      </w:tr>
      <w:tr w:rsidR="002F0EB9" w:rsidRPr="00E6448B" w:rsidTr="002F0EB9">
        <w:tc>
          <w:tcPr>
            <w:tcW w:w="2427" w:type="pct"/>
          </w:tcPr>
          <w:p w:rsidR="002F0EB9" w:rsidRPr="00E6448B" w:rsidRDefault="002F0EB9" w:rsidP="002F0EB9">
            <w:pPr>
              <w:rPr>
                <w:sz w:val="20"/>
                <w:lang w:val="fr-CA"/>
              </w:rPr>
            </w:pPr>
            <w:r w:rsidRPr="00E6448B">
              <w:rPr>
                <w:sz w:val="20"/>
                <w:lang w:val="fr-CA"/>
              </w:rPr>
              <w:t>18 février 2011</w:t>
            </w:r>
          </w:p>
          <w:p w:rsidR="002F0EB9" w:rsidRPr="00E6448B" w:rsidRDefault="002F0EB9" w:rsidP="002F0EB9">
            <w:pPr>
              <w:rPr>
                <w:sz w:val="20"/>
                <w:lang w:val="fr-CA"/>
              </w:rPr>
            </w:pPr>
            <w:r w:rsidRPr="00E6448B">
              <w:rPr>
                <w:sz w:val="20"/>
                <w:lang w:val="fr-CA"/>
              </w:rPr>
              <w:t>Cour suprême du Canada</w:t>
            </w:r>
          </w:p>
        </w:tc>
        <w:tc>
          <w:tcPr>
            <w:tcW w:w="243" w:type="pct"/>
          </w:tcPr>
          <w:p w:rsidR="002F0EB9" w:rsidRPr="00E6448B" w:rsidRDefault="002F0EB9" w:rsidP="002F0EB9">
            <w:pPr>
              <w:rPr>
                <w:sz w:val="20"/>
                <w:lang w:val="fr-CA"/>
              </w:rPr>
            </w:pPr>
          </w:p>
        </w:tc>
        <w:tc>
          <w:tcPr>
            <w:tcW w:w="2330" w:type="pct"/>
          </w:tcPr>
          <w:p w:rsidR="002F0EB9" w:rsidRPr="00E6448B" w:rsidRDefault="002F0EB9" w:rsidP="002F0EB9">
            <w:pPr>
              <w:rPr>
                <w:sz w:val="20"/>
                <w:lang w:val="fr-CA"/>
              </w:rPr>
            </w:pPr>
            <w:r w:rsidRPr="00E6448B">
              <w:rPr>
                <w:sz w:val="20"/>
                <w:lang w:val="fr-CA"/>
              </w:rPr>
              <w:t>Demande d’autorisation d’appel, déposée</w:t>
            </w:r>
          </w:p>
          <w:p w:rsidR="002F0EB9" w:rsidRPr="00E6448B" w:rsidRDefault="002F0EB9" w:rsidP="002F0EB9">
            <w:pPr>
              <w:rPr>
                <w:sz w:val="20"/>
                <w:lang w:val="fr-CA"/>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7"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34AD9" w:rsidRPr="00B34AD9" w:rsidTr="004B78B6">
        <w:trPr>
          <w:cantSplit/>
        </w:trPr>
        <w:tc>
          <w:tcPr>
            <w:tcW w:w="1458" w:type="dxa"/>
          </w:tcPr>
          <w:p w:rsidR="00B34AD9" w:rsidRPr="00B34AD9" w:rsidRDefault="00B34AD9" w:rsidP="004B78B6">
            <w:pPr>
              <w:rPr>
                <w:rFonts w:cs="Times New Roman"/>
                <w:sz w:val="20"/>
                <w:szCs w:val="20"/>
              </w:rPr>
            </w:pPr>
            <w:r w:rsidRPr="00B34AD9">
              <w:rPr>
                <w:rStyle w:val="SCCFileNumberChar"/>
                <w:sz w:val="20"/>
                <w:szCs w:val="20"/>
              </w:rPr>
              <w:t>34112</w:t>
            </w:r>
          </w:p>
          <w:p w:rsidR="00B34AD9" w:rsidRPr="00B34AD9" w:rsidRDefault="00B34AD9" w:rsidP="004B78B6">
            <w:pPr>
              <w:rPr>
                <w:rFonts w:cs="Times New Roman"/>
                <w:b/>
                <w:sz w:val="20"/>
                <w:szCs w:val="20"/>
                <w:lang w:val="fr-CA"/>
              </w:rPr>
            </w:pPr>
          </w:p>
        </w:tc>
        <w:tc>
          <w:tcPr>
            <w:tcW w:w="8118" w:type="dxa"/>
          </w:tcPr>
          <w:p w:rsidR="00B34AD9" w:rsidRPr="00B34AD9" w:rsidRDefault="00B34AD9" w:rsidP="00B34AD9">
            <w:pPr>
              <w:jc w:val="both"/>
              <w:rPr>
                <w:rFonts w:cs="Times New Roman"/>
                <w:sz w:val="20"/>
                <w:szCs w:val="20"/>
              </w:rPr>
            </w:pPr>
            <w:r w:rsidRPr="00B34AD9">
              <w:rPr>
                <w:rStyle w:val="SCCLsocChar"/>
                <w:rFonts w:cs="Times New Roman"/>
                <w:sz w:val="20"/>
                <w:szCs w:val="20"/>
                <w:lang w:val="en-CA"/>
              </w:rPr>
              <w:t>Aecon Buildings, A Division of Aecon Construction Group Inc. v. Stephenson Engineering Limited</w:t>
            </w:r>
            <w:r w:rsidRPr="00B34AD9">
              <w:rPr>
                <w:rFonts w:cs="Times New Roman"/>
                <w:sz w:val="20"/>
                <w:szCs w:val="20"/>
              </w:rPr>
              <w:t xml:space="preserve"> (Ont.) (Civil) (By Leave)</w:t>
            </w:r>
          </w:p>
          <w:p w:rsidR="00B34AD9" w:rsidRPr="00B34AD9" w:rsidRDefault="00B34AD9" w:rsidP="004B78B6">
            <w:pPr>
              <w:rPr>
                <w:rFonts w:cs="Times New Roman"/>
                <w:sz w:val="20"/>
                <w:szCs w:val="20"/>
              </w:rPr>
            </w:pPr>
          </w:p>
        </w:tc>
      </w:tr>
      <w:tr w:rsidR="00B34AD9" w:rsidRPr="00B34AD9" w:rsidTr="004B78B6">
        <w:trPr>
          <w:cantSplit/>
        </w:trPr>
        <w:tc>
          <w:tcPr>
            <w:tcW w:w="1458" w:type="dxa"/>
          </w:tcPr>
          <w:p w:rsidR="00B34AD9" w:rsidRPr="00B34AD9" w:rsidRDefault="00B34AD9" w:rsidP="004B78B6">
            <w:pPr>
              <w:rPr>
                <w:rFonts w:cs="Times New Roman"/>
                <w:sz w:val="20"/>
                <w:szCs w:val="20"/>
              </w:rPr>
            </w:pPr>
            <w:r w:rsidRPr="00B34AD9">
              <w:rPr>
                <w:rFonts w:cs="Times New Roman"/>
                <w:sz w:val="20"/>
                <w:szCs w:val="20"/>
              </w:rPr>
              <w:t>Coram :</w:t>
            </w:r>
          </w:p>
        </w:tc>
        <w:tc>
          <w:tcPr>
            <w:tcW w:w="8118" w:type="dxa"/>
          </w:tcPr>
          <w:p w:rsidR="00B34AD9" w:rsidRPr="00B34AD9" w:rsidRDefault="00B34AD9" w:rsidP="004B78B6">
            <w:pPr>
              <w:rPr>
                <w:rFonts w:cs="Times New Roman"/>
                <w:sz w:val="20"/>
                <w:szCs w:val="20"/>
              </w:rPr>
            </w:pPr>
            <w:r w:rsidRPr="00B34AD9">
              <w:rPr>
                <w:rStyle w:val="SCCCoramChar"/>
                <w:rFonts w:cs="Times New Roman"/>
                <w:sz w:val="20"/>
                <w:szCs w:val="20"/>
                <w:lang w:val="en-CA"/>
              </w:rPr>
              <w:t>Binnie, Abella and Rothstein JJ.</w:t>
            </w:r>
          </w:p>
          <w:p w:rsidR="00B34AD9" w:rsidRPr="00B34AD9" w:rsidRDefault="00B34AD9" w:rsidP="004B78B6">
            <w:pPr>
              <w:rPr>
                <w:rFonts w:cs="Times New Roman"/>
                <w:sz w:val="20"/>
                <w:szCs w:val="20"/>
                <w:u w:val="single"/>
              </w:rPr>
            </w:pPr>
          </w:p>
        </w:tc>
      </w:tr>
      <w:tr w:rsidR="00B34AD9" w:rsidRPr="00B34AD9" w:rsidTr="004B78B6">
        <w:trPr>
          <w:cantSplit/>
        </w:trPr>
        <w:tc>
          <w:tcPr>
            <w:tcW w:w="9576" w:type="dxa"/>
            <w:gridSpan w:val="2"/>
          </w:tcPr>
          <w:p w:rsidR="00B34AD9" w:rsidRPr="00B34AD9" w:rsidRDefault="00B34AD9" w:rsidP="004B78B6">
            <w:pPr>
              <w:pStyle w:val="SCCShortJudgment"/>
              <w:rPr>
                <w:rFonts w:cs="Times New Roman"/>
                <w:szCs w:val="20"/>
              </w:rPr>
            </w:pPr>
            <w:r w:rsidRPr="00B34AD9">
              <w:rPr>
                <w:rFonts w:cs="Times New Roman"/>
                <w:szCs w:val="20"/>
              </w:rPr>
              <w:lastRenderedPageBreak/>
              <w:t>The application for leave to appeal from the judgment of the Court of Appeal for Ontario, Number C51833, 2010 ONCA 898, dated December 24, 2010, is dismissed with costs.</w:t>
            </w:r>
          </w:p>
          <w:p w:rsidR="00B34AD9" w:rsidRPr="00B34AD9" w:rsidRDefault="00B34AD9" w:rsidP="004B78B6">
            <w:pPr>
              <w:pStyle w:val="SCCShortJudgment"/>
              <w:ind w:firstLine="0"/>
              <w:rPr>
                <w:rFonts w:cs="Times New Roman"/>
                <w:szCs w:val="20"/>
              </w:rPr>
            </w:pPr>
          </w:p>
          <w:p w:rsidR="00B34AD9" w:rsidRPr="00B34AD9" w:rsidRDefault="00B34AD9" w:rsidP="00B34AD9">
            <w:pPr>
              <w:pStyle w:val="SCCShortJudgment"/>
              <w:rPr>
                <w:rFonts w:cs="Times New Roman"/>
                <w:szCs w:val="20"/>
                <w:lang w:val="fr-CA"/>
              </w:rPr>
            </w:pPr>
            <w:r w:rsidRPr="00B34AD9">
              <w:rPr>
                <w:rFonts w:cs="Times New Roman"/>
                <w:szCs w:val="20"/>
                <w:lang w:val="fr-CA"/>
              </w:rPr>
              <w:t>La demande d’autorisation d’appel de l’arrêt de la Cour d’appel de l’Ontario, numéro C51833, 2010 ONCA 898, daté du 24 décembre 2010, est rejetée avec dépens.</w:t>
            </w:r>
          </w:p>
        </w:tc>
      </w:tr>
    </w:tbl>
    <w:p w:rsidR="00B34AD9" w:rsidRPr="00B34AD9" w:rsidRDefault="00B34AD9"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0EB9" w:rsidRPr="00E6448B" w:rsidTr="002F0EB9">
        <w:tc>
          <w:tcPr>
            <w:tcW w:w="5000" w:type="pct"/>
            <w:gridSpan w:val="3"/>
          </w:tcPr>
          <w:p w:rsidR="002F0EB9" w:rsidRPr="00E6448B" w:rsidRDefault="002F0EB9" w:rsidP="002F0EB9">
            <w:pPr>
              <w:jc w:val="both"/>
              <w:rPr>
                <w:rFonts w:eastAsia="Calibri"/>
                <w:sz w:val="20"/>
              </w:rPr>
            </w:pPr>
            <w:r w:rsidRPr="00E6448B">
              <w:rPr>
                <w:rFonts w:eastAsia="Calibri"/>
                <w:sz w:val="20"/>
              </w:rPr>
              <w:t>Civil procedure — Stay — Settlement — Abuse of process — Agreement between two parties in a multi</w:t>
            </w:r>
            <w:r w:rsidRPr="00E6448B">
              <w:rPr>
                <w:rFonts w:eastAsia="Calibri"/>
                <w:sz w:val="20"/>
              </w:rPr>
              <w:noBreakHyphen/>
              <w:t>party action not disclosed to other parties for several months — Whether the law with respect to the necessary disclosure of such agreements is now inconsistent and will result in litigants being uncertain of their disclosure obligations — Whether cases which have relied on the established law may be adversely affected or stayed, thus negatively impacting on the use of such agreements to effect settlement of multi</w:t>
            </w:r>
            <w:r w:rsidRPr="00E6448B">
              <w:rPr>
                <w:rFonts w:eastAsia="Calibri"/>
                <w:sz w:val="20"/>
              </w:rPr>
              <w:noBreakHyphen/>
              <w:t>party litigation — Whether the Court of Appeal exercised its inherent jurisdiction in a just and fair fashion.</w:t>
            </w:r>
          </w:p>
          <w:p w:rsidR="002F0EB9" w:rsidRPr="00E6448B" w:rsidRDefault="002F0EB9" w:rsidP="002F0EB9">
            <w:pPr>
              <w:jc w:val="both"/>
              <w:rPr>
                <w:rFonts w:eastAsia="Calibri"/>
                <w:sz w:val="20"/>
              </w:rPr>
            </w:pPr>
          </w:p>
        </w:tc>
      </w:tr>
      <w:tr w:rsidR="002F0EB9" w:rsidRPr="00E6448B" w:rsidTr="002F0EB9">
        <w:tc>
          <w:tcPr>
            <w:tcW w:w="5000" w:type="pct"/>
            <w:gridSpan w:val="3"/>
          </w:tcPr>
          <w:p w:rsidR="002F0EB9" w:rsidRPr="00E6448B" w:rsidRDefault="002F0EB9" w:rsidP="002F0EB9">
            <w:pPr>
              <w:jc w:val="both"/>
              <w:rPr>
                <w:rFonts w:eastAsia="Calibri"/>
                <w:sz w:val="20"/>
              </w:rPr>
            </w:pPr>
            <w:r w:rsidRPr="00E6448B">
              <w:rPr>
                <w:rFonts w:eastAsia="Calibri"/>
                <w:sz w:val="20"/>
              </w:rPr>
              <w:t xml:space="preserve">The issue in this leave application stems from a dispute which arose in the context of a $46 million contract for the building of the Brampton Performing Arts Centre.  The applicant, Aecon Buildings, A Division of Aecon Construction Group Inc. (“Aecon”) has claimed damages for breach of contract arising from delays in the project for which it says it is entitled to be compensated.  </w:t>
            </w:r>
          </w:p>
          <w:p w:rsidR="002F0EB9" w:rsidRPr="00E6448B" w:rsidRDefault="002F0EB9" w:rsidP="002F0EB9">
            <w:pPr>
              <w:jc w:val="both"/>
              <w:rPr>
                <w:rFonts w:eastAsia="Calibri"/>
                <w:sz w:val="20"/>
              </w:rPr>
            </w:pPr>
          </w:p>
          <w:p w:rsidR="002F0EB9" w:rsidRPr="00E6448B" w:rsidRDefault="002F0EB9" w:rsidP="002F0EB9">
            <w:pPr>
              <w:jc w:val="both"/>
              <w:rPr>
                <w:rFonts w:eastAsia="Calibri"/>
                <w:sz w:val="20"/>
              </w:rPr>
            </w:pPr>
            <w:r w:rsidRPr="00E6448B">
              <w:rPr>
                <w:rFonts w:eastAsia="Calibri"/>
                <w:sz w:val="20"/>
              </w:rPr>
              <w:t>In 2006, Aecon and The Corporation of the City of Brampton (Brampton was a respondent in Court of Appeal but not a party in this Court) engaged in discussions which resulted in them reaching an agreement in principle in December 2006 on how to proceed with their outstanding disputes.  Those discussions resulted in a formal written agreement between the two parties dated February 8, 2007, a date that was after the issuance of the Statement of Claim wherein Aecon was the plaintiff and Brampton was the defendant.  Essentially, Brampton agreed to advance claims against the Third Party Page + Steele Inc. on Aecon’s behalf and Aecon agreed to cap its damage claims against Brampton to any amounts Brampton recovered from Page + Steele and its subconsultants.</w:t>
            </w:r>
          </w:p>
          <w:p w:rsidR="002F0EB9" w:rsidRPr="00E6448B" w:rsidRDefault="002F0EB9" w:rsidP="002F0EB9">
            <w:pPr>
              <w:jc w:val="both"/>
              <w:rPr>
                <w:rFonts w:eastAsia="Calibri"/>
                <w:sz w:val="20"/>
              </w:rPr>
            </w:pPr>
          </w:p>
          <w:p w:rsidR="002F0EB9" w:rsidRPr="00E6448B" w:rsidRDefault="002F0EB9" w:rsidP="002F0EB9">
            <w:pPr>
              <w:jc w:val="both"/>
              <w:rPr>
                <w:rFonts w:eastAsia="Calibri"/>
                <w:sz w:val="20"/>
              </w:rPr>
            </w:pPr>
            <w:r w:rsidRPr="00E6448B">
              <w:rPr>
                <w:rFonts w:eastAsia="Calibri"/>
                <w:sz w:val="20"/>
              </w:rPr>
              <w:t xml:space="preserve">Stephenson Engineering Ltd. (“Stephenson”), being a Fourth Party, took the position that an agreement entered into between Brampton and Aecon prior to the litigation is champertous and an abuse of process; that the plea of adversity between Aecon and Brampton as set out in the Statement of Claim was a sham; and the agreement between Aecon and Brampton was not disclosed as soon as it was completed.  </w:t>
            </w:r>
          </w:p>
          <w:p w:rsidR="002F0EB9" w:rsidRPr="00E6448B" w:rsidRDefault="002F0EB9" w:rsidP="002F0EB9">
            <w:pPr>
              <w:jc w:val="both"/>
              <w:rPr>
                <w:rFonts w:eastAsia="Calibri"/>
                <w:sz w:val="20"/>
              </w:rPr>
            </w:pPr>
          </w:p>
          <w:p w:rsidR="002F0EB9" w:rsidRPr="00E6448B" w:rsidRDefault="002F0EB9" w:rsidP="002F0EB9">
            <w:pPr>
              <w:jc w:val="both"/>
              <w:rPr>
                <w:rFonts w:eastAsia="Calibri"/>
                <w:sz w:val="20"/>
              </w:rPr>
            </w:pPr>
            <w:r w:rsidRPr="00E6448B">
              <w:rPr>
                <w:rFonts w:eastAsia="Calibri"/>
                <w:sz w:val="20"/>
              </w:rPr>
              <w:t>Stephenson sought a summary judgment from the Superior Court dismissing the Third Party claim of Brampton against Page + Steele and dismissing the Fourth Party claim of Page + Steele for contribution and indemnity from Stephenson.  The Superior Court dismissed the motion.  The Court of Appeal allowed Stephenson’s appeal, set aside the lower court decision and stayed the Third and Fourth Party proceedings.</w:t>
            </w:r>
          </w:p>
          <w:p w:rsidR="002F0EB9" w:rsidRPr="00E6448B" w:rsidRDefault="002F0EB9" w:rsidP="002F0EB9">
            <w:pPr>
              <w:jc w:val="both"/>
              <w:rPr>
                <w:rFonts w:eastAsia="Calibri"/>
                <w:sz w:val="20"/>
              </w:rPr>
            </w:pPr>
          </w:p>
        </w:tc>
      </w:tr>
      <w:tr w:rsidR="002F0EB9" w:rsidRPr="00E6448B" w:rsidTr="002F0EB9">
        <w:tc>
          <w:tcPr>
            <w:tcW w:w="2427" w:type="pct"/>
          </w:tcPr>
          <w:p w:rsidR="002F0EB9" w:rsidRPr="00E6448B" w:rsidRDefault="002F0EB9" w:rsidP="002F0EB9">
            <w:pPr>
              <w:jc w:val="both"/>
              <w:rPr>
                <w:rFonts w:eastAsia="Calibri"/>
                <w:sz w:val="20"/>
              </w:rPr>
            </w:pPr>
            <w:r w:rsidRPr="00E6448B">
              <w:rPr>
                <w:rFonts w:eastAsia="Calibri"/>
                <w:sz w:val="20"/>
              </w:rPr>
              <w:t>December 11, 2009</w:t>
            </w:r>
          </w:p>
          <w:p w:rsidR="002F0EB9" w:rsidRPr="00E6448B" w:rsidRDefault="002F0EB9" w:rsidP="002F0EB9">
            <w:pPr>
              <w:jc w:val="both"/>
              <w:rPr>
                <w:rFonts w:eastAsia="Calibri"/>
                <w:sz w:val="20"/>
              </w:rPr>
            </w:pPr>
            <w:r w:rsidRPr="00E6448B">
              <w:rPr>
                <w:rFonts w:eastAsia="Calibri"/>
                <w:sz w:val="20"/>
              </w:rPr>
              <w:t>Ontario Superior Court of Justice</w:t>
            </w:r>
          </w:p>
          <w:p w:rsidR="002F0EB9" w:rsidRPr="00E6448B" w:rsidRDefault="002F0EB9" w:rsidP="002F0EB9">
            <w:pPr>
              <w:jc w:val="both"/>
              <w:rPr>
                <w:rFonts w:eastAsia="Calibri"/>
                <w:sz w:val="20"/>
              </w:rPr>
            </w:pPr>
            <w:r w:rsidRPr="00E6448B">
              <w:rPr>
                <w:rFonts w:eastAsia="Calibri"/>
                <w:sz w:val="20"/>
              </w:rPr>
              <w:t>(Klowak J.)</w:t>
            </w: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rPr>
            </w:pPr>
            <w:r w:rsidRPr="00E6448B">
              <w:rPr>
                <w:rFonts w:eastAsia="Calibri"/>
                <w:sz w:val="20"/>
              </w:rPr>
              <w:t>Motion by the Fourth Party, Stephenson Engineering Ltd. seeking summary judgment dismissing the Third and Fourth Party claim, dismissed</w:t>
            </w:r>
          </w:p>
          <w:p w:rsidR="002F0EB9" w:rsidRPr="00E6448B" w:rsidRDefault="002F0EB9" w:rsidP="002F0EB9">
            <w:pPr>
              <w:jc w:val="both"/>
              <w:rPr>
                <w:rFonts w:eastAsia="Calibri"/>
                <w:sz w:val="20"/>
              </w:rPr>
            </w:pPr>
          </w:p>
        </w:tc>
      </w:tr>
      <w:tr w:rsidR="002F0EB9" w:rsidRPr="00E6448B" w:rsidTr="002F0EB9">
        <w:tc>
          <w:tcPr>
            <w:tcW w:w="2427" w:type="pct"/>
          </w:tcPr>
          <w:p w:rsidR="002F0EB9" w:rsidRPr="00E6448B" w:rsidRDefault="002F0EB9" w:rsidP="002F0EB9">
            <w:pPr>
              <w:jc w:val="both"/>
              <w:rPr>
                <w:rFonts w:eastAsia="Calibri"/>
                <w:sz w:val="20"/>
              </w:rPr>
            </w:pPr>
            <w:r w:rsidRPr="00E6448B">
              <w:rPr>
                <w:rFonts w:eastAsia="Calibri"/>
                <w:sz w:val="20"/>
              </w:rPr>
              <w:t>December 24, 2010</w:t>
            </w:r>
          </w:p>
          <w:p w:rsidR="002F0EB9" w:rsidRPr="00E6448B" w:rsidRDefault="002F0EB9" w:rsidP="002F0EB9">
            <w:pPr>
              <w:jc w:val="both"/>
              <w:rPr>
                <w:rFonts w:eastAsia="Calibri"/>
                <w:sz w:val="20"/>
              </w:rPr>
            </w:pPr>
            <w:r w:rsidRPr="00E6448B">
              <w:rPr>
                <w:rFonts w:eastAsia="Calibri"/>
                <w:sz w:val="20"/>
              </w:rPr>
              <w:t>Court of Appeal for Ontario</w:t>
            </w:r>
          </w:p>
          <w:p w:rsidR="002F0EB9" w:rsidRPr="00E6448B" w:rsidRDefault="002F0EB9" w:rsidP="002F0EB9">
            <w:pPr>
              <w:jc w:val="both"/>
              <w:rPr>
                <w:rFonts w:eastAsia="Calibri"/>
                <w:sz w:val="20"/>
              </w:rPr>
            </w:pPr>
            <w:r w:rsidRPr="00E6448B">
              <w:rPr>
                <w:rFonts w:eastAsia="Calibri"/>
                <w:sz w:val="20"/>
              </w:rPr>
              <w:t>(MacPherson, Juriansz and MacFarland JJ.A.)</w:t>
            </w:r>
          </w:p>
          <w:p w:rsidR="002F0EB9" w:rsidRPr="00E6448B" w:rsidRDefault="002F0EB9" w:rsidP="002F0EB9">
            <w:pPr>
              <w:jc w:val="both"/>
              <w:rPr>
                <w:rFonts w:eastAsia="Calibri"/>
                <w:sz w:val="20"/>
              </w:rPr>
            </w:pPr>
            <w:r w:rsidRPr="00E6448B">
              <w:rPr>
                <w:rFonts w:eastAsia="Calibri"/>
                <w:sz w:val="20"/>
              </w:rPr>
              <w:t>2010 ONCA 898</w:t>
            </w:r>
          </w:p>
          <w:p w:rsidR="002F0EB9" w:rsidRPr="00E6448B" w:rsidRDefault="002F0EB9" w:rsidP="002F0EB9">
            <w:pPr>
              <w:jc w:val="both"/>
              <w:rPr>
                <w:rFonts w:eastAsia="Calibri"/>
                <w:sz w:val="20"/>
                <w:lang w:val="fr-CA"/>
              </w:rPr>
            </w:pPr>
          </w:p>
        </w:tc>
        <w:tc>
          <w:tcPr>
            <w:tcW w:w="243" w:type="pct"/>
          </w:tcPr>
          <w:p w:rsidR="002F0EB9" w:rsidRPr="00E6448B" w:rsidRDefault="002F0EB9" w:rsidP="002F0EB9">
            <w:pPr>
              <w:jc w:val="both"/>
              <w:rPr>
                <w:rFonts w:eastAsia="Calibri"/>
                <w:sz w:val="20"/>
                <w:lang w:val="fr-CA"/>
              </w:rPr>
            </w:pPr>
          </w:p>
        </w:tc>
        <w:tc>
          <w:tcPr>
            <w:tcW w:w="2330" w:type="pct"/>
          </w:tcPr>
          <w:p w:rsidR="002F0EB9" w:rsidRPr="00E6448B" w:rsidRDefault="002F0EB9" w:rsidP="002F0EB9">
            <w:pPr>
              <w:jc w:val="both"/>
              <w:rPr>
                <w:rFonts w:eastAsia="Calibri"/>
                <w:sz w:val="20"/>
              </w:rPr>
            </w:pPr>
            <w:r w:rsidRPr="00E6448B">
              <w:rPr>
                <w:rFonts w:eastAsia="Calibri"/>
                <w:sz w:val="20"/>
              </w:rPr>
              <w:t xml:space="preserve">Appeal allowed; order of Klowak J. set aside and Third and Fourth Party proceedings stayed. </w:t>
            </w:r>
          </w:p>
          <w:p w:rsidR="002F0EB9" w:rsidRPr="00E6448B" w:rsidRDefault="002F0EB9" w:rsidP="002F0EB9">
            <w:pPr>
              <w:jc w:val="both"/>
              <w:rPr>
                <w:rFonts w:eastAsia="Calibri"/>
                <w:sz w:val="20"/>
              </w:rPr>
            </w:pPr>
          </w:p>
        </w:tc>
      </w:tr>
      <w:tr w:rsidR="002F0EB9" w:rsidRPr="00E6448B" w:rsidTr="002F0EB9">
        <w:tc>
          <w:tcPr>
            <w:tcW w:w="2427" w:type="pct"/>
          </w:tcPr>
          <w:p w:rsidR="002F0EB9" w:rsidRPr="00E6448B" w:rsidRDefault="002F0EB9" w:rsidP="002F0EB9">
            <w:pPr>
              <w:jc w:val="both"/>
              <w:rPr>
                <w:rFonts w:eastAsia="Calibri"/>
                <w:sz w:val="20"/>
              </w:rPr>
            </w:pPr>
            <w:r w:rsidRPr="00E6448B">
              <w:rPr>
                <w:rFonts w:eastAsia="Calibri"/>
                <w:sz w:val="20"/>
              </w:rPr>
              <w:t>February 18, 2011</w:t>
            </w:r>
          </w:p>
          <w:p w:rsidR="002F0EB9" w:rsidRPr="00E6448B" w:rsidRDefault="002F0EB9" w:rsidP="002F0EB9">
            <w:pPr>
              <w:jc w:val="both"/>
              <w:rPr>
                <w:rFonts w:eastAsia="Calibri"/>
                <w:sz w:val="20"/>
              </w:rPr>
            </w:pPr>
            <w:r w:rsidRPr="00E6448B">
              <w:rPr>
                <w:rFonts w:eastAsia="Calibri"/>
                <w:sz w:val="20"/>
              </w:rPr>
              <w:t>Supreme Court of Canada</w:t>
            </w: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rPr>
            </w:pPr>
            <w:r w:rsidRPr="00E6448B">
              <w:rPr>
                <w:rFonts w:eastAsia="Calibri"/>
                <w:sz w:val="20"/>
              </w:rPr>
              <w:t>Application for leave to appeal filed</w:t>
            </w:r>
          </w:p>
          <w:p w:rsidR="002F0EB9" w:rsidRPr="00E6448B" w:rsidRDefault="002F0EB9" w:rsidP="002F0EB9">
            <w:pPr>
              <w:jc w:val="both"/>
              <w:rPr>
                <w:rFonts w:eastAsia="Calibri"/>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8"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lastRenderedPageBreak/>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0EB9" w:rsidRPr="00A77989" w:rsidTr="002F0EB9">
        <w:tc>
          <w:tcPr>
            <w:tcW w:w="5000" w:type="pct"/>
            <w:gridSpan w:val="3"/>
          </w:tcPr>
          <w:p w:rsidR="002F0EB9" w:rsidRPr="00E6448B" w:rsidRDefault="002F0EB9" w:rsidP="002F0EB9">
            <w:pPr>
              <w:jc w:val="both"/>
              <w:rPr>
                <w:rFonts w:eastAsia="Calibri"/>
                <w:sz w:val="20"/>
                <w:lang w:val="fr-CA"/>
              </w:rPr>
            </w:pPr>
            <w:r w:rsidRPr="00E6448B">
              <w:rPr>
                <w:rFonts w:eastAsia="Calibri"/>
                <w:sz w:val="20"/>
                <w:lang w:val="fr-CA"/>
              </w:rPr>
              <w:t>Procédure civile — Suspension — Règlement — Abus de procédure — Entente conclue entre deux parties dans le cadre d’une action en justice mettant en cause plusieurs parties non communiquée aux autres parties pendant plusieurs mois — Le droit relatif à la communication de telles ententes n’est pas clair et, ainsi, les parties à des litiges ne savent pas exactement quelles sont leurs obligations en matière de communication — Les causes dans lesquelles on a invoqué le droit établi sont susceptibles d’être touchées défavorablement ou d’être suspendues, ce qui aura une incidence défavorable sur l’utilisation de telles ententes pour régler les litiges mettant en cause plusieurs parties — La Cour d’appel a</w:t>
            </w:r>
            <w:r w:rsidRPr="00E6448B">
              <w:rPr>
                <w:rFonts w:eastAsia="Calibri"/>
                <w:sz w:val="20"/>
                <w:lang w:val="fr-CA"/>
              </w:rPr>
              <w:noBreakHyphen/>
              <w:t>t</w:t>
            </w:r>
            <w:r w:rsidRPr="00E6448B">
              <w:rPr>
                <w:rFonts w:eastAsia="Calibri"/>
                <w:sz w:val="20"/>
                <w:lang w:val="fr-CA"/>
              </w:rPr>
              <w:noBreakHyphen/>
              <w:t>elle exercé sa compétence inhérente de manière juste et équitable?</w:t>
            </w:r>
          </w:p>
          <w:p w:rsidR="002F0EB9" w:rsidRPr="00E6448B" w:rsidRDefault="002F0EB9" w:rsidP="002F0EB9">
            <w:pPr>
              <w:jc w:val="both"/>
              <w:rPr>
                <w:rFonts w:eastAsia="Calibri"/>
                <w:sz w:val="20"/>
                <w:lang w:val="fr-CA"/>
              </w:rPr>
            </w:pPr>
          </w:p>
        </w:tc>
      </w:tr>
      <w:tr w:rsidR="002F0EB9" w:rsidRPr="00A77989" w:rsidTr="002F0EB9">
        <w:tc>
          <w:tcPr>
            <w:tcW w:w="5000" w:type="pct"/>
            <w:gridSpan w:val="3"/>
          </w:tcPr>
          <w:p w:rsidR="002F0EB9" w:rsidRPr="00E6448B" w:rsidRDefault="002F0EB9" w:rsidP="002F0EB9">
            <w:pPr>
              <w:jc w:val="both"/>
              <w:rPr>
                <w:rFonts w:eastAsia="Calibri"/>
                <w:sz w:val="20"/>
                <w:lang w:val="fr-CA"/>
              </w:rPr>
            </w:pPr>
            <w:r w:rsidRPr="00E6448B">
              <w:rPr>
                <w:rFonts w:eastAsia="Calibri"/>
                <w:sz w:val="20"/>
                <w:lang w:val="fr-CA"/>
              </w:rPr>
              <w:t>La question en litige dans la présente demande d’autorisation découle d’un litige qui a pris naissance dans le contexte d’un contrat de 46 millions de dollars relatif à la construction du Brampton Performing Arts Centre.  La demanderesse, Aecon Buildings, une division d’Aecon Construction Group Inc. (« Aecon »), a réclamé des dommages</w:t>
            </w:r>
            <w:r w:rsidRPr="00E6448B">
              <w:rPr>
                <w:rFonts w:eastAsia="Calibri"/>
                <w:sz w:val="20"/>
                <w:lang w:val="fr-CA"/>
              </w:rPr>
              <w:noBreakHyphen/>
              <w:t xml:space="preserve">intérêts pour rupture de contrat découlant de retards dans le projet à l’égard duquel elle affirme avoir droit à un dédommagement.  </w:t>
            </w:r>
          </w:p>
          <w:p w:rsidR="002F0EB9" w:rsidRPr="00E6448B" w:rsidRDefault="002F0EB9" w:rsidP="002F0EB9">
            <w:pPr>
              <w:jc w:val="both"/>
              <w:rPr>
                <w:rFonts w:eastAsia="Calibri"/>
                <w:sz w:val="20"/>
                <w:lang w:val="fr-CA"/>
              </w:rPr>
            </w:pPr>
          </w:p>
          <w:p w:rsidR="002F0EB9" w:rsidRPr="00E6448B" w:rsidRDefault="002F0EB9" w:rsidP="002F0EB9">
            <w:pPr>
              <w:jc w:val="both"/>
              <w:rPr>
                <w:rFonts w:eastAsia="Calibri"/>
                <w:sz w:val="20"/>
                <w:lang w:val="fr-CA"/>
              </w:rPr>
            </w:pPr>
            <w:r w:rsidRPr="00E6448B">
              <w:rPr>
                <w:rFonts w:eastAsia="Calibri"/>
                <w:sz w:val="20"/>
                <w:lang w:val="fr-CA"/>
              </w:rPr>
              <w:t>En 2006, Aecon et la Corporation of the City of Brampton (Brampton était l’intimée en cour d’appel, mais elle n’est pas partie au présent pourvoi) se sont livrées à des discussions à la suite desquelles elles ont conclu une entente de principe en décembre 2006 sur la manière de régler leurs différends en cours.    Ces discussions ont débouché sur la conclusion d’une entente écrite officielle entre les deux parties le 8 février 2007, une date postérieure à la déclaration dans laquelle Aecon était la demanderesse et Brampton la défenderesse.  Essentiellement, Brampton a accepté de mettre en cause Page + Steele Inc. au nom d’Aecon et Aecon a accepté de limiter le montant de ses réclamations en dommages</w:t>
            </w:r>
            <w:r w:rsidRPr="00E6448B">
              <w:rPr>
                <w:rFonts w:eastAsia="Calibri"/>
                <w:sz w:val="20"/>
                <w:lang w:val="fr-CA"/>
              </w:rPr>
              <w:noBreakHyphen/>
              <w:t>intérêts contre Brampton au montant que Brampton obtiendrait de Page + Steele et ses sous</w:t>
            </w:r>
            <w:r w:rsidRPr="00E6448B">
              <w:rPr>
                <w:rFonts w:eastAsia="Calibri"/>
                <w:sz w:val="20"/>
                <w:lang w:val="fr-CA"/>
              </w:rPr>
              <w:noBreakHyphen/>
              <w:t>experts</w:t>
            </w:r>
            <w:r w:rsidRPr="00E6448B">
              <w:rPr>
                <w:rFonts w:eastAsia="Calibri"/>
                <w:sz w:val="20"/>
                <w:lang w:val="fr-CA"/>
              </w:rPr>
              <w:noBreakHyphen/>
              <w:t xml:space="preserve">conseils.   </w:t>
            </w:r>
          </w:p>
          <w:p w:rsidR="002F0EB9" w:rsidRPr="00E6448B" w:rsidRDefault="002F0EB9" w:rsidP="002F0EB9">
            <w:pPr>
              <w:jc w:val="both"/>
              <w:rPr>
                <w:rFonts w:eastAsia="Calibri"/>
                <w:sz w:val="20"/>
                <w:lang w:val="fr-CA"/>
              </w:rPr>
            </w:pPr>
          </w:p>
          <w:p w:rsidR="002F0EB9" w:rsidRPr="00E6448B" w:rsidRDefault="002F0EB9" w:rsidP="002F0EB9">
            <w:pPr>
              <w:jc w:val="both"/>
              <w:rPr>
                <w:rFonts w:eastAsia="Calibri"/>
                <w:sz w:val="20"/>
                <w:lang w:val="fr-CA"/>
              </w:rPr>
            </w:pPr>
            <w:r w:rsidRPr="00E6448B">
              <w:rPr>
                <w:rFonts w:eastAsia="Calibri"/>
                <w:sz w:val="20"/>
                <w:lang w:val="fr-CA"/>
              </w:rPr>
              <w:t xml:space="preserve">Stephenson Engineering Ltd. (« Stephenson »), une partie visée par une demande de mise en cause subséquente, a fait valoir que l’entente conclue entre Brampton et Aecon avant le litige est une champartie et un abus de procédure, que la prétention selon laquelle Aecon et Brampton ont des intérêts opposés énoncée dans la déclaration était un leurre et que l’entente conclue entre Aecon et Brampton n’a pas été communiquée dès qu’elle a été conclue.  </w:t>
            </w:r>
          </w:p>
          <w:p w:rsidR="002F0EB9" w:rsidRPr="00E6448B" w:rsidRDefault="002F0EB9" w:rsidP="002F0EB9">
            <w:pPr>
              <w:jc w:val="both"/>
              <w:rPr>
                <w:rFonts w:eastAsia="Calibri"/>
                <w:sz w:val="20"/>
                <w:lang w:val="fr-CA"/>
              </w:rPr>
            </w:pPr>
          </w:p>
          <w:p w:rsidR="002F0EB9" w:rsidRPr="00E6448B" w:rsidRDefault="002F0EB9" w:rsidP="002F0EB9">
            <w:pPr>
              <w:jc w:val="both"/>
              <w:rPr>
                <w:rFonts w:eastAsia="Calibri"/>
                <w:sz w:val="20"/>
                <w:lang w:val="fr-CA"/>
              </w:rPr>
            </w:pPr>
            <w:r w:rsidRPr="00E6448B">
              <w:rPr>
                <w:rFonts w:eastAsia="Calibri"/>
                <w:sz w:val="20"/>
                <w:lang w:val="fr-CA"/>
              </w:rPr>
              <w:t>Stephenson a demandé à la Cour supérieure de rendre un jugement sommaire rejetant la demande de mise en cause de Page + Steele présentée par Brampton et la demande de mise en cause subséquente présentée par Page + Steele en vue d’être indemnisée par Stephenson.  La Cour supérieure a rejeté la requête.  La Cour d’appel a accueilli l’appel de Stephenson, annulé la décision de la juridiction inférieure et suspendu les procédures de mise en cause et de mise en cause subséquente.</w:t>
            </w:r>
          </w:p>
          <w:p w:rsidR="002F0EB9" w:rsidRPr="00E6448B" w:rsidRDefault="002F0EB9" w:rsidP="002F0EB9">
            <w:pPr>
              <w:jc w:val="both"/>
              <w:rPr>
                <w:rFonts w:eastAsia="Calibri"/>
                <w:sz w:val="20"/>
                <w:lang w:val="fr-CA"/>
              </w:rPr>
            </w:pPr>
          </w:p>
        </w:tc>
      </w:tr>
      <w:tr w:rsidR="002F0EB9" w:rsidRPr="00A77989" w:rsidTr="002F0EB9">
        <w:tc>
          <w:tcPr>
            <w:tcW w:w="2427" w:type="pct"/>
          </w:tcPr>
          <w:p w:rsidR="002F0EB9" w:rsidRPr="00E6448B" w:rsidRDefault="002F0EB9" w:rsidP="002F0EB9">
            <w:pPr>
              <w:jc w:val="both"/>
              <w:rPr>
                <w:rFonts w:eastAsia="Calibri"/>
                <w:sz w:val="20"/>
                <w:lang w:val="fr-CA"/>
              </w:rPr>
            </w:pPr>
            <w:r w:rsidRPr="00E6448B">
              <w:rPr>
                <w:rFonts w:eastAsia="Calibri"/>
                <w:sz w:val="20"/>
                <w:lang w:val="fr-CA"/>
              </w:rPr>
              <w:t>11 décembre 2009</w:t>
            </w:r>
          </w:p>
          <w:p w:rsidR="002F0EB9" w:rsidRPr="00E6448B" w:rsidRDefault="002F0EB9" w:rsidP="002F0EB9">
            <w:pPr>
              <w:jc w:val="both"/>
              <w:rPr>
                <w:rFonts w:eastAsia="Calibri"/>
                <w:sz w:val="20"/>
                <w:lang w:val="fr-CA"/>
              </w:rPr>
            </w:pPr>
            <w:r w:rsidRPr="00E6448B">
              <w:rPr>
                <w:rFonts w:eastAsia="Calibri"/>
                <w:sz w:val="20"/>
                <w:lang w:val="fr-CA"/>
              </w:rPr>
              <w:t>Cour supérieure de justice de l’Ontario</w:t>
            </w:r>
          </w:p>
          <w:p w:rsidR="002F0EB9" w:rsidRPr="00E6448B" w:rsidRDefault="002F0EB9" w:rsidP="002F0EB9">
            <w:pPr>
              <w:jc w:val="both"/>
              <w:rPr>
                <w:rFonts w:eastAsia="Calibri"/>
                <w:sz w:val="20"/>
                <w:lang w:val="fr-CA"/>
              </w:rPr>
            </w:pPr>
            <w:r w:rsidRPr="00E6448B">
              <w:rPr>
                <w:rFonts w:eastAsia="Calibri"/>
                <w:sz w:val="20"/>
                <w:lang w:val="fr-CA"/>
              </w:rPr>
              <w:t>(Juge Klowak)</w:t>
            </w:r>
          </w:p>
        </w:tc>
        <w:tc>
          <w:tcPr>
            <w:tcW w:w="243" w:type="pct"/>
          </w:tcPr>
          <w:p w:rsidR="002F0EB9" w:rsidRPr="00E6448B" w:rsidRDefault="002F0EB9" w:rsidP="002F0EB9">
            <w:pPr>
              <w:jc w:val="both"/>
              <w:rPr>
                <w:rFonts w:eastAsia="Calibri"/>
                <w:sz w:val="20"/>
                <w:lang w:val="fr-CA"/>
              </w:rPr>
            </w:pPr>
          </w:p>
        </w:tc>
        <w:tc>
          <w:tcPr>
            <w:tcW w:w="2330" w:type="pct"/>
          </w:tcPr>
          <w:p w:rsidR="002F0EB9" w:rsidRPr="00E6448B" w:rsidRDefault="002F0EB9" w:rsidP="002F0EB9">
            <w:pPr>
              <w:jc w:val="both"/>
              <w:rPr>
                <w:rFonts w:eastAsia="Calibri"/>
                <w:sz w:val="20"/>
                <w:lang w:val="fr-CA"/>
              </w:rPr>
            </w:pPr>
            <w:r w:rsidRPr="00E6448B">
              <w:rPr>
                <w:rFonts w:eastAsia="Calibri"/>
                <w:sz w:val="20"/>
                <w:lang w:val="fr-CA"/>
              </w:rPr>
              <w:t>Requête en jugement sommaire présentée par la partie visée par la demande de mise en cause subséquente, Stephenson Engineering Ltd., visant le rejet des demandes de mise en cause et de mise en cause subséquente.</w:t>
            </w:r>
          </w:p>
          <w:p w:rsidR="002F0EB9" w:rsidRPr="00E6448B" w:rsidRDefault="002F0EB9" w:rsidP="002F0EB9">
            <w:pPr>
              <w:jc w:val="both"/>
              <w:rPr>
                <w:rFonts w:eastAsia="Calibri"/>
                <w:sz w:val="20"/>
                <w:lang w:val="fr-CA"/>
              </w:rPr>
            </w:pPr>
          </w:p>
        </w:tc>
      </w:tr>
      <w:tr w:rsidR="002F0EB9" w:rsidRPr="00A77989" w:rsidTr="002F0EB9">
        <w:tc>
          <w:tcPr>
            <w:tcW w:w="2427" w:type="pct"/>
          </w:tcPr>
          <w:p w:rsidR="002F0EB9" w:rsidRPr="00E6448B" w:rsidRDefault="002F0EB9" w:rsidP="002F0EB9">
            <w:pPr>
              <w:jc w:val="both"/>
              <w:rPr>
                <w:rFonts w:eastAsia="Calibri"/>
                <w:sz w:val="20"/>
                <w:lang w:val="fr-CA"/>
              </w:rPr>
            </w:pPr>
            <w:r w:rsidRPr="00E6448B">
              <w:rPr>
                <w:rFonts w:eastAsia="Calibri"/>
                <w:sz w:val="20"/>
                <w:lang w:val="fr-CA"/>
              </w:rPr>
              <w:t>24 décembre 2010</w:t>
            </w:r>
          </w:p>
          <w:p w:rsidR="002F0EB9" w:rsidRPr="00E6448B" w:rsidRDefault="002F0EB9" w:rsidP="002F0EB9">
            <w:pPr>
              <w:jc w:val="both"/>
              <w:rPr>
                <w:rFonts w:eastAsia="Calibri"/>
                <w:sz w:val="20"/>
                <w:lang w:val="fr-CA"/>
              </w:rPr>
            </w:pPr>
            <w:r w:rsidRPr="00E6448B">
              <w:rPr>
                <w:rFonts w:eastAsia="Calibri"/>
                <w:sz w:val="20"/>
                <w:lang w:val="fr-CA"/>
              </w:rPr>
              <w:t>Cour d’appel de l’Ontario</w:t>
            </w:r>
          </w:p>
          <w:p w:rsidR="002F0EB9" w:rsidRPr="00E6448B" w:rsidRDefault="002F0EB9" w:rsidP="002F0EB9">
            <w:pPr>
              <w:jc w:val="both"/>
              <w:rPr>
                <w:rFonts w:eastAsia="Calibri"/>
                <w:sz w:val="20"/>
                <w:lang w:val="fr-CA"/>
              </w:rPr>
            </w:pPr>
            <w:r w:rsidRPr="00E6448B">
              <w:rPr>
                <w:rFonts w:eastAsia="Calibri"/>
                <w:sz w:val="20"/>
                <w:lang w:val="fr-CA"/>
              </w:rPr>
              <w:t>(Juges MacPherson, Juriansz et MacFarland)</w:t>
            </w:r>
          </w:p>
          <w:p w:rsidR="002F0EB9" w:rsidRPr="00E6448B" w:rsidRDefault="002F0EB9" w:rsidP="002F0EB9">
            <w:pPr>
              <w:jc w:val="both"/>
              <w:rPr>
                <w:rFonts w:eastAsia="Calibri"/>
                <w:sz w:val="20"/>
                <w:lang w:val="fr-CA"/>
              </w:rPr>
            </w:pPr>
            <w:r w:rsidRPr="00E6448B">
              <w:rPr>
                <w:rFonts w:eastAsia="Calibri"/>
                <w:sz w:val="20"/>
                <w:lang w:val="fr-CA"/>
              </w:rPr>
              <w:t>2010 ONCA 898</w:t>
            </w:r>
          </w:p>
          <w:p w:rsidR="002F0EB9" w:rsidRPr="00E6448B" w:rsidRDefault="002F0EB9" w:rsidP="002F0EB9">
            <w:pPr>
              <w:jc w:val="both"/>
              <w:rPr>
                <w:rFonts w:eastAsia="Calibri"/>
                <w:sz w:val="20"/>
                <w:lang w:val="fr-CA"/>
              </w:rPr>
            </w:pPr>
          </w:p>
        </w:tc>
        <w:tc>
          <w:tcPr>
            <w:tcW w:w="243" w:type="pct"/>
          </w:tcPr>
          <w:p w:rsidR="002F0EB9" w:rsidRPr="00E6448B" w:rsidRDefault="002F0EB9" w:rsidP="002F0EB9">
            <w:pPr>
              <w:jc w:val="both"/>
              <w:rPr>
                <w:rFonts w:eastAsia="Calibri"/>
                <w:sz w:val="20"/>
                <w:lang w:val="fr-CA"/>
              </w:rPr>
            </w:pPr>
          </w:p>
        </w:tc>
        <w:tc>
          <w:tcPr>
            <w:tcW w:w="2330" w:type="pct"/>
          </w:tcPr>
          <w:p w:rsidR="002F0EB9" w:rsidRPr="00E6448B" w:rsidRDefault="002F0EB9" w:rsidP="002F0EB9">
            <w:pPr>
              <w:jc w:val="both"/>
              <w:rPr>
                <w:rFonts w:eastAsia="Calibri"/>
                <w:sz w:val="20"/>
                <w:lang w:val="fr-CA"/>
              </w:rPr>
            </w:pPr>
            <w:r w:rsidRPr="00E6448B">
              <w:rPr>
                <w:rFonts w:eastAsia="Calibri"/>
                <w:sz w:val="20"/>
                <w:lang w:val="fr-CA"/>
              </w:rPr>
              <w:t xml:space="preserve">Appel accueilli; l’ordonnance de la juge Klowak est annulée et les procédures de mise en cause et de mise en cause subséquente sont suspendues. </w:t>
            </w:r>
          </w:p>
          <w:p w:rsidR="002F0EB9" w:rsidRPr="00E6448B" w:rsidRDefault="002F0EB9" w:rsidP="002F0EB9">
            <w:pPr>
              <w:jc w:val="both"/>
              <w:rPr>
                <w:rFonts w:eastAsia="Calibri"/>
                <w:sz w:val="20"/>
                <w:lang w:val="fr-CA"/>
              </w:rPr>
            </w:pPr>
          </w:p>
        </w:tc>
      </w:tr>
      <w:tr w:rsidR="002F0EB9" w:rsidRPr="00E6448B" w:rsidTr="002F0EB9">
        <w:tc>
          <w:tcPr>
            <w:tcW w:w="2427" w:type="pct"/>
          </w:tcPr>
          <w:p w:rsidR="002F0EB9" w:rsidRPr="00E6448B" w:rsidRDefault="002F0EB9" w:rsidP="002F0EB9">
            <w:pPr>
              <w:jc w:val="both"/>
              <w:rPr>
                <w:rFonts w:eastAsia="Calibri"/>
                <w:sz w:val="20"/>
                <w:lang w:val="fr-CA"/>
              </w:rPr>
            </w:pPr>
            <w:r w:rsidRPr="00E6448B">
              <w:rPr>
                <w:rFonts w:eastAsia="Calibri"/>
                <w:sz w:val="20"/>
                <w:lang w:val="fr-CA"/>
              </w:rPr>
              <w:t>18 février 2011</w:t>
            </w:r>
          </w:p>
          <w:p w:rsidR="002F0EB9" w:rsidRPr="00E6448B" w:rsidRDefault="002F0EB9" w:rsidP="002F0EB9">
            <w:pPr>
              <w:jc w:val="both"/>
              <w:rPr>
                <w:rFonts w:eastAsia="Calibri"/>
                <w:sz w:val="20"/>
                <w:lang w:val="fr-CA"/>
              </w:rPr>
            </w:pPr>
            <w:r w:rsidRPr="00E6448B">
              <w:rPr>
                <w:rFonts w:eastAsia="Calibri"/>
                <w:sz w:val="20"/>
                <w:lang w:val="fr-CA"/>
              </w:rPr>
              <w:t>Cour suprême du Canada</w:t>
            </w:r>
          </w:p>
        </w:tc>
        <w:tc>
          <w:tcPr>
            <w:tcW w:w="243" w:type="pct"/>
          </w:tcPr>
          <w:p w:rsidR="002F0EB9" w:rsidRPr="00E6448B" w:rsidRDefault="002F0EB9" w:rsidP="002F0EB9">
            <w:pPr>
              <w:jc w:val="both"/>
              <w:rPr>
                <w:rFonts w:eastAsia="Calibri"/>
                <w:sz w:val="20"/>
                <w:lang w:val="fr-CA"/>
              </w:rPr>
            </w:pPr>
          </w:p>
        </w:tc>
        <w:tc>
          <w:tcPr>
            <w:tcW w:w="2330" w:type="pct"/>
          </w:tcPr>
          <w:p w:rsidR="002F0EB9" w:rsidRPr="00E6448B" w:rsidRDefault="002F0EB9" w:rsidP="002F0EB9">
            <w:pPr>
              <w:jc w:val="both"/>
              <w:rPr>
                <w:rFonts w:eastAsia="Calibri"/>
                <w:sz w:val="20"/>
                <w:lang w:val="fr-CA"/>
              </w:rPr>
            </w:pPr>
            <w:r w:rsidRPr="00E6448B">
              <w:rPr>
                <w:rFonts w:eastAsia="Calibri"/>
                <w:sz w:val="20"/>
                <w:lang w:val="fr-CA"/>
              </w:rPr>
              <w:t>Demande d’autorisation d’appel déposée</w:t>
            </w:r>
          </w:p>
          <w:p w:rsidR="002F0EB9" w:rsidRPr="00E6448B" w:rsidRDefault="002F0EB9" w:rsidP="002F0EB9">
            <w:pPr>
              <w:jc w:val="both"/>
              <w:rPr>
                <w:rFonts w:eastAsia="Calibri"/>
                <w:sz w:val="20"/>
                <w:lang w:val="fr-CA"/>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49"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E6384" w:rsidRPr="009A0E1A" w:rsidTr="004B78B6">
        <w:trPr>
          <w:cantSplit/>
        </w:trPr>
        <w:tc>
          <w:tcPr>
            <w:tcW w:w="1458" w:type="dxa"/>
          </w:tcPr>
          <w:p w:rsidR="00BE6384" w:rsidRPr="009A0E1A" w:rsidRDefault="00BE6384" w:rsidP="004B78B6">
            <w:pPr>
              <w:rPr>
                <w:rFonts w:cs="Times New Roman"/>
                <w:sz w:val="20"/>
                <w:szCs w:val="20"/>
              </w:rPr>
            </w:pPr>
            <w:r w:rsidRPr="009A0E1A">
              <w:rPr>
                <w:rStyle w:val="SCCFileNumberChar"/>
                <w:sz w:val="20"/>
                <w:szCs w:val="20"/>
              </w:rPr>
              <w:lastRenderedPageBreak/>
              <w:t>34114</w:t>
            </w:r>
          </w:p>
          <w:p w:rsidR="00BE6384" w:rsidRPr="009A0E1A" w:rsidRDefault="00BE6384" w:rsidP="004B78B6">
            <w:pPr>
              <w:rPr>
                <w:rFonts w:cs="Times New Roman"/>
                <w:b/>
                <w:sz w:val="20"/>
                <w:szCs w:val="20"/>
                <w:lang w:val="fr-CA"/>
              </w:rPr>
            </w:pPr>
          </w:p>
        </w:tc>
        <w:tc>
          <w:tcPr>
            <w:tcW w:w="8118" w:type="dxa"/>
          </w:tcPr>
          <w:p w:rsidR="00BE6384" w:rsidRPr="009A0E1A" w:rsidRDefault="00BE6384" w:rsidP="004B78B6">
            <w:pPr>
              <w:rPr>
                <w:rFonts w:cs="Times New Roman"/>
                <w:sz w:val="20"/>
                <w:szCs w:val="20"/>
              </w:rPr>
            </w:pPr>
            <w:r w:rsidRPr="00BE6384">
              <w:rPr>
                <w:rStyle w:val="SCCLsocChar"/>
                <w:rFonts w:cs="Times New Roman"/>
                <w:sz w:val="20"/>
                <w:szCs w:val="20"/>
                <w:lang w:val="en-CA"/>
              </w:rPr>
              <w:t>L.S. v. D.G.</w:t>
            </w:r>
            <w:r w:rsidRPr="009A0E1A">
              <w:rPr>
                <w:rFonts w:cs="Times New Roman"/>
                <w:sz w:val="20"/>
                <w:szCs w:val="20"/>
              </w:rPr>
              <w:t xml:space="preserve"> (Que.) (Civil) (By Leave)</w:t>
            </w:r>
          </w:p>
          <w:p w:rsidR="00BE6384" w:rsidRPr="009A0E1A" w:rsidRDefault="00BE6384" w:rsidP="004B78B6">
            <w:pPr>
              <w:rPr>
                <w:rFonts w:cs="Times New Roman"/>
                <w:sz w:val="20"/>
                <w:szCs w:val="20"/>
              </w:rPr>
            </w:pPr>
          </w:p>
        </w:tc>
      </w:tr>
      <w:tr w:rsidR="00BE6384" w:rsidRPr="009A0E1A" w:rsidTr="004B78B6">
        <w:trPr>
          <w:cantSplit/>
        </w:trPr>
        <w:tc>
          <w:tcPr>
            <w:tcW w:w="1458" w:type="dxa"/>
          </w:tcPr>
          <w:p w:rsidR="00BE6384" w:rsidRPr="009A0E1A" w:rsidRDefault="00BE6384" w:rsidP="004B78B6">
            <w:pPr>
              <w:rPr>
                <w:rFonts w:cs="Times New Roman"/>
                <w:sz w:val="20"/>
                <w:szCs w:val="20"/>
              </w:rPr>
            </w:pPr>
            <w:r w:rsidRPr="009A0E1A">
              <w:rPr>
                <w:rFonts w:cs="Times New Roman"/>
                <w:sz w:val="20"/>
                <w:szCs w:val="20"/>
              </w:rPr>
              <w:t>Coram :</w:t>
            </w:r>
          </w:p>
        </w:tc>
        <w:tc>
          <w:tcPr>
            <w:tcW w:w="8118" w:type="dxa"/>
          </w:tcPr>
          <w:p w:rsidR="00BE6384" w:rsidRPr="009A0E1A" w:rsidRDefault="00BE6384" w:rsidP="004B78B6">
            <w:pPr>
              <w:rPr>
                <w:rFonts w:cs="Times New Roman"/>
                <w:sz w:val="20"/>
                <w:szCs w:val="20"/>
              </w:rPr>
            </w:pPr>
            <w:r w:rsidRPr="00BE6384">
              <w:rPr>
                <w:rStyle w:val="SCCCoramChar"/>
                <w:rFonts w:cs="Times New Roman"/>
                <w:sz w:val="20"/>
                <w:szCs w:val="20"/>
                <w:lang w:val="en-CA"/>
              </w:rPr>
              <w:t>LeBel, Fish and Cromwell JJ.</w:t>
            </w:r>
          </w:p>
          <w:p w:rsidR="00BE6384" w:rsidRPr="009A0E1A" w:rsidRDefault="00BE6384" w:rsidP="004B78B6">
            <w:pPr>
              <w:rPr>
                <w:rFonts w:cs="Times New Roman"/>
                <w:sz w:val="20"/>
                <w:szCs w:val="20"/>
                <w:u w:val="single"/>
              </w:rPr>
            </w:pPr>
          </w:p>
        </w:tc>
      </w:tr>
      <w:tr w:rsidR="00BE6384" w:rsidRPr="009A0E1A" w:rsidTr="004B78B6">
        <w:trPr>
          <w:cantSplit/>
        </w:trPr>
        <w:tc>
          <w:tcPr>
            <w:tcW w:w="9576" w:type="dxa"/>
            <w:gridSpan w:val="2"/>
          </w:tcPr>
          <w:p w:rsidR="00BE6384" w:rsidRPr="009A0E1A" w:rsidRDefault="00BE6384" w:rsidP="004B78B6">
            <w:pPr>
              <w:pStyle w:val="SCCShortJudgment"/>
              <w:rPr>
                <w:rFonts w:cs="Times New Roman"/>
                <w:szCs w:val="20"/>
              </w:rPr>
            </w:pPr>
            <w:r w:rsidRPr="009A0E1A">
              <w:rPr>
                <w:rFonts w:cs="Times New Roman"/>
                <w:szCs w:val="20"/>
              </w:rPr>
              <w:t>The motion for an extension of time to serve and file the application for leave to appeal is granted. The application for leave to appeal from the judgment of the Court of Appeal of Quebec (Montréal), Number 500-09-020481-107, 2010 QCCA 2374, dated December 21, 2010, is dismissed without costs.</w:t>
            </w:r>
          </w:p>
          <w:p w:rsidR="00BE6384" w:rsidRPr="009A0E1A" w:rsidRDefault="00BE6384" w:rsidP="004B78B6">
            <w:pPr>
              <w:pStyle w:val="SCCShortJudgment"/>
              <w:ind w:firstLine="0"/>
              <w:rPr>
                <w:rFonts w:cs="Times New Roman"/>
                <w:szCs w:val="20"/>
              </w:rPr>
            </w:pPr>
          </w:p>
          <w:p w:rsidR="00BE6384" w:rsidRPr="009A0E1A" w:rsidRDefault="00BE6384" w:rsidP="004B78B6">
            <w:pPr>
              <w:pStyle w:val="SCCShortJudgment"/>
              <w:rPr>
                <w:rFonts w:cs="Times New Roman"/>
                <w:szCs w:val="20"/>
                <w:lang w:val="fr-CA"/>
              </w:rPr>
            </w:pPr>
            <w:r w:rsidRPr="009A0E1A">
              <w:rPr>
                <w:rFonts w:cs="Times New Roman"/>
                <w:szCs w:val="20"/>
                <w:lang w:val="fr-CA"/>
              </w:rPr>
              <w:t>La requête en prorogation du délai de signification et de dépôt de la demande d’autorisation d’appel est accordée. La demande d’autorisation d’appel de l’arrêt de la Cour d’appel du Québec (Montréal), numéro 500-09-020481-107, 2010 QCCA 2374, daté du 21 décembre 2010, est rejetée sans dépens.</w:t>
            </w:r>
          </w:p>
          <w:p w:rsidR="00BE6384" w:rsidRPr="009A0E1A" w:rsidRDefault="00BE6384" w:rsidP="004B78B6">
            <w:pPr>
              <w:rPr>
                <w:rFonts w:cs="Times New Roman"/>
                <w:sz w:val="20"/>
                <w:szCs w:val="20"/>
                <w:lang w:val="fr-CA"/>
              </w:rPr>
            </w:pPr>
          </w:p>
        </w:tc>
      </w:tr>
    </w:tbl>
    <w:p w:rsidR="00BE6384" w:rsidRPr="00BE6384" w:rsidRDefault="00BE6384"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0EB9" w:rsidRPr="00E6448B" w:rsidTr="002F0EB9">
        <w:tc>
          <w:tcPr>
            <w:tcW w:w="5000" w:type="pct"/>
            <w:gridSpan w:val="3"/>
          </w:tcPr>
          <w:p w:rsidR="002F0EB9" w:rsidRPr="00E6448B" w:rsidRDefault="002F0EB9" w:rsidP="002F0EB9">
            <w:pPr>
              <w:jc w:val="both"/>
              <w:rPr>
                <w:rFonts w:eastAsia="Calibri"/>
                <w:smallCaps/>
                <w:sz w:val="20"/>
              </w:rPr>
            </w:pPr>
            <w:r w:rsidRPr="00E6448B">
              <w:rPr>
                <w:rFonts w:eastAsia="Calibri"/>
                <w:smallCaps/>
                <w:sz w:val="20"/>
              </w:rPr>
              <w:t>(Publication Ban in Case) (Publication Ban on Party)</w:t>
            </w:r>
          </w:p>
          <w:p w:rsidR="002F0EB9" w:rsidRPr="00E6448B" w:rsidRDefault="002F0EB9" w:rsidP="002F0EB9">
            <w:pPr>
              <w:jc w:val="both"/>
              <w:rPr>
                <w:rFonts w:eastAsia="Calibri"/>
                <w:sz w:val="20"/>
              </w:rPr>
            </w:pPr>
          </w:p>
        </w:tc>
      </w:tr>
      <w:tr w:rsidR="002F0EB9" w:rsidRPr="00E6448B" w:rsidTr="002F0EB9">
        <w:tc>
          <w:tcPr>
            <w:tcW w:w="5000" w:type="pct"/>
            <w:gridSpan w:val="3"/>
          </w:tcPr>
          <w:p w:rsidR="002F0EB9" w:rsidRPr="00E6448B" w:rsidRDefault="002F0EB9" w:rsidP="002F0EB9">
            <w:pPr>
              <w:jc w:val="both"/>
              <w:rPr>
                <w:rFonts w:eastAsia="Calibri"/>
                <w:sz w:val="20"/>
              </w:rPr>
            </w:pPr>
            <w:r w:rsidRPr="00E6448B">
              <w:rPr>
                <w:rFonts w:eastAsia="Calibri"/>
                <w:sz w:val="20"/>
              </w:rPr>
              <w:t>Family law — Divorce — Compensatory allowance — Quantum — Whether Court of Appeal can substitute its findings of fact for those of trial judge — Whether value of compensatory allowance should be determined on basis of percentage of value of property acquired during marriage — Whether signing of marriage contract providing for separation as to property precludes compensatory allowance equivalent to 50% of other spouse’s assets — Whether Court of Appeal erred in reducing compensatory allowance awarded to applicant.</w:t>
            </w:r>
          </w:p>
          <w:p w:rsidR="002F0EB9" w:rsidRPr="00E6448B" w:rsidRDefault="002F0EB9" w:rsidP="002F0EB9">
            <w:pPr>
              <w:jc w:val="both"/>
              <w:rPr>
                <w:rFonts w:eastAsia="Calibri"/>
                <w:sz w:val="20"/>
              </w:rPr>
            </w:pPr>
          </w:p>
        </w:tc>
      </w:tr>
      <w:tr w:rsidR="002F0EB9" w:rsidRPr="00E6448B" w:rsidTr="002F0EB9">
        <w:tc>
          <w:tcPr>
            <w:tcW w:w="5000" w:type="pct"/>
            <w:gridSpan w:val="3"/>
          </w:tcPr>
          <w:p w:rsidR="002F0EB9" w:rsidRPr="00E6448B" w:rsidRDefault="002F0EB9" w:rsidP="002F0EB9">
            <w:pPr>
              <w:jc w:val="both"/>
              <w:rPr>
                <w:rFonts w:eastAsia="Calibri"/>
                <w:sz w:val="20"/>
              </w:rPr>
            </w:pPr>
            <w:r w:rsidRPr="00E6448B">
              <w:rPr>
                <w:rFonts w:eastAsia="Calibri"/>
                <w:sz w:val="20"/>
              </w:rPr>
              <w:t>The parties were married in 1986 under the regime of separation as to property.  During the marriage, L.S. loaned $110,000 to her husband D.G. so he could become a shareholder in a company.  The shares were redeemed a few years later.  The evidence was contradictory as to whether L.S. was repaid the first loan.  L.S. subsequently advanced $75,000 to her husband so he could start a business and was repaid $50,000 of that amount before too long.  She received 10% of the capital stock for her $25,000 contribution, while the other investors who invested the same amount received 22.5% each. Following the birth of the couple’s second child, L.S. quit her job and devoted herself to the well</w:t>
            </w:r>
            <w:r w:rsidRPr="00E6448B">
              <w:rPr>
                <w:rFonts w:eastAsia="Calibri"/>
                <w:sz w:val="20"/>
              </w:rPr>
              <w:noBreakHyphen/>
              <w:t>being of the family.  In February 2010, the parties divorced.  L.S. was awarded a compensatory allowance of $2.5 million.  A majority of the Court of Appeal reduced that amount, finding that $1 million would be sufficient to compensate L.S. for paying all the household expenses herself.  According to the majority, the evidence showed that the first loan had been repaid to L.S. and therefore could not be used in calculating the compensatory allowance. As well, the contribution made by L.S. to the respondent’s corporation was a business opportunity and could not lead to the conclusion that L.S. had been impoverished or D.G. enriched.  Rochette J.A., dissenting in part, would have reduced the compensatory allowance to $2 million only.</w:t>
            </w:r>
          </w:p>
          <w:p w:rsidR="002F0EB9" w:rsidRPr="00E6448B" w:rsidRDefault="002F0EB9" w:rsidP="002F0EB9">
            <w:pPr>
              <w:jc w:val="both"/>
              <w:rPr>
                <w:rFonts w:eastAsia="Calibri"/>
                <w:sz w:val="20"/>
              </w:rPr>
            </w:pPr>
          </w:p>
        </w:tc>
      </w:tr>
      <w:tr w:rsidR="002F0EB9" w:rsidRPr="00E6448B" w:rsidTr="002F0EB9">
        <w:tc>
          <w:tcPr>
            <w:tcW w:w="2427" w:type="pct"/>
          </w:tcPr>
          <w:p w:rsidR="002F0EB9" w:rsidRPr="00E6448B" w:rsidRDefault="002F0EB9" w:rsidP="002F0EB9">
            <w:pPr>
              <w:jc w:val="both"/>
              <w:rPr>
                <w:rFonts w:eastAsia="Calibri"/>
                <w:sz w:val="20"/>
              </w:rPr>
            </w:pPr>
            <w:r w:rsidRPr="00E6448B">
              <w:rPr>
                <w:rFonts w:eastAsia="Calibri"/>
                <w:sz w:val="20"/>
              </w:rPr>
              <w:t>February 9, 2011</w:t>
            </w:r>
          </w:p>
          <w:p w:rsidR="002F0EB9" w:rsidRPr="00E6448B" w:rsidRDefault="002F0EB9" w:rsidP="002F0EB9">
            <w:pPr>
              <w:jc w:val="both"/>
              <w:rPr>
                <w:rFonts w:eastAsia="Calibri"/>
                <w:sz w:val="20"/>
              </w:rPr>
            </w:pPr>
            <w:r w:rsidRPr="00E6448B">
              <w:rPr>
                <w:rFonts w:eastAsia="Calibri"/>
                <w:sz w:val="20"/>
              </w:rPr>
              <w:t>Quebec Superior Court</w:t>
            </w:r>
          </w:p>
          <w:p w:rsidR="002F0EB9" w:rsidRPr="00E6448B" w:rsidRDefault="002F0EB9" w:rsidP="002F0EB9">
            <w:pPr>
              <w:jc w:val="both"/>
              <w:rPr>
                <w:rFonts w:eastAsia="Calibri"/>
                <w:sz w:val="20"/>
              </w:rPr>
            </w:pPr>
            <w:r w:rsidRPr="00E6448B">
              <w:rPr>
                <w:rFonts w:eastAsia="Calibri"/>
                <w:sz w:val="20"/>
              </w:rPr>
              <w:t>(Grenier J.)</w:t>
            </w:r>
          </w:p>
          <w:p w:rsidR="002F0EB9" w:rsidRPr="00E6448B" w:rsidRDefault="002F0EB9" w:rsidP="002F0EB9">
            <w:pPr>
              <w:jc w:val="both"/>
              <w:rPr>
                <w:rFonts w:eastAsia="Calibri"/>
                <w:sz w:val="20"/>
              </w:rPr>
            </w:pPr>
            <w:r w:rsidRPr="00E6448B">
              <w:rPr>
                <w:rFonts w:eastAsia="Calibri"/>
                <w:sz w:val="20"/>
              </w:rPr>
              <w:t>2010 QCCS 498</w:t>
            </w:r>
          </w:p>
          <w:p w:rsidR="002F0EB9" w:rsidRPr="00E6448B" w:rsidRDefault="002F0EB9" w:rsidP="002F0EB9">
            <w:pPr>
              <w:jc w:val="both"/>
              <w:rPr>
                <w:rFonts w:eastAsia="Calibri"/>
                <w:sz w:val="20"/>
              </w:rPr>
            </w:pP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rPr>
            </w:pPr>
            <w:r w:rsidRPr="00E6448B">
              <w:rPr>
                <w:rFonts w:eastAsia="Calibri"/>
                <w:sz w:val="20"/>
              </w:rPr>
              <w:t>Divorce judgment rendered; $2.5 million compensatory allowance awarded to applicant</w:t>
            </w:r>
          </w:p>
          <w:p w:rsidR="002F0EB9" w:rsidRPr="00E6448B" w:rsidRDefault="002F0EB9" w:rsidP="002F0EB9">
            <w:pPr>
              <w:jc w:val="both"/>
              <w:rPr>
                <w:rFonts w:eastAsia="Calibri"/>
                <w:sz w:val="20"/>
              </w:rPr>
            </w:pPr>
          </w:p>
        </w:tc>
      </w:tr>
      <w:tr w:rsidR="002F0EB9" w:rsidRPr="00E6448B" w:rsidTr="002F0EB9">
        <w:tc>
          <w:tcPr>
            <w:tcW w:w="2427" w:type="pct"/>
          </w:tcPr>
          <w:p w:rsidR="002F0EB9" w:rsidRPr="00E6448B" w:rsidRDefault="002F0EB9" w:rsidP="002F0EB9">
            <w:pPr>
              <w:jc w:val="both"/>
              <w:rPr>
                <w:rFonts w:eastAsia="Calibri"/>
                <w:sz w:val="20"/>
              </w:rPr>
            </w:pPr>
            <w:r w:rsidRPr="00E6448B">
              <w:rPr>
                <w:rFonts w:eastAsia="Calibri"/>
                <w:sz w:val="20"/>
              </w:rPr>
              <w:t>December 21, 2010</w:t>
            </w:r>
          </w:p>
          <w:p w:rsidR="002F0EB9" w:rsidRPr="00E6448B" w:rsidRDefault="002F0EB9" w:rsidP="002F0EB9">
            <w:pPr>
              <w:jc w:val="both"/>
              <w:rPr>
                <w:rFonts w:eastAsia="Calibri"/>
                <w:sz w:val="20"/>
              </w:rPr>
            </w:pPr>
            <w:r w:rsidRPr="00E6448B">
              <w:rPr>
                <w:rFonts w:eastAsia="Calibri"/>
                <w:sz w:val="20"/>
              </w:rPr>
              <w:t>Quebec Court of Appeal (Montréal)</w:t>
            </w:r>
          </w:p>
          <w:p w:rsidR="002F0EB9" w:rsidRPr="00E6448B" w:rsidRDefault="002F0EB9" w:rsidP="002F0EB9">
            <w:pPr>
              <w:jc w:val="both"/>
              <w:rPr>
                <w:rFonts w:eastAsia="Calibri"/>
                <w:sz w:val="20"/>
              </w:rPr>
            </w:pPr>
            <w:r w:rsidRPr="00E6448B">
              <w:rPr>
                <w:rFonts w:eastAsia="Calibri"/>
                <w:sz w:val="20"/>
              </w:rPr>
              <w:t>(Rochette [dissenting in part], Bich and Côté JJ.A.)</w:t>
            </w:r>
          </w:p>
          <w:p w:rsidR="002F0EB9" w:rsidRPr="00E6448B" w:rsidRDefault="002F0EB9" w:rsidP="002F0EB9">
            <w:pPr>
              <w:jc w:val="both"/>
              <w:rPr>
                <w:rFonts w:eastAsia="Calibri"/>
                <w:sz w:val="20"/>
              </w:rPr>
            </w:pPr>
            <w:r w:rsidRPr="00E6448B">
              <w:rPr>
                <w:rFonts w:eastAsia="Calibri"/>
                <w:sz w:val="20"/>
              </w:rPr>
              <w:t>2010 QCCA 2374</w:t>
            </w:r>
          </w:p>
          <w:p w:rsidR="002F0EB9" w:rsidRPr="00E6448B" w:rsidRDefault="002F0EB9" w:rsidP="002F0EB9">
            <w:pPr>
              <w:jc w:val="both"/>
              <w:rPr>
                <w:rFonts w:eastAsia="Calibri"/>
                <w:sz w:val="20"/>
              </w:rPr>
            </w:pP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rPr>
            </w:pPr>
            <w:r w:rsidRPr="00E6448B">
              <w:rPr>
                <w:rFonts w:eastAsia="Calibri"/>
                <w:sz w:val="20"/>
              </w:rPr>
              <w:t>Appeal allowed in part; compensatory allowance reduced to $1 million</w:t>
            </w:r>
          </w:p>
        </w:tc>
      </w:tr>
    </w:tbl>
    <w:p w:rsidR="00457501" w:rsidRDefault="00457501">
      <w:r>
        <w:br w:type="page"/>
      </w:r>
    </w:p>
    <w:tbl>
      <w:tblPr>
        <w:tblW w:w="4952" w:type="pct"/>
        <w:tblLayout w:type="fixed"/>
        <w:tblCellMar>
          <w:left w:w="0" w:type="dxa"/>
          <w:bottom w:w="99" w:type="dxa"/>
          <w:right w:w="0" w:type="dxa"/>
        </w:tblCellMar>
        <w:tblLook w:val="04A0"/>
      </w:tblPr>
      <w:tblGrid>
        <w:gridCol w:w="4624"/>
        <w:gridCol w:w="463"/>
        <w:gridCol w:w="4440"/>
      </w:tblGrid>
      <w:tr w:rsidR="002F0EB9" w:rsidRPr="00E6448B" w:rsidTr="00457501">
        <w:trPr>
          <w:cantSplit/>
        </w:trPr>
        <w:tc>
          <w:tcPr>
            <w:tcW w:w="2427" w:type="pct"/>
          </w:tcPr>
          <w:p w:rsidR="002F0EB9" w:rsidRPr="00E6448B" w:rsidRDefault="002F0EB9" w:rsidP="002F0EB9">
            <w:pPr>
              <w:jc w:val="both"/>
              <w:rPr>
                <w:rFonts w:eastAsia="Calibri"/>
                <w:sz w:val="20"/>
              </w:rPr>
            </w:pPr>
            <w:r w:rsidRPr="00E6448B">
              <w:rPr>
                <w:rFonts w:eastAsia="Calibri"/>
                <w:sz w:val="20"/>
              </w:rPr>
              <w:lastRenderedPageBreak/>
              <w:t>February 22, 2011</w:t>
            </w:r>
          </w:p>
          <w:p w:rsidR="002F0EB9" w:rsidRPr="00E6448B" w:rsidRDefault="002F0EB9" w:rsidP="002F0EB9">
            <w:pPr>
              <w:jc w:val="both"/>
              <w:rPr>
                <w:rFonts w:eastAsia="Calibri"/>
                <w:sz w:val="20"/>
              </w:rPr>
            </w:pPr>
            <w:r w:rsidRPr="00E6448B">
              <w:rPr>
                <w:rFonts w:eastAsia="Calibri"/>
                <w:sz w:val="20"/>
              </w:rPr>
              <w:t>Supreme Court of Canada</w:t>
            </w: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rPr>
            </w:pPr>
            <w:r w:rsidRPr="00E6448B">
              <w:rPr>
                <w:rFonts w:eastAsia="Calibri"/>
                <w:sz w:val="20"/>
              </w:rPr>
              <w:t>Motion to extend time and 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50"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0EB9" w:rsidRPr="00A77989" w:rsidTr="002F0EB9">
        <w:tc>
          <w:tcPr>
            <w:tcW w:w="5000" w:type="pct"/>
            <w:gridSpan w:val="3"/>
          </w:tcPr>
          <w:p w:rsidR="002F0EB9" w:rsidRPr="00E6448B" w:rsidRDefault="002F0EB9" w:rsidP="002F0EB9">
            <w:pPr>
              <w:jc w:val="both"/>
              <w:rPr>
                <w:rFonts w:eastAsia="Calibri"/>
                <w:smallCaps/>
                <w:sz w:val="20"/>
                <w:lang w:val="fr-CA"/>
              </w:rPr>
            </w:pPr>
            <w:r w:rsidRPr="00E6448B">
              <w:rPr>
                <w:rFonts w:eastAsia="Calibri"/>
                <w:smallCaps/>
                <w:sz w:val="20"/>
                <w:lang w:val="fr-CA"/>
              </w:rPr>
              <w:t>(Ordonnance de non</w:t>
            </w:r>
            <w:r w:rsidRPr="00E6448B">
              <w:rPr>
                <w:rFonts w:eastAsia="Calibri"/>
                <w:smallCaps/>
                <w:sz w:val="20"/>
                <w:lang w:val="fr-CA"/>
              </w:rPr>
              <w:noBreakHyphen/>
              <w:t>publication dans le dossier) (Ordonnance de non</w:t>
            </w:r>
            <w:r w:rsidRPr="00E6448B">
              <w:rPr>
                <w:rFonts w:eastAsia="Calibri"/>
                <w:smallCaps/>
                <w:sz w:val="20"/>
                <w:lang w:val="fr-CA"/>
              </w:rPr>
              <w:noBreakHyphen/>
              <w:t>publication visant une partie)</w:t>
            </w:r>
          </w:p>
          <w:p w:rsidR="002F0EB9" w:rsidRPr="00E6448B" w:rsidRDefault="002F0EB9" w:rsidP="002F0EB9">
            <w:pPr>
              <w:jc w:val="both"/>
              <w:rPr>
                <w:rFonts w:eastAsia="Calibri"/>
                <w:sz w:val="20"/>
                <w:lang w:val="fr-CA"/>
              </w:rPr>
            </w:pPr>
          </w:p>
        </w:tc>
      </w:tr>
      <w:tr w:rsidR="002F0EB9" w:rsidRPr="00A77989" w:rsidTr="002F0EB9">
        <w:tc>
          <w:tcPr>
            <w:tcW w:w="5000" w:type="pct"/>
            <w:gridSpan w:val="3"/>
          </w:tcPr>
          <w:p w:rsidR="002F0EB9" w:rsidRPr="00E6448B" w:rsidRDefault="002F0EB9" w:rsidP="002F0EB9">
            <w:pPr>
              <w:jc w:val="both"/>
              <w:rPr>
                <w:rFonts w:eastAsia="Calibri"/>
                <w:sz w:val="20"/>
                <w:lang w:val="fr-CA"/>
              </w:rPr>
            </w:pPr>
            <w:r w:rsidRPr="00E6448B">
              <w:rPr>
                <w:rFonts w:eastAsia="Calibri"/>
                <w:sz w:val="20"/>
                <w:lang w:val="fr-CA"/>
              </w:rPr>
              <w:t>Droit de la famille — Divorce — Prestation compensatoire — Quantum —— La Cour d’appel peut</w:t>
            </w:r>
            <w:r w:rsidRPr="00E6448B">
              <w:rPr>
                <w:rFonts w:eastAsia="Calibri"/>
                <w:sz w:val="20"/>
                <w:lang w:val="fr-CA"/>
              </w:rPr>
              <w:noBreakHyphen/>
              <w:t>elle substituer ses conclusions de fait à celles du juge de première instance? — La valeur de la prestation compensatoire devrait</w:t>
            </w:r>
            <w:r w:rsidRPr="00E6448B">
              <w:rPr>
                <w:rFonts w:eastAsia="Calibri"/>
                <w:sz w:val="20"/>
                <w:lang w:val="fr-CA"/>
              </w:rPr>
              <w:noBreakHyphen/>
              <w:t>elle être déterminée en fonction d’un pourcentage de la valeur des biens acquis durant le mariage? — La signature d’un contrat de mariage en séparation de biens fait</w:t>
            </w:r>
            <w:r w:rsidRPr="00E6448B">
              <w:rPr>
                <w:rFonts w:eastAsia="Calibri"/>
                <w:sz w:val="20"/>
                <w:lang w:val="fr-CA"/>
              </w:rPr>
              <w:noBreakHyphen/>
              <w:t>elle obstacle à une prestation compensatoire équivalente à 50% des actifs de l’autre conjoint? — La Cour d’appel a</w:t>
            </w:r>
            <w:r w:rsidRPr="00E6448B">
              <w:rPr>
                <w:rFonts w:eastAsia="Calibri"/>
                <w:sz w:val="20"/>
                <w:lang w:val="fr-CA"/>
              </w:rPr>
              <w:noBreakHyphen/>
              <w:t>t</w:t>
            </w:r>
            <w:r w:rsidRPr="00E6448B">
              <w:rPr>
                <w:rFonts w:eastAsia="Calibri"/>
                <w:sz w:val="20"/>
                <w:lang w:val="fr-CA"/>
              </w:rPr>
              <w:noBreakHyphen/>
              <w:t>elle fait erreur en réduisant la prestation compensatoire accordée à la demanderesse?</w:t>
            </w:r>
          </w:p>
          <w:p w:rsidR="002F0EB9" w:rsidRPr="00E6448B" w:rsidRDefault="002F0EB9" w:rsidP="002F0EB9">
            <w:pPr>
              <w:jc w:val="both"/>
              <w:rPr>
                <w:rFonts w:eastAsia="Calibri"/>
                <w:sz w:val="20"/>
                <w:lang w:val="fr-CA"/>
              </w:rPr>
            </w:pPr>
          </w:p>
        </w:tc>
      </w:tr>
      <w:tr w:rsidR="002F0EB9" w:rsidRPr="00A77989" w:rsidTr="002F0EB9">
        <w:tc>
          <w:tcPr>
            <w:tcW w:w="5000" w:type="pct"/>
            <w:gridSpan w:val="3"/>
          </w:tcPr>
          <w:p w:rsidR="002F0EB9" w:rsidRPr="00E6448B" w:rsidRDefault="002F0EB9" w:rsidP="002F0EB9">
            <w:pPr>
              <w:jc w:val="both"/>
              <w:rPr>
                <w:rFonts w:eastAsia="Calibri"/>
                <w:sz w:val="20"/>
                <w:lang w:val="fr-CA"/>
              </w:rPr>
            </w:pPr>
            <w:r w:rsidRPr="00E6448B">
              <w:rPr>
                <w:rFonts w:eastAsia="Calibri"/>
                <w:sz w:val="20"/>
                <w:lang w:val="fr-CA"/>
              </w:rPr>
              <w:t>Les parties se marient en 1986 sous le régime de la séparation de biens.  Pendant le mariage, L.S. prête à son époux D.G. la somme de 110 000 $ pour lui permettre de devenir actionnaire d’une compagnie.  Ces actions sont rachetées quelques années plus tard.  La preuve est contradictoire quant à savoir si ce premier prêt a été remboursé à L.S.  Par la suite, L.S. avance 75 000 $ à son époux pour démarrer une entreprise, dont 50 000 $ lui sont remboursés sans trop tarder.  L.S. reçoit 10 % du capital</w:t>
            </w:r>
            <w:r w:rsidRPr="00E6448B">
              <w:rPr>
                <w:rFonts w:eastAsia="Calibri"/>
                <w:sz w:val="20"/>
                <w:lang w:val="fr-CA"/>
              </w:rPr>
              <w:noBreakHyphen/>
              <w:t>actions pour son apport de 25 000 $, alors que les autres investisseurs ayant investi le même montant en reçoivent chacun 22.5%.  Après la naissance du deuxième enfant du couple, L.S quitte son emploi et se dévoue au bien</w:t>
            </w:r>
            <w:r w:rsidRPr="00E6448B">
              <w:rPr>
                <w:rFonts w:eastAsia="Calibri"/>
                <w:sz w:val="20"/>
                <w:lang w:val="fr-CA"/>
              </w:rPr>
              <w:noBreakHyphen/>
              <w:t>être de la famille.  En février 2010, les parties se divorcent.  Une prestation compensatoire de 2.5 millions de dollars est accordée à L.S.  La Cour d’appel, à la majorité, réduit ce montant, jugeant qu’un million de dollars suffirait à indemniser L.S. pour avoir assumé seule l’ensemble des charges domestiques. En effet, selon la majorité, la preuve révèle que le premier prêt a été remboursé à L.S. et ne peut donc pas servir au calcul de la prestation compensatoire.  De plus, l’apport de L.S. dans la société de l’intimé constituait une occasion d’affaires duquel l’on ne peut conclure à l’appauvrissement de L.S. ni à l’enrichissement de D.G.  Le juge Rochette, dissident en partie, aurait réduit la prestation compensatoire à 2 millions de dollars seulement.</w:t>
            </w:r>
          </w:p>
          <w:p w:rsidR="002F0EB9" w:rsidRPr="00E6448B" w:rsidRDefault="002F0EB9" w:rsidP="002F0EB9">
            <w:pPr>
              <w:jc w:val="both"/>
              <w:rPr>
                <w:rFonts w:eastAsia="Calibri"/>
                <w:sz w:val="20"/>
                <w:lang w:val="fr-CA"/>
              </w:rPr>
            </w:pPr>
          </w:p>
        </w:tc>
      </w:tr>
      <w:tr w:rsidR="002F0EB9" w:rsidRPr="00A77989" w:rsidTr="002F0EB9">
        <w:tc>
          <w:tcPr>
            <w:tcW w:w="2427" w:type="pct"/>
          </w:tcPr>
          <w:p w:rsidR="002F0EB9" w:rsidRPr="00E6448B" w:rsidRDefault="002F0EB9" w:rsidP="002F0EB9">
            <w:pPr>
              <w:jc w:val="both"/>
              <w:rPr>
                <w:rFonts w:eastAsia="Calibri"/>
                <w:sz w:val="20"/>
                <w:lang w:val="fr-CA"/>
              </w:rPr>
            </w:pPr>
            <w:r w:rsidRPr="00E6448B">
              <w:rPr>
                <w:rFonts w:eastAsia="Calibri"/>
                <w:sz w:val="20"/>
                <w:lang w:val="fr-CA"/>
              </w:rPr>
              <w:t>Le 9 février 2010</w:t>
            </w:r>
          </w:p>
          <w:p w:rsidR="002F0EB9" w:rsidRPr="00E6448B" w:rsidRDefault="002F0EB9" w:rsidP="002F0EB9">
            <w:pPr>
              <w:jc w:val="both"/>
              <w:rPr>
                <w:rFonts w:eastAsia="Calibri"/>
                <w:sz w:val="20"/>
                <w:lang w:val="fr-CA"/>
              </w:rPr>
            </w:pPr>
            <w:r w:rsidRPr="00E6448B">
              <w:rPr>
                <w:rFonts w:eastAsia="Calibri"/>
                <w:sz w:val="20"/>
                <w:lang w:val="fr-CA"/>
              </w:rPr>
              <w:t>Cour supérieure du Québec</w:t>
            </w:r>
          </w:p>
          <w:p w:rsidR="002F0EB9" w:rsidRPr="00E6448B" w:rsidRDefault="002F0EB9" w:rsidP="002F0EB9">
            <w:pPr>
              <w:jc w:val="both"/>
              <w:rPr>
                <w:rFonts w:eastAsia="Calibri"/>
                <w:sz w:val="20"/>
                <w:lang w:val="fr-CA"/>
              </w:rPr>
            </w:pPr>
            <w:r w:rsidRPr="00E6448B">
              <w:rPr>
                <w:rFonts w:eastAsia="Calibri"/>
                <w:sz w:val="20"/>
                <w:lang w:val="fr-CA"/>
              </w:rPr>
              <w:t>(La juge Grenier)</w:t>
            </w:r>
          </w:p>
          <w:p w:rsidR="002F0EB9" w:rsidRPr="00E6448B" w:rsidRDefault="002F0EB9" w:rsidP="002F0EB9">
            <w:pPr>
              <w:jc w:val="both"/>
              <w:rPr>
                <w:rFonts w:eastAsia="Calibri"/>
                <w:sz w:val="20"/>
                <w:lang w:val="fr-CA"/>
              </w:rPr>
            </w:pPr>
            <w:r w:rsidRPr="00E6448B">
              <w:rPr>
                <w:rFonts w:eastAsia="Calibri"/>
                <w:sz w:val="20"/>
                <w:lang w:val="fr-CA"/>
              </w:rPr>
              <w:t>2010 QCCS 498</w:t>
            </w:r>
          </w:p>
          <w:p w:rsidR="002F0EB9" w:rsidRPr="00E6448B" w:rsidRDefault="002F0EB9" w:rsidP="002F0EB9">
            <w:pPr>
              <w:jc w:val="both"/>
              <w:rPr>
                <w:rFonts w:eastAsia="Calibri"/>
                <w:sz w:val="20"/>
              </w:rPr>
            </w:pPr>
          </w:p>
        </w:tc>
        <w:tc>
          <w:tcPr>
            <w:tcW w:w="243" w:type="pct"/>
          </w:tcPr>
          <w:p w:rsidR="002F0EB9" w:rsidRPr="00E6448B" w:rsidRDefault="002F0EB9" w:rsidP="002F0EB9">
            <w:pPr>
              <w:jc w:val="both"/>
              <w:rPr>
                <w:rFonts w:eastAsia="Calibri"/>
                <w:sz w:val="20"/>
              </w:rPr>
            </w:pPr>
          </w:p>
        </w:tc>
        <w:tc>
          <w:tcPr>
            <w:tcW w:w="2330" w:type="pct"/>
          </w:tcPr>
          <w:p w:rsidR="002F0EB9" w:rsidRPr="00E6448B" w:rsidRDefault="002F0EB9" w:rsidP="002F0EB9">
            <w:pPr>
              <w:jc w:val="both"/>
              <w:rPr>
                <w:rFonts w:eastAsia="Calibri"/>
                <w:sz w:val="20"/>
                <w:lang w:val="fr-CA"/>
              </w:rPr>
            </w:pPr>
            <w:r w:rsidRPr="00E6448B">
              <w:rPr>
                <w:rFonts w:eastAsia="Calibri"/>
                <w:sz w:val="20"/>
                <w:lang w:val="fr-CA"/>
              </w:rPr>
              <w:t>Jugement de divorce prononcé; prestation compensatoire d’une valeur de 2.5 millions de dollars attribuée à la demanderesse</w:t>
            </w:r>
          </w:p>
          <w:p w:rsidR="002F0EB9" w:rsidRPr="00E6448B" w:rsidRDefault="002F0EB9" w:rsidP="002F0EB9">
            <w:pPr>
              <w:jc w:val="both"/>
              <w:rPr>
                <w:rFonts w:eastAsia="Calibri"/>
                <w:sz w:val="20"/>
                <w:lang w:val="fr-CA"/>
              </w:rPr>
            </w:pPr>
          </w:p>
        </w:tc>
      </w:tr>
      <w:tr w:rsidR="002F0EB9" w:rsidRPr="00A77989" w:rsidTr="002F0EB9">
        <w:tc>
          <w:tcPr>
            <w:tcW w:w="2427" w:type="pct"/>
          </w:tcPr>
          <w:p w:rsidR="002F0EB9" w:rsidRPr="00E6448B" w:rsidRDefault="002F0EB9" w:rsidP="002F0EB9">
            <w:pPr>
              <w:jc w:val="both"/>
              <w:rPr>
                <w:rFonts w:eastAsia="Calibri"/>
                <w:sz w:val="20"/>
                <w:lang w:val="fr-CA"/>
              </w:rPr>
            </w:pPr>
            <w:r w:rsidRPr="00E6448B">
              <w:rPr>
                <w:rFonts w:eastAsia="Calibri"/>
                <w:sz w:val="20"/>
                <w:lang w:val="fr-CA"/>
              </w:rPr>
              <w:t>Le 21 décembre 2010</w:t>
            </w:r>
          </w:p>
          <w:p w:rsidR="002F0EB9" w:rsidRPr="00E6448B" w:rsidRDefault="002F0EB9" w:rsidP="002F0EB9">
            <w:pPr>
              <w:jc w:val="both"/>
              <w:rPr>
                <w:rFonts w:eastAsia="Calibri"/>
                <w:sz w:val="20"/>
                <w:lang w:val="fr-CA"/>
              </w:rPr>
            </w:pPr>
            <w:r w:rsidRPr="00E6448B">
              <w:rPr>
                <w:rFonts w:eastAsia="Calibri"/>
                <w:sz w:val="20"/>
                <w:lang w:val="fr-CA"/>
              </w:rPr>
              <w:t>Cour d’appel du Québec (Montréal)</w:t>
            </w:r>
          </w:p>
          <w:p w:rsidR="002F0EB9" w:rsidRPr="00E6448B" w:rsidRDefault="002F0EB9" w:rsidP="002F0EB9">
            <w:pPr>
              <w:jc w:val="both"/>
              <w:rPr>
                <w:rFonts w:eastAsia="Calibri"/>
                <w:sz w:val="20"/>
                <w:lang w:val="fr-CA"/>
              </w:rPr>
            </w:pPr>
            <w:r w:rsidRPr="00E6448B">
              <w:rPr>
                <w:rFonts w:eastAsia="Calibri"/>
                <w:sz w:val="20"/>
                <w:lang w:val="fr-CA"/>
              </w:rPr>
              <w:t>(Les juges Rochette [dissident en partie], Bich et Côté)</w:t>
            </w:r>
          </w:p>
          <w:p w:rsidR="002F0EB9" w:rsidRPr="00E6448B" w:rsidRDefault="002F0EB9" w:rsidP="002F0EB9">
            <w:pPr>
              <w:jc w:val="both"/>
              <w:rPr>
                <w:rFonts w:eastAsia="Calibri"/>
                <w:sz w:val="20"/>
              </w:rPr>
            </w:pPr>
            <w:r w:rsidRPr="00E6448B">
              <w:rPr>
                <w:rFonts w:eastAsia="Calibri"/>
                <w:sz w:val="20"/>
              </w:rPr>
              <w:t>2010 QCCA 2374</w:t>
            </w:r>
          </w:p>
          <w:p w:rsidR="002F0EB9" w:rsidRPr="00E6448B" w:rsidRDefault="002F0EB9" w:rsidP="002F0EB9">
            <w:pPr>
              <w:jc w:val="both"/>
              <w:rPr>
                <w:rFonts w:eastAsia="Calibri"/>
                <w:sz w:val="20"/>
                <w:lang w:val="fr-CA"/>
              </w:rPr>
            </w:pPr>
          </w:p>
        </w:tc>
        <w:tc>
          <w:tcPr>
            <w:tcW w:w="243" w:type="pct"/>
          </w:tcPr>
          <w:p w:rsidR="002F0EB9" w:rsidRPr="00E6448B" w:rsidRDefault="002F0EB9" w:rsidP="002F0EB9">
            <w:pPr>
              <w:jc w:val="both"/>
              <w:rPr>
                <w:rFonts w:eastAsia="Calibri"/>
                <w:sz w:val="20"/>
                <w:lang w:val="fr-CA"/>
              </w:rPr>
            </w:pPr>
          </w:p>
        </w:tc>
        <w:tc>
          <w:tcPr>
            <w:tcW w:w="2330" w:type="pct"/>
          </w:tcPr>
          <w:p w:rsidR="002F0EB9" w:rsidRPr="00E6448B" w:rsidRDefault="002F0EB9" w:rsidP="002F0EB9">
            <w:pPr>
              <w:jc w:val="both"/>
              <w:rPr>
                <w:rFonts w:eastAsia="Calibri"/>
                <w:sz w:val="20"/>
                <w:lang w:val="fr-CA"/>
              </w:rPr>
            </w:pPr>
            <w:r w:rsidRPr="00E6448B">
              <w:rPr>
                <w:rFonts w:eastAsia="Calibri"/>
                <w:sz w:val="20"/>
                <w:lang w:val="fr-CA"/>
              </w:rPr>
              <w:t>Appel accueilli en partie; prestation compensatoire réduite à 1 000 000 $</w:t>
            </w:r>
          </w:p>
        </w:tc>
      </w:tr>
      <w:tr w:rsidR="002F0EB9" w:rsidRPr="00613D68" w:rsidTr="002F0EB9">
        <w:tc>
          <w:tcPr>
            <w:tcW w:w="2427" w:type="pct"/>
          </w:tcPr>
          <w:p w:rsidR="002F0EB9" w:rsidRPr="00E6448B" w:rsidRDefault="002F0EB9" w:rsidP="002F0EB9">
            <w:pPr>
              <w:jc w:val="both"/>
              <w:rPr>
                <w:rFonts w:eastAsia="Calibri"/>
                <w:sz w:val="20"/>
                <w:lang w:val="fr-CA"/>
              </w:rPr>
            </w:pPr>
            <w:r w:rsidRPr="00E6448B">
              <w:rPr>
                <w:rFonts w:eastAsia="Calibri"/>
                <w:sz w:val="20"/>
                <w:lang w:val="fr-CA"/>
              </w:rPr>
              <w:t>Le 22 février 2011</w:t>
            </w:r>
          </w:p>
          <w:p w:rsidR="002F0EB9" w:rsidRPr="00E6448B" w:rsidRDefault="002F0EB9" w:rsidP="002F0EB9">
            <w:pPr>
              <w:jc w:val="both"/>
              <w:rPr>
                <w:rFonts w:eastAsia="Calibri"/>
                <w:sz w:val="20"/>
                <w:lang w:val="fr-CA"/>
              </w:rPr>
            </w:pPr>
            <w:r w:rsidRPr="00E6448B">
              <w:rPr>
                <w:rFonts w:eastAsia="Calibri"/>
                <w:sz w:val="20"/>
                <w:lang w:val="fr-CA"/>
              </w:rPr>
              <w:t>Cour suprême du Canada</w:t>
            </w:r>
          </w:p>
        </w:tc>
        <w:tc>
          <w:tcPr>
            <w:tcW w:w="243" w:type="pct"/>
          </w:tcPr>
          <w:p w:rsidR="002F0EB9" w:rsidRPr="00E6448B" w:rsidRDefault="002F0EB9" w:rsidP="002F0EB9">
            <w:pPr>
              <w:jc w:val="both"/>
              <w:rPr>
                <w:rFonts w:eastAsia="Calibri"/>
                <w:sz w:val="20"/>
                <w:lang w:val="fr-CA"/>
              </w:rPr>
            </w:pPr>
          </w:p>
        </w:tc>
        <w:tc>
          <w:tcPr>
            <w:tcW w:w="2330" w:type="pct"/>
          </w:tcPr>
          <w:p w:rsidR="002F0EB9" w:rsidRPr="00E6448B" w:rsidRDefault="002F0EB9" w:rsidP="002F0EB9">
            <w:pPr>
              <w:jc w:val="both"/>
              <w:rPr>
                <w:rFonts w:eastAsia="Calibri"/>
                <w:sz w:val="20"/>
                <w:lang w:val="fr-CA"/>
              </w:rPr>
            </w:pPr>
            <w:r w:rsidRPr="00E6448B">
              <w:rPr>
                <w:rFonts w:eastAsia="Calibri"/>
                <w:sz w:val="20"/>
                <w:lang w:val="fr-CA"/>
              </w:rPr>
              <w:t>Requête en prorogation de délai et demande d'autorisation d'appel déposées</w:t>
            </w:r>
          </w:p>
        </w:tc>
      </w:tr>
    </w:tbl>
    <w:p w:rsidR="00FE43CC" w:rsidRPr="002F0EB9" w:rsidRDefault="00FE43CC" w:rsidP="00FE43CC">
      <w:pPr>
        <w:rPr>
          <w:sz w:val="20"/>
          <w:szCs w:val="20"/>
          <w:lang w:val="fr-CA"/>
        </w:rPr>
      </w:pPr>
    </w:p>
    <w:p w:rsidR="00FE43CC" w:rsidRDefault="00AB3236" w:rsidP="00FE43CC">
      <w:pPr>
        <w:rPr>
          <w:sz w:val="20"/>
          <w:szCs w:val="20"/>
          <w:lang w:val="fr-CA"/>
        </w:rPr>
      </w:pPr>
      <w:r w:rsidRPr="00AB3236">
        <w:rPr>
          <w:sz w:val="20"/>
          <w:szCs w:val="20"/>
          <w:lang w:val="fr-CA"/>
        </w:rPr>
        <w:pict>
          <v:rect id="_x0000_i1051"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78B6" w:rsidRPr="004B78B6" w:rsidTr="004B78B6">
        <w:trPr>
          <w:cantSplit/>
        </w:trPr>
        <w:tc>
          <w:tcPr>
            <w:tcW w:w="1458" w:type="dxa"/>
          </w:tcPr>
          <w:p w:rsidR="004B78B6" w:rsidRPr="004B78B6" w:rsidRDefault="004B78B6" w:rsidP="004B78B6">
            <w:pPr>
              <w:rPr>
                <w:rFonts w:cs="Times New Roman"/>
                <w:sz w:val="20"/>
                <w:szCs w:val="20"/>
              </w:rPr>
            </w:pPr>
            <w:r w:rsidRPr="004B78B6">
              <w:rPr>
                <w:rStyle w:val="SCCFileNumberChar"/>
                <w:sz w:val="20"/>
                <w:szCs w:val="20"/>
              </w:rPr>
              <w:t>34135</w:t>
            </w:r>
          </w:p>
          <w:p w:rsidR="004B78B6" w:rsidRPr="004B78B6" w:rsidRDefault="004B78B6" w:rsidP="004B78B6">
            <w:pPr>
              <w:rPr>
                <w:rFonts w:cs="Times New Roman"/>
                <w:b/>
                <w:sz w:val="20"/>
                <w:szCs w:val="20"/>
                <w:lang w:val="fr-CA"/>
              </w:rPr>
            </w:pPr>
          </w:p>
        </w:tc>
        <w:tc>
          <w:tcPr>
            <w:tcW w:w="8118" w:type="dxa"/>
          </w:tcPr>
          <w:p w:rsidR="004B78B6" w:rsidRPr="004B78B6" w:rsidRDefault="004B78B6" w:rsidP="004B78B6">
            <w:pPr>
              <w:rPr>
                <w:rFonts w:cs="Times New Roman"/>
                <w:sz w:val="20"/>
                <w:szCs w:val="20"/>
              </w:rPr>
            </w:pPr>
            <w:r w:rsidRPr="004B78B6">
              <w:rPr>
                <w:rStyle w:val="SCCLsocChar"/>
                <w:rFonts w:cs="Times New Roman"/>
                <w:sz w:val="20"/>
                <w:szCs w:val="20"/>
                <w:lang w:val="en-CA"/>
              </w:rPr>
              <w:t>John Virgil Punko v. Her Majesty the Queen</w:t>
            </w:r>
            <w:r w:rsidRPr="004B78B6">
              <w:rPr>
                <w:rFonts w:cs="Times New Roman"/>
                <w:sz w:val="20"/>
                <w:szCs w:val="20"/>
              </w:rPr>
              <w:t xml:space="preserve"> (B.C.) (Criminal) (By Leave)</w:t>
            </w:r>
          </w:p>
          <w:p w:rsidR="004B78B6" w:rsidRPr="004B78B6" w:rsidRDefault="004B78B6" w:rsidP="004B78B6">
            <w:pPr>
              <w:rPr>
                <w:rFonts w:cs="Times New Roman"/>
                <w:sz w:val="20"/>
                <w:szCs w:val="20"/>
              </w:rPr>
            </w:pPr>
          </w:p>
        </w:tc>
      </w:tr>
      <w:tr w:rsidR="004B78B6" w:rsidRPr="004B78B6" w:rsidTr="004B78B6">
        <w:trPr>
          <w:cantSplit/>
        </w:trPr>
        <w:tc>
          <w:tcPr>
            <w:tcW w:w="1458" w:type="dxa"/>
          </w:tcPr>
          <w:p w:rsidR="004B78B6" w:rsidRPr="004B78B6" w:rsidRDefault="004B78B6" w:rsidP="004B78B6">
            <w:pPr>
              <w:rPr>
                <w:rFonts w:cs="Times New Roman"/>
                <w:sz w:val="20"/>
                <w:szCs w:val="20"/>
              </w:rPr>
            </w:pPr>
            <w:r w:rsidRPr="004B78B6">
              <w:rPr>
                <w:rFonts w:cs="Times New Roman"/>
                <w:sz w:val="20"/>
                <w:szCs w:val="20"/>
              </w:rPr>
              <w:t>Coram :</w:t>
            </w:r>
          </w:p>
        </w:tc>
        <w:tc>
          <w:tcPr>
            <w:tcW w:w="8118" w:type="dxa"/>
          </w:tcPr>
          <w:p w:rsidR="004B78B6" w:rsidRPr="004B78B6" w:rsidRDefault="004B78B6" w:rsidP="004B78B6">
            <w:pPr>
              <w:rPr>
                <w:rFonts w:cs="Times New Roman"/>
                <w:sz w:val="20"/>
                <w:szCs w:val="20"/>
              </w:rPr>
            </w:pPr>
            <w:r w:rsidRPr="004B78B6">
              <w:rPr>
                <w:rStyle w:val="SCCCoramChar"/>
                <w:rFonts w:cs="Times New Roman"/>
                <w:sz w:val="20"/>
                <w:szCs w:val="20"/>
                <w:lang w:val="en-CA"/>
              </w:rPr>
              <w:t>McLachlin C.J. and Deschamps and Charron JJ.</w:t>
            </w:r>
          </w:p>
          <w:p w:rsidR="004B78B6" w:rsidRPr="004B78B6" w:rsidRDefault="004B78B6" w:rsidP="004B78B6">
            <w:pPr>
              <w:rPr>
                <w:rFonts w:cs="Times New Roman"/>
                <w:sz w:val="20"/>
                <w:szCs w:val="20"/>
                <w:u w:val="single"/>
              </w:rPr>
            </w:pPr>
          </w:p>
        </w:tc>
      </w:tr>
      <w:tr w:rsidR="004B78B6" w:rsidRPr="004B78B6" w:rsidTr="004B78B6">
        <w:trPr>
          <w:cantSplit/>
        </w:trPr>
        <w:tc>
          <w:tcPr>
            <w:tcW w:w="9576" w:type="dxa"/>
            <w:gridSpan w:val="2"/>
          </w:tcPr>
          <w:p w:rsidR="004B78B6" w:rsidRPr="004B78B6" w:rsidRDefault="004B78B6" w:rsidP="004B78B6">
            <w:pPr>
              <w:pStyle w:val="SCCShortJudgment"/>
              <w:rPr>
                <w:rFonts w:cs="Times New Roman"/>
                <w:szCs w:val="20"/>
              </w:rPr>
            </w:pPr>
            <w:r w:rsidRPr="004B78B6">
              <w:rPr>
                <w:rFonts w:cs="Times New Roman"/>
                <w:szCs w:val="20"/>
              </w:rPr>
              <w:lastRenderedPageBreak/>
              <w:t>The application for leave to appeal from the judgment of the Court of Appeal for British Columbia (Vancouver), Number CA037699, 2011 BCCA 55, dated February 10, 2011, is granted without costs.</w:t>
            </w:r>
          </w:p>
          <w:p w:rsidR="004B78B6" w:rsidRPr="004B78B6" w:rsidRDefault="004B78B6" w:rsidP="004B78B6">
            <w:pPr>
              <w:pStyle w:val="SCCShortJudgment"/>
              <w:ind w:firstLine="0"/>
              <w:rPr>
                <w:rFonts w:cs="Times New Roman"/>
                <w:szCs w:val="20"/>
              </w:rPr>
            </w:pPr>
          </w:p>
          <w:p w:rsidR="004B78B6" w:rsidRPr="004B78B6" w:rsidRDefault="004B78B6" w:rsidP="00EB40CC">
            <w:pPr>
              <w:pStyle w:val="SCCShortJudgment"/>
              <w:rPr>
                <w:rFonts w:cs="Times New Roman"/>
                <w:szCs w:val="20"/>
                <w:lang w:val="fr-CA"/>
              </w:rPr>
            </w:pPr>
            <w:r w:rsidRPr="004B78B6">
              <w:rPr>
                <w:rFonts w:cs="Times New Roman"/>
                <w:szCs w:val="20"/>
                <w:lang w:val="fr-CA"/>
              </w:rPr>
              <w:t>La demande d’autorisation d’appel de l’arrêt de la Cour d’appel de la Colombie-Britannique (Vancouver), numéro CA037699, 2011 BCCA 55, daté du 10 février 2011, est accordée sans dépens.</w:t>
            </w:r>
          </w:p>
        </w:tc>
      </w:tr>
    </w:tbl>
    <w:p w:rsidR="004B78B6" w:rsidRPr="004B78B6" w:rsidRDefault="004B78B6"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5000" w:type="pct"/>
        <w:tblLayout w:type="fixed"/>
        <w:tblCellMar>
          <w:left w:w="0" w:type="dxa"/>
          <w:bottom w:w="99" w:type="dxa"/>
          <w:right w:w="0" w:type="dxa"/>
        </w:tblCellMar>
        <w:tblLook w:val="04A0"/>
      </w:tblPr>
      <w:tblGrid>
        <w:gridCol w:w="4578"/>
        <w:gridCol w:w="460"/>
        <w:gridCol w:w="4581"/>
      </w:tblGrid>
      <w:tr w:rsidR="002259C1" w:rsidRPr="00E6448B" w:rsidTr="009C2160">
        <w:tc>
          <w:tcPr>
            <w:tcW w:w="5000" w:type="pct"/>
            <w:gridSpan w:val="3"/>
          </w:tcPr>
          <w:p w:rsidR="002259C1" w:rsidRPr="00E6448B" w:rsidRDefault="002259C1" w:rsidP="002259C1">
            <w:pPr>
              <w:jc w:val="both"/>
              <w:rPr>
                <w:sz w:val="20"/>
              </w:rPr>
            </w:pPr>
            <w:r w:rsidRPr="00E6448B">
              <w:rPr>
                <w:sz w:val="20"/>
              </w:rPr>
              <w:t>Criminal Law — Trial — Pre</w:t>
            </w:r>
            <w:r w:rsidRPr="00E6448B">
              <w:rPr>
                <w:sz w:val="20"/>
              </w:rPr>
              <w:noBreakHyphen/>
              <w:t>trial proceedings — Issue estoppel — Whether trial judge erred in applying balance of probabilities standard of proof to decide whether requirements of issue estoppel were satisfied — Whether Court of Appeal erred in determining that the erroneous application of a legal standard might reasonably have had a material bearing on the acquittal.</w:t>
            </w:r>
          </w:p>
          <w:p w:rsidR="002259C1" w:rsidRPr="00E6448B" w:rsidRDefault="002259C1" w:rsidP="009C2160">
            <w:pPr>
              <w:rPr>
                <w:sz w:val="20"/>
              </w:rPr>
            </w:pPr>
          </w:p>
        </w:tc>
      </w:tr>
      <w:tr w:rsidR="002259C1" w:rsidRPr="00E6448B" w:rsidTr="009C2160">
        <w:tc>
          <w:tcPr>
            <w:tcW w:w="5000" w:type="pct"/>
            <w:gridSpan w:val="3"/>
          </w:tcPr>
          <w:p w:rsidR="002259C1" w:rsidRPr="00E6448B" w:rsidRDefault="002259C1" w:rsidP="002259C1">
            <w:pPr>
              <w:jc w:val="both"/>
              <w:rPr>
                <w:sz w:val="20"/>
              </w:rPr>
            </w:pPr>
            <w:r w:rsidRPr="00E6448B">
              <w:rPr>
                <w:sz w:val="20"/>
              </w:rPr>
              <w:t xml:space="preserve">The applicant was charged with offences under the </w:t>
            </w:r>
            <w:r w:rsidRPr="00E6448B">
              <w:rPr>
                <w:i/>
                <w:sz w:val="20"/>
              </w:rPr>
              <w:t>Criminal Code</w:t>
            </w:r>
            <w:r w:rsidRPr="00E6448B">
              <w:rPr>
                <w:sz w:val="20"/>
              </w:rPr>
              <w:t xml:space="preserve"> and the</w:t>
            </w:r>
            <w:r w:rsidRPr="00E6448B">
              <w:rPr>
                <w:i/>
                <w:sz w:val="20"/>
              </w:rPr>
              <w:t xml:space="preserve"> Controlled Drugs and Substances Act</w:t>
            </w:r>
            <w:r w:rsidRPr="00E6448B">
              <w:rPr>
                <w:sz w:val="20"/>
              </w:rPr>
              <w:t xml:space="preserve">.  The </w:t>
            </w:r>
            <w:r w:rsidRPr="00E6448B">
              <w:rPr>
                <w:i/>
                <w:sz w:val="20"/>
              </w:rPr>
              <w:t>Criminal Code</w:t>
            </w:r>
            <w:r w:rsidRPr="00E6448B">
              <w:rPr>
                <w:sz w:val="20"/>
              </w:rPr>
              <w:t xml:space="preserve"> offences were prosecuted before a jury.  The jury acquitted the applicant of criminal organization offences that required in part proof that the offences were committed for the benefit of, and at the direction of, the East End Charter of the Hells Angels.  The applicant was sentenced in the </w:t>
            </w:r>
            <w:r w:rsidRPr="00E6448B">
              <w:rPr>
                <w:i/>
                <w:sz w:val="20"/>
              </w:rPr>
              <w:t>Criminal Code</w:t>
            </w:r>
            <w:r w:rsidRPr="00E6448B">
              <w:rPr>
                <w:sz w:val="20"/>
              </w:rPr>
              <w:t xml:space="preserve"> proceedings on convictions for other offences.  A trial of the</w:t>
            </w:r>
            <w:r w:rsidRPr="00E6448B">
              <w:rPr>
                <w:i/>
                <w:sz w:val="20"/>
              </w:rPr>
              <w:t xml:space="preserve"> Controlled Drugs and Substances Act</w:t>
            </w:r>
            <w:r w:rsidRPr="00E6448B">
              <w:rPr>
                <w:sz w:val="20"/>
              </w:rPr>
              <w:t xml:space="preserve"> charges proceeded and included a charge of instructing the commission of the production and trafficking of methamphetamine for the benefit of, and at the direction of, the East End Charter of the Hells Angels.  In a pre</w:t>
            </w:r>
            <w:r w:rsidRPr="00E6448B">
              <w:rPr>
                <w:sz w:val="20"/>
              </w:rPr>
              <w:noBreakHyphen/>
              <w:t xml:space="preserve">trial motion, the trial judge acquitted the applicant of the criminal organization offence because the Crown was estopped from leading evidence to prove that the East End Charter of the Hells Angels was a criminal organization by the verdicts and reasons for sentencing in the </w:t>
            </w:r>
            <w:r w:rsidRPr="00E6448B">
              <w:rPr>
                <w:i/>
                <w:sz w:val="20"/>
              </w:rPr>
              <w:t>Criminal Code</w:t>
            </w:r>
            <w:r w:rsidRPr="00E6448B">
              <w:rPr>
                <w:sz w:val="20"/>
              </w:rPr>
              <w:t xml:space="preserve"> proceedings.  The applicant pled guilty to the other charges.</w:t>
            </w:r>
          </w:p>
          <w:p w:rsidR="002259C1" w:rsidRPr="00E6448B" w:rsidRDefault="002259C1" w:rsidP="009C2160">
            <w:pPr>
              <w:rPr>
                <w:sz w:val="20"/>
              </w:rPr>
            </w:pPr>
          </w:p>
        </w:tc>
      </w:tr>
      <w:tr w:rsidR="002259C1" w:rsidRPr="00E6448B" w:rsidTr="009C2160">
        <w:tc>
          <w:tcPr>
            <w:tcW w:w="2380" w:type="pct"/>
          </w:tcPr>
          <w:p w:rsidR="002259C1" w:rsidRPr="00E6448B" w:rsidRDefault="002259C1" w:rsidP="009C2160">
            <w:pPr>
              <w:rPr>
                <w:sz w:val="20"/>
              </w:rPr>
            </w:pPr>
            <w:r w:rsidRPr="00E6448B">
              <w:rPr>
                <w:sz w:val="20"/>
              </w:rPr>
              <w:t>November 27, 2009</w:t>
            </w:r>
          </w:p>
          <w:p w:rsidR="002259C1" w:rsidRPr="00E6448B" w:rsidRDefault="002259C1" w:rsidP="009C2160">
            <w:pPr>
              <w:rPr>
                <w:sz w:val="20"/>
              </w:rPr>
            </w:pPr>
            <w:r w:rsidRPr="00E6448B">
              <w:rPr>
                <w:sz w:val="20"/>
              </w:rPr>
              <w:t>Supreme Court of British Columbia</w:t>
            </w:r>
          </w:p>
          <w:p w:rsidR="002259C1" w:rsidRPr="00E6448B" w:rsidRDefault="002259C1" w:rsidP="009C2160">
            <w:pPr>
              <w:rPr>
                <w:sz w:val="20"/>
              </w:rPr>
            </w:pPr>
            <w:r w:rsidRPr="00E6448B">
              <w:rPr>
                <w:sz w:val="20"/>
              </w:rPr>
              <w:t xml:space="preserve">(Leask J.) </w:t>
            </w:r>
          </w:p>
          <w:p w:rsidR="002259C1" w:rsidRPr="00E6448B" w:rsidRDefault="002259C1" w:rsidP="009C2160">
            <w:pPr>
              <w:rPr>
                <w:sz w:val="20"/>
              </w:rPr>
            </w:pPr>
          </w:p>
        </w:tc>
        <w:tc>
          <w:tcPr>
            <w:tcW w:w="239" w:type="pct"/>
          </w:tcPr>
          <w:p w:rsidR="002259C1" w:rsidRPr="00E6448B" w:rsidRDefault="002259C1" w:rsidP="009C2160">
            <w:pPr>
              <w:rPr>
                <w:sz w:val="20"/>
              </w:rPr>
            </w:pPr>
          </w:p>
        </w:tc>
        <w:tc>
          <w:tcPr>
            <w:tcW w:w="2381" w:type="pct"/>
          </w:tcPr>
          <w:p w:rsidR="002259C1" w:rsidRPr="00E6448B" w:rsidRDefault="002259C1" w:rsidP="002259C1">
            <w:pPr>
              <w:jc w:val="both"/>
              <w:rPr>
                <w:sz w:val="20"/>
              </w:rPr>
            </w:pPr>
            <w:r w:rsidRPr="00E6448B">
              <w:rPr>
                <w:sz w:val="20"/>
              </w:rPr>
              <w:t>Order issued that Crown estopped from leading evidence that the East End Charter of the Hells Angels is a criminal organization and applicant acquitted of criminal organization offence</w:t>
            </w:r>
          </w:p>
          <w:p w:rsidR="002259C1" w:rsidRPr="00E6448B" w:rsidRDefault="002259C1" w:rsidP="009C2160">
            <w:pPr>
              <w:rPr>
                <w:sz w:val="20"/>
              </w:rPr>
            </w:pPr>
          </w:p>
        </w:tc>
      </w:tr>
      <w:tr w:rsidR="002259C1" w:rsidRPr="00E6448B" w:rsidTr="009C2160">
        <w:tc>
          <w:tcPr>
            <w:tcW w:w="2380" w:type="pct"/>
          </w:tcPr>
          <w:p w:rsidR="002259C1" w:rsidRPr="00E6448B" w:rsidRDefault="002259C1" w:rsidP="009C2160">
            <w:pPr>
              <w:rPr>
                <w:sz w:val="20"/>
              </w:rPr>
            </w:pPr>
            <w:r w:rsidRPr="00E6448B">
              <w:rPr>
                <w:sz w:val="20"/>
              </w:rPr>
              <w:t xml:space="preserve">December 19, 2009 </w:t>
            </w:r>
          </w:p>
          <w:p w:rsidR="002259C1" w:rsidRPr="00E6448B" w:rsidRDefault="002259C1" w:rsidP="009C2160">
            <w:pPr>
              <w:rPr>
                <w:sz w:val="20"/>
              </w:rPr>
            </w:pPr>
            <w:r w:rsidRPr="00E6448B">
              <w:rPr>
                <w:sz w:val="20"/>
              </w:rPr>
              <w:t>Supreme Court of British Columbia</w:t>
            </w:r>
          </w:p>
          <w:p w:rsidR="002259C1" w:rsidRPr="00E6448B" w:rsidRDefault="002259C1" w:rsidP="009C2160">
            <w:pPr>
              <w:rPr>
                <w:sz w:val="20"/>
              </w:rPr>
            </w:pPr>
            <w:r w:rsidRPr="00E6448B">
              <w:rPr>
                <w:sz w:val="20"/>
              </w:rPr>
              <w:t xml:space="preserve">(Leask J.) </w:t>
            </w:r>
          </w:p>
          <w:p w:rsidR="002259C1" w:rsidRPr="00E6448B" w:rsidRDefault="002259C1" w:rsidP="009C2160">
            <w:pPr>
              <w:rPr>
                <w:sz w:val="20"/>
              </w:rPr>
            </w:pPr>
            <w:r w:rsidRPr="00E6448B">
              <w:rPr>
                <w:sz w:val="20"/>
              </w:rPr>
              <w:t>2010 BCSC 70</w:t>
            </w:r>
          </w:p>
          <w:p w:rsidR="002259C1" w:rsidRPr="00E6448B" w:rsidRDefault="002259C1" w:rsidP="009C2160">
            <w:pPr>
              <w:rPr>
                <w:sz w:val="20"/>
              </w:rPr>
            </w:pPr>
          </w:p>
        </w:tc>
        <w:tc>
          <w:tcPr>
            <w:tcW w:w="239" w:type="pct"/>
          </w:tcPr>
          <w:p w:rsidR="002259C1" w:rsidRPr="00E6448B" w:rsidRDefault="002259C1" w:rsidP="009C2160">
            <w:pPr>
              <w:rPr>
                <w:sz w:val="20"/>
              </w:rPr>
            </w:pPr>
          </w:p>
        </w:tc>
        <w:tc>
          <w:tcPr>
            <w:tcW w:w="2381" w:type="pct"/>
          </w:tcPr>
          <w:p w:rsidR="002259C1" w:rsidRPr="00E6448B" w:rsidRDefault="002259C1" w:rsidP="002259C1">
            <w:pPr>
              <w:jc w:val="both"/>
              <w:rPr>
                <w:sz w:val="20"/>
              </w:rPr>
            </w:pPr>
            <w:r w:rsidRPr="00E6448B">
              <w:rPr>
                <w:sz w:val="20"/>
              </w:rPr>
              <w:t xml:space="preserve">Applicant pleads guilty to counts of conspiracy to produce and traffic in methamphetamine, possession of proceeds of crime and trafficking in cocaine </w:t>
            </w:r>
          </w:p>
          <w:p w:rsidR="002259C1" w:rsidRPr="00E6448B" w:rsidRDefault="002259C1" w:rsidP="009C2160">
            <w:pPr>
              <w:rPr>
                <w:sz w:val="20"/>
              </w:rPr>
            </w:pPr>
          </w:p>
        </w:tc>
      </w:tr>
      <w:tr w:rsidR="002259C1" w:rsidRPr="00E6448B" w:rsidTr="009C2160">
        <w:tc>
          <w:tcPr>
            <w:tcW w:w="2380" w:type="pct"/>
          </w:tcPr>
          <w:p w:rsidR="002259C1" w:rsidRPr="00E6448B" w:rsidRDefault="002259C1" w:rsidP="009C2160">
            <w:pPr>
              <w:rPr>
                <w:sz w:val="20"/>
              </w:rPr>
            </w:pPr>
            <w:r w:rsidRPr="00E6448B">
              <w:rPr>
                <w:sz w:val="20"/>
              </w:rPr>
              <w:t>February 10, 2011</w:t>
            </w:r>
          </w:p>
          <w:p w:rsidR="002259C1" w:rsidRPr="00E6448B" w:rsidRDefault="002259C1" w:rsidP="009C2160">
            <w:pPr>
              <w:rPr>
                <w:sz w:val="20"/>
              </w:rPr>
            </w:pPr>
            <w:r w:rsidRPr="00E6448B">
              <w:rPr>
                <w:sz w:val="20"/>
              </w:rPr>
              <w:t xml:space="preserve">Court of Appeal for British Columbia </w:t>
            </w:r>
          </w:p>
          <w:p w:rsidR="002259C1" w:rsidRPr="00E6448B" w:rsidRDefault="002259C1" w:rsidP="009C2160">
            <w:pPr>
              <w:rPr>
                <w:sz w:val="20"/>
              </w:rPr>
            </w:pPr>
            <w:r w:rsidRPr="00E6448B">
              <w:rPr>
                <w:sz w:val="20"/>
              </w:rPr>
              <w:t>(Vancouver)</w:t>
            </w:r>
          </w:p>
          <w:p w:rsidR="002259C1" w:rsidRPr="00E6448B" w:rsidRDefault="002259C1" w:rsidP="009C2160">
            <w:pPr>
              <w:rPr>
                <w:sz w:val="20"/>
              </w:rPr>
            </w:pPr>
            <w:r w:rsidRPr="00E6448B">
              <w:rPr>
                <w:sz w:val="20"/>
              </w:rPr>
              <w:t xml:space="preserve">(Finch, Kirkpatrick, Groberman JJ.A.) </w:t>
            </w:r>
          </w:p>
          <w:p w:rsidR="002259C1" w:rsidRPr="00E6448B" w:rsidRDefault="002259C1" w:rsidP="009C2160">
            <w:pPr>
              <w:rPr>
                <w:sz w:val="20"/>
              </w:rPr>
            </w:pPr>
          </w:p>
        </w:tc>
        <w:tc>
          <w:tcPr>
            <w:tcW w:w="239" w:type="pct"/>
          </w:tcPr>
          <w:p w:rsidR="002259C1" w:rsidRPr="00E6448B" w:rsidRDefault="002259C1" w:rsidP="009C2160">
            <w:pPr>
              <w:rPr>
                <w:sz w:val="20"/>
              </w:rPr>
            </w:pPr>
          </w:p>
        </w:tc>
        <w:tc>
          <w:tcPr>
            <w:tcW w:w="2381" w:type="pct"/>
          </w:tcPr>
          <w:p w:rsidR="002259C1" w:rsidRPr="00E6448B" w:rsidRDefault="002259C1" w:rsidP="002259C1">
            <w:pPr>
              <w:jc w:val="both"/>
              <w:rPr>
                <w:sz w:val="20"/>
              </w:rPr>
            </w:pPr>
            <w:r w:rsidRPr="00E6448B">
              <w:rPr>
                <w:sz w:val="20"/>
              </w:rPr>
              <w:t>Crown’s appeals from acquittal allowed, acquittal set aside and new trial ordered on criminal organization count</w:t>
            </w:r>
          </w:p>
          <w:p w:rsidR="002259C1" w:rsidRPr="00E6448B" w:rsidRDefault="002259C1" w:rsidP="009C2160">
            <w:pPr>
              <w:rPr>
                <w:sz w:val="20"/>
              </w:rPr>
            </w:pPr>
          </w:p>
        </w:tc>
      </w:tr>
      <w:tr w:rsidR="002259C1" w:rsidRPr="00E6448B" w:rsidTr="009C2160">
        <w:tc>
          <w:tcPr>
            <w:tcW w:w="2380" w:type="pct"/>
          </w:tcPr>
          <w:p w:rsidR="002259C1" w:rsidRPr="00E6448B" w:rsidRDefault="002259C1" w:rsidP="009C2160">
            <w:pPr>
              <w:rPr>
                <w:sz w:val="20"/>
              </w:rPr>
            </w:pPr>
            <w:r w:rsidRPr="00E6448B">
              <w:rPr>
                <w:sz w:val="20"/>
              </w:rPr>
              <w:t>March 9, 2011</w:t>
            </w:r>
          </w:p>
          <w:p w:rsidR="002259C1" w:rsidRPr="00E6448B" w:rsidRDefault="002259C1" w:rsidP="009C2160">
            <w:pPr>
              <w:rPr>
                <w:sz w:val="20"/>
              </w:rPr>
            </w:pPr>
            <w:r w:rsidRPr="00E6448B">
              <w:rPr>
                <w:sz w:val="20"/>
              </w:rPr>
              <w:t>Supreme Court of Canada</w:t>
            </w:r>
          </w:p>
        </w:tc>
        <w:tc>
          <w:tcPr>
            <w:tcW w:w="239" w:type="pct"/>
          </w:tcPr>
          <w:p w:rsidR="002259C1" w:rsidRPr="00E6448B" w:rsidRDefault="002259C1" w:rsidP="009C2160">
            <w:pPr>
              <w:rPr>
                <w:sz w:val="20"/>
              </w:rPr>
            </w:pPr>
          </w:p>
        </w:tc>
        <w:tc>
          <w:tcPr>
            <w:tcW w:w="2381" w:type="pct"/>
          </w:tcPr>
          <w:p w:rsidR="002259C1" w:rsidRPr="00E6448B" w:rsidRDefault="002259C1" w:rsidP="009C2160">
            <w:pPr>
              <w:rPr>
                <w:sz w:val="20"/>
              </w:rPr>
            </w:pPr>
            <w:r w:rsidRPr="00E6448B">
              <w:rPr>
                <w:sz w:val="20"/>
              </w:rPr>
              <w:t>Application for leave to appeal filed</w:t>
            </w:r>
          </w:p>
          <w:p w:rsidR="002259C1" w:rsidRPr="00E6448B" w:rsidRDefault="002259C1" w:rsidP="009C2160">
            <w:pPr>
              <w:rPr>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52"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5000" w:type="pct"/>
        <w:tblLayout w:type="fixed"/>
        <w:tblCellMar>
          <w:left w:w="0" w:type="dxa"/>
          <w:bottom w:w="99" w:type="dxa"/>
          <w:right w:w="0" w:type="dxa"/>
        </w:tblCellMar>
        <w:tblLook w:val="00A0"/>
      </w:tblPr>
      <w:tblGrid>
        <w:gridCol w:w="9619"/>
      </w:tblGrid>
      <w:tr w:rsidR="00BB6BCD" w:rsidRPr="00A77989" w:rsidTr="009C2160">
        <w:tc>
          <w:tcPr>
            <w:tcW w:w="5000" w:type="pct"/>
          </w:tcPr>
          <w:p w:rsidR="00BB6BCD" w:rsidRPr="00E6448B" w:rsidRDefault="00BB6BCD" w:rsidP="009C2160">
            <w:pPr>
              <w:jc w:val="both"/>
              <w:rPr>
                <w:sz w:val="20"/>
                <w:lang w:val="fr-CA"/>
              </w:rPr>
            </w:pPr>
            <w:r w:rsidRPr="00E6448B">
              <w:rPr>
                <w:sz w:val="20"/>
                <w:lang w:val="fr-CA"/>
              </w:rPr>
              <w:t>Droit criminel — Procès — Procédures préliminaires — Préclusion découlant d’une question déjà tranchée — Le juge du procès a</w:t>
            </w:r>
            <w:r w:rsidRPr="00E6448B">
              <w:rPr>
                <w:sz w:val="20"/>
                <w:lang w:val="fr-CA"/>
              </w:rPr>
              <w:noBreakHyphen/>
              <w:t>t</w:t>
            </w:r>
            <w:r w:rsidRPr="00E6448B">
              <w:rPr>
                <w:sz w:val="20"/>
                <w:lang w:val="fr-CA"/>
              </w:rPr>
              <w:noBreakHyphen/>
              <w:t>il eu tort d’appliquer la norme de preuve de la prépondérance des probabilités pour trancher la question de savoir si les conditions de la préclusion découlant d’une question déjà tranchée avaient été remplies? — La Cour d’appel a</w:t>
            </w:r>
            <w:r w:rsidRPr="00E6448B">
              <w:rPr>
                <w:sz w:val="20"/>
                <w:lang w:val="fr-CA"/>
              </w:rPr>
              <w:noBreakHyphen/>
              <w:t>t</w:t>
            </w:r>
            <w:r w:rsidRPr="00E6448B">
              <w:rPr>
                <w:sz w:val="20"/>
                <w:lang w:val="fr-CA"/>
              </w:rPr>
              <w:noBreakHyphen/>
              <w:t xml:space="preserve">elle eu tort de statuer que l’application erronée d’une norme juridique pouvait vraisemblablement avoir une incidence significative sur le verdict d’acquittement? — La question de savoir s’il y a préclusion découlant d’une </w:t>
            </w:r>
            <w:r w:rsidRPr="00E6448B">
              <w:rPr>
                <w:sz w:val="20"/>
                <w:lang w:val="fr-CA"/>
              </w:rPr>
              <w:lastRenderedPageBreak/>
              <w:t>question déjà tranchée est</w:t>
            </w:r>
            <w:r w:rsidRPr="00E6448B">
              <w:rPr>
                <w:sz w:val="20"/>
                <w:lang w:val="fr-CA"/>
              </w:rPr>
              <w:noBreakHyphen/>
              <w:t>elle une question de droit ou de fait?</w:t>
            </w:r>
          </w:p>
          <w:p w:rsidR="00BB6BCD" w:rsidRPr="00E6448B" w:rsidRDefault="00BB6BCD" w:rsidP="009C2160">
            <w:pPr>
              <w:rPr>
                <w:sz w:val="20"/>
                <w:lang w:val="fr-CA"/>
              </w:rPr>
            </w:pPr>
          </w:p>
        </w:tc>
      </w:tr>
      <w:tr w:rsidR="00BB6BCD" w:rsidRPr="00E6448B" w:rsidTr="009C2160">
        <w:tc>
          <w:tcPr>
            <w:tcW w:w="5000" w:type="pct"/>
          </w:tcPr>
          <w:p w:rsidR="00BB6BCD" w:rsidRPr="00E6448B" w:rsidRDefault="00BB6BCD" w:rsidP="00EB40CC">
            <w:pPr>
              <w:jc w:val="both"/>
              <w:rPr>
                <w:sz w:val="20"/>
                <w:lang w:val="fr-CA"/>
              </w:rPr>
            </w:pPr>
            <w:r w:rsidRPr="00E6448B">
              <w:rPr>
                <w:sz w:val="20"/>
                <w:lang w:val="fr-CA"/>
              </w:rPr>
              <w:lastRenderedPageBreak/>
              <w:t xml:space="preserve">Le demandeur a été accusé d’infractions prévues dans le </w:t>
            </w:r>
            <w:r w:rsidRPr="00E6448B">
              <w:rPr>
                <w:i/>
                <w:sz w:val="20"/>
                <w:lang w:val="fr-CA"/>
              </w:rPr>
              <w:t>Code criminel</w:t>
            </w:r>
            <w:r w:rsidRPr="00E6448B">
              <w:rPr>
                <w:sz w:val="20"/>
                <w:lang w:val="fr-CA"/>
              </w:rPr>
              <w:t xml:space="preserve"> et dans la</w:t>
            </w:r>
            <w:r w:rsidRPr="00E6448B">
              <w:rPr>
                <w:i/>
                <w:sz w:val="20"/>
                <w:lang w:val="fr-CA"/>
              </w:rPr>
              <w:t xml:space="preserve"> Loi réglementant certaines drogues et autres substances</w:t>
            </w:r>
            <w:r w:rsidRPr="00E6448B">
              <w:rPr>
                <w:sz w:val="20"/>
                <w:lang w:val="fr-CA"/>
              </w:rPr>
              <w:t xml:space="preserve">.  La poursuite relative aux infractions prévues dans le </w:t>
            </w:r>
            <w:r w:rsidRPr="00E6448B">
              <w:rPr>
                <w:i/>
                <w:sz w:val="20"/>
                <w:lang w:val="fr-CA"/>
              </w:rPr>
              <w:t>Code criminel</w:t>
            </w:r>
            <w:r w:rsidRPr="00E6448B">
              <w:rPr>
                <w:sz w:val="20"/>
                <w:lang w:val="fr-CA"/>
              </w:rPr>
              <w:t xml:space="preserve"> a été instruite devant un jury.  Le jury a acquitté le demandeur relativement aux infractions d’organisation criminelle qui nécessitaient en partie une preuve comme quoi les infractions avaient été commises au profit et sous la direction de l’East End Charter des Hells Angels.  Le demandeur a été condamné à une peine au terme de l’instruction fondée sur le</w:t>
            </w:r>
            <w:r w:rsidRPr="00E6448B">
              <w:rPr>
                <w:i/>
                <w:sz w:val="20"/>
                <w:lang w:val="fr-CA"/>
              </w:rPr>
              <w:t xml:space="preserve"> Code criminel</w:t>
            </w:r>
            <w:r w:rsidRPr="00E6448B">
              <w:rPr>
                <w:sz w:val="20"/>
                <w:lang w:val="fr-CA"/>
              </w:rPr>
              <w:t xml:space="preserve"> relativement à des déclarations de culpabilité pour d’autres infractions.  Un procès portant sur des accusations en vertu de la</w:t>
            </w:r>
            <w:r w:rsidRPr="00E6448B">
              <w:rPr>
                <w:i/>
                <w:sz w:val="20"/>
                <w:lang w:val="fr-CA"/>
              </w:rPr>
              <w:t xml:space="preserve"> Loi réglementant certaines drogues et autres substances</w:t>
            </w:r>
            <w:r w:rsidRPr="00E6448B">
              <w:rPr>
                <w:sz w:val="20"/>
                <w:lang w:val="fr-CA"/>
              </w:rPr>
              <w:t xml:space="preserve"> a eu lieu et comprenait une accusation d’avoir ordonné la commission de la production et du trafic de méthamphétamine au profit et sous la direction de l’East End Charter des Hells Angels.  Saisi d’une requête préalable au procès, le juge du procès a acquitté le demandeur relativement à l’infraction d’organisation criminelle parce que le ministère public était préclus de présenter des éléments de preuve visant à prouver que l’East End Charter des Hells Angels était une organisation criminelle par les verdicts et les motifs de détermination de la peine dans l’instance fondée sur le</w:t>
            </w:r>
            <w:r w:rsidRPr="00E6448B">
              <w:rPr>
                <w:i/>
                <w:sz w:val="20"/>
                <w:lang w:val="fr-CA"/>
              </w:rPr>
              <w:t xml:space="preserve"> Code criminel</w:t>
            </w:r>
            <w:r w:rsidRPr="00E6448B">
              <w:rPr>
                <w:sz w:val="20"/>
                <w:lang w:val="fr-CA"/>
              </w:rPr>
              <w:t xml:space="preserve">.  Le demandeur a plaidé coupable relativement aux autres accusations.  </w:t>
            </w:r>
          </w:p>
        </w:tc>
      </w:tr>
    </w:tbl>
    <w:p w:rsidR="004B78B6" w:rsidRDefault="004B78B6"/>
    <w:tbl>
      <w:tblPr>
        <w:tblW w:w="5000" w:type="pct"/>
        <w:tblLayout w:type="fixed"/>
        <w:tblCellMar>
          <w:left w:w="0" w:type="dxa"/>
          <w:bottom w:w="99" w:type="dxa"/>
          <w:right w:w="0" w:type="dxa"/>
        </w:tblCellMar>
        <w:tblLook w:val="00A0"/>
      </w:tblPr>
      <w:tblGrid>
        <w:gridCol w:w="4578"/>
        <w:gridCol w:w="460"/>
        <w:gridCol w:w="4581"/>
      </w:tblGrid>
      <w:tr w:rsidR="00BB6BCD" w:rsidRPr="00A77989" w:rsidTr="004B78B6">
        <w:trPr>
          <w:cantSplit/>
        </w:trPr>
        <w:tc>
          <w:tcPr>
            <w:tcW w:w="2380" w:type="pct"/>
          </w:tcPr>
          <w:p w:rsidR="00BB6BCD" w:rsidRPr="00E6448B" w:rsidRDefault="00BB6BCD" w:rsidP="009C2160">
            <w:pPr>
              <w:rPr>
                <w:sz w:val="20"/>
                <w:lang w:val="fr-CA"/>
              </w:rPr>
            </w:pPr>
            <w:r w:rsidRPr="00E6448B">
              <w:rPr>
                <w:sz w:val="20"/>
                <w:lang w:val="fr-CA"/>
              </w:rPr>
              <w:t>27 novembre 2009</w:t>
            </w:r>
          </w:p>
          <w:p w:rsidR="00BB6BCD" w:rsidRPr="00E6448B" w:rsidRDefault="00BB6BCD" w:rsidP="009C2160">
            <w:pPr>
              <w:rPr>
                <w:sz w:val="20"/>
                <w:lang w:val="fr-CA"/>
              </w:rPr>
            </w:pPr>
            <w:r w:rsidRPr="00E6448B">
              <w:rPr>
                <w:sz w:val="20"/>
                <w:lang w:val="fr-CA"/>
              </w:rPr>
              <w:t>Cour suprême de la Colombie</w:t>
            </w:r>
            <w:r w:rsidRPr="00E6448B">
              <w:rPr>
                <w:sz w:val="20"/>
                <w:lang w:val="fr-CA"/>
              </w:rPr>
              <w:noBreakHyphen/>
              <w:t xml:space="preserve">Britannique </w:t>
            </w:r>
          </w:p>
          <w:p w:rsidR="00BB6BCD" w:rsidRPr="00E6448B" w:rsidRDefault="00BB6BCD" w:rsidP="009C2160">
            <w:pPr>
              <w:rPr>
                <w:sz w:val="20"/>
                <w:lang w:val="fr-CA"/>
              </w:rPr>
            </w:pPr>
            <w:r w:rsidRPr="00E6448B">
              <w:rPr>
                <w:sz w:val="20"/>
                <w:lang w:val="fr-CA"/>
              </w:rPr>
              <w:t xml:space="preserve">(Juge Leask) </w:t>
            </w:r>
          </w:p>
          <w:p w:rsidR="00BB6BCD" w:rsidRPr="00E6448B" w:rsidRDefault="00BB6BCD" w:rsidP="009C2160">
            <w:pPr>
              <w:rPr>
                <w:sz w:val="20"/>
                <w:lang w:val="fr-CA"/>
              </w:rPr>
            </w:pPr>
          </w:p>
        </w:tc>
        <w:tc>
          <w:tcPr>
            <w:tcW w:w="239" w:type="pct"/>
          </w:tcPr>
          <w:p w:rsidR="00BB6BCD" w:rsidRPr="00E6448B" w:rsidRDefault="00BB6BCD" w:rsidP="009C2160">
            <w:pPr>
              <w:rPr>
                <w:sz w:val="20"/>
                <w:lang w:val="fr-CA"/>
              </w:rPr>
            </w:pPr>
          </w:p>
        </w:tc>
        <w:tc>
          <w:tcPr>
            <w:tcW w:w="2381" w:type="pct"/>
          </w:tcPr>
          <w:p w:rsidR="00BB6BCD" w:rsidRPr="00E6448B" w:rsidRDefault="00BB6BCD" w:rsidP="009C2160">
            <w:pPr>
              <w:jc w:val="both"/>
              <w:rPr>
                <w:sz w:val="20"/>
                <w:lang w:val="fr-CA"/>
              </w:rPr>
            </w:pPr>
            <w:r w:rsidRPr="00E6448B">
              <w:rPr>
                <w:sz w:val="20"/>
                <w:lang w:val="fr-CA"/>
              </w:rPr>
              <w:t>Ordonnance portant que le ministère public est préclus de présenter des éléments de preuve que l’East End Charter des Hells Angels est une organisation criminelle et demandeur acquitté relativement à l’infraction d’organisation criminelle</w:t>
            </w:r>
          </w:p>
          <w:p w:rsidR="00BB6BCD" w:rsidRPr="00E6448B" w:rsidRDefault="00BB6BCD" w:rsidP="009C2160">
            <w:pPr>
              <w:rPr>
                <w:sz w:val="20"/>
                <w:lang w:val="fr-CA"/>
              </w:rPr>
            </w:pPr>
          </w:p>
        </w:tc>
      </w:tr>
      <w:tr w:rsidR="00BB6BCD" w:rsidRPr="00A77989" w:rsidTr="004B78B6">
        <w:trPr>
          <w:cantSplit/>
        </w:trPr>
        <w:tc>
          <w:tcPr>
            <w:tcW w:w="2380" w:type="pct"/>
          </w:tcPr>
          <w:p w:rsidR="00BB6BCD" w:rsidRPr="00E6448B" w:rsidRDefault="00BB6BCD" w:rsidP="009C2160">
            <w:pPr>
              <w:rPr>
                <w:sz w:val="20"/>
                <w:lang w:val="fr-CA"/>
              </w:rPr>
            </w:pPr>
            <w:r w:rsidRPr="00E6448B">
              <w:rPr>
                <w:sz w:val="20"/>
                <w:lang w:val="fr-CA"/>
              </w:rPr>
              <w:t xml:space="preserve">19 décembre 2009 </w:t>
            </w:r>
          </w:p>
          <w:p w:rsidR="00BB6BCD" w:rsidRPr="00E6448B" w:rsidRDefault="00BB6BCD" w:rsidP="009C2160">
            <w:pPr>
              <w:rPr>
                <w:sz w:val="20"/>
                <w:lang w:val="fr-CA"/>
              </w:rPr>
            </w:pPr>
            <w:r w:rsidRPr="00E6448B">
              <w:rPr>
                <w:sz w:val="20"/>
                <w:lang w:val="fr-CA"/>
              </w:rPr>
              <w:t>Cour suprême de la Colombie</w:t>
            </w:r>
            <w:r w:rsidRPr="00E6448B">
              <w:rPr>
                <w:sz w:val="20"/>
                <w:lang w:val="fr-CA"/>
              </w:rPr>
              <w:noBreakHyphen/>
              <w:t xml:space="preserve">Britannique </w:t>
            </w:r>
          </w:p>
          <w:p w:rsidR="00BB6BCD" w:rsidRPr="00E6448B" w:rsidRDefault="00BB6BCD" w:rsidP="009C2160">
            <w:pPr>
              <w:rPr>
                <w:sz w:val="20"/>
                <w:lang w:val="fr-CA"/>
              </w:rPr>
            </w:pPr>
            <w:r w:rsidRPr="00E6448B">
              <w:rPr>
                <w:sz w:val="20"/>
                <w:lang w:val="fr-CA"/>
              </w:rPr>
              <w:t xml:space="preserve">(Juge Leask) </w:t>
            </w:r>
          </w:p>
          <w:p w:rsidR="00BB6BCD" w:rsidRPr="00E6448B" w:rsidRDefault="00BB6BCD" w:rsidP="009C2160">
            <w:pPr>
              <w:rPr>
                <w:sz w:val="20"/>
                <w:lang w:val="fr-CA"/>
              </w:rPr>
            </w:pPr>
            <w:r w:rsidRPr="00E6448B">
              <w:rPr>
                <w:sz w:val="20"/>
                <w:lang w:val="fr-CA"/>
              </w:rPr>
              <w:t>2010 BCSC 70</w:t>
            </w:r>
          </w:p>
          <w:p w:rsidR="00BB6BCD" w:rsidRPr="00E6448B" w:rsidRDefault="00BB6BCD" w:rsidP="009C2160">
            <w:pPr>
              <w:rPr>
                <w:sz w:val="20"/>
                <w:lang w:val="fr-CA"/>
              </w:rPr>
            </w:pPr>
          </w:p>
        </w:tc>
        <w:tc>
          <w:tcPr>
            <w:tcW w:w="239" w:type="pct"/>
          </w:tcPr>
          <w:p w:rsidR="00BB6BCD" w:rsidRPr="00E6448B" w:rsidRDefault="00BB6BCD" w:rsidP="009C2160">
            <w:pPr>
              <w:rPr>
                <w:sz w:val="20"/>
                <w:lang w:val="fr-CA"/>
              </w:rPr>
            </w:pPr>
          </w:p>
        </w:tc>
        <w:tc>
          <w:tcPr>
            <w:tcW w:w="2381" w:type="pct"/>
          </w:tcPr>
          <w:p w:rsidR="00BB6BCD" w:rsidRPr="00E6448B" w:rsidRDefault="00BB6BCD" w:rsidP="009C2160">
            <w:pPr>
              <w:jc w:val="both"/>
              <w:rPr>
                <w:sz w:val="20"/>
                <w:lang w:val="fr-CA"/>
              </w:rPr>
            </w:pPr>
            <w:r w:rsidRPr="00E6448B">
              <w:rPr>
                <w:sz w:val="20"/>
                <w:lang w:val="fr-CA"/>
              </w:rPr>
              <w:t>Demandeur plaide coupable sous les chefs de complot en vue de produire de la méthamphétamine et d’en faire de trafic, de possession des produits de la criminalité et de trafic de cocaïne</w:t>
            </w:r>
          </w:p>
          <w:p w:rsidR="00BB6BCD" w:rsidRPr="00E6448B" w:rsidRDefault="00BB6BCD" w:rsidP="009C2160">
            <w:pPr>
              <w:rPr>
                <w:sz w:val="20"/>
                <w:lang w:val="fr-CA"/>
              </w:rPr>
            </w:pPr>
          </w:p>
        </w:tc>
      </w:tr>
      <w:tr w:rsidR="00BB6BCD" w:rsidRPr="00A77989" w:rsidTr="004B78B6">
        <w:trPr>
          <w:cantSplit/>
        </w:trPr>
        <w:tc>
          <w:tcPr>
            <w:tcW w:w="2380" w:type="pct"/>
          </w:tcPr>
          <w:p w:rsidR="00BB6BCD" w:rsidRPr="00E6448B" w:rsidRDefault="00BB6BCD" w:rsidP="009C2160">
            <w:pPr>
              <w:rPr>
                <w:sz w:val="20"/>
                <w:lang w:val="fr-CA"/>
              </w:rPr>
            </w:pPr>
            <w:r w:rsidRPr="00E6448B">
              <w:rPr>
                <w:sz w:val="20"/>
                <w:lang w:val="fr-CA"/>
              </w:rPr>
              <w:t>10 février 2011</w:t>
            </w:r>
          </w:p>
          <w:p w:rsidR="00BB6BCD" w:rsidRPr="00E6448B" w:rsidRDefault="00BB6BCD" w:rsidP="009C2160">
            <w:pPr>
              <w:rPr>
                <w:sz w:val="20"/>
                <w:lang w:val="fr-CA"/>
              </w:rPr>
            </w:pPr>
            <w:r w:rsidRPr="00E6448B">
              <w:rPr>
                <w:sz w:val="20"/>
                <w:lang w:val="fr-CA"/>
              </w:rPr>
              <w:t>Cour d’appel de la Colombie</w:t>
            </w:r>
            <w:r w:rsidRPr="00E6448B">
              <w:rPr>
                <w:sz w:val="20"/>
                <w:lang w:val="fr-CA"/>
              </w:rPr>
              <w:noBreakHyphen/>
              <w:t xml:space="preserve">Britannique </w:t>
            </w:r>
          </w:p>
          <w:p w:rsidR="00BB6BCD" w:rsidRPr="00E6448B" w:rsidRDefault="00BB6BCD" w:rsidP="009C2160">
            <w:pPr>
              <w:rPr>
                <w:sz w:val="20"/>
                <w:lang w:val="fr-CA"/>
              </w:rPr>
            </w:pPr>
            <w:r w:rsidRPr="00E6448B">
              <w:rPr>
                <w:sz w:val="20"/>
                <w:lang w:val="fr-CA"/>
              </w:rPr>
              <w:t>(Vancouver)</w:t>
            </w:r>
          </w:p>
          <w:p w:rsidR="00BB6BCD" w:rsidRPr="00E6448B" w:rsidRDefault="00BB6BCD" w:rsidP="009C2160">
            <w:pPr>
              <w:rPr>
                <w:sz w:val="20"/>
                <w:lang w:val="fr-CA"/>
              </w:rPr>
            </w:pPr>
            <w:r w:rsidRPr="00E6448B">
              <w:rPr>
                <w:sz w:val="20"/>
                <w:lang w:val="fr-CA"/>
              </w:rPr>
              <w:t xml:space="preserve">(Juges Finch, Kirkpatrick et Groberman) </w:t>
            </w:r>
          </w:p>
          <w:p w:rsidR="00BB6BCD" w:rsidRPr="00E6448B" w:rsidRDefault="00BB6BCD" w:rsidP="009C2160">
            <w:pPr>
              <w:rPr>
                <w:sz w:val="20"/>
                <w:lang w:val="fr-CA"/>
              </w:rPr>
            </w:pPr>
          </w:p>
        </w:tc>
        <w:tc>
          <w:tcPr>
            <w:tcW w:w="239" w:type="pct"/>
          </w:tcPr>
          <w:p w:rsidR="00BB6BCD" w:rsidRPr="00E6448B" w:rsidRDefault="00BB6BCD" w:rsidP="009C2160">
            <w:pPr>
              <w:rPr>
                <w:sz w:val="20"/>
                <w:lang w:val="fr-CA"/>
              </w:rPr>
            </w:pPr>
          </w:p>
        </w:tc>
        <w:tc>
          <w:tcPr>
            <w:tcW w:w="2381" w:type="pct"/>
          </w:tcPr>
          <w:p w:rsidR="00BB6BCD" w:rsidRPr="00E6448B" w:rsidRDefault="00BB6BCD" w:rsidP="009C2160">
            <w:pPr>
              <w:jc w:val="both"/>
              <w:rPr>
                <w:sz w:val="20"/>
                <w:lang w:val="fr-CA"/>
              </w:rPr>
            </w:pPr>
            <w:r w:rsidRPr="00E6448B">
              <w:rPr>
                <w:sz w:val="20"/>
                <w:lang w:val="fr-CA"/>
              </w:rPr>
              <w:t xml:space="preserve">Appel de l’acquittement interjeté par le ministère public, accueilli, acquittement annulé et nouveau procès ordonné sous le chef d’organisation criminelle </w:t>
            </w:r>
          </w:p>
          <w:p w:rsidR="00BB6BCD" w:rsidRPr="00E6448B" w:rsidRDefault="00BB6BCD" w:rsidP="009C2160">
            <w:pPr>
              <w:rPr>
                <w:sz w:val="20"/>
                <w:lang w:val="fr-CA"/>
              </w:rPr>
            </w:pPr>
          </w:p>
        </w:tc>
      </w:tr>
      <w:tr w:rsidR="00BB6BCD" w:rsidRPr="00E6448B" w:rsidTr="004B78B6">
        <w:trPr>
          <w:cantSplit/>
        </w:trPr>
        <w:tc>
          <w:tcPr>
            <w:tcW w:w="2380" w:type="pct"/>
          </w:tcPr>
          <w:p w:rsidR="00BB6BCD" w:rsidRPr="00E6448B" w:rsidRDefault="00BB6BCD" w:rsidP="009C2160">
            <w:pPr>
              <w:rPr>
                <w:sz w:val="20"/>
                <w:lang w:val="fr-CA"/>
              </w:rPr>
            </w:pPr>
            <w:r w:rsidRPr="00E6448B">
              <w:rPr>
                <w:sz w:val="20"/>
                <w:lang w:val="fr-CA"/>
              </w:rPr>
              <w:t>9 mars 2011</w:t>
            </w:r>
          </w:p>
          <w:p w:rsidR="00BB6BCD" w:rsidRPr="00E6448B" w:rsidRDefault="00BB6BCD" w:rsidP="009C2160">
            <w:pPr>
              <w:rPr>
                <w:sz w:val="20"/>
                <w:lang w:val="fr-CA"/>
              </w:rPr>
            </w:pPr>
            <w:r w:rsidRPr="00E6448B">
              <w:rPr>
                <w:sz w:val="20"/>
                <w:lang w:val="fr-CA"/>
              </w:rPr>
              <w:t>Cour suprême du Canada</w:t>
            </w:r>
          </w:p>
        </w:tc>
        <w:tc>
          <w:tcPr>
            <w:tcW w:w="239" w:type="pct"/>
          </w:tcPr>
          <w:p w:rsidR="00BB6BCD" w:rsidRPr="00E6448B" w:rsidRDefault="00BB6BCD" w:rsidP="009C2160">
            <w:pPr>
              <w:rPr>
                <w:sz w:val="20"/>
                <w:lang w:val="fr-CA"/>
              </w:rPr>
            </w:pPr>
          </w:p>
        </w:tc>
        <w:tc>
          <w:tcPr>
            <w:tcW w:w="2381" w:type="pct"/>
          </w:tcPr>
          <w:p w:rsidR="00BB6BCD" w:rsidRPr="00E6448B" w:rsidRDefault="00BB6BCD" w:rsidP="009C2160">
            <w:pPr>
              <w:rPr>
                <w:sz w:val="20"/>
                <w:lang w:val="fr-CA"/>
              </w:rPr>
            </w:pPr>
            <w:r w:rsidRPr="00E6448B">
              <w:rPr>
                <w:sz w:val="20"/>
                <w:lang w:val="fr-CA"/>
              </w:rPr>
              <w:t>Demande d’autorisation d’appel, déposée</w:t>
            </w:r>
          </w:p>
          <w:p w:rsidR="00BB6BCD" w:rsidRPr="00E6448B" w:rsidRDefault="00BB6BCD" w:rsidP="009C2160">
            <w:pPr>
              <w:rPr>
                <w:sz w:val="20"/>
                <w:lang w:val="fr-CA"/>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53"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B73FA" w:rsidRPr="00BB73FA" w:rsidTr="009F5557">
        <w:trPr>
          <w:cantSplit/>
        </w:trPr>
        <w:tc>
          <w:tcPr>
            <w:tcW w:w="1458" w:type="dxa"/>
          </w:tcPr>
          <w:p w:rsidR="00BB73FA" w:rsidRPr="00BB73FA" w:rsidRDefault="00BB73FA" w:rsidP="009F5557">
            <w:pPr>
              <w:rPr>
                <w:rFonts w:cs="Times New Roman"/>
                <w:sz w:val="20"/>
                <w:szCs w:val="20"/>
              </w:rPr>
            </w:pPr>
            <w:r w:rsidRPr="00BB73FA">
              <w:rPr>
                <w:rStyle w:val="SCCFileNumberChar"/>
                <w:sz w:val="20"/>
                <w:szCs w:val="20"/>
              </w:rPr>
              <w:t>34144</w:t>
            </w:r>
          </w:p>
          <w:p w:rsidR="00BB73FA" w:rsidRPr="00BB73FA" w:rsidRDefault="00BB73FA" w:rsidP="009F5557">
            <w:pPr>
              <w:rPr>
                <w:rFonts w:cs="Times New Roman"/>
                <w:b/>
                <w:sz w:val="20"/>
                <w:szCs w:val="20"/>
                <w:lang w:val="fr-CA"/>
              </w:rPr>
            </w:pPr>
          </w:p>
        </w:tc>
        <w:tc>
          <w:tcPr>
            <w:tcW w:w="8118" w:type="dxa"/>
          </w:tcPr>
          <w:p w:rsidR="00BB73FA" w:rsidRPr="00BB73FA" w:rsidRDefault="00BB73FA" w:rsidP="009F5557">
            <w:pPr>
              <w:rPr>
                <w:rFonts w:cs="Times New Roman"/>
                <w:sz w:val="20"/>
                <w:szCs w:val="20"/>
              </w:rPr>
            </w:pPr>
            <w:r w:rsidRPr="00BB73FA">
              <w:rPr>
                <w:rStyle w:val="SCCLsocChar"/>
                <w:rFonts w:cs="Times New Roman"/>
                <w:sz w:val="20"/>
                <w:szCs w:val="20"/>
                <w:lang w:val="en-CA"/>
              </w:rPr>
              <w:t>Her Majesty the Queen v. John H. Craig</w:t>
            </w:r>
            <w:r w:rsidRPr="00BB73FA">
              <w:rPr>
                <w:rFonts w:cs="Times New Roman"/>
                <w:sz w:val="20"/>
                <w:szCs w:val="20"/>
              </w:rPr>
              <w:t xml:space="preserve"> (F</w:t>
            </w:r>
            <w:r>
              <w:rPr>
                <w:rFonts w:cs="Times New Roman"/>
                <w:sz w:val="20"/>
                <w:szCs w:val="20"/>
              </w:rPr>
              <w:t>.</w:t>
            </w:r>
            <w:r w:rsidRPr="00BB73FA">
              <w:rPr>
                <w:rFonts w:cs="Times New Roman"/>
                <w:sz w:val="20"/>
                <w:szCs w:val="20"/>
              </w:rPr>
              <w:t>C</w:t>
            </w:r>
            <w:r>
              <w:rPr>
                <w:rFonts w:cs="Times New Roman"/>
                <w:sz w:val="20"/>
                <w:szCs w:val="20"/>
              </w:rPr>
              <w:t>.</w:t>
            </w:r>
            <w:r w:rsidRPr="00BB73FA">
              <w:rPr>
                <w:rFonts w:cs="Times New Roman"/>
                <w:sz w:val="20"/>
                <w:szCs w:val="20"/>
              </w:rPr>
              <w:t>) (Civil) (By Leave)</w:t>
            </w:r>
          </w:p>
          <w:p w:rsidR="00BB73FA" w:rsidRPr="00BB73FA" w:rsidRDefault="00BB73FA" w:rsidP="009F5557">
            <w:pPr>
              <w:rPr>
                <w:rFonts w:cs="Times New Roman"/>
                <w:sz w:val="20"/>
                <w:szCs w:val="20"/>
              </w:rPr>
            </w:pPr>
          </w:p>
        </w:tc>
      </w:tr>
      <w:tr w:rsidR="00BB73FA" w:rsidRPr="00BB73FA" w:rsidTr="009F5557">
        <w:trPr>
          <w:cantSplit/>
        </w:trPr>
        <w:tc>
          <w:tcPr>
            <w:tcW w:w="1458" w:type="dxa"/>
          </w:tcPr>
          <w:p w:rsidR="00BB73FA" w:rsidRPr="00BB73FA" w:rsidRDefault="00BB73FA" w:rsidP="009F5557">
            <w:pPr>
              <w:rPr>
                <w:rFonts w:cs="Times New Roman"/>
                <w:sz w:val="20"/>
                <w:szCs w:val="20"/>
              </w:rPr>
            </w:pPr>
            <w:r w:rsidRPr="00BB73FA">
              <w:rPr>
                <w:rFonts w:cs="Times New Roman"/>
                <w:sz w:val="20"/>
                <w:szCs w:val="20"/>
              </w:rPr>
              <w:t>Coram :</w:t>
            </w:r>
          </w:p>
        </w:tc>
        <w:tc>
          <w:tcPr>
            <w:tcW w:w="8118" w:type="dxa"/>
          </w:tcPr>
          <w:p w:rsidR="00BB73FA" w:rsidRPr="00BB73FA" w:rsidRDefault="00BB73FA" w:rsidP="009F5557">
            <w:pPr>
              <w:rPr>
                <w:rFonts w:cs="Times New Roman"/>
                <w:sz w:val="20"/>
                <w:szCs w:val="20"/>
              </w:rPr>
            </w:pPr>
            <w:r w:rsidRPr="00BB73FA">
              <w:rPr>
                <w:rStyle w:val="SCCCoramChar"/>
                <w:rFonts w:cs="Times New Roman"/>
                <w:sz w:val="20"/>
                <w:szCs w:val="20"/>
                <w:lang w:val="en-CA"/>
              </w:rPr>
              <w:t>Binnie, Abella and Rothstein JJ.</w:t>
            </w:r>
          </w:p>
          <w:p w:rsidR="00BB73FA" w:rsidRPr="00BB73FA" w:rsidRDefault="00BB73FA" w:rsidP="009F5557">
            <w:pPr>
              <w:rPr>
                <w:rFonts w:cs="Times New Roman"/>
                <w:sz w:val="20"/>
                <w:szCs w:val="20"/>
                <w:u w:val="single"/>
              </w:rPr>
            </w:pPr>
          </w:p>
        </w:tc>
      </w:tr>
      <w:tr w:rsidR="00BB73FA" w:rsidRPr="00BB73FA" w:rsidTr="009F5557">
        <w:trPr>
          <w:cantSplit/>
        </w:trPr>
        <w:tc>
          <w:tcPr>
            <w:tcW w:w="9576" w:type="dxa"/>
            <w:gridSpan w:val="2"/>
          </w:tcPr>
          <w:p w:rsidR="00BB73FA" w:rsidRPr="00BB73FA" w:rsidRDefault="00BB73FA" w:rsidP="009F5557">
            <w:pPr>
              <w:pStyle w:val="SCCShortJudgment"/>
              <w:rPr>
                <w:rFonts w:cs="Times New Roman"/>
                <w:szCs w:val="20"/>
              </w:rPr>
            </w:pPr>
            <w:r w:rsidRPr="00BB73FA">
              <w:rPr>
                <w:rFonts w:cs="Times New Roman"/>
                <w:szCs w:val="20"/>
              </w:rPr>
              <w:t>The application for leave to appeal from the judgment of the Federal Court of Appeal, Numbers A-20-10 and A-19-10, 2011 FCA 22, dated January 21, 2011, is granted with costs in the cause.</w:t>
            </w:r>
          </w:p>
          <w:p w:rsidR="00BB73FA" w:rsidRPr="00BB73FA" w:rsidRDefault="00BB73FA" w:rsidP="009F5557">
            <w:pPr>
              <w:pStyle w:val="SCCShortJudgment"/>
              <w:ind w:firstLine="0"/>
              <w:rPr>
                <w:rFonts w:cs="Times New Roman"/>
                <w:szCs w:val="20"/>
              </w:rPr>
            </w:pPr>
          </w:p>
          <w:p w:rsidR="00BB73FA" w:rsidRPr="00BB73FA" w:rsidRDefault="00BB73FA" w:rsidP="00BB73FA">
            <w:pPr>
              <w:pStyle w:val="SCCShortJudgment"/>
              <w:rPr>
                <w:rFonts w:cs="Times New Roman"/>
                <w:szCs w:val="20"/>
                <w:lang w:val="fr-CA"/>
              </w:rPr>
            </w:pPr>
            <w:r w:rsidRPr="00BB73FA">
              <w:rPr>
                <w:rFonts w:cs="Times New Roman"/>
                <w:szCs w:val="20"/>
                <w:lang w:val="fr-CA"/>
              </w:rPr>
              <w:t>La demande d’autorisation d’appel de l’arrêt de la Cour d’appel fédérale, numéros A-20-10 et A-19-10, 2011 CAF 22, daté du 21 janvier 2011, est accordée avec dépens suivant l’issue de la cause.</w:t>
            </w:r>
          </w:p>
        </w:tc>
      </w:tr>
    </w:tbl>
    <w:p w:rsidR="00BB73FA" w:rsidRPr="00BB73FA" w:rsidRDefault="00BB73FA"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6BCD" w:rsidRPr="00E6448B" w:rsidTr="009C2160">
        <w:tc>
          <w:tcPr>
            <w:tcW w:w="5000" w:type="pct"/>
            <w:gridSpan w:val="3"/>
          </w:tcPr>
          <w:p w:rsidR="00BB6BCD" w:rsidRPr="00E6448B" w:rsidRDefault="00BB6BCD" w:rsidP="009C2160">
            <w:pPr>
              <w:jc w:val="both"/>
              <w:rPr>
                <w:sz w:val="20"/>
              </w:rPr>
            </w:pPr>
            <w:r w:rsidRPr="00E6448B">
              <w:rPr>
                <w:sz w:val="20"/>
              </w:rPr>
              <w:t xml:space="preserve">Taxation — Income tax — “chief source of income” — Statutory interpretation — Stare decisis — Whether the test to </w:t>
            </w:r>
            <w:r w:rsidRPr="00E6448B">
              <w:rPr>
                <w:sz w:val="20"/>
              </w:rPr>
              <w:lastRenderedPageBreak/>
              <w:t xml:space="preserve">determine whether or not farming is a “chief source” of income under s. 31(1) of the </w:t>
            </w:r>
            <w:r w:rsidRPr="00E6448B">
              <w:rPr>
                <w:i/>
                <w:sz w:val="20"/>
              </w:rPr>
              <w:t xml:space="preserve">Income Tax </w:t>
            </w:r>
            <w:r w:rsidRPr="00E6448B">
              <w:rPr>
                <w:sz w:val="20"/>
              </w:rPr>
              <w:t xml:space="preserve">Act continues to be the decision of this Court in </w:t>
            </w:r>
            <w:r w:rsidRPr="00E6448B">
              <w:rPr>
                <w:i/>
                <w:sz w:val="20"/>
              </w:rPr>
              <w:t>Moldowan v. Canada</w:t>
            </w:r>
            <w:r w:rsidRPr="00E6448B">
              <w:rPr>
                <w:sz w:val="20"/>
              </w:rPr>
              <w:t xml:space="preserve">, [1978] 1 S.C.R. 480 — Whether an appellate court is bound by a previous decision of that court when it is inconsistent with a prior decision of this Court — s. 31(1) </w:t>
            </w:r>
            <w:r w:rsidRPr="00E6448B">
              <w:rPr>
                <w:i/>
                <w:sz w:val="20"/>
              </w:rPr>
              <w:t>Income Tax Act</w:t>
            </w:r>
            <w:r w:rsidRPr="00E6448B">
              <w:rPr>
                <w:sz w:val="20"/>
              </w:rPr>
              <w:t>, R.S.C. 1985, c. 1 (5th Supp.).</w:t>
            </w:r>
          </w:p>
          <w:p w:rsidR="00BB6BCD" w:rsidRPr="00E6448B" w:rsidRDefault="00BB6BCD" w:rsidP="009C2160">
            <w:pPr>
              <w:rPr>
                <w:sz w:val="20"/>
              </w:rPr>
            </w:pPr>
          </w:p>
        </w:tc>
      </w:tr>
      <w:tr w:rsidR="00BB6BCD" w:rsidRPr="00E6448B" w:rsidTr="009C2160">
        <w:tc>
          <w:tcPr>
            <w:tcW w:w="5000" w:type="pct"/>
            <w:gridSpan w:val="3"/>
          </w:tcPr>
          <w:p w:rsidR="00BB6BCD" w:rsidRPr="00E6448B" w:rsidRDefault="00BB6BCD" w:rsidP="009C2160">
            <w:pPr>
              <w:jc w:val="both"/>
              <w:rPr>
                <w:sz w:val="20"/>
              </w:rPr>
            </w:pPr>
            <w:r w:rsidRPr="00E6448B">
              <w:rPr>
                <w:sz w:val="20"/>
              </w:rPr>
              <w:lastRenderedPageBreak/>
              <w:t xml:space="preserve">While earning most of his income in the taxation years 2000 and 2001 as a partner of a Toronto law firm, the Respondent, John Craig, also had income from a business comprising the buying, selling, breeding, and racing of standardbred horses, as well as from investments.  The Minister disallowed the losses as deducted by Mr. Craig in the 2000 and 2001 taxation years in respect of the horse business.  Relying on s. 31(1) of the </w:t>
            </w:r>
            <w:r w:rsidRPr="00E6448B">
              <w:rPr>
                <w:i/>
                <w:sz w:val="20"/>
              </w:rPr>
              <w:t>Income Tax Act</w:t>
            </w:r>
            <w:r w:rsidRPr="00E6448B">
              <w:rPr>
                <w:sz w:val="20"/>
              </w:rPr>
              <w:t>, R.S.C. 1985, c. 1 (5th Supp.), the Minister restricted Mr. Craig’s allowable deductions from horse operation to $8,750 for each year.  While it was agreed that Mr. Craig’s horse activities constitute "farming" for the purpose of s. 31, and the income from the horse business was not Mr. Craig’s "chief source of income" in the taxation years in question, the dispute was whether "a combination of farming and some other source of income" (in this case, Mr Craig’s law practice) constituted his "chief source of income" as provided for in s. 31.  If those combined income sources were accepted as his “chief source of income”, as Mr. Craig maintained, the restrictions under s. 31 would not apply.  However, in reassessing Mr. Craig’s income tax returns, the Minister confirmed the initial assessment that s. 31 applied, and therefore he was subject to the restrictions imposed by s. 31 on the losses that a taxpayer may deduct from farming.  Mr. Craig appealed against the Minister’s reassessments.</w:t>
            </w:r>
          </w:p>
          <w:p w:rsidR="00BB6BCD" w:rsidRPr="00E6448B" w:rsidRDefault="00BB6BCD" w:rsidP="009C2160">
            <w:pPr>
              <w:jc w:val="both"/>
              <w:rPr>
                <w:sz w:val="20"/>
              </w:rPr>
            </w:pPr>
          </w:p>
          <w:p w:rsidR="00BB6BCD" w:rsidRPr="00E6448B" w:rsidRDefault="00BB6BCD" w:rsidP="009C2160">
            <w:pPr>
              <w:jc w:val="both"/>
              <w:rPr>
                <w:sz w:val="20"/>
              </w:rPr>
            </w:pPr>
            <w:r w:rsidRPr="00E6448B">
              <w:rPr>
                <w:sz w:val="20"/>
              </w:rPr>
              <w:t>The Tax Court of Canada allowed the taxpayer’s appeals from the Minister’s reassessments.  The Federal Court of Appeal dismissed the Minister’s appeal.</w:t>
            </w:r>
          </w:p>
          <w:p w:rsidR="00BB6BCD" w:rsidRPr="00E6448B" w:rsidRDefault="00BB6BCD" w:rsidP="009C2160">
            <w:pPr>
              <w:rPr>
                <w:sz w:val="20"/>
              </w:rPr>
            </w:pPr>
          </w:p>
        </w:tc>
      </w:tr>
      <w:tr w:rsidR="00BB6BCD" w:rsidRPr="00E6448B" w:rsidTr="009C2160">
        <w:tc>
          <w:tcPr>
            <w:tcW w:w="2427" w:type="pct"/>
          </w:tcPr>
          <w:p w:rsidR="00BB6BCD" w:rsidRPr="00E6448B" w:rsidRDefault="00BB6BCD" w:rsidP="009C2160">
            <w:pPr>
              <w:rPr>
                <w:sz w:val="20"/>
              </w:rPr>
            </w:pPr>
            <w:r w:rsidRPr="00E6448B">
              <w:rPr>
                <w:sz w:val="20"/>
              </w:rPr>
              <w:t>December 17, 2009</w:t>
            </w:r>
          </w:p>
          <w:p w:rsidR="00BB6BCD" w:rsidRPr="00E6448B" w:rsidRDefault="00BB6BCD" w:rsidP="009C2160">
            <w:pPr>
              <w:rPr>
                <w:sz w:val="20"/>
              </w:rPr>
            </w:pPr>
            <w:r w:rsidRPr="00E6448B">
              <w:rPr>
                <w:sz w:val="20"/>
              </w:rPr>
              <w:t>Tax Court of Canada</w:t>
            </w:r>
          </w:p>
          <w:p w:rsidR="00BB6BCD" w:rsidRPr="00E6448B" w:rsidRDefault="00BB6BCD" w:rsidP="009C2160">
            <w:pPr>
              <w:rPr>
                <w:sz w:val="20"/>
              </w:rPr>
            </w:pPr>
            <w:r w:rsidRPr="00E6448B">
              <w:rPr>
                <w:sz w:val="20"/>
              </w:rPr>
              <w:t>(Hershfield J.)</w:t>
            </w:r>
          </w:p>
        </w:tc>
        <w:tc>
          <w:tcPr>
            <w:tcW w:w="243" w:type="pct"/>
          </w:tcPr>
          <w:p w:rsidR="00BB6BCD" w:rsidRPr="00E6448B" w:rsidRDefault="00BB6BCD" w:rsidP="009C2160">
            <w:pPr>
              <w:rPr>
                <w:sz w:val="20"/>
              </w:rPr>
            </w:pPr>
          </w:p>
        </w:tc>
        <w:tc>
          <w:tcPr>
            <w:tcW w:w="2330" w:type="pct"/>
          </w:tcPr>
          <w:p w:rsidR="00BB6BCD" w:rsidRPr="00E6448B" w:rsidRDefault="00BB6BCD" w:rsidP="009C2160">
            <w:pPr>
              <w:jc w:val="both"/>
              <w:rPr>
                <w:sz w:val="20"/>
              </w:rPr>
            </w:pPr>
            <w:r w:rsidRPr="00E6448B">
              <w:rPr>
                <w:sz w:val="20"/>
              </w:rPr>
              <w:t xml:space="preserve">Respondent’s appeal from the reassessment made under the </w:t>
            </w:r>
            <w:r w:rsidRPr="00E6448B">
              <w:rPr>
                <w:i/>
                <w:sz w:val="20"/>
              </w:rPr>
              <w:t>Income Tax Act</w:t>
            </w:r>
            <w:r w:rsidRPr="00E6448B">
              <w:rPr>
                <w:sz w:val="20"/>
              </w:rPr>
              <w:t>, allowed; reassessment referred back to Minister of National Revenue for reconsideration.</w:t>
            </w:r>
          </w:p>
          <w:p w:rsidR="00BB6BCD" w:rsidRPr="00E6448B" w:rsidRDefault="00BB6BCD" w:rsidP="009C2160">
            <w:pPr>
              <w:rPr>
                <w:sz w:val="20"/>
              </w:rPr>
            </w:pPr>
          </w:p>
        </w:tc>
      </w:tr>
      <w:tr w:rsidR="00BB6BCD" w:rsidRPr="00E6448B" w:rsidTr="009C2160">
        <w:tc>
          <w:tcPr>
            <w:tcW w:w="2427" w:type="pct"/>
          </w:tcPr>
          <w:p w:rsidR="00BB6BCD" w:rsidRPr="00E6448B" w:rsidRDefault="00BB6BCD" w:rsidP="009C2160">
            <w:pPr>
              <w:rPr>
                <w:sz w:val="20"/>
              </w:rPr>
            </w:pPr>
            <w:r w:rsidRPr="00E6448B">
              <w:rPr>
                <w:sz w:val="20"/>
              </w:rPr>
              <w:t>January 21, 2011</w:t>
            </w:r>
          </w:p>
          <w:p w:rsidR="00BB6BCD" w:rsidRPr="00E6448B" w:rsidRDefault="00BB6BCD" w:rsidP="009C2160">
            <w:pPr>
              <w:rPr>
                <w:sz w:val="20"/>
              </w:rPr>
            </w:pPr>
            <w:r w:rsidRPr="00E6448B">
              <w:rPr>
                <w:sz w:val="20"/>
              </w:rPr>
              <w:t>Federal Court of Appeal</w:t>
            </w:r>
          </w:p>
          <w:p w:rsidR="00BB6BCD" w:rsidRPr="00E6448B" w:rsidRDefault="00BB6BCD" w:rsidP="009C2160">
            <w:pPr>
              <w:rPr>
                <w:sz w:val="20"/>
              </w:rPr>
            </w:pPr>
            <w:r w:rsidRPr="00E6448B">
              <w:rPr>
                <w:sz w:val="20"/>
              </w:rPr>
              <w:t>(Evans, Dawson and Stratas JJ.A.)</w:t>
            </w:r>
          </w:p>
          <w:p w:rsidR="00BB6BCD" w:rsidRPr="00E6448B" w:rsidRDefault="00BB6BCD" w:rsidP="009C2160">
            <w:pPr>
              <w:rPr>
                <w:sz w:val="20"/>
              </w:rPr>
            </w:pPr>
          </w:p>
        </w:tc>
        <w:tc>
          <w:tcPr>
            <w:tcW w:w="243" w:type="pct"/>
          </w:tcPr>
          <w:p w:rsidR="00BB6BCD" w:rsidRPr="00E6448B" w:rsidRDefault="00BB6BCD" w:rsidP="009C2160">
            <w:pPr>
              <w:rPr>
                <w:sz w:val="20"/>
              </w:rPr>
            </w:pPr>
          </w:p>
        </w:tc>
        <w:tc>
          <w:tcPr>
            <w:tcW w:w="2330" w:type="pct"/>
          </w:tcPr>
          <w:p w:rsidR="00BB6BCD" w:rsidRPr="00E6448B" w:rsidRDefault="00BB6BCD" w:rsidP="009C2160">
            <w:pPr>
              <w:rPr>
                <w:sz w:val="20"/>
              </w:rPr>
            </w:pPr>
            <w:r w:rsidRPr="00E6448B">
              <w:rPr>
                <w:sz w:val="20"/>
              </w:rPr>
              <w:t>Applicant’s appeal, dismissed.</w:t>
            </w:r>
          </w:p>
          <w:p w:rsidR="00BB6BCD" w:rsidRPr="00E6448B" w:rsidRDefault="00BB6BCD" w:rsidP="009C2160">
            <w:pPr>
              <w:rPr>
                <w:sz w:val="20"/>
              </w:rPr>
            </w:pPr>
          </w:p>
          <w:p w:rsidR="00BB6BCD" w:rsidRPr="00E6448B" w:rsidRDefault="00BB6BCD" w:rsidP="009C2160">
            <w:pPr>
              <w:rPr>
                <w:sz w:val="20"/>
              </w:rPr>
            </w:pPr>
          </w:p>
        </w:tc>
      </w:tr>
      <w:tr w:rsidR="00BB6BCD" w:rsidRPr="00E6448B" w:rsidTr="009C2160">
        <w:tc>
          <w:tcPr>
            <w:tcW w:w="2427" w:type="pct"/>
          </w:tcPr>
          <w:p w:rsidR="00BB6BCD" w:rsidRPr="00E6448B" w:rsidRDefault="00BB6BCD" w:rsidP="009C2160">
            <w:pPr>
              <w:rPr>
                <w:sz w:val="20"/>
              </w:rPr>
            </w:pPr>
            <w:r w:rsidRPr="00E6448B">
              <w:rPr>
                <w:sz w:val="20"/>
              </w:rPr>
              <w:t>March 22, 2011</w:t>
            </w:r>
          </w:p>
          <w:p w:rsidR="00BB6BCD" w:rsidRPr="00E6448B" w:rsidRDefault="00BB6BCD" w:rsidP="009C2160">
            <w:pPr>
              <w:rPr>
                <w:sz w:val="20"/>
              </w:rPr>
            </w:pPr>
            <w:r w:rsidRPr="00E6448B">
              <w:rPr>
                <w:sz w:val="20"/>
              </w:rPr>
              <w:t>Supreme Court of Canada</w:t>
            </w:r>
          </w:p>
        </w:tc>
        <w:tc>
          <w:tcPr>
            <w:tcW w:w="243" w:type="pct"/>
          </w:tcPr>
          <w:p w:rsidR="00BB6BCD" w:rsidRPr="00E6448B" w:rsidRDefault="00BB6BCD" w:rsidP="009C2160">
            <w:pPr>
              <w:rPr>
                <w:sz w:val="20"/>
              </w:rPr>
            </w:pPr>
          </w:p>
        </w:tc>
        <w:tc>
          <w:tcPr>
            <w:tcW w:w="2330" w:type="pct"/>
          </w:tcPr>
          <w:p w:rsidR="00BB6BCD" w:rsidRPr="00E6448B" w:rsidRDefault="00BB6BCD" w:rsidP="009C2160">
            <w:pPr>
              <w:rPr>
                <w:sz w:val="20"/>
              </w:rPr>
            </w:pPr>
            <w:r w:rsidRPr="00E6448B">
              <w:rPr>
                <w:sz w:val="20"/>
              </w:rPr>
              <w:t>Application for leave to appeal, filed</w:t>
            </w:r>
          </w:p>
          <w:p w:rsidR="00BB6BCD" w:rsidRPr="00E6448B" w:rsidRDefault="00BB6BCD" w:rsidP="009C2160">
            <w:pPr>
              <w:rPr>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54"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B6BCD" w:rsidRPr="00A77989" w:rsidTr="009C2160">
        <w:tc>
          <w:tcPr>
            <w:tcW w:w="5000" w:type="pct"/>
            <w:gridSpan w:val="3"/>
          </w:tcPr>
          <w:p w:rsidR="00BB6BCD" w:rsidRPr="00E6448B" w:rsidRDefault="00BB6BCD" w:rsidP="009C2160">
            <w:pPr>
              <w:jc w:val="both"/>
              <w:rPr>
                <w:sz w:val="20"/>
                <w:lang w:val="fr-CA"/>
              </w:rPr>
            </w:pPr>
            <w:r w:rsidRPr="00E6448B">
              <w:rPr>
                <w:sz w:val="20"/>
                <w:lang w:val="fr-CA"/>
              </w:rPr>
              <w:t>Droit fiscal — Impôt sur le revenu — « Source principale de revenu » — Interprétation de la loi — Stare decisis — Le critère qui permet de savoir si l’agriculture est une « source principale » de revenu aux termes du par. 31(1) de la</w:t>
            </w:r>
            <w:r w:rsidRPr="00E6448B">
              <w:rPr>
                <w:i/>
                <w:sz w:val="20"/>
                <w:lang w:val="fr-CA"/>
              </w:rPr>
              <w:t xml:space="preserve"> Loi de l’impôt sur le revenu</w:t>
            </w:r>
            <w:r w:rsidRPr="00E6448B">
              <w:rPr>
                <w:sz w:val="20"/>
                <w:lang w:val="fr-CA"/>
              </w:rPr>
              <w:t xml:space="preserve"> continue</w:t>
            </w:r>
            <w:r w:rsidRPr="00E6448B">
              <w:rPr>
                <w:sz w:val="20"/>
                <w:lang w:val="fr-CA"/>
              </w:rPr>
              <w:noBreakHyphen/>
              <w:t>t</w:t>
            </w:r>
            <w:r w:rsidRPr="00E6448B">
              <w:rPr>
                <w:sz w:val="20"/>
                <w:lang w:val="fr-CA"/>
              </w:rPr>
              <w:noBreakHyphen/>
              <w:t xml:space="preserve">il d’être celui l’arrêt de cette Cour dans l’affaire </w:t>
            </w:r>
            <w:r w:rsidRPr="00E6448B">
              <w:rPr>
                <w:i/>
                <w:sz w:val="20"/>
                <w:lang w:val="fr-CA"/>
              </w:rPr>
              <w:t>Moldowan c. Canada</w:t>
            </w:r>
            <w:r w:rsidRPr="00E6448B">
              <w:rPr>
                <w:sz w:val="20"/>
                <w:lang w:val="fr-CA"/>
              </w:rPr>
              <w:t>, [1978] 1 R.C.S. 480? — Un tribunal d’appel est</w:t>
            </w:r>
            <w:r w:rsidRPr="00E6448B">
              <w:rPr>
                <w:sz w:val="20"/>
                <w:lang w:val="fr-CA"/>
              </w:rPr>
              <w:noBreakHyphen/>
              <w:t>il lié par un arrêt qu’il a déjà rendu lorsqu’il est incompatible avec un arrêt de cette Cour? — Par. 31(1)</w:t>
            </w:r>
            <w:r w:rsidRPr="00E6448B">
              <w:rPr>
                <w:i/>
                <w:sz w:val="20"/>
                <w:lang w:val="fr-CA"/>
              </w:rPr>
              <w:t xml:space="preserve"> Loi de l’impôt sur le revenu</w:t>
            </w:r>
            <w:r w:rsidRPr="00E6448B">
              <w:rPr>
                <w:sz w:val="20"/>
                <w:lang w:val="fr-CA"/>
              </w:rPr>
              <w:t>, L.R.C. 1985, ch. 1 (5</w:t>
            </w:r>
            <w:r w:rsidRPr="00E6448B">
              <w:rPr>
                <w:sz w:val="20"/>
                <w:vertAlign w:val="superscript"/>
                <w:lang w:val="fr-CA"/>
              </w:rPr>
              <w:t>e</w:t>
            </w:r>
            <w:r w:rsidRPr="00E6448B">
              <w:rPr>
                <w:sz w:val="20"/>
                <w:lang w:val="fr-CA"/>
              </w:rPr>
              <w:t xml:space="preserve"> suppl.).</w:t>
            </w:r>
          </w:p>
          <w:p w:rsidR="00BB6BCD" w:rsidRPr="00E6448B" w:rsidRDefault="00BB6BCD" w:rsidP="009C2160">
            <w:pPr>
              <w:rPr>
                <w:sz w:val="20"/>
                <w:lang w:val="fr-CA"/>
              </w:rPr>
            </w:pPr>
          </w:p>
        </w:tc>
      </w:tr>
      <w:tr w:rsidR="00BB6BCD" w:rsidRPr="00E6448B" w:rsidTr="009C2160">
        <w:tc>
          <w:tcPr>
            <w:tcW w:w="5000" w:type="pct"/>
            <w:gridSpan w:val="3"/>
          </w:tcPr>
          <w:p w:rsidR="00BB6BCD" w:rsidRPr="00E6448B" w:rsidRDefault="00BB6BCD" w:rsidP="009C2160">
            <w:pPr>
              <w:jc w:val="both"/>
              <w:rPr>
                <w:sz w:val="20"/>
                <w:lang w:val="fr-CA"/>
              </w:rPr>
            </w:pPr>
            <w:r w:rsidRPr="00E6448B">
              <w:rPr>
                <w:sz w:val="20"/>
                <w:lang w:val="fr-CA"/>
              </w:rPr>
              <w:t xml:space="preserve">Bien qu’il ait gagné la majeure partie de ses revenus durant les années d’imposition 2000 et 2001 à titre d’associé au sein d’un cabinet d’avocats de Toronto, l’intimé, John Craig, avait des revenus tirés d’une entreprise qui se consacrait à l’achat, à la vente et à l’élevage de chevaux ainsi qu’à des activités relatives aux courses de chevaux de race Standardbred, ainsi que des revenus de placements.  Le ministre a refusé les pertes déduites par M. Craig pour son entreprise de chevaux dans les années d’imposition 2000 et 2001.  S’appuyant sur le paragraphe 31(1) de la </w:t>
            </w:r>
            <w:r w:rsidRPr="00E6448B">
              <w:rPr>
                <w:i/>
                <w:iCs/>
                <w:sz w:val="20"/>
                <w:lang w:val="fr-CA"/>
              </w:rPr>
              <w:t>Loi de l’impôt sur le revenu</w:t>
            </w:r>
            <w:r w:rsidRPr="00E6448B">
              <w:rPr>
                <w:sz w:val="20"/>
                <w:lang w:val="fr-CA"/>
              </w:rPr>
              <w:t>,</w:t>
            </w:r>
            <w:bookmarkStart w:id="1" w:name="reflex-statute-25711942"/>
            <w:bookmarkEnd w:id="1"/>
            <w:r w:rsidRPr="00E6448B">
              <w:rPr>
                <w:sz w:val="20"/>
                <w:lang w:val="fr-CA"/>
              </w:rPr>
              <w:t xml:space="preserve"> L.R.C. 1985, ch. 1 (5</w:t>
            </w:r>
            <w:r w:rsidRPr="00E6448B">
              <w:rPr>
                <w:sz w:val="20"/>
                <w:vertAlign w:val="superscript"/>
                <w:lang w:val="fr-CA"/>
              </w:rPr>
              <w:t>e</w:t>
            </w:r>
            <w:r w:rsidRPr="00E6448B">
              <w:rPr>
                <w:sz w:val="20"/>
                <w:lang w:val="fr-CA"/>
              </w:rPr>
              <w:t xml:space="preserve"> suppl.), le ministre a limité les déductions admises provenant de l’exploitation de son entreprise de chevaux à 8 750 $ pour chaque année d’imposition.  Même s’il était convenu que </w:t>
            </w:r>
            <w:r w:rsidRPr="00E6448B">
              <w:rPr>
                <w:sz w:val="20"/>
                <w:lang w:val="fr-CA"/>
              </w:rPr>
              <w:lastRenderedPageBreak/>
              <w:t>les activités relatives aux chevaux de M. Craig constituaient de « l’agriculture » aux fins de l’article 31, et que le revenu tiré de l’entreprise de chevaux n’était pas la « source principale de revenu » de M. Craig durant les années d’imposition en question, la question en litige consistait à savoir si « une combinaison de l’agriculture et de quelque autre source de revenu » (en l’espèce, la pratique du droit de M. Craig) constituait sa « principale source de revenu » aux termes de l’art. 31.  Si ces diverses sources de revenu prises ensemble étaient effectivement admises comme sa « principale source de revenu », comme l’a soutenu M. Craig, les restrictions prévues à l’article 31 ne s’appliqueraient pas.  Toutefois, dans la nouvelle cotisation des déclarations de revenus de M. Craig, le ministre a confirmé la cotisation initiale selon laquelle l’article 31 s’appliquait, auquel cas il était assujetti aux restrictions imposées par cet article sur les pertes qu’un contribuable peut déduire de l’agriculture.  Monsieur Craig a interjeté appel des nouvelles cotisations du ministre.</w:t>
            </w:r>
          </w:p>
          <w:p w:rsidR="00BB6BCD" w:rsidRPr="00E6448B" w:rsidRDefault="00BB6BCD" w:rsidP="009C2160">
            <w:pPr>
              <w:jc w:val="both"/>
              <w:rPr>
                <w:sz w:val="20"/>
                <w:lang w:val="fr-CA"/>
              </w:rPr>
            </w:pPr>
          </w:p>
          <w:p w:rsidR="00BB6BCD" w:rsidRPr="00E6448B" w:rsidRDefault="00BB6BCD" w:rsidP="009C2160">
            <w:pPr>
              <w:jc w:val="both"/>
              <w:rPr>
                <w:sz w:val="20"/>
                <w:lang w:val="fr-CA"/>
              </w:rPr>
            </w:pPr>
            <w:r w:rsidRPr="00E6448B">
              <w:rPr>
                <w:sz w:val="20"/>
                <w:lang w:val="fr-CA"/>
              </w:rPr>
              <w:t>La Cour canadienne de l’impôt a accueilli les appels du contribuable à l’égard des nouvelles cotisations du ministre.  La Cour d’appel fédérale a rejeté l’appel du ministre.</w:t>
            </w:r>
          </w:p>
          <w:p w:rsidR="00BB6BCD" w:rsidRPr="00E6448B" w:rsidRDefault="00BB6BCD" w:rsidP="009C2160">
            <w:pPr>
              <w:rPr>
                <w:sz w:val="20"/>
                <w:lang w:val="fr-CA"/>
              </w:rPr>
            </w:pPr>
          </w:p>
        </w:tc>
      </w:tr>
      <w:tr w:rsidR="00BB6BCD" w:rsidRPr="00A77989" w:rsidTr="00BB73FA">
        <w:trPr>
          <w:cantSplit/>
        </w:trPr>
        <w:tc>
          <w:tcPr>
            <w:tcW w:w="2427" w:type="pct"/>
          </w:tcPr>
          <w:p w:rsidR="00BB6BCD" w:rsidRPr="00E6448B" w:rsidRDefault="00BB6BCD" w:rsidP="009C2160">
            <w:pPr>
              <w:rPr>
                <w:sz w:val="20"/>
                <w:lang w:val="fr-CA"/>
              </w:rPr>
            </w:pPr>
            <w:r w:rsidRPr="00E6448B">
              <w:rPr>
                <w:sz w:val="20"/>
                <w:lang w:val="fr-CA"/>
              </w:rPr>
              <w:lastRenderedPageBreak/>
              <w:t>17 décembre 2009</w:t>
            </w:r>
          </w:p>
          <w:p w:rsidR="00BB6BCD" w:rsidRPr="00E6448B" w:rsidRDefault="00BB6BCD" w:rsidP="009C2160">
            <w:pPr>
              <w:rPr>
                <w:sz w:val="20"/>
                <w:lang w:val="fr-CA"/>
              </w:rPr>
            </w:pPr>
            <w:r w:rsidRPr="00E6448B">
              <w:rPr>
                <w:sz w:val="20"/>
                <w:lang w:val="fr-CA"/>
              </w:rPr>
              <w:t xml:space="preserve">Cour canadienne de l’impôt </w:t>
            </w:r>
          </w:p>
          <w:p w:rsidR="00BB6BCD" w:rsidRPr="00E6448B" w:rsidRDefault="00BB6BCD" w:rsidP="009C2160">
            <w:pPr>
              <w:rPr>
                <w:sz w:val="20"/>
                <w:lang w:val="fr-CA"/>
              </w:rPr>
            </w:pPr>
            <w:r w:rsidRPr="00E6448B">
              <w:rPr>
                <w:sz w:val="20"/>
                <w:lang w:val="fr-CA"/>
              </w:rPr>
              <w:t>(Juge Hershfield)</w:t>
            </w:r>
          </w:p>
        </w:tc>
        <w:tc>
          <w:tcPr>
            <w:tcW w:w="243" w:type="pct"/>
          </w:tcPr>
          <w:p w:rsidR="00BB6BCD" w:rsidRPr="00E6448B" w:rsidRDefault="00BB6BCD" w:rsidP="009C2160">
            <w:pPr>
              <w:rPr>
                <w:sz w:val="20"/>
                <w:lang w:val="fr-CA"/>
              </w:rPr>
            </w:pPr>
          </w:p>
        </w:tc>
        <w:tc>
          <w:tcPr>
            <w:tcW w:w="2330" w:type="pct"/>
          </w:tcPr>
          <w:p w:rsidR="00BB6BCD" w:rsidRPr="00E6448B" w:rsidRDefault="00BB6BCD" w:rsidP="009C2160">
            <w:pPr>
              <w:jc w:val="both"/>
              <w:rPr>
                <w:sz w:val="20"/>
                <w:lang w:val="fr-CA"/>
              </w:rPr>
            </w:pPr>
            <w:r w:rsidRPr="00E6448B">
              <w:rPr>
                <w:sz w:val="20"/>
                <w:lang w:val="fr-CA"/>
              </w:rPr>
              <w:t>Appel interjeté par l’intimé de la nouvelle cotisation établie au titre de la </w:t>
            </w:r>
            <w:r w:rsidRPr="00E6448B">
              <w:rPr>
                <w:i/>
                <w:iCs/>
                <w:sz w:val="20"/>
                <w:lang w:val="fr-CA"/>
              </w:rPr>
              <w:t>Loi de l’impôt sur le revenu</w:t>
            </w:r>
            <w:r w:rsidRPr="00E6448B">
              <w:rPr>
                <w:iCs/>
                <w:sz w:val="20"/>
                <w:lang w:val="fr-CA"/>
              </w:rPr>
              <w:t>,</w:t>
            </w:r>
            <w:r w:rsidRPr="00E6448B">
              <w:rPr>
                <w:sz w:val="20"/>
                <w:lang w:val="fr-CA"/>
              </w:rPr>
              <w:t xml:space="preserve"> accueilli; nouvelle cotisation renvoyée au ministre du Revenu national pour nouvel examen.</w:t>
            </w:r>
          </w:p>
          <w:p w:rsidR="00BB6BCD" w:rsidRPr="00E6448B" w:rsidRDefault="00BB6BCD" w:rsidP="009C2160">
            <w:pPr>
              <w:rPr>
                <w:sz w:val="20"/>
                <w:lang w:val="fr-CA"/>
              </w:rPr>
            </w:pPr>
          </w:p>
        </w:tc>
      </w:tr>
      <w:tr w:rsidR="00BB6BCD" w:rsidRPr="00A77989" w:rsidTr="00BB73FA">
        <w:trPr>
          <w:cantSplit/>
        </w:trPr>
        <w:tc>
          <w:tcPr>
            <w:tcW w:w="2427" w:type="pct"/>
          </w:tcPr>
          <w:p w:rsidR="00BB6BCD" w:rsidRPr="00E6448B" w:rsidRDefault="00BB6BCD" w:rsidP="009C2160">
            <w:pPr>
              <w:rPr>
                <w:sz w:val="20"/>
                <w:lang w:val="fr-CA"/>
              </w:rPr>
            </w:pPr>
            <w:r w:rsidRPr="00E6448B">
              <w:rPr>
                <w:sz w:val="20"/>
                <w:lang w:val="fr-CA"/>
              </w:rPr>
              <w:t>21 janvier 2011</w:t>
            </w:r>
          </w:p>
          <w:p w:rsidR="00BB6BCD" w:rsidRPr="00E6448B" w:rsidRDefault="00BB6BCD" w:rsidP="009C2160">
            <w:pPr>
              <w:rPr>
                <w:sz w:val="20"/>
                <w:lang w:val="fr-CA"/>
              </w:rPr>
            </w:pPr>
            <w:r w:rsidRPr="00E6448B">
              <w:rPr>
                <w:sz w:val="20"/>
                <w:lang w:val="fr-CA"/>
              </w:rPr>
              <w:t xml:space="preserve">Cour d’appel fédérale </w:t>
            </w:r>
          </w:p>
          <w:p w:rsidR="00BB6BCD" w:rsidRPr="00E6448B" w:rsidRDefault="00BB6BCD" w:rsidP="009C2160">
            <w:pPr>
              <w:rPr>
                <w:sz w:val="20"/>
                <w:lang w:val="fr-CA"/>
              </w:rPr>
            </w:pPr>
            <w:r w:rsidRPr="00E6448B">
              <w:rPr>
                <w:sz w:val="20"/>
                <w:lang w:val="fr-CA"/>
              </w:rPr>
              <w:t>(Juges Evans, Dawson et Stratas)</w:t>
            </w:r>
          </w:p>
          <w:p w:rsidR="00BB6BCD" w:rsidRPr="00E6448B" w:rsidRDefault="00BB6BCD" w:rsidP="009C2160">
            <w:pPr>
              <w:rPr>
                <w:sz w:val="20"/>
                <w:lang w:val="fr-CA"/>
              </w:rPr>
            </w:pPr>
          </w:p>
        </w:tc>
        <w:tc>
          <w:tcPr>
            <w:tcW w:w="243" w:type="pct"/>
          </w:tcPr>
          <w:p w:rsidR="00BB6BCD" w:rsidRPr="00E6448B" w:rsidRDefault="00BB6BCD" w:rsidP="009C2160">
            <w:pPr>
              <w:rPr>
                <w:sz w:val="20"/>
                <w:lang w:val="fr-CA"/>
              </w:rPr>
            </w:pPr>
          </w:p>
        </w:tc>
        <w:tc>
          <w:tcPr>
            <w:tcW w:w="2330" w:type="pct"/>
          </w:tcPr>
          <w:p w:rsidR="00BB6BCD" w:rsidRPr="00E6448B" w:rsidRDefault="00BB6BCD" w:rsidP="009C2160">
            <w:pPr>
              <w:rPr>
                <w:sz w:val="20"/>
                <w:lang w:val="fr-CA"/>
              </w:rPr>
            </w:pPr>
            <w:r w:rsidRPr="00E6448B">
              <w:rPr>
                <w:sz w:val="20"/>
                <w:lang w:val="fr-CA"/>
              </w:rPr>
              <w:t>Appel de la demanderesse, rejeté.</w:t>
            </w:r>
          </w:p>
          <w:p w:rsidR="00BB6BCD" w:rsidRPr="00E6448B" w:rsidRDefault="00BB6BCD" w:rsidP="009C2160">
            <w:pPr>
              <w:rPr>
                <w:sz w:val="20"/>
                <w:lang w:val="fr-CA"/>
              </w:rPr>
            </w:pPr>
          </w:p>
          <w:p w:rsidR="00BB6BCD" w:rsidRPr="00E6448B" w:rsidRDefault="00BB6BCD" w:rsidP="009C2160">
            <w:pPr>
              <w:rPr>
                <w:sz w:val="20"/>
                <w:lang w:val="fr-CA"/>
              </w:rPr>
            </w:pPr>
          </w:p>
        </w:tc>
      </w:tr>
      <w:tr w:rsidR="00BB6BCD" w:rsidRPr="00E6448B" w:rsidTr="00BB73FA">
        <w:trPr>
          <w:cantSplit/>
        </w:trPr>
        <w:tc>
          <w:tcPr>
            <w:tcW w:w="2427" w:type="pct"/>
          </w:tcPr>
          <w:p w:rsidR="00BB6BCD" w:rsidRPr="00E6448B" w:rsidRDefault="00BB6BCD" w:rsidP="009C2160">
            <w:pPr>
              <w:rPr>
                <w:sz w:val="20"/>
                <w:lang w:val="fr-CA"/>
              </w:rPr>
            </w:pPr>
            <w:r w:rsidRPr="00E6448B">
              <w:rPr>
                <w:sz w:val="20"/>
                <w:lang w:val="fr-CA"/>
              </w:rPr>
              <w:t>22 mars 2011</w:t>
            </w:r>
          </w:p>
          <w:p w:rsidR="00BB6BCD" w:rsidRPr="00E6448B" w:rsidRDefault="00BB6BCD" w:rsidP="009C2160">
            <w:pPr>
              <w:rPr>
                <w:sz w:val="20"/>
                <w:lang w:val="fr-CA"/>
              </w:rPr>
            </w:pPr>
            <w:r w:rsidRPr="00E6448B">
              <w:rPr>
                <w:sz w:val="20"/>
                <w:lang w:val="fr-CA"/>
              </w:rPr>
              <w:t>Cour suprême du Canada</w:t>
            </w:r>
          </w:p>
        </w:tc>
        <w:tc>
          <w:tcPr>
            <w:tcW w:w="243" w:type="pct"/>
          </w:tcPr>
          <w:p w:rsidR="00BB6BCD" w:rsidRPr="00E6448B" w:rsidRDefault="00BB6BCD" w:rsidP="009C2160">
            <w:pPr>
              <w:rPr>
                <w:sz w:val="20"/>
                <w:lang w:val="fr-CA"/>
              </w:rPr>
            </w:pPr>
          </w:p>
        </w:tc>
        <w:tc>
          <w:tcPr>
            <w:tcW w:w="2330" w:type="pct"/>
          </w:tcPr>
          <w:p w:rsidR="00BB6BCD" w:rsidRPr="00E6448B" w:rsidRDefault="00BB6BCD" w:rsidP="009C2160">
            <w:pPr>
              <w:rPr>
                <w:sz w:val="20"/>
                <w:lang w:val="fr-CA"/>
              </w:rPr>
            </w:pPr>
            <w:r w:rsidRPr="00E6448B">
              <w:rPr>
                <w:sz w:val="20"/>
                <w:lang w:val="fr-CA"/>
              </w:rPr>
              <w:t>Demande d’autorisation d’appel, déposée</w:t>
            </w:r>
          </w:p>
          <w:p w:rsidR="00BB6BCD" w:rsidRPr="00E6448B" w:rsidRDefault="00BB6BCD" w:rsidP="009C2160">
            <w:pPr>
              <w:rPr>
                <w:sz w:val="20"/>
                <w:lang w:val="fr-CA"/>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55"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13F5C" w:rsidRPr="00E13F5C" w:rsidTr="009F5557">
        <w:trPr>
          <w:cantSplit/>
        </w:trPr>
        <w:tc>
          <w:tcPr>
            <w:tcW w:w="1458" w:type="dxa"/>
          </w:tcPr>
          <w:p w:rsidR="00E13F5C" w:rsidRPr="00E13F5C" w:rsidRDefault="00E13F5C" w:rsidP="009F5557">
            <w:pPr>
              <w:rPr>
                <w:rFonts w:cs="Times New Roman"/>
                <w:sz w:val="20"/>
                <w:szCs w:val="20"/>
              </w:rPr>
            </w:pPr>
            <w:r w:rsidRPr="00E13F5C">
              <w:rPr>
                <w:rStyle w:val="SCCFileNumberChar"/>
                <w:sz w:val="20"/>
                <w:szCs w:val="20"/>
              </w:rPr>
              <w:t>34170</w:t>
            </w:r>
          </w:p>
          <w:p w:rsidR="00E13F5C" w:rsidRPr="00E13F5C" w:rsidRDefault="00E13F5C" w:rsidP="009F5557">
            <w:pPr>
              <w:rPr>
                <w:rFonts w:cs="Times New Roman"/>
                <w:b/>
                <w:sz w:val="20"/>
                <w:szCs w:val="20"/>
                <w:lang w:val="fr-CA"/>
              </w:rPr>
            </w:pPr>
          </w:p>
        </w:tc>
        <w:tc>
          <w:tcPr>
            <w:tcW w:w="8118" w:type="dxa"/>
          </w:tcPr>
          <w:p w:rsidR="00E13F5C" w:rsidRPr="00E13F5C" w:rsidRDefault="00E13F5C" w:rsidP="009F5557">
            <w:pPr>
              <w:rPr>
                <w:rFonts w:cs="Times New Roman"/>
                <w:sz w:val="20"/>
                <w:szCs w:val="20"/>
              </w:rPr>
            </w:pPr>
            <w:r w:rsidRPr="00E13F5C">
              <w:rPr>
                <w:rStyle w:val="SCCLsocChar"/>
                <w:rFonts w:cs="Times New Roman"/>
                <w:sz w:val="20"/>
                <w:szCs w:val="20"/>
                <w:lang w:val="en-CA"/>
              </w:rPr>
              <w:t>Ioan-Florin Floria v. Her Majesty the Queen</w:t>
            </w:r>
            <w:r w:rsidRPr="00E13F5C">
              <w:rPr>
                <w:rFonts w:cs="Times New Roman"/>
                <w:sz w:val="20"/>
                <w:szCs w:val="20"/>
              </w:rPr>
              <w:t xml:space="preserve"> (Ont.) (Criminal) (By Leave)</w:t>
            </w:r>
          </w:p>
          <w:p w:rsidR="00E13F5C" w:rsidRPr="00E13F5C" w:rsidRDefault="00E13F5C" w:rsidP="009F5557">
            <w:pPr>
              <w:rPr>
                <w:rFonts w:cs="Times New Roman"/>
                <w:sz w:val="20"/>
                <w:szCs w:val="20"/>
              </w:rPr>
            </w:pPr>
          </w:p>
        </w:tc>
      </w:tr>
      <w:tr w:rsidR="00E13F5C" w:rsidRPr="00E13F5C" w:rsidTr="009F5557">
        <w:trPr>
          <w:cantSplit/>
        </w:trPr>
        <w:tc>
          <w:tcPr>
            <w:tcW w:w="1458" w:type="dxa"/>
          </w:tcPr>
          <w:p w:rsidR="00E13F5C" w:rsidRPr="00E13F5C" w:rsidRDefault="00E13F5C" w:rsidP="009F5557">
            <w:pPr>
              <w:rPr>
                <w:rFonts w:cs="Times New Roman"/>
                <w:sz w:val="20"/>
                <w:szCs w:val="20"/>
              </w:rPr>
            </w:pPr>
            <w:r w:rsidRPr="00E13F5C">
              <w:rPr>
                <w:rFonts w:cs="Times New Roman"/>
                <w:sz w:val="20"/>
                <w:szCs w:val="20"/>
              </w:rPr>
              <w:t>Coram :</w:t>
            </w:r>
          </w:p>
        </w:tc>
        <w:tc>
          <w:tcPr>
            <w:tcW w:w="8118" w:type="dxa"/>
          </w:tcPr>
          <w:p w:rsidR="00E13F5C" w:rsidRPr="00E13F5C" w:rsidRDefault="00E13F5C" w:rsidP="009F5557">
            <w:pPr>
              <w:rPr>
                <w:rFonts w:cs="Times New Roman"/>
                <w:sz w:val="20"/>
                <w:szCs w:val="20"/>
              </w:rPr>
            </w:pPr>
            <w:r w:rsidRPr="00E13F5C">
              <w:rPr>
                <w:rStyle w:val="SCCCoramChar"/>
                <w:rFonts w:cs="Times New Roman"/>
                <w:sz w:val="20"/>
                <w:szCs w:val="20"/>
                <w:lang w:val="en-CA"/>
              </w:rPr>
              <w:t>Binnie, Abella and Rothstein JJ.</w:t>
            </w:r>
          </w:p>
          <w:p w:rsidR="00E13F5C" w:rsidRPr="00E13F5C" w:rsidRDefault="00E13F5C" w:rsidP="009F5557">
            <w:pPr>
              <w:rPr>
                <w:rFonts w:cs="Times New Roman"/>
                <w:sz w:val="20"/>
                <w:szCs w:val="20"/>
                <w:u w:val="single"/>
              </w:rPr>
            </w:pPr>
          </w:p>
        </w:tc>
      </w:tr>
      <w:tr w:rsidR="00E13F5C" w:rsidRPr="00E13F5C" w:rsidTr="009F5557">
        <w:trPr>
          <w:cantSplit/>
        </w:trPr>
        <w:tc>
          <w:tcPr>
            <w:tcW w:w="9576" w:type="dxa"/>
            <w:gridSpan w:val="2"/>
          </w:tcPr>
          <w:p w:rsidR="00E13F5C" w:rsidRPr="00E13F5C" w:rsidRDefault="00E13F5C" w:rsidP="009F5557">
            <w:pPr>
              <w:pStyle w:val="SCCShortJudgment"/>
              <w:rPr>
                <w:rFonts w:cs="Times New Roman"/>
                <w:szCs w:val="20"/>
              </w:rPr>
            </w:pPr>
            <w:r w:rsidRPr="00E13F5C">
              <w:rPr>
                <w:rFonts w:cs="Times New Roman"/>
                <w:szCs w:val="20"/>
              </w:rPr>
              <w:t>The application for leave to appeal from the judgment of the Court of Appeal for Ontario, Number C52757, 2011 ONCA 167, dated March 1, 2011, is dismissed without costs.</w:t>
            </w:r>
          </w:p>
          <w:p w:rsidR="00E13F5C" w:rsidRPr="00E13F5C" w:rsidRDefault="00E13F5C" w:rsidP="009F5557">
            <w:pPr>
              <w:pStyle w:val="SCCShortJudgment"/>
              <w:ind w:firstLine="0"/>
              <w:rPr>
                <w:rFonts w:cs="Times New Roman"/>
                <w:szCs w:val="20"/>
              </w:rPr>
            </w:pPr>
          </w:p>
          <w:p w:rsidR="00E13F5C" w:rsidRPr="00E13F5C" w:rsidRDefault="00E13F5C" w:rsidP="00E13F5C">
            <w:pPr>
              <w:pStyle w:val="SCCShortJudgment"/>
              <w:rPr>
                <w:rFonts w:cs="Times New Roman"/>
                <w:szCs w:val="20"/>
                <w:lang w:val="fr-CA"/>
              </w:rPr>
            </w:pPr>
            <w:r w:rsidRPr="00E13F5C">
              <w:rPr>
                <w:rFonts w:cs="Times New Roman"/>
                <w:szCs w:val="20"/>
                <w:lang w:val="fr-CA"/>
              </w:rPr>
              <w:t>La demande d’autorisation d’appel de l’arrêt de la Cour d’appel de l’Ontario, numéro C52757, 2011 ONCA 167, daté du 1</w:t>
            </w:r>
            <w:r w:rsidRPr="00B46ACF">
              <w:rPr>
                <w:rFonts w:cs="Times New Roman"/>
                <w:szCs w:val="20"/>
                <w:vertAlign w:val="superscript"/>
                <w:lang w:val="fr-CA"/>
              </w:rPr>
              <w:t>er</w:t>
            </w:r>
            <w:r w:rsidRPr="00E13F5C">
              <w:rPr>
                <w:rFonts w:cs="Times New Roman"/>
                <w:szCs w:val="20"/>
                <w:lang w:val="fr-CA"/>
              </w:rPr>
              <w:t xml:space="preserve"> mars 2011, est rejetée sans dépens.</w:t>
            </w:r>
          </w:p>
        </w:tc>
      </w:tr>
    </w:tbl>
    <w:p w:rsidR="00E13F5C" w:rsidRPr="00E13F5C" w:rsidRDefault="00E13F5C"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BB6BCD" w:rsidRPr="00E6448B" w:rsidTr="009C2160">
        <w:trPr>
          <w:gridAfter w:val="1"/>
          <w:wAfter w:w="48" w:type="pct"/>
        </w:trPr>
        <w:tc>
          <w:tcPr>
            <w:tcW w:w="4952" w:type="pct"/>
            <w:gridSpan w:val="3"/>
          </w:tcPr>
          <w:p w:rsidR="00BB6BCD" w:rsidRPr="00E6448B" w:rsidRDefault="00BB6BCD" w:rsidP="009C2160">
            <w:pPr>
              <w:jc w:val="both"/>
              <w:rPr>
                <w:rFonts w:eastAsia="Calibri"/>
                <w:smallCaps/>
                <w:sz w:val="20"/>
              </w:rPr>
            </w:pPr>
            <w:r w:rsidRPr="00E6448B">
              <w:rPr>
                <w:rFonts w:eastAsia="Calibri"/>
                <w:smallCaps/>
                <w:sz w:val="20"/>
              </w:rPr>
              <w:t>(Publication ban on witness)  (Publication ban on evidence taken at preliminary inquiry)</w:t>
            </w:r>
          </w:p>
          <w:p w:rsidR="00BB6BCD" w:rsidRPr="00E6448B" w:rsidRDefault="00BB6BCD" w:rsidP="009C2160">
            <w:pPr>
              <w:jc w:val="both"/>
              <w:rPr>
                <w:rFonts w:eastAsia="Calibri"/>
                <w:sz w:val="20"/>
              </w:rPr>
            </w:pPr>
          </w:p>
          <w:p w:rsidR="00BB6BCD" w:rsidRPr="00E6448B" w:rsidRDefault="00BB6BCD" w:rsidP="009C2160">
            <w:pPr>
              <w:jc w:val="both"/>
              <w:rPr>
                <w:rFonts w:eastAsia="Calibri"/>
                <w:sz w:val="20"/>
              </w:rPr>
            </w:pPr>
            <w:r w:rsidRPr="00E6448B">
              <w:rPr>
                <w:rFonts w:eastAsia="Calibri"/>
                <w:sz w:val="20"/>
              </w:rPr>
              <w:t>Criminal Law — Pre</w:t>
            </w:r>
            <w:r w:rsidRPr="00E6448B">
              <w:rPr>
                <w:rFonts w:eastAsia="Calibri"/>
                <w:sz w:val="20"/>
              </w:rPr>
              <w:noBreakHyphen/>
              <w:t xml:space="preserve">trial procedure — Committal to trial — Evidence — Whether applicant had no right to discovery because he did not sign a disclosure undertaking — Whether a prior ruling requiring a disclosure undertaking was binding on preliminary inquiry judge — Whether applicant disentitled himself from pursuing issues not disclosed to him because he did not sign a disclosure undertaking — Admissibility of wiretap intercepts — Whether preliminary inquiry judge exceeded her jurisdiction by not complying with ss. 536.3 and 541 of the </w:t>
            </w:r>
            <w:r w:rsidRPr="00E6448B">
              <w:rPr>
                <w:rFonts w:eastAsia="Calibri"/>
                <w:i/>
                <w:sz w:val="20"/>
              </w:rPr>
              <w:t>Criminal Code</w:t>
            </w:r>
            <w:r w:rsidRPr="00E6448B">
              <w:rPr>
                <w:rFonts w:eastAsia="Calibri"/>
                <w:sz w:val="20"/>
              </w:rPr>
              <w:t xml:space="preserve"> — Whether preliminary inquiry judge exceed her jurisdiction by making a finding of fact that a witness was a reliable source — Whether applicant should have been committed based on hearsay evidence.</w:t>
            </w:r>
          </w:p>
          <w:p w:rsidR="00BB6BCD" w:rsidRPr="00E6448B" w:rsidRDefault="00BB6BCD" w:rsidP="009C2160">
            <w:pPr>
              <w:jc w:val="both"/>
              <w:rPr>
                <w:rFonts w:eastAsia="Calibri"/>
                <w:sz w:val="20"/>
              </w:rPr>
            </w:pPr>
          </w:p>
        </w:tc>
      </w:tr>
      <w:tr w:rsidR="00BB6BCD" w:rsidRPr="00E6448B" w:rsidTr="009C2160">
        <w:trPr>
          <w:gridAfter w:val="1"/>
          <w:wAfter w:w="48" w:type="pct"/>
        </w:trPr>
        <w:tc>
          <w:tcPr>
            <w:tcW w:w="4952" w:type="pct"/>
            <w:gridSpan w:val="3"/>
          </w:tcPr>
          <w:p w:rsidR="00BB6BCD" w:rsidRPr="00E6448B" w:rsidRDefault="00BB6BCD" w:rsidP="009C2160">
            <w:pPr>
              <w:jc w:val="both"/>
              <w:rPr>
                <w:rFonts w:eastAsia="Calibri"/>
                <w:sz w:val="20"/>
              </w:rPr>
            </w:pPr>
            <w:r w:rsidRPr="00E6448B">
              <w:rPr>
                <w:rFonts w:eastAsia="Calibri"/>
                <w:sz w:val="20"/>
              </w:rPr>
              <w:lastRenderedPageBreak/>
              <w:t xml:space="preserve">The applicant was committed to stand trial for two counts of breach of trust, two counts of attempt to obstruct justice, one count of being an accessory after the fact to a kidnapping, and one count of laundering the proceeds of crime.  He applied in </w:t>
            </w:r>
            <w:r w:rsidRPr="00E6448B">
              <w:rPr>
                <w:rFonts w:eastAsia="Calibri"/>
                <w:i/>
                <w:sz w:val="20"/>
              </w:rPr>
              <w:t>certiorari</w:t>
            </w:r>
            <w:r w:rsidRPr="00E6448B">
              <w:rPr>
                <w:rFonts w:eastAsia="Calibri"/>
                <w:sz w:val="20"/>
              </w:rPr>
              <w:t xml:space="preserve"> to quash the committal.  His application was dismissed.  He appealed.  His appeal was dismissed.</w:t>
            </w:r>
          </w:p>
          <w:p w:rsidR="00BB6BCD" w:rsidRPr="00E6448B" w:rsidRDefault="00BB6BCD" w:rsidP="009C2160">
            <w:pPr>
              <w:jc w:val="both"/>
              <w:rPr>
                <w:rFonts w:eastAsia="Calibri"/>
                <w:sz w:val="20"/>
              </w:rPr>
            </w:pPr>
          </w:p>
        </w:tc>
      </w:tr>
      <w:tr w:rsidR="00BB6BCD" w:rsidRPr="00E6448B" w:rsidTr="009C2160">
        <w:tblPrEx>
          <w:tblCellMar>
            <w:bottom w:w="0" w:type="dxa"/>
          </w:tblCellMar>
        </w:tblPrEx>
        <w:tc>
          <w:tcPr>
            <w:tcW w:w="2367" w:type="pct"/>
          </w:tcPr>
          <w:p w:rsidR="00BB6BCD" w:rsidRPr="00E6448B" w:rsidRDefault="00BB6BCD" w:rsidP="009C2160">
            <w:pPr>
              <w:jc w:val="both"/>
              <w:rPr>
                <w:rFonts w:eastAsia="Calibri"/>
                <w:sz w:val="20"/>
              </w:rPr>
            </w:pPr>
            <w:r w:rsidRPr="00E6448B">
              <w:rPr>
                <w:rFonts w:eastAsia="Calibri"/>
                <w:sz w:val="20"/>
              </w:rPr>
              <w:t>May 11, 2009</w:t>
            </w:r>
          </w:p>
          <w:p w:rsidR="00BB6BCD" w:rsidRPr="00E6448B" w:rsidRDefault="00BB6BCD" w:rsidP="009C2160">
            <w:pPr>
              <w:jc w:val="both"/>
              <w:rPr>
                <w:rFonts w:eastAsia="Calibri"/>
                <w:sz w:val="20"/>
              </w:rPr>
            </w:pPr>
            <w:r w:rsidRPr="00E6448B">
              <w:rPr>
                <w:rFonts w:eastAsia="Calibri"/>
                <w:sz w:val="20"/>
              </w:rPr>
              <w:t>Ontario Court of Justice</w:t>
            </w:r>
          </w:p>
          <w:p w:rsidR="00BB6BCD" w:rsidRPr="00E6448B" w:rsidRDefault="00BB6BCD" w:rsidP="009C2160">
            <w:pPr>
              <w:jc w:val="both"/>
              <w:rPr>
                <w:rFonts w:eastAsia="Calibri"/>
                <w:sz w:val="20"/>
              </w:rPr>
            </w:pPr>
            <w:r w:rsidRPr="00E6448B">
              <w:rPr>
                <w:rFonts w:eastAsia="Calibri"/>
                <w:sz w:val="20"/>
              </w:rPr>
              <w:t xml:space="preserve">(Marin J.) </w:t>
            </w:r>
          </w:p>
          <w:p w:rsidR="00BB6BCD" w:rsidRPr="00E6448B" w:rsidRDefault="00BB6BCD" w:rsidP="009C2160">
            <w:pPr>
              <w:jc w:val="both"/>
              <w:rPr>
                <w:rFonts w:eastAsia="Calibri"/>
                <w:sz w:val="20"/>
              </w:rPr>
            </w:pPr>
          </w:p>
        </w:tc>
        <w:tc>
          <w:tcPr>
            <w:tcW w:w="267" w:type="pct"/>
          </w:tcPr>
          <w:p w:rsidR="00BB6BCD" w:rsidRPr="00E6448B" w:rsidRDefault="00BB6BCD" w:rsidP="009C2160">
            <w:pPr>
              <w:jc w:val="both"/>
              <w:rPr>
                <w:rFonts w:eastAsia="Calibri"/>
                <w:sz w:val="20"/>
              </w:rPr>
            </w:pPr>
          </w:p>
        </w:tc>
        <w:tc>
          <w:tcPr>
            <w:tcW w:w="2366" w:type="pct"/>
            <w:gridSpan w:val="2"/>
          </w:tcPr>
          <w:p w:rsidR="00BB6BCD" w:rsidRPr="00E6448B" w:rsidRDefault="00BB6BCD" w:rsidP="009C2160">
            <w:pPr>
              <w:jc w:val="both"/>
              <w:rPr>
                <w:rFonts w:eastAsia="Calibri"/>
                <w:sz w:val="20"/>
              </w:rPr>
            </w:pPr>
            <w:r w:rsidRPr="00E6448B">
              <w:rPr>
                <w:rFonts w:eastAsia="Calibri"/>
                <w:sz w:val="20"/>
              </w:rPr>
              <w:t>Committal to stand trial for two counts breach of trust, two counts attempt to obstruct justice, one count of accessory after the fact to a kidnapping, one count laundering the proceeds of crime</w:t>
            </w:r>
          </w:p>
          <w:p w:rsidR="00BB6BCD" w:rsidRPr="00E6448B" w:rsidRDefault="00BB6BCD" w:rsidP="009C2160">
            <w:pPr>
              <w:jc w:val="both"/>
              <w:rPr>
                <w:rFonts w:eastAsia="Calibri"/>
                <w:sz w:val="20"/>
              </w:rPr>
            </w:pPr>
          </w:p>
        </w:tc>
      </w:tr>
      <w:tr w:rsidR="00BB6BCD" w:rsidRPr="00E6448B" w:rsidTr="009C2160">
        <w:tblPrEx>
          <w:tblCellMar>
            <w:bottom w:w="0" w:type="dxa"/>
          </w:tblCellMar>
        </w:tblPrEx>
        <w:tc>
          <w:tcPr>
            <w:tcW w:w="2367" w:type="pct"/>
          </w:tcPr>
          <w:p w:rsidR="00BB6BCD" w:rsidRPr="00E6448B" w:rsidRDefault="00BB6BCD" w:rsidP="009C2160">
            <w:pPr>
              <w:jc w:val="both"/>
              <w:rPr>
                <w:rFonts w:eastAsia="Calibri"/>
                <w:sz w:val="20"/>
              </w:rPr>
            </w:pPr>
            <w:r w:rsidRPr="00E6448B">
              <w:rPr>
                <w:rFonts w:eastAsia="Calibri"/>
                <w:sz w:val="20"/>
              </w:rPr>
              <w:t>September 22, 2010</w:t>
            </w:r>
          </w:p>
          <w:p w:rsidR="00BB6BCD" w:rsidRPr="00E6448B" w:rsidRDefault="00BB6BCD" w:rsidP="009C2160">
            <w:pPr>
              <w:jc w:val="both"/>
              <w:rPr>
                <w:rFonts w:eastAsia="Calibri"/>
                <w:sz w:val="20"/>
              </w:rPr>
            </w:pPr>
            <w:r w:rsidRPr="00E6448B">
              <w:rPr>
                <w:rFonts w:eastAsia="Calibri"/>
                <w:sz w:val="20"/>
              </w:rPr>
              <w:t>Ontario Superior Court of Justice</w:t>
            </w:r>
          </w:p>
          <w:p w:rsidR="00BB6BCD" w:rsidRPr="00E6448B" w:rsidRDefault="00BB6BCD" w:rsidP="009C2160">
            <w:pPr>
              <w:jc w:val="both"/>
              <w:rPr>
                <w:rFonts w:eastAsia="Calibri"/>
                <w:sz w:val="20"/>
              </w:rPr>
            </w:pPr>
            <w:r w:rsidRPr="00E6448B">
              <w:rPr>
                <w:rFonts w:eastAsia="Calibri"/>
                <w:sz w:val="20"/>
              </w:rPr>
              <w:t xml:space="preserve">(Nordheimer J.) </w:t>
            </w:r>
          </w:p>
          <w:p w:rsidR="00BB6BCD" w:rsidRPr="00E6448B" w:rsidRDefault="00BB6BCD" w:rsidP="009C2160">
            <w:pPr>
              <w:jc w:val="both"/>
              <w:rPr>
                <w:rFonts w:eastAsia="Calibri"/>
                <w:sz w:val="20"/>
              </w:rPr>
            </w:pPr>
          </w:p>
        </w:tc>
        <w:tc>
          <w:tcPr>
            <w:tcW w:w="267" w:type="pct"/>
          </w:tcPr>
          <w:p w:rsidR="00BB6BCD" w:rsidRPr="00E6448B" w:rsidRDefault="00BB6BCD" w:rsidP="009C2160">
            <w:pPr>
              <w:jc w:val="both"/>
              <w:rPr>
                <w:rFonts w:eastAsia="Calibri"/>
                <w:sz w:val="20"/>
              </w:rPr>
            </w:pPr>
          </w:p>
        </w:tc>
        <w:tc>
          <w:tcPr>
            <w:tcW w:w="2366" w:type="pct"/>
            <w:gridSpan w:val="2"/>
          </w:tcPr>
          <w:p w:rsidR="00BB6BCD" w:rsidRPr="00E6448B" w:rsidRDefault="00BB6BCD" w:rsidP="009C2160">
            <w:pPr>
              <w:jc w:val="both"/>
              <w:rPr>
                <w:rFonts w:eastAsia="Calibri"/>
                <w:sz w:val="20"/>
              </w:rPr>
            </w:pPr>
            <w:r w:rsidRPr="00E6448B">
              <w:rPr>
                <w:rFonts w:eastAsia="Calibri"/>
                <w:sz w:val="20"/>
              </w:rPr>
              <w:t xml:space="preserve">Application in </w:t>
            </w:r>
            <w:r w:rsidRPr="00E6448B">
              <w:rPr>
                <w:rFonts w:eastAsia="Calibri"/>
                <w:i/>
                <w:sz w:val="20"/>
              </w:rPr>
              <w:t>certiorari</w:t>
            </w:r>
            <w:r w:rsidRPr="00E6448B">
              <w:rPr>
                <w:rFonts w:eastAsia="Calibri"/>
                <w:sz w:val="20"/>
              </w:rPr>
              <w:t xml:space="preserve"> to quash committal dismissed</w:t>
            </w:r>
          </w:p>
          <w:p w:rsidR="00BB6BCD" w:rsidRPr="00E6448B" w:rsidRDefault="00BB6BCD" w:rsidP="009C2160">
            <w:pPr>
              <w:jc w:val="both"/>
              <w:rPr>
                <w:rFonts w:eastAsia="Calibri"/>
                <w:sz w:val="20"/>
              </w:rPr>
            </w:pPr>
          </w:p>
        </w:tc>
      </w:tr>
    </w:tbl>
    <w:p w:rsidR="0001637C" w:rsidRDefault="0001637C"/>
    <w:tbl>
      <w:tblPr>
        <w:tblW w:w="5000" w:type="pct"/>
        <w:tblLayout w:type="fixed"/>
        <w:tblCellMar>
          <w:left w:w="0" w:type="dxa"/>
          <w:right w:w="0" w:type="dxa"/>
        </w:tblCellMar>
        <w:tblLook w:val="04A0"/>
      </w:tblPr>
      <w:tblGrid>
        <w:gridCol w:w="4553"/>
        <w:gridCol w:w="514"/>
        <w:gridCol w:w="4552"/>
      </w:tblGrid>
      <w:tr w:rsidR="00BB6BCD" w:rsidRPr="00E6448B" w:rsidTr="0001637C">
        <w:trPr>
          <w:cantSplit/>
        </w:trPr>
        <w:tc>
          <w:tcPr>
            <w:tcW w:w="2367" w:type="pct"/>
          </w:tcPr>
          <w:p w:rsidR="00BB6BCD" w:rsidRPr="00E6448B" w:rsidRDefault="00BB6BCD" w:rsidP="009C2160">
            <w:pPr>
              <w:jc w:val="both"/>
              <w:rPr>
                <w:rFonts w:eastAsia="Calibri"/>
                <w:sz w:val="20"/>
              </w:rPr>
            </w:pPr>
            <w:r w:rsidRPr="00E6448B">
              <w:rPr>
                <w:rFonts w:eastAsia="Calibri"/>
                <w:sz w:val="20"/>
              </w:rPr>
              <w:t>March 1, 2011</w:t>
            </w:r>
          </w:p>
          <w:p w:rsidR="00BB6BCD" w:rsidRPr="00E6448B" w:rsidRDefault="00BB6BCD" w:rsidP="009C2160">
            <w:pPr>
              <w:jc w:val="both"/>
              <w:rPr>
                <w:rFonts w:eastAsia="Calibri"/>
                <w:sz w:val="20"/>
              </w:rPr>
            </w:pPr>
            <w:r w:rsidRPr="00E6448B">
              <w:rPr>
                <w:rFonts w:eastAsia="Calibri"/>
                <w:sz w:val="20"/>
              </w:rPr>
              <w:t>Court of Appeal for Ontario</w:t>
            </w:r>
          </w:p>
          <w:p w:rsidR="00BB6BCD" w:rsidRPr="00E6448B" w:rsidRDefault="00BB6BCD" w:rsidP="009C2160">
            <w:pPr>
              <w:jc w:val="both"/>
              <w:rPr>
                <w:rFonts w:eastAsia="Calibri"/>
                <w:sz w:val="20"/>
              </w:rPr>
            </w:pPr>
            <w:r w:rsidRPr="00E6448B">
              <w:rPr>
                <w:rFonts w:eastAsia="Calibri"/>
                <w:sz w:val="20"/>
              </w:rPr>
              <w:t xml:space="preserve">(O'Connor, Doherty, Blair JJ.A.) </w:t>
            </w:r>
          </w:p>
          <w:p w:rsidR="00BB6BCD" w:rsidRPr="00E6448B" w:rsidRDefault="00BB6BCD" w:rsidP="009C2160">
            <w:pPr>
              <w:jc w:val="both"/>
              <w:rPr>
                <w:rFonts w:eastAsia="Calibri"/>
                <w:sz w:val="20"/>
              </w:rPr>
            </w:pPr>
            <w:r w:rsidRPr="00E6448B">
              <w:rPr>
                <w:rFonts w:eastAsia="Calibri"/>
                <w:sz w:val="20"/>
              </w:rPr>
              <w:t>2011 ONCA 167</w:t>
            </w:r>
          </w:p>
          <w:p w:rsidR="00BB6BCD" w:rsidRPr="00E6448B" w:rsidRDefault="00BB6BCD" w:rsidP="009C2160">
            <w:pPr>
              <w:jc w:val="both"/>
              <w:rPr>
                <w:rFonts w:eastAsia="Calibri"/>
                <w:sz w:val="20"/>
              </w:rPr>
            </w:pPr>
            <w:r w:rsidRPr="00E6448B">
              <w:rPr>
                <w:rFonts w:eastAsia="Calibri"/>
                <w:sz w:val="20"/>
              </w:rPr>
              <w:t>Docket: C52757</w:t>
            </w:r>
          </w:p>
          <w:p w:rsidR="00BB6BCD" w:rsidRPr="00E6448B" w:rsidRDefault="00BB6BCD" w:rsidP="009C2160">
            <w:pPr>
              <w:jc w:val="both"/>
              <w:rPr>
                <w:rFonts w:eastAsia="Calibri"/>
                <w:sz w:val="20"/>
              </w:rPr>
            </w:pPr>
          </w:p>
        </w:tc>
        <w:tc>
          <w:tcPr>
            <w:tcW w:w="267" w:type="pct"/>
          </w:tcPr>
          <w:p w:rsidR="00BB6BCD" w:rsidRPr="00E6448B" w:rsidRDefault="00BB6BCD" w:rsidP="009C2160">
            <w:pPr>
              <w:jc w:val="both"/>
              <w:rPr>
                <w:rFonts w:eastAsia="Calibri"/>
                <w:sz w:val="20"/>
              </w:rPr>
            </w:pPr>
          </w:p>
        </w:tc>
        <w:tc>
          <w:tcPr>
            <w:tcW w:w="2366" w:type="pct"/>
          </w:tcPr>
          <w:p w:rsidR="00BB6BCD" w:rsidRPr="00E6448B" w:rsidRDefault="00BB6BCD" w:rsidP="009C2160">
            <w:pPr>
              <w:jc w:val="both"/>
              <w:rPr>
                <w:rFonts w:eastAsia="Calibri"/>
                <w:sz w:val="20"/>
              </w:rPr>
            </w:pPr>
            <w:r w:rsidRPr="00E6448B">
              <w:rPr>
                <w:rFonts w:eastAsia="Calibri"/>
                <w:sz w:val="20"/>
              </w:rPr>
              <w:t>Appeal dismissed</w:t>
            </w:r>
          </w:p>
          <w:p w:rsidR="00BB6BCD" w:rsidRPr="00E6448B" w:rsidRDefault="00BB6BCD" w:rsidP="009C2160">
            <w:pPr>
              <w:jc w:val="both"/>
              <w:rPr>
                <w:rFonts w:eastAsia="Calibri"/>
                <w:sz w:val="20"/>
              </w:rPr>
            </w:pPr>
          </w:p>
        </w:tc>
      </w:tr>
      <w:tr w:rsidR="00BB6BCD" w:rsidRPr="00E6448B" w:rsidTr="0001637C">
        <w:trPr>
          <w:cantSplit/>
        </w:trPr>
        <w:tc>
          <w:tcPr>
            <w:tcW w:w="2367" w:type="pct"/>
          </w:tcPr>
          <w:p w:rsidR="00BB6BCD" w:rsidRPr="00E6448B" w:rsidRDefault="00BB6BCD" w:rsidP="009C2160">
            <w:pPr>
              <w:jc w:val="both"/>
              <w:rPr>
                <w:rFonts w:eastAsia="Calibri"/>
                <w:sz w:val="20"/>
              </w:rPr>
            </w:pPr>
            <w:r w:rsidRPr="00E6448B">
              <w:rPr>
                <w:rFonts w:eastAsia="Calibri"/>
                <w:sz w:val="20"/>
              </w:rPr>
              <w:t xml:space="preserve">April 1, 2011 </w:t>
            </w:r>
          </w:p>
          <w:p w:rsidR="00BB6BCD" w:rsidRPr="00E6448B" w:rsidRDefault="00BB6BCD" w:rsidP="009C2160">
            <w:pPr>
              <w:jc w:val="both"/>
              <w:rPr>
                <w:rFonts w:eastAsia="Calibri"/>
                <w:sz w:val="20"/>
              </w:rPr>
            </w:pPr>
            <w:r w:rsidRPr="00E6448B">
              <w:rPr>
                <w:rFonts w:eastAsia="Calibri"/>
                <w:sz w:val="20"/>
              </w:rPr>
              <w:t>Supreme Court of Canada</w:t>
            </w:r>
          </w:p>
        </w:tc>
        <w:tc>
          <w:tcPr>
            <w:tcW w:w="267" w:type="pct"/>
          </w:tcPr>
          <w:p w:rsidR="00BB6BCD" w:rsidRPr="00E6448B" w:rsidRDefault="00BB6BCD" w:rsidP="009C2160">
            <w:pPr>
              <w:jc w:val="both"/>
              <w:rPr>
                <w:rFonts w:eastAsia="Calibri"/>
                <w:sz w:val="20"/>
              </w:rPr>
            </w:pPr>
          </w:p>
        </w:tc>
        <w:tc>
          <w:tcPr>
            <w:tcW w:w="2366" w:type="pct"/>
          </w:tcPr>
          <w:p w:rsidR="00BB6BCD" w:rsidRPr="00E6448B" w:rsidRDefault="00BB6BCD" w:rsidP="009C2160">
            <w:pPr>
              <w:jc w:val="both"/>
              <w:rPr>
                <w:rFonts w:eastAsia="Calibri"/>
                <w:sz w:val="20"/>
              </w:rPr>
            </w:pPr>
            <w:r w:rsidRPr="00E6448B">
              <w:rPr>
                <w:rFonts w:eastAsia="Calibri"/>
                <w:sz w:val="20"/>
              </w:rPr>
              <w:t>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56"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BB6BCD" w:rsidRPr="00A77989" w:rsidTr="009C2160">
        <w:trPr>
          <w:gridAfter w:val="1"/>
          <w:wAfter w:w="48" w:type="pct"/>
        </w:trPr>
        <w:tc>
          <w:tcPr>
            <w:tcW w:w="4952" w:type="pct"/>
            <w:gridSpan w:val="3"/>
          </w:tcPr>
          <w:p w:rsidR="00BB6BCD" w:rsidRPr="00E6448B" w:rsidRDefault="00BB6BCD" w:rsidP="009C2160">
            <w:pPr>
              <w:jc w:val="both"/>
              <w:rPr>
                <w:rFonts w:eastAsia="Calibri"/>
                <w:smallCaps/>
                <w:sz w:val="20"/>
                <w:lang w:val="fr-CA"/>
              </w:rPr>
            </w:pPr>
            <w:r w:rsidRPr="00E6448B">
              <w:rPr>
                <w:rFonts w:eastAsia="Calibri"/>
                <w:smallCaps/>
                <w:sz w:val="20"/>
                <w:lang w:val="fr-CA"/>
              </w:rPr>
              <w:t xml:space="preserve">(Ordonnance de non-publication visant un témoin)  (Ordonnance de non-publication </w:t>
            </w:r>
            <w:r w:rsidRPr="00E6448B">
              <w:rPr>
                <w:rFonts w:eastAsia="Calibri"/>
                <w:smallCaps/>
                <w:color w:val="000000"/>
                <w:sz w:val="20"/>
                <w:lang w:val="fr-FR"/>
              </w:rPr>
              <w:t>de la preuve recueillie lors de l’enquête préliminaire</w:t>
            </w:r>
            <w:r w:rsidRPr="00E6448B">
              <w:rPr>
                <w:rFonts w:eastAsia="Calibri"/>
                <w:smallCaps/>
                <w:sz w:val="20"/>
                <w:lang w:val="fr-CA"/>
              </w:rPr>
              <w:t>)</w:t>
            </w:r>
          </w:p>
          <w:p w:rsidR="00BB6BCD" w:rsidRPr="00E6448B" w:rsidRDefault="00BB6BCD" w:rsidP="009C2160">
            <w:pPr>
              <w:jc w:val="both"/>
              <w:rPr>
                <w:rFonts w:eastAsia="Calibri"/>
                <w:sz w:val="20"/>
                <w:lang w:val="fr-CA"/>
              </w:rPr>
            </w:pPr>
          </w:p>
          <w:p w:rsidR="00BB6BCD" w:rsidRPr="00E6448B" w:rsidRDefault="00BB6BCD" w:rsidP="009C2160">
            <w:pPr>
              <w:jc w:val="both"/>
              <w:rPr>
                <w:rFonts w:eastAsia="Calibri"/>
                <w:color w:val="000000"/>
                <w:sz w:val="20"/>
                <w:lang w:val="fr-CA"/>
              </w:rPr>
            </w:pPr>
            <w:r w:rsidRPr="00E6448B">
              <w:rPr>
                <w:rFonts w:eastAsia="Calibri"/>
                <w:sz w:val="20"/>
                <w:lang w:val="fr-CA"/>
              </w:rPr>
              <w:t>Droit criminel — Procédure préalable au procès — Renvoi à procès — Preuve — Le demandeur était-il privé du droit à un interrogatoire préalable parce qu’il n’avait signé aucun engagement de non-divulgation? — Une décision antérieure exigeant un engagement de non-divulgation liait</w:t>
            </w:r>
            <w:r w:rsidRPr="00E6448B">
              <w:rPr>
                <w:rFonts w:eastAsia="Calibri"/>
                <w:sz w:val="20"/>
                <w:lang w:val="fr-CA"/>
              </w:rPr>
              <w:noBreakHyphen/>
              <w:t xml:space="preserve">elle la juge présidant l’enquête préliminaire? — Le demandeur avait-t-il perdu, de son proche chef, le droit de soulever des points qui ne lui ont pas été communiqués parce qu’il n’avait signé aucun engagement de non-divulgation? — Admissibilité des interceptions de communications — La juge présidant l’enquête préliminaire a-t-elle outrepassé sa compétence en ne se conformant pas aux articles 536.3 et 541 du </w:t>
            </w:r>
            <w:r w:rsidRPr="00E6448B">
              <w:rPr>
                <w:rFonts w:eastAsia="Calibri"/>
                <w:i/>
                <w:sz w:val="20"/>
                <w:lang w:val="fr-CA"/>
              </w:rPr>
              <w:t>Code criminel</w:t>
            </w:r>
            <w:r w:rsidRPr="00E6448B">
              <w:rPr>
                <w:rFonts w:eastAsia="Calibri"/>
                <w:sz w:val="20"/>
                <w:lang w:val="fr-CA"/>
              </w:rPr>
              <w:t xml:space="preserve">? — La juge présidant l’enquête préliminaire a-t-elle outrepassé sa compétence en tirant une conclusion de fait selon laquelle un témoin était une source fiable? — Le demandeur aurait-il dû être renvoyé à procès sur le fondement d’une preuve par </w:t>
            </w:r>
            <w:r w:rsidRPr="00E6448B">
              <w:rPr>
                <w:rFonts w:eastAsia="Calibri"/>
                <w:color w:val="000000"/>
                <w:sz w:val="20"/>
                <w:lang w:val="fr-CA"/>
              </w:rPr>
              <w:t>ouï</w:t>
            </w:r>
            <w:r w:rsidRPr="00E6448B">
              <w:rPr>
                <w:rFonts w:eastAsia="Calibri"/>
                <w:color w:val="000000"/>
                <w:sz w:val="20"/>
                <w:lang w:val="fr-CA"/>
              </w:rPr>
              <w:noBreakHyphen/>
              <w:t>dire?</w:t>
            </w:r>
          </w:p>
          <w:p w:rsidR="00BB6BCD" w:rsidRPr="00E6448B" w:rsidRDefault="00BB6BCD" w:rsidP="009C2160">
            <w:pPr>
              <w:jc w:val="both"/>
              <w:rPr>
                <w:rFonts w:eastAsia="Calibri"/>
                <w:sz w:val="20"/>
                <w:lang w:val="fr-CA"/>
              </w:rPr>
            </w:pPr>
          </w:p>
        </w:tc>
      </w:tr>
      <w:tr w:rsidR="00BB6BCD" w:rsidRPr="00A77989" w:rsidTr="009C2160">
        <w:trPr>
          <w:gridAfter w:val="1"/>
          <w:wAfter w:w="48" w:type="pct"/>
        </w:trPr>
        <w:tc>
          <w:tcPr>
            <w:tcW w:w="4952" w:type="pct"/>
            <w:gridSpan w:val="3"/>
          </w:tcPr>
          <w:p w:rsidR="00BB6BCD" w:rsidRPr="00E6448B" w:rsidRDefault="00BB6BCD" w:rsidP="009C2160">
            <w:pPr>
              <w:jc w:val="both"/>
              <w:rPr>
                <w:rFonts w:eastAsia="Calibri"/>
                <w:sz w:val="20"/>
                <w:lang w:val="fr-CA"/>
              </w:rPr>
            </w:pPr>
            <w:r w:rsidRPr="00E6448B">
              <w:rPr>
                <w:rFonts w:eastAsia="Calibri"/>
                <w:sz w:val="20"/>
                <w:lang w:val="fr-CA"/>
              </w:rPr>
              <w:t xml:space="preserve">Le demandeur a été renvoyé à procès relativement à deux chefs d’accusation d’abus de confiance, deux chefs d’accusation de tentative d’entrave à la justice, un chef d’accusation de complicité après le fait relativement à un enlèvement, et un chef d’accusation de recyclage des produits de la criminalité.  Il a présenté une demande de </w:t>
            </w:r>
            <w:r w:rsidRPr="00E6448B">
              <w:rPr>
                <w:rFonts w:eastAsia="Calibri"/>
                <w:i/>
                <w:sz w:val="20"/>
                <w:lang w:val="fr-CA"/>
              </w:rPr>
              <w:t>certiorari</w:t>
            </w:r>
            <w:r w:rsidRPr="00E6448B">
              <w:rPr>
                <w:rFonts w:eastAsia="Calibri"/>
                <w:sz w:val="20"/>
                <w:lang w:val="fr-CA"/>
              </w:rPr>
              <w:t xml:space="preserve"> visant à annuler le renvoi à procès.  Sa demande a été rejetée.  Il a interjeté appel.  Son appel a été rejeté.</w:t>
            </w:r>
          </w:p>
          <w:p w:rsidR="00BB6BCD" w:rsidRPr="00E6448B" w:rsidRDefault="00BB6BCD" w:rsidP="009C2160">
            <w:pPr>
              <w:jc w:val="both"/>
              <w:rPr>
                <w:rFonts w:eastAsia="Calibri"/>
                <w:sz w:val="20"/>
                <w:lang w:val="fr-CA"/>
              </w:rPr>
            </w:pPr>
          </w:p>
        </w:tc>
      </w:tr>
      <w:tr w:rsidR="00BB6BCD" w:rsidRPr="00A77989" w:rsidTr="009C2160">
        <w:tblPrEx>
          <w:tblCellMar>
            <w:bottom w:w="0" w:type="dxa"/>
          </w:tblCellMar>
        </w:tblPrEx>
        <w:tc>
          <w:tcPr>
            <w:tcW w:w="2367" w:type="pct"/>
          </w:tcPr>
          <w:p w:rsidR="00BB6BCD" w:rsidRPr="00E6448B" w:rsidRDefault="00BB6BCD" w:rsidP="009C2160">
            <w:pPr>
              <w:jc w:val="both"/>
              <w:rPr>
                <w:rFonts w:eastAsia="Calibri"/>
                <w:sz w:val="20"/>
                <w:lang w:val="fr-CA"/>
              </w:rPr>
            </w:pPr>
            <w:r w:rsidRPr="00E6448B">
              <w:rPr>
                <w:rFonts w:eastAsia="Calibri"/>
                <w:sz w:val="20"/>
                <w:lang w:val="fr-CA"/>
              </w:rPr>
              <w:t>11 mai 2009</w:t>
            </w:r>
          </w:p>
          <w:p w:rsidR="00BB6BCD" w:rsidRPr="00E6448B" w:rsidRDefault="00BB6BCD" w:rsidP="009C2160">
            <w:pPr>
              <w:jc w:val="both"/>
              <w:rPr>
                <w:rFonts w:eastAsia="Calibri"/>
                <w:sz w:val="20"/>
                <w:lang w:val="fr-CA"/>
              </w:rPr>
            </w:pPr>
            <w:r w:rsidRPr="00E6448B">
              <w:rPr>
                <w:rFonts w:eastAsia="Calibri"/>
                <w:sz w:val="20"/>
                <w:lang w:val="fr-CA"/>
              </w:rPr>
              <w:t>Cour de justice de l’Ontario</w:t>
            </w:r>
          </w:p>
          <w:p w:rsidR="00BB6BCD" w:rsidRPr="00E6448B" w:rsidRDefault="00BB6BCD" w:rsidP="009C2160">
            <w:pPr>
              <w:jc w:val="both"/>
              <w:rPr>
                <w:rFonts w:eastAsia="Calibri"/>
                <w:sz w:val="20"/>
                <w:lang w:val="fr-CA"/>
              </w:rPr>
            </w:pPr>
            <w:r w:rsidRPr="00E6448B">
              <w:rPr>
                <w:rFonts w:eastAsia="Calibri"/>
                <w:sz w:val="20"/>
                <w:lang w:val="fr-CA"/>
              </w:rPr>
              <w:t xml:space="preserve">(Juge Marin) </w:t>
            </w:r>
          </w:p>
          <w:p w:rsidR="00BB6BCD" w:rsidRPr="00E6448B" w:rsidRDefault="00BB6BCD" w:rsidP="009C2160">
            <w:pPr>
              <w:jc w:val="both"/>
              <w:rPr>
                <w:rFonts w:eastAsia="Calibri"/>
                <w:sz w:val="20"/>
                <w:lang w:val="fr-CA"/>
              </w:rPr>
            </w:pPr>
          </w:p>
        </w:tc>
        <w:tc>
          <w:tcPr>
            <w:tcW w:w="267" w:type="pct"/>
          </w:tcPr>
          <w:p w:rsidR="00BB6BCD" w:rsidRPr="00E6448B" w:rsidRDefault="00BB6BCD" w:rsidP="009C2160">
            <w:pPr>
              <w:jc w:val="both"/>
              <w:rPr>
                <w:rFonts w:eastAsia="Calibri"/>
                <w:sz w:val="20"/>
                <w:lang w:val="fr-CA"/>
              </w:rPr>
            </w:pPr>
          </w:p>
        </w:tc>
        <w:tc>
          <w:tcPr>
            <w:tcW w:w="2366" w:type="pct"/>
            <w:gridSpan w:val="2"/>
          </w:tcPr>
          <w:p w:rsidR="00BB6BCD" w:rsidRPr="00E6448B" w:rsidRDefault="00BB6BCD" w:rsidP="009C2160">
            <w:pPr>
              <w:jc w:val="both"/>
              <w:rPr>
                <w:rFonts w:eastAsia="Calibri"/>
                <w:sz w:val="20"/>
                <w:lang w:val="fr-CA"/>
              </w:rPr>
            </w:pPr>
            <w:r w:rsidRPr="00E6448B">
              <w:rPr>
                <w:rFonts w:eastAsia="Calibri"/>
                <w:sz w:val="20"/>
                <w:lang w:val="fr-CA"/>
              </w:rPr>
              <w:t>Renvoi à procès relativement à deux chefs d’accusation d’abus de confiance, deux chefs d’accusation de tentative d’entrave à la justice, un chef d’accusation de complicité après le fait relativement à un enlèvement et  un chef d’accusation de recyclage de produits de la criminalité</w:t>
            </w:r>
          </w:p>
          <w:p w:rsidR="00BB6BCD" w:rsidRPr="00E6448B" w:rsidRDefault="00BB6BCD" w:rsidP="009C2160">
            <w:pPr>
              <w:jc w:val="both"/>
              <w:rPr>
                <w:rFonts w:eastAsia="Calibri"/>
                <w:sz w:val="20"/>
                <w:lang w:val="fr-CA"/>
              </w:rPr>
            </w:pPr>
          </w:p>
        </w:tc>
      </w:tr>
      <w:tr w:rsidR="00BB6BCD" w:rsidRPr="00A77989" w:rsidTr="00B46ACF">
        <w:tblPrEx>
          <w:tblCellMar>
            <w:bottom w:w="0" w:type="dxa"/>
          </w:tblCellMar>
        </w:tblPrEx>
        <w:trPr>
          <w:cantSplit/>
        </w:trPr>
        <w:tc>
          <w:tcPr>
            <w:tcW w:w="2367" w:type="pct"/>
          </w:tcPr>
          <w:p w:rsidR="00BB6BCD" w:rsidRPr="00E6448B" w:rsidRDefault="00BB6BCD" w:rsidP="009C2160">
            <w:pPr>
              <w:jc w:val="both"/>
              <w:rPr>
                <w:rFonts w:eastAsia="Calibri"/>
                <w:sz w:val="20"/>
                <w:lang w:val="fr-CA"/>
              </w:rPr>
            </w:pPr>
            <w:r w:rsidRPr="00E6448B">
              <w:rPr>
                <w:rFonts w:eastAsia="Calibri"/>
                <w:sz w:val="20"/>
                <w:lang w:val="fr-CA"/>
              </w:rPr>
              <w:lastRenderedPageBreak/>
              <w:t>22 septembre 2010</w:t>
            </w:r>
          </w:p>
          <w:p w:rsidR="00BB6BCD" w:rsidRPr="00E6448B" w:rsidRDefault="00BB6BCD" w:rsidP="009C2160">
            <w:pPr>
              <w:jc w:val="both"/>
              <w:rPr>
                <w:rFonts w:eastAsia="Calibri"/>
                <w:sz w:val="20"/>
                <w:lang w:val="fr-CA"/>
              </w:rPr>
            </w:pPr>
            <w:r w:rsidRPr="00E6448B">
              <w:rPr>
                <w:rFonts w:eastAsia="Calibri"/>
                <w:sz w:val="20"/>
                <w:lang w:val="fr-CA"/>
              </w:rPr>
              <w:t>Cour supérieure de justice de l’Ontario</w:t>
            </w:r>
          </w:p>
          <w:p w:rsidR="00BB6BCD" w:rsidRPr="00E6448B" w:rsidRDefault="00BB6BCD" w:rsidP="009C2160">
            <w:pPr>
              <w:jc w:val="both"/>
              <w:rPr>
                <w:rFonts w:eastAsia="Calibri"/>
                <w:sz w:val="20"/>
                <w:lang w:val="fr-CA"/>
              </w:rPr>
            </w:pPr>
            <w:r w:rsidRPr="00E6448B">
              <w:rPr>
                <w:rFonts w:eastAsia="Calibri"/>
                <w:sz w:val="20"/>
                <w:lang w:val="fr-CA"/>
              </w:rPr>
              <w:t xml:space="preserve">(Juge Nordheimer) </w:t>
            </w:r>
          </w:p>
          <w:p w:rsidR="00BB6BCD" w:rsidRPr="00E6448B" w:rsidRDefault="00BB6BCD" w:rsidP="009C2160">
            <w:pPr>
              <w:jc w:val="both"/>
              <w:rPr>
                <w:rFonts w:eastAsia="Calibri"/>
                <w:sz w:val="20"/>
                <w:lang w:val="fr-CA"/>
              </w:rPr>
            </w:pPr>
          </w:p>
        </w:tc>
        <w:tc>
          <w:tcPr>
            <w:tcW w:w="267" w:type="pct"/>
          </w:tcPr>
          <w:p w:rsidR="00BB6BCD" w:rsidRPr="00E6448B" w:rsidRDefault="00BB6BCD" w:rsidP="009C2160">
            <w:pPr>
              <w:jc w:val="both"/>
              <w:rPr>
                <w:rFonts w:eastAsia="Calibri"/>
                <w:sz w:val="20"/>
                <w:lang w:val="fr-CA"/>
              </w:rPr>
            </w:pPr>
          </w:p>
        </w:tc>
        <w:tc>
          <w:tcPr>
            <w:tcW w:w="2366" w:type="pct"/>
            <w:gridSpan w:val="2"/>
          </w:tcPr>
          <w:p w:rsidR="00BB6BCD" w:rsidRPr="00E6448B" w:rsidRDefault="00BB6BCD" w:rsidP="009C2160">
            <w:pPr>
              <w:jc w:val="both"/>
              <w:rPr>
                <w:rFonts w:eastAsia="Calibri"/>
                <w:sz w:val="20"/>
                <w:lang w:val="fr-CA"/>
              </w:rPr>
            </w:pPr>
            <w:r w:rsidRPr="00E6448B">
              <w:rPr>
                <w:rFonts w:eastAsia="Calibri"/>
                <w:sz w:val="20"/>
                <w:lang w:val="fr-CA"/>
              </w:rPr>
              <w:t xml:space="preserve">Demande de </w:t>
            </w:r>
            <w:r w:rsidRPr="00E6448B">
              <w:rPr>
                <w:rFonts w:eastAsia="Calibri"/>
                <w:i/>
                <w:sz w:val="20"/>
                <w:lang w:val="fr-CA"/>
              </w:rPr>
              <w:t>certiorari</w:t>
            </w:r>
            <w:r w:rsidRPr="00E6448B">
              <w:rPr>
                <w:rFonts w:eastAsia="Calibri"/>
                <w:sz w:val="20"/>
                <w:lang w:val="fr-CA"/>
              </w:rPr>
              <w:t xml:space="preserve"> visant à annuler le renvoi à procès rejetée</w:t>
            </w:r>
          </w:p>
          <w:p w:rsidR="00BB6BCD" w:rsidRPr="00E6448B" w:rsidRDefault="00BB6BCD" w:rsidP="009C2160">
            <w:pPr>
              <w:jc w:val="both"/>
              <w:rPr>
                <w:rFonts w:eastAsia="Calibri"/>
                <w:sz w:val="20"/>
                <w:lang w:val="fr-CA"/>
              </w:rPr>
            </w:pPr>
          </w:p>
        </w:tc>
      </w:tr>
      <w:tr w:rsidR="00BB6BCD" w:rsidRPr="00E6448B" w:rsidTr="00B46ACF">
        <w:tblPrEx>
          <w:tblCellMar>
            <w:bottom w:w="0" w:type="dxa"/>
          </w:tblCellMar>
        </w:tblPrEx>
        <w:trPr>
          <w:cantSplit/>
        </w:trPr>
        <w:tc>
          <w:tcPr>
            <w:tcW w:w="2367" w:type="pct"/>
          </w:tcPr>
          <w:p w:rsidR="00BB6BCD" w:rsidRPr="00E6448B" w:rsidRDefault="00BB6BCD" w:rsidP="009C2160">
            <w:pPr>
              <w:jc w:val="both"/>
              <w:rPr>
                <w:rFonts w:eastAsia="Calibri"/>
                <w:sz w:val="20"/>
                <w:lang w:val="fr-CA"/>
              </w:rPr>
            </w:pPr>
            <w:r w:rsidRPr="00E6448B">
              <w:rPr>
                <w:rFonts w:eastAsia="Calibri"/>
                <w:sz w:val="20"/>
                <w:lang w:val="fr-CA"/>
              </w:rPr>
              <w:t>1 mars 2011</w:t>
            </w:r>
          </w:p>
          <w:p w:rsidR="00BB6BCD" w:rsidRPr="00E6448B" w:rsidRDefault="00BB6BCD" w:rsidP="009C2160">
            <w:pPr>
              <w:jc w:val="both"/>
              <w:rPr>
                <w:rFonts w:eastAsia="Calibri"/>
                <w:sz w:val="20"/>
                <w:lang w:val="fr-CA"/>
              </w:rPr>
            </w:pPr>
            <w:r w:rsidRPr="00E6448B">
              <w:rPr>
                <w:rFonts w:eastAsia="Calibri"/>
                <w:sz w:val="20"/>
                <w:lang w:val="fr-CA"/>
              </w:rPr>
              <w:t>Cour d’appel de l’Ontario</w:t>
            </w:r>
          </w:p>
          <w:p w:rsidR="00BB6BCD" w:rsidRPr="00E6448B" w:rsidRDefault="00BB6BCD" w:rsidP="009C2160">
            <w:pPr>
              <w:jc w:val="both"/>
              <w:rPr>
                <w:rFonts w:eastAsia="Calibri"/>
                <w:sz w:val="20"/>
                <w:lang w:val="fr-CA"/>
              </w:rPr>
            </w:pPr>
            <w:r w:rsidRPr="00E6448B">
              <w:rPr>
                <w:rFonts w:eastAsia="Calibri"/>
                <w:sz w:val="20"/>
                <w:lang w:val="fr-CA"/>
              </w:rPr>
              <w:t xml:space="preserve">(Juges O'Connor, Doherty et Blair) </w:t>
            </w:r>
          </w:p>
          <w:p w:rsidR="00BB6BCD" w:rsidRPr="00E6448B" w:rsidRDefault="00BB6BCD" w:rsidP="009C2160">
            <w:pPr>
              <w:jc w:val="both"/>
              <w:rPr>
                <w:rFonts w:eastAsia="Calibri"/>
                <w:sz w:val="20"/>
                <w:lang w:val="fr-CA"/>
              </w:rPr>
            </w:pPr>
            <w:r w:rsidRPr="00E6448B">
              <w:rPr>
                <w:rFonts w:eastAsia="Calibri"/>
                <w:sz w:val="20"/>
                <w:lang w:val="fr-CA"/>
              </w:rPr>
              <w:t>2011 ONCA 167</w:t>
            </w:r>
          </w:p>
          <w:p w:rsidR="00BB6BCD" w:rsidRPr="00E6448B" w:rsidRDefault="00BB6BCD" w:rsidP="009C2160">
            <w:pPr>
              <w:jc w:val="both"/>
              <w:rPr>
                <w:rFonts w:eastAsia="Calibri"/>
                <w:sz w:val="20"/>
                <w:lang w:val="fr-CA"/>
              </w:rPr>
            </w:pPr>
            <w:r w:rsidRPr="00E6448B">
              <w:rPr>
                <w:rFonts w:eastAsia="Calibri"/>
                <w:sz w:val="20"/>
                <w:lang w:val="fr-CA"/>
              </w:rPr>
              <w:t>Dossier : C52757</w:t>
            </w:r>
          </w:p>
          <w:p w:rsidR="00BB6BCD" w:rsidRPr="00E6448B" w:rsidRDefault="00BB6BCD" w:rsidP="009C2160">
            <w:pPr>
              <w:jc w:val="both"/>
              <w:rPr>
                <w:rFonts w:eastAsia="Calibri"/>
                <w:sz w:val="20"/>
                <w:lang w:val="fr-CA"/>
              </w:rPr>
            </w:pPr>
          </w:p>
        </w:tc>
        <w:tc>
          <w:tcPr>
            <w:tcW w:w="267" w:type="pct"/>
          </w:tcPr>
          <w:p w:rsidR="00BB6BCD" w:rsidRPr="00E6448B" w:rsidRDefault="00BB6BCD" w:rsidP="009C2160">
            <w:pPr>
              <w:jc w:val="both"/>
              <w:rPr>
                <w:rFonts w:eastAsia="Calibri"/>
                <w:sz w:val="20"/>
                <w:lang w:val="fr-CA"/>
              </w:rPr>
            </w:pPr>
          </w:p>
        </w:tc>
        <w:tc>
          <w:tcPr>
            <w:tcW w:w="2366" w:type="pct"/>
            <w:gridSpan w:val="2"/>
          </w:tcPr>
          <w:p w:rsidR="00BB6BCD" w:rsidRPr="00E6448B" w:rsidRDefault="00BB6BCD" w:rsidP="009C2160">
            <w:pPr>
              <w:jc w:val="both"/>
              <w:rPr>
                <w:rFonts w:eastAsia="Calibri"/>
                <w:sz w:val="20"/>
                <w:lang w:val="fr-CA"/>
              </w:rPr>
            </w:pPr>
            <w:r w:rsidRPr="00E6448B">
              <w:rPr>
                <w:rFonts w:eastAsia="Calibri"/>
                <w:sz w:val="20"/>
                <w:lang w:val="fr-CA"/>
              </w:rPr>
              <w:t>Appel rejeté</w:t>
            </w:r>
          </w:p>
          <w:p w:rsidR="00BB6BCD" w:rsidRPr="00E6448B" w:rsidRDefault="00BB6BCD" w:rsidP="009C2160">
            <w:pPr>
              <w:jc w:val="both"/>
              <w:rPr>
                <w:rFonts w:eastAsia="Calibri"/>
                <w:sz w:val="20"/>
                <w:lang w:val="fr-CA"/>
              </w:rPr>
            </w:pPr>
          </w:p>
        </w:tc>
      </w:tr>
      <w:tr w:rsidR="00BB6BCD" w:rsidRPr="00E6448B" w:rsidTr="00B46ACF">
        <w:tblPrEx>
          <w:tblCellMar>
            <w:bottom w:w="0" w:type="dxa"/>
          </w:tblCellMar>
        </w:tblPrEx>
        <w:trPr>
          <w:cantSplit/>
        </w:trPr>
        <w:tc>
          <w:tcPr>
            <w:tcW w:w="2367" w:type="pct"/>
          </w:tcPr>
          <w:p w:rsidR="00BB6BCD" w:rsidRPr="00E6448B" w:rsidRDefault="00BB6BCD" w:rsidP="009C2160">
            <w:pPr>
              <w:jc w:val="both"/>
              <w:rPr>
                <w:rFonts w:eastAsia="Calibri"/>
                <w:sz w:val="20"/>
                <w:lang w:val="fr-CA"/>
              </w:rPr>
            </w:pPr>
            <w:r w:rsidRPr="00E6448B">
              <w:rPr>
                <w:rFonts w:eastAsia="Calibri"/>
                <w:sz w:val="20"/>
                <w:lang w:val="fr-CA"/>
              </w:rPr>
              <w:t xml:space="preserve">1 avril 2011 </w:t>
            </w:r>
          </w:p>
          <w:p w:rsidR="00BB6BCD" w:rsidRPr="00E6448B" w:rsidRDefault="00BB6BCD" w:rsidP="009C2160">
            <w:pPr>
              <w:jc w:val="both"/>
              <w:rPr>
                <w:rFonts w:eastAsia="Calibri"/>
                <w:sz w:val="20"/>
                <w:lang w:val="fr-CA"/>
              </w:rPr>
            </w:pPr>
            <w:r w:rsidRPr="00E6448B">
              <w:rPr>
                <w:rFonts w:eastAsia="Calibri"/>
                <w:sz w:val="20"/>
                <w:lang w:val="fr-CA"/>
              </w:rPr>
              <w:t>Cour suprême du Canada</w:t>
            </w:r>
          </w:p>
        </w:tc>
        <w:tc>
          <w:tcPr>
            <w:tcW w:w="267" w:type="pct"/>
          </w:tcPr>
          <w:p w:rsidR="00BB6BCD" w:rsidRPr="00E6448B" w:rsidRDefault="00BB6BCD" w:rsidP="009C2160">
            <w:pPr>
              <w:jc w:val="both"/>
              <w:rPr>
                <w:rFonts w:eastAsia="Calibri"/>
                <w:sz w:val="20"/>
                <w:lang w:val="fr-CA"/>
              </w:rPr>
            </w:pPr>
          </w:p>
        </w:tc>
        <w:tc>
          <w:tcPr>
            <w:tcW w:w="2366" w:type="pct"/>
            <w:gridSpan w:val="2"/>
          </w:tcPr>
          <w:p w:rsidR="00BB6BCD" w:rsidRPr="00E6448B" w:rsidRDefault="00BB6BCD" w:rsidP="009C2160">
            <w:pPr>
              <w:jc w:val="both"/>
              <w:rPr>
                <w:rFonts w:eastAsia="Calibri"/>
                <w:sz w:val="20"/>
                <w:lang w:val="fr-CA"/>
              </w:rPr>
            </w:pPr>
            <w:r w:rsidRPr="00E6448B">
              <w:rPr>
                <w:rFonts w:eastAsia="Calibri"/>
                <w:sz w:val="20"/>
                <w:lang w:val="fr-CA"/>
              </w:rPr>
              <w:t>Demande d’autorisation d’appel déposée</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57"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1637C" w:rsidRPr="0001637C" w:rsidTr="009F5557">
        <w:trPr>
          <w:cantSplit/>
        </w:trPr>
        <w:tc>
          <w:tcPr>
            <w:tcW w:w="1458" w:type="dxa"/>
          </w:tcPr>
          <w:p w:rsidR="0001637C" w:rsidRPr="0001637C" w:rsidRDefault="0001637C" w:rsidP="009F5557">
            <w:pPr>
              <w:rPr>
                <w:rFonts w:cs="Times New Roman"/>
                <w:sz w:val="20"/>
                <w:szCs w:val="20"/>
              </w:rPr>
            </w:pPr>
            <w:r w:rsidRPr="0001637C">
              <w:rPr>
                <w:rStyle w:val="SCCFileNumberChar"/>
                <w:sz w:val="20"/>
                <w:szCs w:val="20"/>
              </w:rPr>
              <w:t>34173</w:t>
            </w:r>
          </w:p>
          <w:p w:rsidR="0001637C" w:rsidRPr="0001637C" w:rsidRDefault="0001637C" w:rsidP="009F5557">
            <w:pPr>
              <w:rPr>
                <w:rFonts w:cs="Times New Roman"/>
                <w:b/>
                <w:sz w:val="20"/>
                <w:szCs w:val="20"/>
                <w:lang w:val="fr-CA"/>
              </w:rPr>
            </w:pPr>
          </w:p>
        </w:tc>
        <w:tc>
          <w:tcPr>
            <w:tcW w:w="8118" w:type="dxa"/>
          </w:tcPr>
          <w:p w:rsidR="0001637C" w:rsidRPr="0001637C" w:rsidRDefault="0001637C" w:rsidP="009F5557">
            <w:pPr>
              <w:rPr>
                <w:rFonts w:cs="Times New Roman"/>
                <w:sz w:val="20"/>
                <w:szCs w:val="20"/>
              </w:rPr>
            </w:pPr>
            <w:r w:rsidRPr="0001637C">
              <w:rPr>
                <w:rStyle w:val="SCCLsocChar"/>
                <w:rFonts w:cs="Times New Roman"/>
                <w:sz w:val="20"/>
                <w:szCs w:val="20"/>
                <w:lang w:val="en-CA"/>
              </w:rPr>
              <w:t>Viral Patel v. Her Majesty the Queen</w:t>
            </w:r>
            <w:r w:rsidRPr="0001637C">
              <w:rPr>
                <w:rFonts w:cs="Times New Roman"/>
                <w:sz w:val="20"/>
                <w:szCs w:val="20"/>
              </w:rPr>
              <w:t xml:space="preserve"> (Alta.) (Criminal) (By Leave)</w:t>
            </w:r>
          </w:p>
          <w:p w:rsidR="0001637C" w:rsidRPr="0001637C" w:rsidRDefault="0001637C" w:rsidP="009F5557">
            <w:pPr>
              <w:rPr>
                <w:rFonts w:cs="Times New Roman"/>
                <w:sz w:val="20"/>
                <w:szCs w:val="20"/>
              </w:rPr>
            </w:pPr>
          </w:p>
        </w:tc>
      </w:tr>
      <w:tr w:rsidR="0001637C" w:rsidRPr="0001637C" w:rsidTr="009F5557">
        <w:trPr>
          <w:cantSplit/>
        </w:trPr>
        <w:tc>
          <w:tcPr>
            <w:tcW w:w="1458" w:type="dxa"/>
          </w:tcPr>
          <w:p w:rsidR="0001637C" w:rsidRPr="0001637C" w:rsidRDefault="0001637C" w:rsidP="009F5557">
            <w:pPr>
              <w:rPr>
                <w:rFonts w:cs="Times New Roman"/>
                <w:sz w:val="20"/>
                <w:szCs w:val="20"/>
              </w:rPr>
            </w:pPr>
            <w:r w:rsidRPr="0001637C">
              <w:rPr>
                <w:rFonts w:cs="Times New Roman"/>
                <w:sz w:val="20"/>
                <w:szCs w:val="20"/>
              </w:rPr>
              <w:t>Coram :</w:t>
            </w:r>
          </w:p>
        </w:tc>
        <w:tc>
          <w:tcPr>
            <w:tcW w:w="8118" w:type="dxa"/>
          </w:tcPr>
          <w:p w:rsidR="0001637C" w:rsidRPr="0001637C" w:rsidRDefault="0001637C" w:rsidP="009F5557">
            <w:pPr>
              <w:rPr>
                <w:rFonts w:cs="Times New Roman"/>
                <w:sz w:val="20"/>
                <w:szCs w:val="20"/>
              </w:rPr>
            </w:pPr>
            <w:r w:rsidRPr="0001637C">
              <w:rPr>
                <w:rStyle w:val="SCCCoramChar"/>
                <w:rFonts w:cs="Times New Roman"/>
                <w:sz w:val="20"/>
                <w:szCs w:val="20"/>
                <w:lang w:val="en-CA"/>
              </w:rPr>
              <w:t>Binnie, Abella and Rothstein JJ.</w:t>
            </w:r>
          </w:p>
          <w:p w:rsidR="0001637C" w:rsidRPr="0001637C" w:rsidRDefault="0001637C" w:rsidP="009F5557">
            <w:pPr>
              <w:rPr>
                <w:rFonts w:cs="Times New Roman"/>
                <w:sz w:val="20"/>
                <w:szCs w:val="20"/>
                <w:u w:val="single"/>
              </w:rPr>
            </w:pPr>
          </w:p>
        </w:tc>
      </w:tr>
      <w:tr w:rsidR="0001637C" w:rsidRPr="0001637C" w:rsidTr="009F5557">
        <w:trPr>
          <w:cantSplit/>
        </w:trPr>
        <w:tc>
          <w:tcPr>
            <w:tcW w:w="9576" w:type="dxa"/>
            <w:gridSpan w:val="2"/>
          </w:tcPr>
          <w:p w:rsidR="0001637C" w:rsidRPr="0001637C" w:rsidRDefault="0001637C" w:rsidP="009F5557">
            <w:pPr>
              <w:pStyle w:val="SCCShortJudgment"/>
              <w:rPr>
                <w:rFonts w:cs="Times New Roman"/>
                <w:szCs w:val="20"/>
              </w:rPr>
            </w:pPr>
            <w:r w:rsidRPr="0001637C">
              <w:rPr>
                <w:rFonts w:cs="Times New Roman"/>
                <w:szCs w:val="20"/>
              </w:rPr>
              <w:t>The motion to appoint counsel and the  application for leave to appeal from the judgment of the Court of Appeal of Alberta (Calgary), Number 0901-0341-A, 2011 ABCA 31, dated January 31, 2011, are dismissed without costs.</w:t>
            </w:r>
          </w:p>
          <w:p w:rsidR="0001637C" w:rsidRPr="0001637C" w:rsidRDefault="0001637C" w:rsidP="009F5557">
            <w:pPr>
              <w:pStyle w:val="SCCShortJudgment"/>
              <w:ind w:firstLine="0"/>
              <w:rPr>
                <w:rFonts w:cs="Times New Roman"/>
                <w:szCs w:val="20"/>
              </w:rPr>
            </w:pPr>
          </w:p>
          <w:p w:rsidR="0001637C" w:rsidRPr="0001637C" w:rsidRDefault="0001637C" w:rsidP="0001637C">
            <w:pPr>
              <w:pStyle w:val="SCCShortJudgment"/>
              <w:rPr>
                <w:rFonts w:cs="Times New Roman"/>
                <w:szCs w:val="20"/>
                <w:lang w:val="fr-CA"/>
              </w:rPr>
            </w:pPr>
            <w:r w:rsidRPr="0001637C">
              <w:rPr>
                <w:rFonts w:cs="Times New Roman"/>
                <w:szCs w:val="20"/>
                <w:lang w:val="fr-CA"/>
              </w:rPr>
              <w:t>La requête en nomination de procureur et la demande d’autorisation d’appel de l’arrêt de la Cour d'appel de l’Alberta (Calgary), numéro 0901-0341-A, 2011 ABCA 31, daté du 31 janvier 2011, sont rejetées sans dépens.</w:t>
            </w:r>
          </w:p>
        </w:tc>
      </w:tr>
    </w:tbl>
    <w:p w:rsidR="0001637C" w:rsidRPr="0001637C" w:rsidRDefault="0001637C"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6BCD" w:rsidRPr="00E6448B" w:rsidTr="009C2160">
        <w:tc>
          <w:tcPr>
            <w:tcW w:w="5000" w:type="pct"/>
            <w:gridSpan w:val="3"/>
          </w:tcPr>
          <w:p w:rsidR="00BB6BCD" w:rsidRPr="00E6448B" w:rsidRDefault="00BB6BCD" w:rsidP="009C2160">
            <w:pPr>
              <w:jc w:val="both"/>
              <w:rPr>
                <w:rFonts w:eastAsia="Calibri"/>
                <w:sz w:val="20"/>
              </w:rPr>
            </w:pPr>
            <w:r w:rsidRPr="00E6448B">
              <w:rPr>
                <w:rFonts w:eastAsia="Calibri"/>
                <w:sz w:val="20"/>
              </w:rPr>
              <w:t>Criminal law — Guilty plea — Whether the Court of Appeal erred by not overturning the applicant’s guilty plea and by rejecting the claim of inadequate counsel</w:t>
            </w:r>
          </w:p>
          <w:p w:rsidR="00BB6BCD" w:rsidRPr="00E6448B" w:rsidRDefault="00BB6BCD" w:rsidP="009C2160">
            <w:pPr>
              <w:jc w:val="both"/>
              <w:rPr>
                <w:rFonts w:eastAsia="Calibri"/>
                <w:sz w:val="20"/>
              </w:rPr>
            </w:pPr>
          </w:p>
        </w:tc>
      </w:tr>
      <w:tr w:rsidR="00BB6BCD" w:rsidRPr="00E6448B" w:rsidTr="009C2160">
        <w:tc>
          <w:tcPr>
            <w:tcW w:w="5000" w:type="pct"/>
            <w:gridSpan w:val="3"/>
          </w:tcPr>
          <w:p w:rsidR="00BB6BCD" w:rsidRPr="00E6448B" w:rsidRDefault="00BB6BCD" w:rsidP="009C2160">
            <w:pPr>
              <w:jc w:val="both"/>
              <w:rPr>
                <w:rFonts w:eastAsia="Calibri"/>
                <w:sz w:val="20"/>
              </w:rPr>
            </w:pPr>
            <w:r w:rsidRPr="00E6448B">
              <w:rPr>
                <w:rFonts w:eastAsia="Calibri"/>
                <w:sz w:val="20"/>
              </w:rPr>
              <w:t>The applicant was under a mistaken belief that she had a relationship with the complainant.  For a period in excess of two years, she engaged in more than 1000 unwanted communications with him by email, by telephone and by attending at his workplace on multiple occasions.  She pled guilty to unlawful harassment but appealed on several bases including that she received inadequate representation by counsel.  The appeal was dismissed.</w:t>
            </w:r>
          </w:p>
          <w:p w:rsidR="00BB6BCD" w:rsidRPr="00E6448B" w:rsidRDefault="00BB6BCD" w:rsidP="009C2160">
            <w:pPr>
              <w:jc w:val="both"/>
              <w:rPr>
                <w:rFonts w:eastAsia="Calibri"/>
                <w:sz w:val="20"/>
              </w:rPr>
            </w:pPr>
          </w:p>
        </w:tc>
      </w:tr>
      <w:tr w:rsidR="00BB6BCD" w:rsidRPr="00E6448B" w:rsidTr="009C2160">
        <w:tc>
          <w:tcPr>
            <w:tcW w:w="2427" w:type="pct"/>
          </w:tcPr>
          <w:p w:rsidR="00BB6BCD" w:rsidRPr="00E6448B" w:rsidRDefault="00BB6BCD" w:rsidP="009C2160">
            <w:pPr>
              <w:jc w:val="both"/>
              <w:rPr>
                <w:rFonts w:eastAsia="Calibri"/>
                <w:sz w:val="20"/>
              </w:rPr>
            </w:pPr>
            <w:r w:rsidRPr="00E6448B">
              <w:rPr>
                <w:rFonts w:eastAsia="Calibri"/>
                <w:sz w:val="20"/>
              </w:rPr>
              <w:t>September 28, 2009</w:t>
            </w:r>
          </w:p>
          <w:p w:rsidR="00BB6BCD" w:rsidRPr="00E6448B" w:rsidRDefault="00BB6BCD" w:rsidP="009C2160">
            <w:pPr>
              <w:jc w:val="both"/>
              <w:rPr>
                <w:rFonts w:eastAsia="Calibri"/>
                <w:sz w:val="20"/>
              </w:rPr>
            </w:pPr>
            <w:r w:rsidRPr="00E6448B">
              <w:rPr>
                <w:rFonts w:eastAsia="Calibri"/>
                <w:sz w:val="20"/>
              </w:rPr>
              <w:t>Provincial Court of Alberta</w:t>
            </w:r>
          </w:p>
          <w:p w:rsidR="00BB6BCD" w:rsidRPr="00E6448B" w:rsidRDefault="00BB6BCD" w:rsidP="009C2160">
            <w:pPr>
              <w:jc w:val="both"/>
              <w:rPr>
                <w:rFonts w:eastAsia="Calibri"/>
                <w:sz w:val="20"/>
              </w:rPr>
            </w:pPr>
            <w:r w:rsidRPr="00E6448B">
              <w:rPr>
                <w:rFonts w:eastAsia="Calibri"/>
                <w:sz w:val="20"/>
              </w:rPr>
              <w:t>(Dunnigan J.)</w:t>
            </w:r>
          </w:p>
          <w:p w:rsidR="00BB6BCD" w:rsidRPr="00E6448B" w:rsidRDefault="00BB6BCD" w:rsidP="009C2160">
            <w:pPr>
              <w:jc w:val="both"/>
              <w:rPr>
                <w:rFonts w:eastAsia="Calibri"/>
                <w:sz w:val="20"/>
              </w:rPr>
            </w:pPr>
          </w:p>
        </w:tc>
        <w:tc>
          <w:tcPr>
            <w:tcW w:w="243" w:type="pct"/>
          </w:tcPr>
          <w:p w:rsidR="00BB6BCD" w:rsidRPr="00E6448B" w:rsidRDefault="00BB6BCD" w:rsidP="009C2160">
            <w:pPr>
              <w:jc w:val="both"/>
              <w:rPr>
                <w:rFonts w:eastAsia="Calibri"/>
                <w:sz w:val="20"/>
              </w:rPr>
            </w:pPr>
          </w:p>
        </w:tc>
        <w:tc>
          <w:tcPr>
            <w:tcW w:w="2330" w:type="pct"/>
          </w:tcPr>
          <w:p w:rsidR="00BB6BCD" w:rsidRPr="00E6448B" w:rsidRDefault="00BB6BCD" w:rsidP="009C2160">
            <w:pPr>
              <w:jc w:val="both"/>
              <w:rPr>
                <w:rFonts w:eastAsia="Calibri"/>
                <w:i/>
                <w:sz w:val="20"/>
              </w:rPr>
            </w:pPr>
            <w:r w:rsidRPr="00E6448B">
              <w:rPr>
                <w:rFonts w:eastAsia="Calibri"/>
                <w:sz w:val="20"/>
              </w:rPr>
              <w:t xml:space="preserve">Applicant found guilty of unlawful harassment contrary to s. 264 of the </w:t>
            </w:r>
            <w:r w:rsidRPr="00E6448B">
              <w:rPr>
                <w:rFonts w:eastAsia="Calibri"/>
                <w:i/>
                <w:sz w:val="20"/>
              </w:rPr>
              <w:t>Criminal Code</w:t>
            </w:r>
          </w:p>
          <w:p w:rsidR="00BB6BCD" w:rsidRPr="00E6448B" w:rsidRDefault="00BB6BCD" w:rsidP="009C2160">
            <w:pPr>
              <w:jc w:val="both"/>
              <w:rPr>
                <w:rFonts w:eastAsia="Calibri"/>
                <w:sz w:val="20"/>
              </w:rPr>
            </w:pPr>
          </w:p>
        </w:tc>
      </w:tr>
      <w:tr w:rsidR="00BB6BCD" w:rsidRPr="00E6448B" w:rsidTr="009C2160">
        <w:tc>
          <w:tcPr>
            <w:tcW w:w="2427" w:type="pct"/>
          </w:tcPr>
          <w:p w:rsidR="00BB6BCD" w:rsidRPr="00E6448B" w:rsidRDefault="00BB6BCD" w:rsidP="009C2160">
            <w:pPr>
              <w:jc w:val="both"/>
              <w:rPr>
                <w:rFonts w:eastAsia="Calibri"/>
                <w:sz w:val="20"/>
              </w:rPr>
            </w:pPr>
            <w:r w:rsidRPr="00E6448B">
              <w:rPr>
                <w:rFonts w:eastAsia="Calibri"/>
                <w:sz w:val="20"/>
              </w:rPr>
              <w:t>January 31, 2011</w:t>
            </w:r>
          </w:p>
          <w:p w:rsidR="00BB6BCD" w:rsidRPr="00E6448B" w:rsidRDefault="00BB6BCD" w:rsidP="009C2160">
            <w:pPr>
              <w:jc w:val="both"/>
              <w:rPr>
                <w:rFonts w:eastAsia="Calibri"/>
                <w:sz w:val="20"/>
              </w:rPr>
            </w:pPr>
            <w:r w:rsidRPr="00E6448B">
              <w:rPr>
                <w:rFonts w:eastAsia="Calibri"/>
                <w:sz w:val="20"/>
              </w:rPr>
              <w:t>Court of Appeal of Alberta (Calgary)</w:t>
            </w:r>
          </w:p>
          <w:p w:rsidR="00BB6BCD" w:rsidRPr="00E6448B" w:rsidRDefault="00BB6BCD" w:rsidP="009C2160">
            <w:pPr>
              <w:jc w:val="both"/>
              <w:rPr>
                <w:rFonts w:eastAsia="Calibri"/>
                <w:sz w:val="20"/>
              </w:rPr>
            </w:pPr>
            <w:r w:rsidRPr="00E6448B">
              <w:rPr>
                <w:rFonts w:eastAsia="Calibri"/>
                <w:sz w:val="20"/>
              </w:rPr>
              <w:t>(McFadyen, Berger and Slatter JJ.A.)</w:t>
            </w:r>
          </w:p>
          <w:p w:rsidR="00BB6BCD" w:rsidRPr="00E6448B" w:rsidRDefault="00BB6BCD" w:rsidP="009C2160">
            <w:pPr>
              <w:jc w:val="both"/>
              <w:rPr>
                <w:rFonts w:eastAsia="Calibri"/>
                <w:sz w:val="20"/>
              </w:rPr>
            </w:pPr>
            <w:r w:rsidRPr="00E6448B">
              <w:rPr>
                <w:rFonts w:eastAsia="Calibri"/>
                <w:sz w:val="20"/>
              </w:rPr>
              <w:t>Neutral citation: 2011 ABCA 31</w:t>
            </w:r>
          </w:p>
          <w:p w:rsidR="00BB6BCD" w:rsidRPr="00E6448B" w:rsidRDefault="00BB6BCD" w:rsidP="009C2160">
            <w:pPr>
              <w:jc w:val="both"/>
              <w:rPr>
                <w:rFonts w:eastAsia="Calibri"/>
                <w:sz w:val="20"/>
              </w:rPr>
            </w:pPr>
          </w:p>
        </w:tc>
        <w:tc>
          <w:tcPr>
            <w:tcW w:w="243" w:type="pct"/>
          </w:tcPr>
          <w:p w:rsidR="00BB6BCD" w:rsidRPr="00E6448B" w:rsidRDefault="00BB6BCD" w:rsidP="009C2160">
            <w:pPr>
              <w:jc w:val="both"/>
              <w:rPr>
                <w:rFonts w:eastAsia="Calibri"/>
                <w:sz w:val="20"/>
              </w:rPr>
            </w:pPr>
          </w:p>
        </w:tc>
        <w:tc>
          <w:tcPr>
            <w:tcW w:w="2330" w:type="pct"/>
          </w:tcPr>
          <w:p w:rsidR="00BB6BCD" w:rsidRPr="00E6448B" w:rsidRDefault="00BB6BCD" w:rsidP="009C2160">
            <w:pPr>
              <w:jc w:val="both"/>
              <w:rPr>
                <w:rFonts w:eastAsia="Calibri"/>
                <w:sz w:val="20"/>
              </w:rPr>
            </w:pPr>
            <w:r w:rsidRPr="00E6448B">
              <w:rPr>
                <w:rFonts w:eastAsia="Calibri"/>
                <w:sz w:val="20"/>
              </w:rPr>
              <w:t>Appeal against conviction and sentence dismissed</w:t>
            </w:r>
          </w:p>
          <w:p w:rsidR="00BB6BCD" w:rsidRPr="00E6448B" w:rsidRDefault="00BB6BCD" w:rsidP="009C2160">
            <w:pPr>
              <w:jc w:val="both"/>
              <w:rPr>
                <w:rFonts w:eastAsia="Calibri"/>
                <w:sz w:val="20"/>
              </w:rPr>
            </w:pPr>
          </w:p>
        </w:tc>
      </w:tr>
      <w:tr w:rsidR="00BB6BCD" w:rsidRPr="00E6448B" w:rsidTr="009C2160">
        <w:tc>
          <w:tcPr>
            <w:tcW w:w="2427" w:type="pct"/>
          </w:tcPr>
          <w:p w:rsidR="00BB6BCD" w:rsidRPr="00E6448B" w:rsidRDefault="00BB6BCD" w:rsidP="009C2160">
            <w:pPr>
              <w:jc w:val="both"/>
              <w:rPr>
                <w:rFonts w:eastAsia="Calibri"/>
                <w:sz w:val="20"/>
              </w:rPr>
            </w:pPr>
            <w:r w:rsidRPr="00E6448B">
              <w:rPr>
                <w:rFonts w:eastAsia="Calibri"/>
                <w:sz w:val="20"/>
              </w:rPr>
              <w:t>March 31, 2011</w:t>
            </w:r>
          </w:p>
          <w:p w:rsidR="00BB6BCD" w:rsidRPr="00E6448B" w:rsidRDefault="00BB6BCD" w:rsidP="009C2160">
            <w:pPr>
              <w:jc w:val="both"/>
              <w:rPr>
                <w:rFonts w:eastAsia="Calibri"/>
                <w:sz w:val="20"/>
              </w:rPr>
            </w:pPr>
            <w:r w:rsidRPr="00E6448B">
              <w:rPr>
                <w:rFonts w:eastAsia="Calibri"/>
                <w:sz w:val="20"/>
              </w:rPr>
              <w:t>Supreme Court of Canada</w:t>
            </w:r>
          </w:p>
          <w:p w:rsidR="00BB6BCD" w:rsidRPr="00E6448B" w:rsidRDefault="00BB6BCD" w:rsidP="009C2160">
            <w:pPr>
              <w:jc w:val="both"/>
              <w:rPr>
                <w:rFonts w:eastAsia="Calibri"/>
                <w:sz w:val="20"/>
              </w:rPr>
            </w:pPr>
          </w:p>
        </w:tc>
        <w:tc>
          <w:tcPr>
            <w:tcW w:w="243" w:type="pct"/>
          </w:tcPr>
          <w:p w:rsidR="00BB6BCD" w:rsidRPr="00E6448B" w:rsidRDefault="00BB6BCD" w:rsidP="009C2160">
            <w:pPr>
              <w:jc w:val="both"/>
              <w:rPr>
                <w:rFonts w:eastAsia="Calibri"/>
                <w:sz w:val="20"/>
              </w:rPr>
            </w:pPr>
          </w:p>
        </w:tc>
        <w:tc>
          <w:tcPr>
            <w:tcW w:w="2330" w:type="pct"/>
          </w:tcPr>
          <w:p w:rsidR="00BB6BCD" w:rsidRPr="00E6448B" w:rsidRDefault="00BB6BCD" w:rsidP="009C2160">
            <w:pPr>
              <w:jc w:val="both"/>
              <w:rPr>
                <w:rFonts w:eastAsia="Calibri"/>
                <w:sz w:val="20"/>
              </w:rPr>
            </w:pPr>
            <w:r w:rsidRPr="00E6448B">
              <w:rPr>
                <w:rFonts w:eastAsia="Calibri"/>
                <w:sz w:val="20"/>
              </w:rPr>
              <w:t>Motion to appoint counsel and Application for leave to appeal filed</w:t>
            </w:r>
          </w:p>
          <w:p w:rsidR="00BB6BCD" w:rsidRPr="00E6448B" w:rsidRDefault="00BB6BCD" w:rsidP="009C2160">
            <w:pPr>
              <w:jc w:val="both"/>
              <w:rPr>
                <w:rFonts w:eastAsia="Calibri"/>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58"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lastRenderedPageBreak/>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6BCD" w:rsidRPr="00A77989" w:rsidTr="009C2160">
        <w:tc>
          <w:tcPr>
            <w:tcW w:w="5000" w:type="pct"/>
            <w:gridSpan w:val="3"/>
          </w:tcPr>
          <w:p w:rsidR="00BB6BCD" w:rsidRPr="00E6448B" w:rsidRDefault="00BB6BCD" w:rsidP="009C2160">
            <w:pPr>
              <w:jc w:val="both"/>
              <w:rPr>
                <w:rFonts w:eastAsia="Calibri"/>
                <w:sz w:val="20"/>
                <w:lang w:val="fr-CA"/>
              </w:rPr>
            </w:pPr>
            <w:r w:rsidRPr="00E6448B">
              <w:rPr>
                <w:rFonts w:eastAsia="Calibri"/>
                <w:sz w:val="20"/>
                <w:lang w:val="fr-CA"/>
              </w:rPr>
              <w:t>Droit criminel — Plaidoyer de culpabilité — La Cour d’appel a</w:t>
            </w:r>
            <w:r w:rsidRPr="00E6448B">
              <w:rPr>
                <w:rFonts w:eastAsia="Calibri"/>
                <w:sz w:val="20"/>
                <w:lang w:val="fr-CA"/>
              </w:rPr>
              <w:noBreakHyphen/>
              <w:t>t</w:t>
            </w:r>
            <w:r w:rsidRPr="00E6448B">
              <w:rPr>
                <w:rFonts w:eastAsia="Calibri"/>
                <w:sz w:val="20"/>
                <w:lang w:val="fr-CA"/>
              </w:rPr>
              <w:noBreakHyphen/>
              <w:t>elle commis une erreur en n’annulant pas le plaidoyer de culpabilité de la demanderesse et en rejetant la prétention de représentation inadéquate?</w:t>
            </w:r>
          </w:p>
          <w:p w:rsidR="00BB6BCD" w:rsidRPr="00E6448B" w:rsidRDefault="00BB6BCD" w:rsidP="009C2160">
            <w:pPr>
              <w:jc w:val="both"/>
              <w:rPr>
                <w:rFonts w:eastAsia="Calibri"/>
                <w:sz w:val="20"/>
                <w:lang w:val="fr-CA"/>
              </w:rPr>
            </w:pPr>
          </w:p>
        </w:tc>
      </w:tr>
      <w:tr w:rsidR="00BB6BCD" w:rsidRPr="00E6448B" w:rsidTr="009C2160">
        <w:tc>
          <w:tcPr>
            <w:tcW w:w="5000" w:type="pct"/>
            <w:gridSpan w:val="3"/>
          </w:tcPr>
          <w:p w:rsidR="00BB6BCD" w:rsidRPr="00E6448B" w:rsidRDefault="00BB6BCD" w:rsidP="009C2160">
            <w:pPr>
              <w:jc w:val="both"/>
              <w:rPr>
                <w:rFonts w:eastAsia="Calibri"/>
                <w:sz w:val="20"/>
                <w:lang w:val="fr-CA"/>
              </w:rPr>
            </w:pPr>
            <w:r w:rsidRPr="00E6448B">
              <w:rPr>
                <w:rFonts w:eastAsia="Calibri"/>
                <w:sz w:val="20"/>
                <w:lang w:val="fr-CA"/>
              </w:rPr>
              <w:t>La demanderesse croyait à tort entretenir une relation avec le plaignant.  Pendant plus de deux ans elle a communiqué avec lui à plus de 1 000 reprises, et ce, en lui envoyant des courriels, en lui téléphonant et en se rendant à son lieu de travail à plusieurs reprises.  Elle a plaidé coupable à une accusation de harcèlement criminel, mais elle a interjeté appel en se fondant sur de nombreux motifs, notamment d’avoir été mal représentée par son avocate.  L’appel a été rejeté.</w:t>
            </w:r>
          </w:p>
          <w:p w:rsidR="00BB6BCD" w:rsidRPr="00E6448B" w:rsidRDefault="00BB6BCD" w:rsidP="009C2160">
            <w:pPr>
              <w:jc w:val="both"/>
              <w:rPr>
                <w:rFonts w:eastAsia="Calibri"/>
                <w:sz w:val="20"/>
                <w:lang w:val="fr-CA"/>
              </w:rPr>
            </w:pPr>
          </w:p>
        </w:tc>
      </w:tr>
      <w:tr w:rsidR="00BB6BCD" w:rsidRPr="00A77989" w:rsidTr="0001637C">
        <w:trPr>
          <w:cantSplit/>
        </w:trPr>
        <w:tc>
          <w:tcPr>
            <w:tcW w:w="2427" w:type="pct"/>
          </w:tcPr>
          <w:p w:rsidR="00BB6BCD" w:rsidRPr="00E6448B" w:rsidRDefault="00BB6BCD" w:rsidP="009C2160">
            <w:pPr>
              <w:jc w:val="both"/>
              <w:rPr>
                <w:rFonts w:eastAsia="Calibri"/>
                <w:sz w:val="20"/>
                <w:lang w:val="fr-CA"/>
              </w:rPr>
            </w:pPr>
            <w:r w:rsidRPr="00E6448B">
              <w:rPr>
                <w:rFonts w:eastAsia="Calibri"/>
                <w:sz w:val="20"/>
                <w:lang w:val="fr-CA"/>
              </w:rPr>
              <w:t>28 septembre 2009</w:t>
            </w:r>
          </w:p>
          <w:p w:rsidR="00BB6BCD" w:rsidRPr="00E6448B" w:rsidRDefault="00BB6BCD" w:rsidP="009C2160">
            <w:pPr>
              <w:jc w:val="both"/>
              <w:rPr>
                <w:rFonts w:eastAsia="Calibri"/>
                <w:sz w:val="20"/>
                <w:lang w:val="fr-CA"/>
              </w:rPr>
            </w:pPr>
            <w:r w:rsidRPr="00E6448B">
              <w:rPr>
                <w:rFonts w:eastAsia="Calibri"/>
                <w:sz w:val="20"/>
                <w:lang w:val="fr-CA"/>
              </w:rPr>
              <w:t>Cour provinciale de l’Alberta</w:t>
            </w:r>
          </w:p>
          <w:p w:rsidR="00BB6BCD" w:rsidRPr="00E6448B" w:rsidRDefault="00BB6BCD" w:rsidP="009C2160">
            <w:pPr>
              <w:jc w:val="both"/>
              <w:rPr>
                <w:rFonts w:eastAsia="Calibri"/>
                <w:sz w:val="20"/>
                <w:lang w:val="fr-CA"/>
              </w:rPr>
            </w:pPr>
            <w:r w:rsidRPr="00E6448B">
              <w:rPr>
                <w:rFonts w:eastAsia="Calibri"/>
                <w:sz w:val="20"/>
                <w:lang w:val="fr-CA"/>
              </w:rPr>
              <w:t>(Juge Dunnigan)</w:t>
            </w:r>
          </w:p>
          <w:p w:rsidR="00BB6BCD" w:rsidRPr="00E6448B" w:rsidRDefault="00BB6BCD" w:rsidP="009C2160">
            <w:pPr>
              <w:jc w:val="both"/>
              <w:rPr>
                <w:rFonts w:eastAsia="Calibri"/>
                <w:sz w:val="20"/>
                <w:lang w:val="fr-CA"/>
              </w:rPr>
            </w:pPr>
          </w:p>
        </w:tc>
        <w:tc>
          <w:tcPr>
            <w:tcW w:w="243" w:type="pct"/>
          </w:tcPr>
          <w:p w:rsidR="00BB6BCD" w:rsidRPr="00E6448B" w:rsidRDefault="00BB6BCD" w:rsidP="009C2160">
            <w:pPr>
              <w:jc w:val="both"/>
              <w:rPr>
                <w:rFonts w:eastAsia="Calibri"/>
                <w:sz w:val="20"/>
                <w:lang w:val="fr-CA"/>
              </w:rPr>
            </w:pPr>
          </w:p>
        </w:tc>
        <w:tc>
          <w:tcPr>
            <w:tcW w:w="2330" w:type="pct"/>
          </w:tcPr>
          <w:p w:rsidR="00BB6BCD" w:rsidRPr="00E6448B" w:rsidRDefault="00BB6BCD" w:rsidP="009C2160">
            <w:pPr>
              <w:jc w:val="both"/>
              <w:rPr>
                <w:rFonts w:eastAsia="Calibri"/>
                <w:i/>
                <w:sz w:val="20"/>
                <w:lang w:val="fr-CA"/>
              </w:rPr>
            </w:pPr>
            <w:r w:rsidRPr="00E6448B">
              <w:rPr>
                <w:rFonts w:eastAsia="Calibri"/>
                <w:sz w:val="20"/>
                <w:lang w:val="fr-CA"/>
              </w:rPr>
              <w:t xml:space="preserve">Demanderesse déclarée coupable de  harcèlement criminel au sens du par. 264 du </w:t>
            </w:r>
            <w:r w:rsidRPr="00E6448B">
              <w:rPr>
                <w:rFonts w:eastAsia="Calibri"/>
                <w:i/>
                <w:sz w:val="20"/>
                <w:lang w:val="fr-CA"/>
              </w:rPr>
              <w:t>Code criminel</w:t>
            </w:r>
          </w:p>
          <w:p w:rsidR="00BB6BCD" w:rsidRPr="00E6448B" w:rsidRDefault="00BB6BCD" w:rsidP="009C2160">
            <w:pPr>
              <w:jc w:val="both"/>
              <w:rPr>
                <w:rFonts w:eastAsia="Calibri"/>
                <w:sz w:val="20"/>
                <w:lang w:val="fr-CA"/>
              </w:rPr>
            </w:pPr>
          </w:p>
        </w:tc>
      </w:tr>
      <w:tr w:rsidR="00BB6BCD" w:rsidRPr="00A77989" w:rsidTr="0001637C">
        <w:trPr>
          <w:cantSplit/>
        </w:trPr>
        <w:tc>
          <w:tcPr>
            <w:tcW w:w="2427" w:type="pct"/>
          </w:tcPr>
          <w:p w:rsidR="00BB6BCD" w:rsidRPr="00E6448B" w:rsidRDefault="00BB6BCD" w:rsidP="009C2160">
            <w:pPr>
              <w:jc w:val="both"/>
              <w:rPr>
                <w:rFonts w:eastAsia="Calibri"/>
                <w:sz w:val="20"/>
                <w:lang w:val="fr-CA"/>
              </w:rPr>
            </w:pPr>
            <w:r w:rsidRPr="00E6448B">
              <w:rPr>
                <w:rFonts w:eastAsia="Calibri"/>
                <w:sz w:val="20"/>
                <w:lang w:val="fr-CA"/>
              </w:rPr>
              <w:t>31 janvier 2011</w:t>
            </w:r>
          </w:p>
          <w:p w:rsidR="00BB6BCD" w:rsidRPr="00E6448B" w:rsidRDefault="00BB6BCD" w:rsidP="009C2160">
            <w:pPr>
              <w:jc w:val="both"/>
              <w:rPr>
                <w:rFonts w:eastAsia="Calibri"/>
                <w:sz w:val="20"/>
                <w:lang w:val="fr-CA"/>
              </w:rPr>
            </w:pPr>
            <w:r w:rsidRPr="00E6448B">
              <w:rPr>
                <w:rFonts w:eastAsia="Calibri"/>
                <w:sz w:val="20"/>
                <w:lang w:val="fr-CA"/>
              </w:rPr>
              <w:t>Cour d’appel de l’Alberta (Calgary)</w:t>
            </w:r>
          </w:p>
          <w:p w:rsidR="00BB6BCD" w:rsidRPr="00E6448B" w:rsidRDefault="00BB6BCD" w:rsidP="009C2160">
            <w:pPr>
              <w:jc w:val="both"/>
              <w:rPr>
                <w:rFonts w:eastAsia="Calibri"/>
                <w:sz w:val="20"/>
                <w:lang w:val="fr-CA"/>
              </w:rPr>
            </w:pPr>
            <w:r w:rsidRPr="00E6448B">
              <w:rPr>
                <w:rFonts w:eastAsia="Calibri"/>
                <w:sz w:val="20"/>
                <w:lang w:val="fr-CA"/>
              </w:rPr>
              <w:t>(Juges McFadyen, Berger et Slatter)</w:t>
            </w:r>
          </w:p>
          <w:p w:rsidR="00BB6BCD" w:rsidRPr="00E6448B" w:rsidRDefault="00BB6BCD" w:rsidP="009C2160">
            <w:pPr>
              <w:jc w:val="both"/>
              <w:rPr>
                <w:rFonts w:eastAsia="Calibri"/>
                <w:sz w:val="20"/>
                <w:lang w:val="fr-CA"/>
              </w:rPr>
            </w:pPr>
            <w:r w:rsidRPr="00E6448B">
              <w:rPr>
                <w:rFonts w:eastAsia="Calibri"/>
                <w:sz w:val="20"/>
                <w:lang w:val="fr-CA"/>
              </w:rPr>
              <w:t>Référence neutre : 2011 ABCA 31</w:t>
            </w:r>
          </w:p>
          <w:p w:rsidR="00BB6BCD" w:rsidRPr="00E6448B" w:rsidRDefault="00BB6BCD" w:rsidP="009C2160">
            <w:pPr>
              <w:jc w:val="both"/>
              <w:rPr>
                <w:rFonts w:eastAsia="Calibri"/>
                <w:sz w:val="20"/>
                <w:lang w:val="fr-CA"/>
              </w:rPr>
            </w:pPr>
          </w:p>
        </w:tc>
        <w:tc>
          <w:tcPr>
            <w:tcW w:w="243" w:type="pct"/>
          </w:tcPr>
          <w:p w:rsidR="00BB6BCD" w:rsidRPr="00E6448B" w:rsidRDefault="00BB6BCD" w:rsidP="009C2160">
            <w:pPr>
              <w:jc w:val="both"/>
              <w:rPr>
                <w:rFonts w:eastAsia="Calibri"/>
                <w:sz w:val="20"/>
                <w:lang w:val="fr-CA"/>
              </w:rPr>
            </w:pPr>
          </w:p>
        </w:tc>
        <w:tc>
          <w:tcPr>
            <w:tcW w:w="2330" w:type="pct"/>
          </w:tcPr>
          <w:p w:rsidR="00BB6BCD" w:rsidRPr="00E6448B" w:rsidRDefault="00BB6BCD" w:rsidP="009C2160">
            <w:pPr>
              <w:jc w:val="both"/>
              <w:rPr>
                <w:rFonts w:eastAsia="Calibri"/>
                <w:sz w:val="20"/>
                <w:lang w:val="fr-CA"/>
              </w:rPr>
            </w:pPr>
            <w:r w:rsidRPr="00E6448B">
              <w:rPr>
                <w:rFonts w:eastAsia="Calibri"/>
                <w:sz w:val="20"/>
                <w:lang w:val="fr-CA"/>
              </w:rPr>
              <w:t>Appel interjeté à l’encontre de la déclaration de culpabilité et de la peine rejeté</w:t>
            </w:r>
          </w:p>
          <w:p w:rsidR="00BB6BCD" w:rsidRPr="00E6448B" w:rsidRDefault="00BB6BCD" w:rsidP="009C2160">
            <w:pPr>
              <w:jc w:val="both"/>
              <w:rPr>
                <w:rFonts w:eastAsia="Calibri"/>
                <w:sz w:val="20"/>
                <w:lang w:val="fr-CA"/>
              </w:rPr>
            </w:pPr>
          </w:p>
        </w:tc>
      </w:tr>
      <w:tr w:rsidR="00BB6BCD" w:rsidRPr="00A77989" w:rsidTr="0001637C">
        <w:trPr>
          <w:cantSplit/>
        </w:trPr>
        <w:tc>
          <w:tcPr>
            <w:tcW w:w="2427" w:type="pct"/>
          </w:tcPr>
          <w:p w:rsidR="00BB6BCD" w:rsidRPr="00E6448B" w:rsidRDefault="00BB6BCD" w:rsidP="009C2160">
            <w:pPr>
              <w:jc w:val="both"/>
              <w:rPr>
                <w:rFonts w:eastAsia="Calibri"/>
                <w:sz w:val="20"/>
                <w:lang w:val="fr-CA"/>
              </w:rPr>
            </w:pPr>
            <w:r w:rsidRPr="00E6448B">
              <w:rPr>
                <w:rFonts w:eastAsia="Calibri"/>
                <w:sz w:val="20"/>
                <w:lang w:val="fr-CA"/>
              </w:rPr>
              <w:t>31 mars 2011</w:t>
            </w:r>
          </w:p>
          <w:p w:rsidR="00BB6BCD" w:rsidRPr="00E6448B" w:rsidRDefault="00BB6BCD" w:rsidP="009C2160">
            <w:pPr>
              <w:jc w:val="both"/>
              <w:rPr>
                <w:rFonts w:eastAsia="Calibri"/>
                <w:sz w:val="20"/>
                <w:lang w:val="fr-CA"/>
              </w:rPr>
            </w:pPr>
            <w:r w:rsidRPr="00E6448B">
              <w:rPr>
                <w:rFonts w:eastAsia="Calibri"/>
                <w:sz w:val="20"/>
                <w:lang w:val="fr-CA"/>
              </w:rPr>
              <w:t>Cour suprême du Canada</w:t>
            </w:r>
          </w:p>
        </w:tc>
        <w:tc>
          <w:tcPr>
            <w:tcW w:w="243" w:type="pct"/>
          </w:tcPr>
          <w:p w:rsidR="00BB6BCD" w:rsidRPr="00E6448B" w:rsidRDefault="00BB6BCD" w:rsidP="009C2160">
            <w:pPr>
              <w:jc w:val="both"/>
              <w:rPr>
                <w:rFonts w:eastAsia="Calibri"/>
                <w:sz w:val="20"/>
                <w:lang w:val="fr-CA"/>
              </w:rPr>
            </w:pPr>
          </w:p>
        </w:tc>
        <w:tc>
          <w:tcPr>
            <w:tcW w:w="2330" w:type="pct"/>
          </w:tcPr>
          <w:p w:rsidR="00BB6BCD" w:rsidRPr="00E6448B" w:rsidRDefault="00BB6BCD" w:rsidP="009C2160">
            <w:pPr>
              <w:jc w:val="both"/>
              <w:rPr>
                <w:rFonts w:eastAsia="Calibri"/>
                <w:sz w:val="20"/>
                <w:lang w:val="fr-CA"/>
              </w:rPr>
            </w:pPr>
            <w:r w:rsidRPr="00E6448B">
              <w:rPr>
                <w:rFonts w:eastAsia="Calibri"/>
                <w:sz w:val="20"/>
                <w:lang w:val="fr-CA"/>
              </w:rPr>
              <w:t>Requête en vue d’obtenir la nomination d’un avocat et demande d’autorisation d’appel déposées</w:t>
            </w:r>
          </w:p>
        </w:tc>
      </w:tr>
    </w:tbl>
    <w:p w:rsidR="00FE43CC" w:rsidRPr="00BB6BCD" w:rsidRDefault="00FE43CC" w:rsidP="00FE43CC">
      <w:pPr>
        <w:rPr>
          <w:sz w:val="20"/>
          <w:szCs w:val="20"/>
          <w:lang w:val="fr-CA"/>
        </w:rPr>
      </w:pPr>
    </w:p>
    <w:p w:rsidR="00FE43CC" w:rsidRDefault="00AB3236" w:rsidP="00FE43CC">
      <w:pPr>
        <w:rPr>
          <w:sz w:val="20"/>
          <w:szCs w:val="20"/>
          <w:lang w:val="fr-CA"/>
        </w:rPr>
      </w:pPr>
      <w:r w:rsidRPr="00AB3236">
        <w:rPr>
          <w:sz w:val="20"/>
          <w:szCs w:val="20"/>
          <w:lang w:val="fr-CA"/>
        </w:rPr>
        <w:pict>
          <v:rect id="_x0000_i1059"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0058" w:rsidRPr="009A0058" w:rsidTr="009F5557">
        <w:trPr>
          <w:cantSplit/>
        </w:trPr>
        <w:tc>
          <w:tcPr>
            <w:tcW w:w="1458" w:type="dxa"/>
          </w:tcPr>
          <w:p w:rsidR="009A0058" w:rsidRPr="009A0058" w:rsidRDefault="009A0058" w:rsidP="009F5557">
            <w:pPr>
              <w:rPr>
                <w:rFonts w:cs="Times New Roman"/>
                <w:sz w:val="20"/>
                <w:szCs w:val="20"/>
              </w:rPr>
            </w:pPr>
            <w:r w:rsidRPr="009A0058">
              <w:rPr>
                <w:rStyle w:val="SCCFileNumberChar"/>
                <w:sz w:val="20"/>
                <w:szCs w:val="20"/>
              </w:rPr>
              <w:t>34184</w:t>
            </w:r>
          </w:p>
          <w:p w:rsidR="009A0058" w:rsidRPr="009A0058" w:rsidRDefault="009A0058" w:rsidP="009F5557">
            <w:pPr>
              <w:rPr>
                <w:rFonts w:cs="Times New Roman"/>
                <w:b/>
                <w:sz w:val="20"/>
                <w:szCs w:val="20"/>
                <w:lang w:val="fr-CA"/>
              </w:rPr>
            </w:pPr>
          </w:p>
        </w:tc>
        <w:tc>
          <w:tcPr>
            <w:tcW w:w="8118" w:type="dxa"/>
          </w:tcPr>
          <w:p w:rsidR="009A0058" w:rsidRPr="009A0058" w:rsidRDefault="009A0058" w:rsidP="009F5557">
            <w:pPr>
              <w:rPr>
                <w:rFonts w:cs="Times New Roman"/>
                <w:sz w:val="20"/>
                <w:szCs w:val="20"/>
              </w:rPr>
            </w:pPr>
            <w:r w:rsidRPr="009A0058">
              <w:rPr>
                <w:rStyle w:val="SCCLsocChar"/>
                <w:rFonts w:cs="Times New Roman"/>
                <w:sz w:val="20"/>
                <w:szCs w:val="20"/>
                <w:lang w:val="en-CA"/>
              </w:rPr>
              <w:t>Kevin Stiers v. Her Majesty the Queen</w:t>
            </w:r>
            <w:r w:rsidRPr="009A0058">
              <w:rPr>
                <w:rFonts w:cs="Times New Roman"/>
                <w:sz w:val="20"/>
                <w:szCs w:val="20"/>
              </w:rPr>
              <w:t xml:space="preserve"> (Ont.) (Criminal) (By Leave)</w:t>
            </w:r>
          </w:p>
          <w:p w:rsidR="009A0058" w:rsidRPr="009A0058" w:rsidRDefault="009A0058" w:rsidP="009F5557">
            <w:pPr>
              <w:rPr>
                <w:rFonts w:cs="Times New Roman"/>
                <w:sz w:val="20"/>
                <w:szCs w:val="20"/>
              </w:rPr>
            </w:pPr>
          </w:p>
        </w:tc>
      </w:tr>
      <w:tr w:rsidR="009A0058" w:rsidRPr="009A0058" w:rsidTr="009F5557">
        <w:trPr>
          <w:cantSplit/>
        </w:trPr>
        <w:tc>
          <w:tcPr>
            <w:tcW w:w="1458" w:type="dxa"/>
          </w:tcPr>
          <w:p w:rsidR="009A0058" w:rsidRPr="009A0058" w:rsidRDefault="009A0058" w:rsidP="009F5557">
            <w:pPr>
              <w:rPr>
                <w:rFonts w:cs="Times New Roman"/>
                <w:sz w:val="20"/>
                <w:szCs w:val="20"/>
              </w:rPr>
            </w:pPr>
            <w:r w:rsidRPr="009A0058">
              <w:rPr>
                <w:rFonts w:cs="Times New Roman"/>
                <w:sz w:val="20"/>
                <w:szCs w:val="20"/>
              </w:rPr>
              <w:t>Coram :</w:t>
            </w:r>
          </w:p>
        </w:tc>
        <w:tc>
          <w:tcPr>
            <w:tcW w:w="8118" w:type="dxa"/>
          </w:tcPr>
          <w:p w:rsidR="009A0058" w:rsidRPr="009A0058" w:rsidRDefault="009A0058" w:rsidP="009F5557">
            <w:pPr>
              <w:rPr>
                <w:rFonts w:cs="Times New Roman"/>
                <w:sz w:val="20"/>
                <w:szCs w:val="20"/>
              </w:rPr>
            </w:pPr>
            <w:r w:rsidRPr="009A0058">
              <w:rPr>
                <w:rStyle w:val="SCCCoramChar"/>
                <w:rFonts w:cs="Times New Roman"/>
                <w:sz w:val="20"/>
                <w:szCs w:val="20"/>
                <w:lang w:val="en-CA"/>
              </w:rPr>
              <w:t>LeBel, Fish and Cromwell JJ.</w:t>
            </w:r>
          </w:p>
          <w:p w:rsidR="009A0058" w:rsidRPr="009A0058" w:rsidRDefault="009A0058" w:rsidP="009F5557">
            <w:pPr>
              <w:rPr>
                <w:rFonts w:cs="Times New Roman"/>
                <w:sz w:val="20"/>
                <w:szCs w:val="20"/>
                <w:u w:val="single"/>
              </w:rPr>
            </w:pPr>
          </w:p>
        </w:tc>
      </w:tr>
      <w:tr w:rsidR="009A0058" w:rsidRPr="009A0058" w:rsidTr="009F5557">
        <w:trPr>
          <w:cantSplit/>
        </w:trPr>
        <w:tc>
          <w:tcPr>
            <w:tcW w:w="9576" w:type="dxa"/>
            <w:gridSpan w:val="2"/>
          </w:tcPr>
          <w:p w:rsidR="009A0058" w:rsidRPr="009A0058" w:rsidRDefault="009A0058" w:rsidP="009F5557">
            <w:pPr>
              <w:pStyle w:val="SCCShortJudgment"/>
              <w:rPr>
                <w:rFonts w:cs="Times New Roman"/>
                <w:szCs w:val="20"/>
              </w:rPr>
            </w:pPr>
            <w:r w:rsidRPr="009A0058">
              <w:rPr>
                <w:rFonts w:cs="Times New Roman"/>
                <w:szCs w:val="20"/>
              </w:rPr>
              <w:t>The motion for an extension of time to serve and file the application for leave to appeal is granted. The application for leave to appeal from the judgment of the Court of Appeal for Ontario, Number C43142, 2010 ONCA 382, dated May 26, 2010, is dismissed without costs.</w:t>
            </w:r>
          </w:p>
          <w:p w:rsidR="009A0058" w:rsidRPr="009A0058" w:rsidRDefault="009A0058" w:rsidP="009F5557">
            <w:pPr>
              <w:pStyle w:val="SCCShortJudgment"/>
              <w:ind w:firstLine="0"/>
              <w:rPr>
                <w:rFonts w:cs="Times New Roman"/>
                <w:szCs w:val="20"/>
              </w:rPr>
            </w:pPr>
          </w:p>
          <w:p w:rsidR="009A0058" w:rsidRPr="009A0058" w:rsidRDefault="009A0058" w:rsidP="009F5557">
            <w:pPr>
              <w:pStyle w:val="SCCShortJudgment"/>
              <w:rPr>
                <w:rFonts w:cs="Times New Roman"/>
                <w:szCs w:val="20"/>
                <w:lang w:val="fr-CA"/>
              </w:rPr>
            </w:pPr>
            <w:r w:rsidRPr="009A0058">
              <w:rPr>
                <w:rFonts w:cs="Times New Roman"/>
                <w:szCs w:val="20"/>
                <w:lang w:val="fr-CA"/>
              </w:rPr>
              <w:t>La requête en prorogation du délai de signification et de dépôt de la demande d’autorisation d’appel est accordée. La demande d’autorisation d’appel de l’arrêt de la Cour d’appel de l’Ontario, numéro C43142, 2010 ONCA 382, daté du 26 mai 2010, est rejetée sans dépens.</w:t>
            </w:r>
          </w:p>
        </w:tc>
      </w:tr>
    </w:tbl>
    <w:p w:rsidR="009A0058" w:rsidRPr="009A0058" w:rsidRDefault="009A0058"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B6BCD" w:rsidRPr="00E6448B" w:rsidTr="009C2160">
        <w:tc>
          <w:tcPr>
            <w:tcW w:w="5000" w:type="pct"/>
            <w:gridSpan w:val="3"/>
          </w:tcPr>
          <w:p w:rsidR="00BB6BCD" w:rsidRPr="00E6448B" w:rsidRDefault="00BB6BCD" w:rsidP="009C2160">
            <w:pPr>
              <w:jc w:val="both"/>
              <w:rPr>
                <w:rFonts w:eastAsia="Calibri"/>
                <w:sz w:val="20"/>
              </w:rPr>
            </w:pPr>
            <w:r w:rsidRPr="00E6448B">
              <w:rPr>
                <w:rFonts w:eastAsia="Calibri"/>
                <w:sz w:val="20"/>
              </w:rPr>
              <w:t>Criminal law — Trial — Whether the Trial Judge’s ruling allowing the Crown to re</w:t>
            </w:r>
            <w:r w:rsidRPr="00E6448B">
              <w:rPr>
                <w:rFonts w:eastAsia="Calibri"/>
                <w:sz w:val="20"/>
              </w:rPr>
              <w:noBreakHyphen/>
              <w:t>examine its own witness caused a miscarriage of justice</w:t>
            </w:r>
          </w:p>
          <w:p w:rsidR="00BB6BCD" w:rsidRPr="00E6448B" w:rsidRDefault="00BB6BCD" w:rsidP="009C2160">
            <w:pPr>
              <w:jc w:val="both"/>
              <w:rPr>
                <w:rFonts w:eastAsia="Calibri"/>
                <w:sz w:val="20"/>
              </w:rPr>
            </w:pPr>
          </w:p>
        </w:tc>
      </w:tr>
      <w:tr w:rsidR="00BB6BCD" w:rsidRPr="00E6448B" w:rsidTr="009C2160">
        <w:tc>
          <w:tcPr>
            <w:tcW w:w="5000" w:type="pct"/>
            <w:gridSpan w:val="3"/>
          </w:tcPr>
          <w:p w:rsidR="00BB6BCD" w:rsidRPr="00E6448B" w:rsidRDefault="00BB6BCD" w:rsidP="009C2160">
            <w:pPr>
              <w:jc w:val="both"/>
              <w:rPr>
                <w:rFonts w:eastAsia="Calibri"/>
                <w:sz w:val="20"/>
              </w:rPr>
            </w:pPr>
            <w:r w:rsidRPr="00E6448B">
              <w:rPr>
                <w:rFonts w:eastAsia="Calibri"/>
                <w:sz w:val="20"/>
              </w:rPr>
              <w:t>After a fight earlier in the evening between the applicant and the victim, a second fight ensued which also involved the victim’s friend.  The applicant admitted stabbing the victim; however, the applicant claimed it occurred in self defence.  The Crown alleged that the fatal knife wound occurred at the outset of the second fight, while the victim was seated in the passenger seat of a car being driven by his friend.  A key issue at trial was the timing of when the victim’s friend first saw blood on the victim.  The victim’s friend was a witness for the Crown.  The defence cross examined the witness and the Crown was permitted to re</w:t>
            </w:r>
            <w:r w:rsidRPr="00E6448B">
              <w:rPr>
                <w:rFonts w:eastAsia="Calibri"/>
                <w:sz w:val="20"/>
              </w:rPr>
              <w:noBreakHyphen/>
              <w:t xml:space="preserve">examine the witness on the issue of when the witness first saw the blood. </w:t>
            </w:r>
          </w:p>
          <w:p w:rsidR="00BB6BCD" w:rsidRPr="00E6448B" w:rsidRDefault="00BB6BCD" w:rsidP="009C2160">
            <w:pPr>
              <w:jc w:val="both"/>
              <w:rPr>
                <w:rFonts w:eastAsia="Calibri"/>
                <w:sz w:val="20"/>
              </w:rPr>
            </w:pPr>
          </w:p>
        </w:tc>
      </w:tr>
      <w:tr w:rsidR="00BB6BCD" w:rsidRPr="00E6448B" w:rsidTr="009C2160">
        <w:tc>
          <w:tcPr>
            <w:tcW w:w="2427" w:type="pct"/>
          </w:tcPr>
          <w:p w:rsidR="00BB6BCD" w:rsidRPr="00E6448B" w:rsidRDefault="00BB6BCD" w:rsidP="009C2160">
            <w:pPr>
              <w:jc w:val="both"/>
              <w:rPr>
                <w:rFonts w:eastAsia="Calibri"/>
                <w:sz w:val="20"/>
              </w:rPr>
            </w:pPr>
            <w:r w:rsidRPr="00E6448B">
              <w:rPr>
                <w:rFonts w:eastAsia="Calibri"/>
                <w:sz w:val="20"/>
              </w:rPr>
              <w:lastRenderedPageBreak/>
              <w:t>December 17, 2004</w:t>
            </w:r>
          </w:p>
          <w:p w:rsidR="00BB6BCD" w:rsidRPr="00E6448B" w:rsidRDefault="00BB6BCD" w:rsidP="009C2160">
            <w:pPr>
              <w:jc w:val="both"/>
              <w:rPr>
                <w:rFonts w:eastAsia="Calibri"/>
                <w:sz w:val="20"/>
              </w:rPr>
            </w:pPr>
            <w:r w:rsidRPr="00E6448B">
              <w:rPr>
                <w:rFonts w:eastAsia="Calibri"/>
                <w:sz w:val="20"/>
              </w:rPr>
              <w:t>Ontario Superior Court of Justice</w:t>
            </w:r>
          </w:p>
          <w:p w:rsidR="00BB6BCD" w:rsidRPr="00E6448B" w:rsidRDefault="00BB6BCD" w:rsidP="009C2160">
            <w:pPr>
              <w:jc w:val="both"/>
              <w:rPr>
                <w:rFonts w:eastAsia="Calibri"/>
                <w:sz w:val="20"/>
              </w:rPr>
            </w:pPr>
            <w:r w:rsidRPr="00E6448B">
              <w:rPr>
                <w:rFonts w:eastAsia="Calibri"/>
                <w:sz w:val="20"/>
              </w:rPr>
              <w:t>(Patterson J.)</w:t>
            </w:r>
          </w:p>
          <w:p w:rsidR="00BB6BCD" w:rsidRPr="00E6448B" w:rsidRDefault="00BB6BCD" w:rsidP="009C2160">
            <w:pPr>
              <w:jc w:val="both"/>
              <w:rPr>
                <w:rFonts w:eastAsia="Calibri"/>
                <w:sz w:val="20"/>
              </w:rPr>
            </w:pPr>
          </w:p>
        </w:tc>
        <w:tc>
          <w:tcPr>
            <w:tcW w:w="243" w:type="pct"/>
          </w:tcPr>
          <w:p w:rsidR="00BB6BCD" w:rsidRPr="00E6448B" w:rsidRDefault="00BB6BCD" w:rsidP="009C2160">
            <w:pPr>
              <w:jc w:val="both"/>
              <w:rPr>
                <w:rFonts w:eastAsia="Calibri"/>
                <w:sz w:val="20"/>
              </w:rPr>
            </w:pPr>
          </w:p>
        </w:tc>
        <w:tc>
          <w:tcPr>
            <w:tcW w:w="2330" w:type="pct"/>
          </w:tcPr>
          <w:p w:rsidR="00BB6BCD" w:rsidRPr="00E6448B" w:rsidRDefault="00BB6BCD" w:rsidP="009C2160">
            <w:pPr>
              <w:jc w:val="both"/>
              <w:rPr>
                <w:rFonts w:eastAsia="Calibri"/>
                <w:sz w:val="20"/>
              </w:rPr>
            </w:pPr>
            <w:r w:rsidRPr="00E6448B">
              <w:rPr>
                <w:rFonts w:eastAsia="Calibri"/>
                <w:sz w:val="20"/>
              </w:rPr>
              <w:t>Applicant convicted by a jury of first degree murder</w:t>
            </w:r>
          </w:p>
          <w:p w:rsidR="00BB6BCD" w:rsidRPr="00E6448B" w:rsidRDefault="00BB6BCD" w:rsidP="009C2160">
            <w:pPr>
              <w:jc w:val="both"/>
              <w:rPr>
                <w:rFonts w:eastAsia="Calibri"/>
                <w:sz w:val="20"/>
              </w:rPr>
            </w:pPr>
          </w:p>
        </w:tc>
      </w:tr>
      <w:tr w:rsidR="00BB6BCD" w:rsidRPr="00E6448B" w:rsidTr="009C2160">
        <w:tc>
          <w:tcPr>
            <w:tcW w:w="2427" w:type="pct"/>
          </w:tcPr>
          <w:p w:rsidR="00BB6BCD" w:rsidRPr="00E6448B" w:rsidRDefault="00BB6BCD" w:rsidP="009C2160">
            <w:pPr>
              <w:jc w:val="both"/>
              <w:rPr>
                <w:rFonts w:eastAsia="Calibri"/>
                <w:sz w:val="20"/>
              </w:rPr>
            </w:pPr>
            <w:r w:rsidRPr="00E6448B">
              <w:rPr>
                <w:rFonts w:eastAsia="Calibri"/>
                <w:sz w:val="20"/>
              </w:rPr>
              <w:t>May 26, 2010</w:t>
            </w:r>
          </w:p>
          <w:p w:rsidR="00BB6BCD" w:rsidRPr="00E6448B" w:rsidRDefault="00BB6BCD" w:rsidP="009C2160">
            <w:pPr>
              <w:jc w:val="both"/>
              <w:rPr>
                <w:rFonts w:eastAsia="Calibri"/>
                <w:sz w:val="20"/>
              </w:rPr>
            </w:pPr>
            <w:r w:rsidRPr="00E6448B">
              <w:rPr>
                <w:rFonts w:eastAsia="Calibri"/>
                <w:sz w:val="20"/>
              </w:rPr>
              <w:t>Court of Appeal for Ontario</w:t>
            </w:r>
          </w:p>
          <w:p w:rsidR="00BB6BCD" w:rsidRPr="00E6448B" w:rsidRDefault="00BB6BCD" w:rsidP="009C2160">
            <w:pPr>
              <w:jc w:val="both"/>
              <w:rPr>
                <w:rFonts w:eastAsia="Calibri"/>
                <w:sz w:val="20"/>
              </w:rPr>
            </w:pPr>
            <w:r w:rsidRPr="00E6448B">
              <w:rPr>
                <w:rFonts w:eastAsia="Calibri"/>
                <w:sz w:val="20"/>
              </w:rPr>
              <w:t>(Sharpe LaForme and Rouleau JJ.A.)</w:t>
            </w:r>
          </w:p>
          <w:p w:rsidR="00BB6BCD" w:rsidRPr="00E6448B" w:rsidRDefault="00BB6BCD" w:rsidP="009C2160">
            <w:pPr>
              <w:jc w:val="both"/>
              <w:rPr>
                <w:rFonts w:eastAsia="Calibri"/>
                <w:sz w:val="20"/>
              </w:rPr>
            </w:pPr>
          </w:p>
        </w:tc>
        <w:tc>
          <w:tcPr>
            <w:tcW w:w="243" w:type="pct"/>
          </w:tcPr>
          <w:p w:rsidR="00BB6BCD" w:rsidRPr="00E6448B" w:rsidRDefault="00BB6BCD" w:rsidP="009C2160">
            <w:pPr>
              <w:jc w:val="both"/>
              <w:rPr>
                <w:rFonts w:eastAsia="Calibri"/>
                <w:sz w:val="20"/>
              </w:rPr>
            </w:pPr>
          </w:p>
        </w:tc>
        <w:tc>
          <w:tcPr>
            <w:tcW w:w="2330" w:type="pct"/>
          </w:tcPr>
          <w:p w:rsidR="00BB6BCD" w:rsidRPr="00E6448B" w:rsidRDefault="00BB6BCD" w:rsidP="009C2160">
            <w:pPr>
              <w:jc w:val="both"/>
              <w:rPr>
                <w:rFonts w:eastAsia="Calibri"/>
                <w:sz w:val="20"/>
              </w:rPr>
            </w:pPr>
            <w:r w:rsidRPr="00E6448B">
              <w:rPr>
                <w:rFonts w:eastAsia="Calibri"/>
                <w:sz w:val="20"/>
              </w:rPr>
              <w:t>Appeal dismissed</w:t>
            </w:r>
          </w:p>
          <w:p w:rsidR="00BB6BCD" w:rsidRPr="00E6448B" w:rsidRDefault="00BB6BCD" w:rsidP="009C2160">
            <w:pPr>
              <w:jc w:val="both"/>
              <w:rPr>
                <w:rFonts w:eastAsia="Calibri"/>
                <w:sz w:val="20"/>
              </w:rPr>
            </w:pPr>
          </w:p>
        </w:tc>
      </w:tr>
      <w:tr w:rsidR="00BB6BCD" w:rsidRPr="00E6448B" w:rsidTr="009F5557">
        <w:trPr>
          <w:cantSplit/>
        </w:trPr>
        <w:tc>
          <w:tcPr>
            <w:tcW w:w="2427" w:type="pct"/>
          </w:tcPr>
          <w:p w:rsidR="00BB6BCD" w:rsidRPr="00E6448B" w:rsidRDefault="00BB6BCD" w:rsidP="009C2160">
            <w:pPr>
              <w:jc w:val="both"/>
              <w:rPr>
                <w:rFonts w:eastAsia="Calibri"/>
                <w:sz w:val="20"/>
              </w:rPr>
            </w:pPr>
            <w:r w:rsidRPr="00E6448B">
              <w:rPr>
                <w:rFonts w:eastAsia="Calibri"/>
                <w:sz w:val="20"/>
              </w:rPr>
              <w:t>April 5, 2011</w:t>
            </w:r>
          </w:p>
          <w:p w:rsidR="00BB6BCD" w:rsidRPr="00E6448B" w:rsidRDefault="00BB6BCD" w:rsidP="009C2160">
            <w:pPr>
              <w:jc w:val="both"/>
              <w:rPr>
                <w:rFonts w:eastAsia="Calibri"/>
                <w:sz w:val="20"/>
              </w:rPr>
            </w:pPr>
            <w:r w:rsidRPr="00E6448B">
              <w:rPr>
                <w:rFonts w:eastAsia="Calibri"/>
                <w:sz w:val="20"/>
              </w:rPr>
              <w:t>Supreme Court of Canada</w:t>
            </w:r>
          </w:p>
        </w:tc>
        <w:tc>
          <w:tcPr>
            <w:tcW w:w="243" w:type="pct"/>
          </w:tcPr>
          <w:p w:rsidR="00BB6BCD" w:rsidRPr="00E6448B" w:rsidRDefault="00BB6BCD" w:rsidP="009C2160">
            <w:pPr>
              <w:jc w:val="both"/>
              <w:rPr>
                <w:rFonts w:eastAsia="Calibri"/>
                <w:sz w:val="20"/>
              </w:rPr>
            </w:pPr>
          </w:p>
        </w:tc>
        <w:tc>
          <w:tcPr>
            <w:tcW w:w="2330" w:type="pct"/>
          </w:tcPr>
          <w:p w:rsidR="00BB6BCD" w:rsidRPr="00E6448B" w:rsidRDefault="00BB6BCD" w:rsidP="009C2160">
            <w:pPr>
              <w:jc w:val="both"/>
              <w:rPr>
                <w:rFonts w:eastAsia="Calibri"/>
                <w:sz w:val="20"/>
              </w:rPr>
            </w:pPr>
            <w:r w:rsidRPr="00E6448B">
              <w:rPr>
                <w:rFonts w:eastAsia="Calibri"/>
                <w:sz w:val="20"/>
              </w:rPr>
              <w:t>Motion for extension of time and 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60"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B6BCD" w:rsidRPr="00A77989" w:rsidTr="009C2160">
        <w:tc>
          <w:tcPr>
            <w:tcW w:w="5000" w:type="pct"/>
            <w:gridSpan w:val="3"/>
          </w:tcPr>
          <w:p w:rsidR="00BB6BCD" w:rsidRPr="00E6448B" w:rsidRDefault="00BB6BCD" w:rsidP="009C2160">
            <w:pPr>
              <w:jc w:val="both"/>
              <w:rPr>
                <w:rFonts w:eastAsia="Calibri"/>
                <w:sz w:val="20"/>
                <w:lang w:val="fr-CA"/>
              </w:rPr>
            </w:pPr>
            <w:r w:rsidRPr="00E6448B">
              <w:rPr>
                <w:rFonts w:eastAsia="Calibri"/>
                <w:sz w:val="20"/>
                <w:lang w:val="fr-CA"/>
              </w:rPr>
              <w:t>Droit criminel — Procès — La décision du juge du procès de permettre au ministère public de réinterroger son propre témoin a</w:t>
            </w:r>
            <w:r w:rsidRPr="00E6448B">
              <w:rPr>
                <w:rFonts w:eastAsia="Calibri"/>
                <w:sz w:val="20"/>
                <w:lang w:val="fr-CA"/>
              </w:rPr>
              <w:noBreakHyphen/>
              <w:t>t</w:t>
            </w:r>
            <w:r w:rsidRPr="00E6448B">
              <w:rPr>
                <w:rFonts w:eastAsia="Calibri"/>
                <w:sz w:val="20"/>
                <w:lang w:val="fr-CA"/>
              </w:rPr>
              <w:noBreakHyphen/>
              <w:t>elle causé un déni de justice?</w:t>
            </w:r>
          </w:p>
          <w:p w:rsidR="00BB6BCD" w:rsidRPr="00E6448B" w:rsidRDefault="00BB6BCD" w:rsidP="009C2160">
            <w:pPr>
              <w:jc w:val="both"/>
              <w:rPr>
                <w:rFonts w:eastAsia="Calibri"/>
                <w:sz w:val="20"/>
                <w:lang w:val="fr-CA"/>
              </w:rPr>
            </w:pPr>
          </w:p>
        </w:tc>
      </w:tr>
      <w:tr w:rsidR="00BB6BCD" w:rsidRPr="00A77989" w:rsidTr="009C2160">
        <w:tc>
          <w:tcPr>
            <w:tcW w:w="5000" w:type="pct"/>
            <w:gridSpan w:val="3"/>
          </w:tcPr>
          <w:p w:rsidR="00BB6BCD" w:rsidRPr="00E6448B" w:rsidRDefault="00BB6BCD" w:rsidP="009C2160">
            <w:pPr>
              <w:jc w:val="both"/>
              <w:rPr>
                <w:rFonts w:eastAsia="Calibri"/>
                <w:sz w:val="20"/>
                <w:lang w:val="fr-CA"/>
              </w:rPr>
            </w:pPr>
            <w:r w:rsidRPr="00E6448B">
              <w:rPr>
                <w:rFonts w:eastAsia="Calibri"/>
                <w:sz w:val="20"/>
                <w:lang w:val="fr-CA"/>
              </w:rPr>
              <w:t>À la suite d’une bagarre survenue plus tôt dans la soirée entre le demandeur et la victime, une deuxième bagarre a éclaté, impliquant également un ami de la victime.  Le demandeur a admis avoir poignardé la victime; toutefois, le demandeur a allégué avoir agi en légitime défense.  Le ministère public a allégué que la blessure mortelle au couteau avait été subie au début de la deuxième bagarre, alors que la victime se trouvait assise sur le siège du passager d’une voiture conduite par son ami.  Une question clé au procès était de déterminer le moment où l’ami de la victime avait vu du sang sur cette dernière pour la première fois.  L’ami de la victime était un témoin du ministère public.  La défense a contre</w:t>
            </w:r>
            <w:r w:rsidRPr="00E6448B">
              <w:rPr>
                <w:rFonts w:eastAsia="Calibri"/>
                <w:sz w:val="20"/>
                <w:lang w:val="fr-CA"/>
              </w:rPr>
              <w:noBreakHyphen/>
              <w:t xml:space="preserve">interrogé le témoin et le ministère public a été autorisé à le réinterroger sur la question de savoir quand le témoin a vu du sang pour la première fois. </w:t>
            </w:r>
          </w:p>
          <w:p w:rsidR="00BB6BCD" w:rsidRPr="00E6448B" w:rsidRDefault="00BB6BCD" w:rsidP="009C2160">
            <w:pPr>
              <w:jc w:val="both"/>
              <w:rPr>
                <w:rFonts w:eastAsia="Calibri"/>
                <w:sz w:val="20"/>
                <w:lang w:val="fr-CA"/>
              </w:rPr>
            </w:pPr>
          </w:p>
        </w:tc>
      </w:tr>
      <w:tr w:rsidR="00BB6BCD" w:rsidRPr="00A77989" w:rsidTr="009C2160">
        <w:tc>
          <w:tcPr>
            <w:tcW w:w="2427" w:type="pct"/>
          </w:tcPr>
          <w:p w:rsidR="00BB6BCD" w:rsidRPr="00E6448B" w:rsidRDefault="00BB6BCD" w:rsidP="009C2160">
            <w:pPr>
              <w:jc w:val="both"/>
              <w:rPr>
                <w:rFonts w:eastAsia="Calibri"/>
                <w:sz w:val="20"/>
                <w:lang w:val="fr-CA"/>
              </w:rPr>
            </w:pPr>
            <w:r w:rsidRPr="00E6448B">
              <w:rPr>
                <w:rFonts w:eastAsia="Calibri"/>
                <w:sz w:val="20"/>
                <w:lang w:val="fr-CA"/>
              </w:rPr>
              <w:t>17 décembre 2004</w:t>
            </w:r>
          </w:p>
          <w:p w:rsidR="00BB6BCD" w:rsidRPr="00E6448B" w:rsidRDefault="00BB6BCD" w:rsidP="009C2160">
            <w:pPr>
              <w:jc w:val="both"/>
              <w:rPr>
                <w:rFonts w:eastAsia="Calibri"/>
                <w:sz w:val="20"/>
                <w:lang w:val="fr-CA"/>
              </w:rPr>
            </w:pPr>
            <w:r w:rsidRPr="00E6448B">
              <w:rPr>
                <w:rFonts w:eastAsia="Calibri"/>
                <w:sz w:val="20"/>
                <w:lang w:val="fr-CA"/>
              </w:rPr>
              <w:t xml:space="preserve">Cour supérieure de justice de l’Ontario </w:t>
            </w:r>
          </w:p>
          <w:p w:rsidR="00BB6BCD" w:rsidRPr="00E6448B" w:rsidRDefault="00BB6BCD" w:rsidP="009C2160">
            <w:pPr>
              <w:jc w:val="both"/>
              <w:rPr>
                <w:rFonts w:eastAsia="Calibri"/>
                <w:sz w:val="20"/>
                <w:lang w:val="fr-CA"/>
              </w:rPr>
            </w:pPr>
            <w:r w:rsidRPr="00E6448B">
              <w:rPr>
                <w:rFonts w:eastAsia="Calibri"/>
                <w:sz w:val="20"/>
                <w:lang w:val="fr-CA"/>
              </w:rPr>
              <w:t>(Juge Patterson)</w:t>
            </w:r>
          </w:p>
          <w:p w:rsidR="00BB6BCD" w:rsidRPr="00E6448B" w:rsidRDefault="00BB6BCD" w:rsidP="009C2160">
            <w:pPr>
              <w:jc w:val="both"/>
              <w:rPr>
                <w:rFonts w:eastAsia="Calibri"/>
                <w:sz w:val="20"/>
                <w:lang w:val="fr-CA"/>
              </w:rPr>
            </w:pPr>
          </w:p>
        </w:tc>
        <w:tc>
          <w:tcPr>
            <w:tcW w:w="243" w:type="pct"/>
          </w:tcPr>
          <w:p w:rsidR="00BB6BCD" w:rsidRPr="00E6448B" w:rsidRDefault="00BB6BCD" w:rsidP="009C2160">
            <w:pPr>
              <w:jc w:val="both"/>
              <w:rPr>
                <w:rFonts w:eastAsia="Calibri"/>
                <w:sz w:val="20"/>
                <w:lang w:val="fr-CA"/>
              </w:rPr>
            </w:pPr>
          </w:p>
        </w:tc>
        <w:tc>
          <w:tcPr>
            <w:tcW w:w="2330" w:type="pct"/>
          </w:tcPr>
          <w:p w:rsidR="00BB6BCD" w:rsidRPr="00E6448B" w:rsidRDefault="00BB6BCD" w:rsidP="009C2160">
            <w:pPr>
              <w:jc w:val="both"/>
              <w:rPr>
                <w:rFonts w:eastAsia="Calibri"/>
                <w:sz w:val="20"/>
                <w:lang w:val="fr-CA"/>
              </w:rPr>
            </w:pPr>
            <w:r w:rsidRPr="00E6448B">
              <w:rPr>
                <w:rFonts w:eastAsia="Calibri"/>
                <w:sz w:val="20"/>
                <w:lang w:val="fr-CA"/>
              </w:rPr>
              <w:t>Demandeur déclaré coupable par un jury de meurtre au premier degré</w:t>
            </w:r>
          </w:p>
          <w:p w:rsidR="00BB6BCD" w:rsidRPr="00E6448B" w:rsidRDefault="00BB6BCD" w:rsidP="009C2160">
            <w:pPr>
              <w:jc w:val="both"/>
              <w:rPr>
                <w:rFonts w:eastAsia="Calibri"/>
                <w:sz w:val="20"/>
                <w:lang w:val="fr-CA"/>
              </w:rPr>
            </w:pPr>
          </w:p>
        </w:tc>
      </w:tr>
      <w:tr w:rsidR="00BB6BCD" w:rsidRPr="00E6448B" w:rsidTr="009C2160">
        <w:tc>
          <w:tcPr>
            <w:tcW w:w="2427" w:type="pct"/>
          </w:tcPr>
          <w:p w:rsidR="00BB6BCD" w:rsidRPr="00E6448B" w:rsidRDefault="00BB6BCD" w:rsidP="009C2160">
            <w:pPr>
              <w:jc w:val="both"/>
              <w:rPr>
                <w:rFonts w:eastAsia="Calibri"/>
                <w:sz w:val="20"/>
                <w:lang w:val="fr-CA"/>
              </w:rPr>
            </w:pPr>
            <w:r w:rsidRPr="00E6448B">
              <w:rPr>
                <w:rFonts w:eastAsia="Calibri"/>
                <w:sz w:val="20"/>
                <w:lang w:val="fr-CA"/>
              </w:rPr>
              <w:t>26 mai 2010</w:t>
            </w:r>
          </w:p>
          <w:p w:rsidR="00BB6BCD" w:rsidRPr="00E6448B" w:rsidRDefault="00BB6BCD" w:rsidP="009C2160">
            <w:pPr>
              <w:jc w:val="both"/>
              <w:rPr>
                <w:rFonts w:eastAsia="Calibri"/>
                <w:sz w:val="20"/>
                <w:lang w:val="fr-CA"/>
              </w:rPr>
            </w:pPr>
            <w:r w:rsidRPr="00E6448B">
              <w:rPr>
                <w:rFonts w:eastAsia="Calibri"/>
                <w:sz w:val="20"/>
                <w:lang w:val="fr-CA"/>
              </w:rPr>
              <w:t xml:space="preserve">Cour d’appel de l’Ontario </w:t>
            </w:r>
          </w:p>
          <w:p w:rsidR="00BB6BCD" w:rsidRPr="00E6448B" w:rsidRDefault="00BB6BCD" w:rsidP="009C2160">
            <w:pPr>
              <w:jc w:val="both"/>
              <w:rPr>
                <w:rFonts w:eastAsia="Calibri"/>
                <w:sz w:val="20"/>
                <w:lang w:val="fr-CA"/>
              </w:rPr>
            </w:pPr>
            <w:r w:rsidRPr="00E6448B">
              <w:rPr>
                <w:rFonts w:eastAsia="Calibri"/>
                <w:sz w:val="20"/>
                <w:lang w:val="fr-CA"/>
              </w:rPr>
              <w:t>(Juges Sharpe, LaForme et Rouleau)</w:t>
            </w:r>
          </w:p>
          <w:p w:rsidR="00BB6BCD" w:rsidRPr="00E6448B" w:rsidRDefault="00BB6BCD" w:rsidP="009C2160">
            <w:pPr>
              <w:jc w:val="both"/>
              <w:rPr>
                <w:rFonts w:eastAsia="Calibri"/>
                <w:sz w:val="20"/>
                <w:lang w:val="fr-CA"/>
              </w:rPr>
            </w:pPr>
          </w:p>
        </w:tc>
        <w:tc>
          <w:tcPr>
            <w:tcW w:w="243" w:type="pct"/>
          </w:tcPr>
          <w:p w:rsidR="00BB6BCD" w:rsidRPr="00E6448B" w:rsidRDefault="00BB6BCD" w:rsidP="009C2160">
            <w:pPr>
              <w:jc w:val="both"/>
              <w:rPr>
                <w:rFonts w:eastAsia="Calibri"/>
                <w:sz w:val="20"/>
                <w:lang w:val="fr-CA"/>
              </w:rPr>
            </w:pPr>
          </w:p>
        </w:tc>
        <w:tc>
          <w:tcPr>
            <w:tcW w:w="2330" w:type="pct"/>
          </w:tcPr>
          <w:p w:rsidR="00BB6BCD" w:rsidRPr="00E6448B" w:rsidRDefault="00BB6BCD" w:rsidP="009C2160">
            <w:pPr>
              <w:jc w:val="both"/>
              <w:rPr>
                <w:rFonts w:eastAsia="Calibri"/>
                <w:sz w:val="20"/>
                <w:lang w:val="fr-CA"/>
              </w:rPr>
            </w:pPr>
            <w:r w:rsidRPr="00E6448B">
              <w:rPr>
                <w:rFonts w:eastAsia="Calibri"/>
                <w:sz w:val="20"/>
                <w:lang w:val="fr-CA"/>
              </w:rPr>
              <w:t>Appel rejeté</w:t>
            </w:r>
          </w:p>
          <w:p w:rsidR="00BB6BCD" w:rsidRPr="00E6448B" w:rsidRDefault="00BB6BCD" w:rsidP="009C2160">
            <w:pPr>
              <w:jc w:val="both"/>
              <w:rPr>
                <w:rFonts w:eastAsia="Calibri"/>
                <w:sz w:val="20"/>
                <w:lang w:val="fr-CA"/>
              </w:rPr>
            </w:pPr>
          </w:p>
        </w:tc>
      </w:tr>
      <w:tr w:rsidR="00BB6BCD" w:rsidRPr="00A77989" w:rsidTr="009C2160">
        <w:tc>
          <w:tcPr>
            <w:tcW w:w="2427" w:type="pct"/>
          </w:tcPr>
          <w:p w:rsidR="00BB6BCD" w:rsidRPr="00E6448B" w:rsidRDefault="00BB6BCD" w:rsidP="009C2160">
            <w:pPr>
              <w:jc w:val="both"/>
              <w:rPr>
                <w:rFonts w:eastAsia="Calibri"/>
                <w:sz w:val="20"/>
                <w:lang w:val="fr-CA"/>
              </w:rPr>
            </w:pPr>
            <w:r w:rsidRPr="00E6448B">
              <w:rPr>
                <w:rFonts w:eastAsia="Calibri"/>
                <w:sz w:val="20"/>
                <w:lang w:val="fr-CA"/>
              </w:rPr>
              <w:t>5 avril 2011</w:t>
            </w:r>
          </w:p>
          <w:p w:rsidR="00BB6BCD" w:rsidRPr="00E6448B" w:rsidRDefault="00BB6BCD" w:rsidP="009C2160">
            <w:pPr>
              <w:jc w:val="both"/>
              <w:rPr>
                <w:rFonts w:eastAsia="Calibri"/>
                <w:sz w:val="20"/>
                <w:lang w:val="fr-CA"/>
              </w:rPr>
            </w:pPr>
            <w:r w:rsidRPr="00E6448B">
              <w:rPr>
                <w:rFonts w:eastAsia="Calibri"/>
                <w:sz w:val="20"/>
                <w:lang w:val="fr-CA"/>
              </w:rPr>
              <w:t>Cour suprême du Canada</w:t>
            </w:r>
          </w:p>
        </w:tc>
        <w:tc>
          <w:tcPr>
            <w:tcW w:w="243" w:type="pct"/>
          </w:tcPr>
          <w:p w:rsidR="00BB6BCD" w:rsidRPr="00E6448B" w:rsidRDefault="00BB6BCD" w:rsidP="009C2160">
            <w:pPr>
              <w:jc w:val="both"/>
              <w:rPr>
                <w:rFonts w:eastAsia="Calibri"/>
                <w:sz w:val="20"/>
                <w:lang w:val="fr-CA"/>
              </w:rPr>
            </w:pPr>
          </w:p>
        </w:tc>
        <w:tc>
          <w:tcPr>
            <w:tcW w:w="2330" w:type="pct"/>
          </w:tcPr>
          <w:p w:rsidR="00BB6BCD" w:rsidRPr="00E6448B" w:rsidRDefault="00BB6BCD" w:rsidP="009C2160">
            <w:pPr>
              <w:jc w:val="both"/>
              <w:rPr>
                <w:rFonts w:eastAsia="Calibri"/>
                <w:sz w:val="20"/>
                <w:lang w:val="fr-CA"/>
              </w:rPr>
            </w:pPr>
            <w:r w:rsidRPr="00E6448B">
              <w:rPr>
                <w:rFonts w:eastAsia="Calibri"/>
                <w:sz w:val="20"/>
                <w:lang w:val="fr-CA"/>
              </w:rPr>
              <w:t>Requête en prorogation de délai et demande d’autorisation d’appel, déposées</w:t>
            </w:r>
          </w:p>
        </w:tc>
      </w:tr>
    </w:tbl>
    <w:p w:rsidR="00FE43CC" w:rsidRPr="00BB6BCD" w:rsidRDefault="00FE43CC" w:rsidP="00FE43CC">
      <w:pPr>
        <w:rPr>
          <w:sz w:val="20"/>
          <w:szCs w:val="20"/>
          <w:lang w:val="fr-CA"/>
        </w:rPr>
      </w:pPr>
    </w:p>
    <w:p w:rsidR="00FE43CC" w:rsidRDefault="00AB3236" w:rsidP="00FE43CC">
      <w:pPr>
        <w:rPr>
          <w:sz w:val="20"/>
          <w:szCs w:val="20"/>
          <w:lang w:val="fr-CA"/>
        </w:rPr>
      </w:pPr>
      <w:r w:rsidRPr="00AB3236">
        <w:rPr>
          <w:sz w:val="20"/>
          <w:szCs w:val="20"/>
          <w:lang w:val="fr-CA"/>
        </w:rPr>
        <w:pict>
          <v:rect id="_x0000_i1061"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A6730" w:rsidRPr="00BA6730" w:rsidTr="009C7281">
        <w:trPr>
          <w:cantSplit/>
        </w:trPr>
        <w:tc>
          <w:tcPr>
            <w:tcW w:w="1458" w:type="dxa"/>
          </w:tcPr>
          <w:p w:rsidR="00BA6730" w:rsidRPr="00BA6730" w:rsidRDefault="00BA6730" w:rsidP="009C7281">
            <w:pPr>
              <w:rPr>
                <w:rFonts w:cs="Times New Roman"/>
                <w:sz w:val="20"/>
                <w:szCs w:val="20"/>
              </w:rPr>
            </w:pPr>
            <w:r w:rsidRPr="00BA6730">
              <w:rPr>
                <w:rStyle w:val="SCCFileNumberChar"/>
                <w:sz w:val="20"/>
                <w:szCs w:val="20"/>
              </w:rPr>
              <w:t>34187</w:t>
            </w:r>
          </w:p>
          <w:p w:rsidR="00BA6730" w:rsidRPr="00BA6730" w:rsidRDefault="00BA6730" w:rsidP="009C7281">
            <w:pPr>
              <w:rPr>
                <w:rFonts w:cs="Times New Roman"/>
                <w:b/>
                <w:sz w:val="20"/>
                <w:szCs w:val="20"/>
                <w:lang w:val="fr-CA"/>
              </w:rPr>
            </w:pPr>
          </w:p>
        </w:tc>
        <w:tc>
          <w:tcPr>
            <w:tcW w:w="8118" w:type="dxa"/>
          </w:tcPr>
          <w:p w:rsidR="00BA6730" w:rsidRPr="00BA6730" w:rsidRDefault="00BA6730" w:rsidP="00BA6730">
            <w:pPr>
              <w:jc w:val="both"/>
              <w:rPr>
                <w:rFonts w:cs="Times New Roman"/>
                <w:sz w:val="20"/>
                <w:szCs w:val="20"/>
              </w:rPr>
            </w:pPr>
            <w:r w:rsidRPr="00BA6730">
              <w:rPr>
                <w:rStyle w:val="SCCLsocChar"/>
                <w:rFonts w:cs="Times New Roman"/>
                <w:sz w:val="20"/>
                <w:szCs w:val="20"/>
                <w:lang w:val="en-CA"/>
              </w:rPr>
              <w:t>Albert Ross Deep, M.D., F.R.C.P. (C) v. College of Physicians and Surgeons of Ontario, Dr. David Massel, Ms. Carolyn Silver, Dr. Turnbull, Dr. David Walker, Dr. M. Gabel, Dr. N. De, Dr. T. Moriarity, Mr. R. Pratt, Mr. Dhawan, Dr. Rocco Gerace and Dr. Melvin</w:t>
            </w:r>
            <w:r w:rsidRPr="00BA6730">
              <w:rPr>
                <w:rFonts w:cs="Times New Roman"/>
                <w:sz w:val="20"/>
                <w:szCs w:val="20"/>
              </w:rPr>
              <w:t xml:space="preserve"> (Ont.) (Civil) (By Leave)</w:t>
            </w:r>
          </w:p>
          <w:p w:rsidR="00BA6730" w:rsidRPr="00BA6730" w:rsidRDefault="00BA6730" w:rsidP="009C7281">
            <w:pPr>
              <w:rPr>
                <w:rFonts w:cs="Times New Roman"/>
                <w:sz w:val="20"/>
                <w:szCs w:val="20"/>
              </w:rPr>
            </w:pPr>
          </w:p>
        </w:tc>
      </w:tr>
      <w:tr w:rsidR="00BA6730" w:rsidRPr="00BA6730" w:rsidTr="009C7281">
        <w:trPr>
          <w:cantSplit/>
        </w:trPr>
        <w:tc>
          <w:tcPr>
            <w:tcW w:w="1458" w:type="dxa"/>
          </w:tcPr>
          <w:p w:rsidR="00BA6730" w:rsidRPr="00BA6730" w:rsidRDefault="00BA6730" w:rsidP="009C7281">
            <w:pPr>
              <w:rPr>
                <w:rFonts w:cs="Times New Roman"/>
                <w:sz w:val="20"/>
                <w:szCs w:val="20"/>
              </w:rPr>
            </w:pPr>
            <w:r w:rsidRPr="00BA6730">
              <w:rPr>
                <w:rFonts w:cs="Times New Roman"/>
                <w:sz w:val="20"/>
                <w:szCs w:val="20"/>
              </w:rPr>
              <w:t>Coram :</w:t>
            </w:r>
          </w:p>
        </w:tc>
        <w:tc>
          <w:tcPr>
            <w:tcW w:w="8118" w:type="dxa"/>
          </w:tcPr>
          <w:p w:rsidR="00BA6730" w:rsidRPr="00BA6730" w:rsidRDefault="00BA6730" w:rsidP="009C7281">
            <w:pPr>
              <w:rPr>
                <w:rFonts w:cs="Times New Roman"/>
                <w:sz w:val="20"/>
                <w:szCs w:val="20"/>
              </w:rPr>
            </w:pPr>
            <w:r w:rsidRPr="00BA6730">
              <w:rPr>
                <w:rStyle w:val="SCCCoramChar"/>
                <w:rFonts w:cs="Times New Roman"/>
                <w:sz w:val="20"/>
                <w:szCs w:val="20"/>
                <w:lang w:val="en-CA"/>
              </w:rPr>
              <w:t>LeBel, Fish and Cromwell JJ.</w:t>
            </w:r>
          </w:p>
          <w:p w:rsidR="00BA6730" w:rsidRPr="00BA6730" w:rsidRDefault="00BA6730" w:rsidP="009C7281">
            <w:pPr>
              <w:rPr>
                <w:rFonts w:cs="Times New Roman"/>
                <w:sz w:val="20"/>
                <w:szCs w:val="20"/>
                <w:u w:val="single"/>
              </w:rPr>
            </w:pPr>
          </w:p>
        </w:tc>
      </w:tr>
      <w:tr w:rsidR="00BA6730" w:rsidRPr="00BA6730" w:rsidTr="009C7281">
        <w:trPr>
          <w:cantSplit/>
        </w:trPr>
        <w:tc>
          <w:tcPr>
            <w:tcW w:w="9576" w:type="dxa"/>
            <w:gridSpan w:val="2"/>
          </w:tcPr>
          <w:p w:rsidR="00BA6730" w:rsidRPr="00BA6730" w:rsidRDefault="00BA6730" w:rsidP="009C7281">
            <w:pPr>
              <w:pStyle w:val="SCCShortJudgment"/>
              <w:rPr>
                <w:rFonts w:cs="Times New Roman"/>
                <w:szCs w:val="20"/>
                <w:lang w:val="fr-CA"/>
              </w:rPr>
            </w:pPr>
            <w:r w:rsidRPr="00BA6730">
              <w:rPr>
                <w:rFonts w:cs="Times New Roman"/>
                <w:szCs w:val="20"/>
              </w:rPr>
              <w:lastRenderedPageBreak/>
              <w:t xml:space="preserve">The application for leave to appeal from the judgment of the Court of Appeal for Ontario, Numbers M39387, M39512 and C52721, 2011 ONCA 196, dated March 4, 2011, is dismissed with costs. </w:t>
            </w:r>
            <w:r w:rsidRPr="00BA6730">
              <w:rPr>
                <w:rFonts w:cs="Times New Roman"/>
                <w:szCs w:val="20"/>
                <w:lang w:val="fr-CA"/>
              </w:rPr>
              <w:t>The request for special costs award is denied.</w:t>
            </w:r>
          </w:p>
          <w:p w:rsidR="00BA6730" w:rsidRPr="00BA6730" w:rsidRDefault="00BA6730" w:rsidP="009C7281">
            <w:pPr>
              <w:pStyle w:val="SCCShortJudgment"/>
              <w:ind w:firstLine="0"/>
              <w:rPr>
                <w:rFonts w:cs="Times New Roman"/>
                <w:szCs w:val="20"/>
                <w:lang w:val="fr-CA"/>
              </w:rPr>
            </w:pPr>
          </w:p>
          <w:p w:rsidR="00BA6730" w:rsidRPr="00BA6730" w:rsidRDefault="00BA6730" w:rsidP="00BA6730">
            <w:pPr>
              <w:pStyle w:val="SCCShortJudgment"/>
              <w:rPr>
                <w:rFonts w:cs="Times New Roman"/>
                <w:szCs w:val="20"/>
                <w:lang w:val="fr-CA"/>
              </w:rPr>
            </w:pPr>
            <w:r w:rsidRPr="00BA6730">
              <w:rPr>
                <w:rFonts w:cs="Times New Roman"/>
                <w:szCs w:val="20"/>
                <w:lang w:val="fr-CA"/>
              </w:rPr>
              <w:t>La demande d’autorisation d’appel de l’arrêt de la Cour d’appel de l’Ontario, numéros M39387, M39512 et C52721, 2011 ONCA 196, daté du 4 mars 2011, est rejetée avec dépens. La demande en vue d’obtenir des dépens spéciaux est refusée.</w:t>
            </w:r>
          </w:p>
        </w:tc>
      </w:tr>
    </w:tbl>
    <w:p w:rsidR="00BA6730" w:rsidRPr="00BA6730" w:rsidRDefault="00BA6730"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9C2160" w:rsidRPr="00E6448B" w:rsidTr="009C2160">
        <w:trPr>
          <w:gridAfter w:val="1"/>
          <w:wAfter w:w="48" w:type="pct"/>
        </w:trPr>
        <w:tc>
          <w:tcPr>
            <w:tcW w:w="4952" w:type="pct"/>
            <w:gridSpan w:val="3"/>
          </w:tcPr>
          <w:p w:rsidR="009C2160" w:rsidRPr="00E6448B" w:rsidRDefault="009C2160" w:rsidP="009C2160">
            <w:pPr>
              <w:jc w:val="both"/>
              <w:rPr>
                <w:rFonts w:eastAsia="Calibri"/>
                <w:sz w:val="20"/>
              </w:rPr>
            </w:pPr>
            <w:r w:rsidRPr="00E6448B">
              <w:rPr>
                <w:rFonts w:eastAsia="Calibri"/>
                <w:sz w:val="20"/>
              </w:rPr>
              <w:t>Civil Procedure — Pre</w:t>
            </w:r>
            <w:r w:rsidRPr="00E6448B">
              <w:rPr>
                <w:rFonts w:eastAsia="Calibri"/>
                <w:sz w:val="20"/>
              </w:rPr>
              <w:noBreakHyphen/>
              <w:t xml:space="preserve">trial proceedings — Test for vexatious proceedings — Test for abuse of process — Test for striking of statement of claim — Evidence — Whether civil action for damages against respondents should be allowed to properly proceed — Whether order declaring applicant a vexatious litigant was inappropriate in the circumstances — Whether statement of claim should have been struck — Whether claims were an abuse of process or </w:t>
            </w:r>
            <w:r w:rsidRPr="00E6448B">
              <w:rPr>
                <w:rFonts w:eastAsia="Calibri"/>
                <w:i/>
                <w:sz w:val="20"/>
              </w:rPr>
              <w:t xml:space="preserve">res judicata — </w:t>
            </w:r>
            <w:r w:rsidRPr="00E6448B">
              <w:rPr>
                <w:rFonts w:eastAsia="Calibri"/>
                <w:sz w:val="20"/>
              </w:rPr>
              <w:t>Whether to apply doctrine of issue estoppel — Whether revocation of applicant’s license should be set aside.</w:t>
            </w:r>
          </w:p>
          <w:p w:rsidR="009C2160" w:rsidRPr="00E6448B" w:rsidRDefault="009C2160" w:rsidP="009C2160">
            <w:pPr>
              <w:jc w:val="both"/>
              <w:rPr>
                <w:rFonts w:eastAsia="Calibri"/>
                <w:sz w:val="20"/>
              </w:rPr>
            </w:pPr>
          </w:p>
        </w:tc>
      </w:tr>
      <w:tr w:rsidR="009C2160" w:rsidRPr="00E6448B" w:rsidTr="009C2160">
        <w:trPr>
          <w:gridAfter w:val="1"/>
          <w:wAfter w:w="48" w:type="pct"/>
        </w:trPr>
        <w:tc>
          <w:tcPr>
            <w:tcW w:w="4952" w:type="pct"/>
            <w:gridSpan w:val="3"/>
          </w:tcPr>
          <w:p w:rsidR="009C2160" w:rsidRPr="00E6448B" w:rsidRDefault="009C2160" w:rsidP="009C2160">
            <w:pPr>
              <w:jc w:val="both"/>
              <w:rPr>
                <w:rFonts w:eastAsia="Calibri"/>
                <w:sz w:val="20"/>
              </w:rPr>
            </w:pPr>
            <w:r w:rsidRPr="00E6448B">
              <w:rPr>
                <w:rFonts w:eastAsia="Calibri"/>
                <w:sz w:val="20"/>
              </w:rPr>
              <w:t>The applicant commenced an action against the respondents claiming damages for  recklessness, gross negligence and malicious prosecution based on a protracted history of disciplinary proceedings flowing from a patient’s complaint against him in 1999.  His statement of claim sought special damages of $2.3 million and general damages of $20 million.  A motions judge declared the applicant a vexatious litigant, issued an order prohibiting him from commencing or continuing any process without leave of the court, and struck his statement of claim.  The Court of Appeal dismissed an appeal.</w:t>
            </w:r>
          </w:p>
          <w:p w:rsidR="009C2160" w:rsidRPr="00E6448B" w:rsidRDefault="009C2160" w:rsidP="009C2160">
            <w:pPr>
              <w:jc w:val="both"/>
              <w:rPr>
                <w:rFonts w:eastAsia="Calibri"/>
                <w:sz w:val="20"/>
              </w:rPr>
            </w:pPr>
          </w:p>
        </w:tc>
      </w:tr>
      <w:tr w:rsidR="009C2160" w:rsidRPr="00E6448B" w:rsidTr="009C2160">
        <w:tblPrEx>
          <w:tblCellMar>
            <w:bottom w:w="0" w:type="dxa"/>
          </w:tblCellMar>
        </w:tblPrEx>
        <w:tc>
          <w:tcPr>
            <w:tcW w:w="2367" w:type="pct"/>
          </w:tcPr>
          <w:p w:rsidR="009C2160" w:rsidRPr="00E6448B" w:rsidRDefault="009C2160" w:rsidP="009C2160">
            <w:pPr>
              <w:jc w:val="both"/>
              <w:rPr>
                <w:rFonts w:eastAsia="Calibri"/>
                <w:sz w:val="20"/>
              </w:rPr>
            </w:pPr>
            <w:r w:rsidRPr="00E6448B">
              <w:rPr>
                <w:rFonts w:eastAsia="Calibri"/>
                <w:sz w:val="20"/>
              </w:rPr>
              <w:t>September 23, 2010</w:t>
            </w:r>
          </w:p>
          <w:p w:rsidR="009C2160" w:rsidRPr="00E6448B" w:rsidRDefault="009C2160" w:rsidP="009C2160">
            <w:pPr>
              <w:jc w:val="both"/>
              <w:rPr>
                <w:rFonts w:eastAsia="Calibri"/>
                <w:sz w:val="20"/>
              </w:rPr>
            </w:pPr>
            <w:r w:rsidRPr="00E6448B">
              <w:rPr>
                <w:rFonts w:eastAsia="Calibri"/>
                <w:sz w:val="20"/>
              </w:rPr>
              <w:t>Ontario Superior Court of Justice</w:t>
            </w:r>
          </w:p>
          <w:p w:rsidR="009C2160" w:rsidRPr="00E6448B" w:rsidRDefault="009C2160" w:rsidP="009C2160">
            <w:pPr>
              <w:jc w:val="both"/>
              <w:rPr>
                <w:rFonts w:eastAsia="Calibri"/>
                <w:sz w:val="20"/>
              </w:rPr>
            </w:pPr>
            <w:r w:rsidRPr="00E6448B">
              <w:rPr>
                <w:rFonts w:eastAsia="Calibri"/>
                <w:sz w:val="20"/>
              </w:rPr>
              <w:t xml:space="preserve">(Mesbur J.)  </w:t>
            </w:r>
          </w:p>
          <w:p w:rsidR="009C2160" w:rsidRPr="00E6448B" w:rsidRDefault="009C2160" w:rsidP="009C2160">
            <w:pPr>
              <w:jc w:val="both"/>
              <w:rPr>
                <w:rFonts w:eastAsia="Calibri"/>
                <w:sz w:val="20"/>
              </w:rPr>
            </w:pPr>
          </w:p>
        </w:tc>
        <w:tc>
          <w:tcPr>
            <w:tcW w:w="267" w:type="pct"/>
          </w:tcPr>
          <w:p w:rsidR="009C2160" w:rsidRPr="00E6448B" w:rsidRDefault="009C2160" w:rsidP="009C2160">
            <w:pPr>
              <w:jc w:val="both"/>
              <w:rPr>
                <w:rFonts w:eastAsia="Calibri"/>
                <w:sz w:val="20"/>
              </w:rPr>
            </w:pPr>
          </w:p>
        </w:tc>
        <w:tc>
          <w:tcPr>
            <w:tcW w:w="2366" w:type="pct"/>
            <w:gridSpan w:val="2"/>
          </w:tcPr>
          <w:p w:rsidR="009C2160" w:rsidRPr="00E6448B" w:rsidRDefault="009C2160" w:rsidP="009C2160">
            <w:pPr>
              <w:jc w:val="both"/>
              <w:rPr>
                <w:rFonts w:eastAsia="Calibri"/>
                <w:sz w:val="20"/>
              </w:rPr>
            </w:pPr>
            <w:r w:rsidRPr="00E6448B">
              <w:rPr>
                <w:rFonts w:eastAsia="Calibri"/>
                <w:sz w:val="20"/>
              </w:rPr>
              <w:t>Applicant declared a vexatious litigant,   claim struck; order prohibiting applicant from commencing or continuing any process in Ontario without leave of the court</w:t>
            </w:r>
          </w:p>
          <w:p w:rsidR="009C2160" w:rsidRPr="00E6448B" w:rsidRDefault="009C2160" w:rsidP="009C2160">
            <w:pPr>
              <w:jc w:val="both"/>
              <w:rPr>
                <w:rFonts w:eastAsia="Calibri"/>
                <w:sz w:val="20"/>
              </w:rPr>
            </w:pPr>
          </w:p>
        </w:tc>
      </w:tr>
      <w:tr w:rsidR="009C2160" w:rsidRPr="00E6448B" w:rsidTr="009C2160">
        <w:tblPrEx>
          <w:tblCellMar>
            <w:bottom w:w="0" w:type="dxa"/>
          </w:tblCellMar>
        </w:tblPrEx>
        <w:tc>
          <w:tcPr>
            <w:tcW w:w="2367" w:type="pct"/>
          </w:tcPr>
          <w:p w:rsidR="009C2160" w:rsidRPr="00E6448B" w:rsidRDefault="009C2160" w:rsidP="009C2160">
            <w:pPr>
              <w:jc w:val="both"/>
              <w:rPr>
                <w:rFonts w:eastAsia="Calibri"/>
                <w:sz w:val="20"/>
              </w:rPr>
            </w:pPr>
            <w:r w:rsidRPr="00E6448B">
              <w:rPr>
                <w:rFonts w:eastAsia="Calibri"/>
                <w:sz w:val="20"/>
              </w:rPr>
              <w:t>March 4, 2011</w:t>
            </w:r>
          </w:p>
          <w:p w:rsidR="009C2160" w:rsidRPr="00E6448B" w:rsidRDefault="009C2160" w:rsidP="009C2160">
            <w:pPr>
              <w:jc w:val="both"/>
              <w:rPr>
                <w:rFonts w:eastAsia="Calibri"/>
                <w:sz w:val="20"/>
              </w:rPr>
            </w:pPr>
            <w:r w:rsidRPr="00E6448B">
              <w:rPr>
                <w:rFonts w:eastAsia="Calibri"/>
                <w:sz w:val="20"/>
              </w:rPr>
              <w:t>Court of Appeal for Ontario</w:t>
            </w:r>
          </w:p>
          <w:p w:rsidR="009C2160" w:rsidRPr="00E6448B" w:rsidRDefault="009C2160" w:rsidP="009C2160">
            <w:pPr>
              <w:jc w:val="both"/>
              <w:rPr>
                <w:rFonts w:eastAsia="Calibri"/>
                <w:sz w:val="20"/>
                <w:lang w:val="fr-CA"/>
              </w:rPr>
            </w:pPr>
            <w:r w:rsidRPr="00E6448B">
              <w:rPr>
                <w:rFonts w:eastAsia="Calibri"/>
                <w:sz w:val="20"/>
                <w:lang w:val="fr-CA"/>
              </w:rPr>
              <w:t xml:space="preserve">(MacPherson, Rouleau, Epstein JJ.A.) </w:t>
            </w:r>
          </w:p>
          <w:p w:rsidR="009C2160" w:rsidRPr="00E6448B" w:rsidRDefault="009C2160" w:rsidP="009C2160">
            <w:pPr>
              <w:jc w:val="both"/>
              <w:rPr>
                <w:rFonts w:eastAsia="Calibri"/>
                <w:sz w:val="20"/>
                <w:lang w:val="fr-CA"/>
              </w:rPr>
            </w:pPr>
            <w:r w:rsidRPr="00E6448B">
              <w:rPr>
                <w:rFonts w:eastAsia="Calibri"/>
                <w:sz w:val="20"/>
                <w:lang w:val="fr-CA"/>
              </w:rPr>
              <w:t>2011 ONCA 196</w:t>
            </w:r>
          </w:p>
          <w:p w:rsidR="009C2160" w:rsidRPr="00E6448B" w:rsidRDefault="009C2160" w:rsidP="009C2160">
            <w:pPr>
              <w:jc w:val="both"/>
              <w:rPr>
                <w:rFonts w:eastAsia="Calibri"/>
                <w:sz w:val="20"/>
                <w:lang w:val="fr-CA"/>
              </w:rPr>
            </w:pPr>
            <w:r w:rsidRPr="00E6448B">
              <w:rPr>
                <w:rFonts w:eastAsia="Calibri"/>
                <w:sz w:val="20"/>
                <w:lang w:val="fr-CA"/>
              </w:rPr>
              <w:t>M39387/M39512/C52721</w:t>
            </w:r>
          </w:p>
          <w:p w:rsidR="009C2160" w:rsidRPr="00E6448B" w:rsidRDefault="009C2160" w:rsidP="009C2160">
            <w:pPr>
              <w:jc w:val="both"/>
              <w:rPr>
                <w:rFonts w:eastAsia="Calibri"/>
                <w:sz w:val="20"/>
                <w:lang w:val="fr-CA"/>
              </w:rPr>
            </w:pPr>
          </w:p>
        </w:tc>
        <w:tc>
          <w:tcPr>
            <w:tcW w:w="267" w:type="pct"/>
          </w:tcPr>
          <w:p w:rsidR="009C2160" w:rsidRPr="00E6448B" w:rsidRDefault="009C2160" w:rsidP="009C2160">
            <w:pPr>
              <w:jc w:val="both"/>
              <w:rPr>
                <w:rFonts w:eastAsia="Calibri"/>
                <w:sz w:val="20"/>
                <w:lang w:val="fr-CA"/>
              </w:rPr>
            </w:pPr>
          </w:p>
        </w:tc>
        <w:tc>
          <w:tcPr>
            <w:tcW w:w="2366" w:type="pct"/>
            <w:gridSpan w:val="2"/>
          </w:tcPr>
          <w:p w:rsidR="009C2160" w:rsidRPr="00E6448B" w:rsidRDefault="009C2160" w:rsidP="009C2160">
            <w:pPr>
              <w:jc w:val="both"/>
              <w:rPr>
                <w:rFonts w:eastAsia="Calibri"/>
                <w:sz w:val="20"/>
              </w:rPr>
            </w:pPr>
            <w:r w:rsidRPr="00E6448B">
              <w:rPr>
                <w:rFonts w:eastAsia="Calibri"/>
                <w:sz w:val="20"/>
              </w:rPr>
              <w:t>Appeal dismissed</w:t>
            </w:r>
          </w:p>
          <w:p w:rsidR="009C2160" w:rsidRPr="00E6448B" w:rsidRDefault="009C2160" w:rsidP="009C2160">
            <w:pPr>
              <w:jc w:val="both"/>
              <w:rPr>
                <w:rFonts w:eastAsia="Calibri"/>
                <w:sz w:val="20"/>
              </w:rPr>
            </w:pPr>
          </w:p>
        </w:tc>
      </w:tr>
      <w:tr w:rsidR="009C2160" w:rsidRPr="00E6448B" w:rsidTr="009C2160">
        <w:tblPrEx>
          <w:tblCellMar>
            <w:bottom w:w="0" w:type="dxa"/>
          </w:tblCellMar>
        </w:tblPrEx>
        <w:tc>
          <w:tcPr>
            <w:tcW w:w="2367" w:type="pct"/>
          </w:tcPr>
          <w:p w:rsidR="009C2160" w:rsidRPr="00E6448B" w:rsidRDefault="009C2160" w:rsidP="009C2160">
            <w:pPr>
              <w:jc w:val="both"/>
              <w:rPr>
                <w:rFonts w:eastAsia="Calibri"/>
                <w:sz w:val="20"/>
              </w:rPr>
            </w:pPr>
            <w:r w:rsidRPr="00E6448B">
              <w:rPr>
                <w:rFonts w:eastAsia="Calibri"/>
                <w:sz w:val="20"/>
              </w:rPr>
              <w:t>April 7, 2011</w:t>
            </w:r>
          </w:p>
          <w:p w:rsidR="009C2160" w:rsidRPr="00E6448B" w:rsidRDefault="009C2160" w:rsidP="009C2160">
            <w:pPr>
              <w:jc w:val="both"/>
              <w:rPr>
                <w:rFonts w:eastAsia="Calibri"/>
                <w:sz w:val="20"/>
              </w:rPr>
            </w:pPr>
            <w:r w:rsidRPr="00E6448B">
              <w:rPr>
                <w:rFonts w:eastAsia="Calibri"/>
                <w:sz w:val="20"/>
              </w:rPr>
              <w:t xml:space="preserve">Supreme Court of Canada </w:t>
            </w:r>
          </w:p>
        </w:tc>
        <w:tc>
          <w:tcPr>
            <w:tcW w:w="267" w:type="pct"/>
          </w:tcPr>
          <w:p w:rsidR="009C2160" w:rsidRPr="00E6448B" w:rsidRDefault="009C2160" w:rsidP="009C2160">
            <w:pPr>
              <w:jc w:val="both"/>
              <w:rPr>
                <w:rFonts w:eastAsia="Calibri"/>
                <w:sz w:val="20"/>
              </w:rPr>
            </w:pPr>
          </w:p>
        </w:tc>
        <w:tc>
          <w:tcPr>
            <w:tcW w:w="2366" w:type="pct"/>
            <w:gridSpan w:val="2"/>
          </w:tcPr>
          <w:p w:rsidR="009C2160" w:rsidRPr="00E6448B" w:rsidRDefault="009C2160" w:rsidP="009C2160">
            <w:pPr>
              <w:jc w:val="both"/>
              <w:rPr>
                <w:rFonts w:eastAsia="Calibri"/>
                <w:sz w:val="20"/>
              </w:rPr>
            </w:pPr>
            <w:r w:rsidRPr="00E6448B">
              <w:rPr>
                <w:rFonts w:eastAsia="Calibri"/>
                <w:sz w:val="20"/>
              </w:rPr>
              <w:t>Application for leave to appeal filed</w:t>
            </w:r>
          </w:p>
          <w:p w:rsidR="009C2160" w:rsidRPr="00E6448B" w:rsidRDefault="009C2160" w:rsidP="009C2160">
            <w:pPr>
              <w:jc w:val="both"/>
              <w:rPr>
                <w:rFonts w:eastAsia="Calibri"/>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62"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5000" w:type="pct"/>
        <w:tblLayout w:type="fixed"/>
        <w:tblCellMar>
          <w:left w:w="0" w:type="dxa"/>
          <w:bottom w:w="99" w:type="dxa"/>
          <w:right w:w="0" w:type="dxa"/>
        </w:tblCellMar>
        <w:tblLook w:val="00A0"/>
      </w:tblPr>
      <w:tblGrid>
        <w:gridCol w:w="4553"/>
        <w:gridCol w:w="514"/>
        <w:gridCol w:w="4552"/>
      </w:tblGrid>
      <w:tr w:rsidR="00E05044" w:rsidRPr="00A77989" w:rsidTr="00DD098E">
        <w:tc>
          <w:tcPr>
            <w:tcW w:w="5000" w:type="pct"/>
            <w:gridSpan w:val="3"/>
          </w:tcPr>
          <w:p w:rsidR="00E05044" w:rsidRPr="00E6448B" w:rsidRDefault="00E05044" w:rsidP="00DD098E">
            <w:pPr>
              <w:jc w:val="both"/>
              <w:rPr>
                <w:rFonts w:eastAsia="Calibri"/>
                <w:sz w:val="20"/>
                <w:lang w:val="fr-CA"/>
              </w:rPr>
            </w:pPr>
            <w:r w:rsidRPr="00E6448B">
              <w:rPr>
                <w:rFonts w:eastAsia="Calibri"/>
                <w:sz w:val="20"/>
                <w:lang w:val="fr-CA"/>
              </w:rPr>
              <w:t>Procédure civile — Procédures préliminaires — Critère relatif aux procédures vexatoires — Critère relatif à l’abus de procédure — Critère relatif à la radiation des déclarations — Preuve — Y a</w:t>
            </w:r>
            <w:r w:rsidRPr="00E6448B">
              <w:rPr>
                <w:rFonts w:eastAsia="Calibri"/>
                <w:sz w:val="20"/>
                <w:lang w:val="fr-CA"/>
              </w:rPr>
              <w:noBreakHyphen/>
              <w:t>t</w:t>
            </w:r>
            <w:r w:rsidRPr="00E6448B">
              <w:rPr>
                <w:rFonts w:eastAsia="Calibri"/>
                <w:sz w:val="20"/>
                <w:lang w:val="fr-CA"/>
              </w:rPr>
              <w:noBreakHyphen/>
              <w:t>il lieu d’autoriser l’instruction de l’action civile en dommages</w:t>
            </w:r>
            <w:r w:rsidRPr="00E6448B">
              <w:rPr>
                <w:rFonts w:eastAsia="Calibri"/>
                <w:sz w:val="20"/>
                <w:lang w:val="fr-CA"/>
              </w:rPr>
              <w:noBreakHyphen/>
              <w:t>intérêts contre les intimés? — L’ordonnance déclarant que le demandeur est un plaideur vexatoire était</w:t>
            </w:r>
            <w:r w:rsidRPr="00E6448B">
              <w:rPr>
                <w:rFonts w:eastAsia="Calibri"/>
                <w:sz w:val="20"/>
                <w:lang w:val="fr-CA"/>
              </w:rPr>
              <w:noBreakHyphen/>
              <w:t>elle justifiée en l’espèce? — La déclaration aurait</w:t>
            </w:r>
            <w:r w:rsidRPr="00E6448B">
              <w:rPr>
                <w:rFonts w:eastAsia="Calibri"/>
                <w:sz w:val="20"/>
                <w:lang w:val="fr-CA"/>
              </w:rPr>
              <w:noBreakHyphen/>
              <w:t>elle dû être radiée? — Les demandes étaient</w:t>
            </w:r>
            <w:r w:rsidRPr="00E6448B">
              <w:rPr>
                <w:rFonts w:eastAsia="Calibri"/>
                <w:sz w:val="20"/>
                <w:lang w:val="fr-CA"/>
              </w:rPr>
              <w:noBreakHyphen/>
              <w:t xml:space="preserve">elles un abus de procédure ou choses jugées? </w:t>
            </w:r>
            <w:r w:rsidRPr="00E6448B">
              <w:rPr>
                <w:rFonts w:eastAsia="Calibri"/>
                <w:i/>
                <w:sz w:val="20"/>
                <w:lang w:val="fr-CA"/>
              </w:rPr>
              <w:t>—</w:t>
            </w:r>
            <w:r w:rsidRPr="00E6448B">
              <w:rPr>
                <w:rFonts w:eastAsia="Calibri"/>
                <w:sz w:val="20"/>
                <w:lang w:val="fr-CA"/>
              </w:rPr>
              <w:t xml:space="preserve"> Y a</w:t>
            </w:r>
            <w:r w:rsidRPr="00E6448B">
              <w:rPr>
                <w:rFonts w:eastAsia="Calibri"/>
                <w:sz w:val="20"/>
                <w:lang w:val="fr-CA"/>
              </w:rPr>
              <w:noBreakHyphen/>
              <w:t>t</w:t>
            </w:r>
            <w:r w:rsidRPr="00E6448B">
              <w:rPr>
                <w:rFonts w:eastAsia="Calibri"/>
                <w:sz w:val="20"/>
                <w:lang w:val="fr-CA"/>
              </w:rPr>
              <w:noBreakHyphen/>
              <w:t>il lieu d’appliquer la doctrine de la préclusion découlant d’une question déjà tranchée? — La révocation du permis du demandeur devrait</w:t>
            </w:r>
            <w:r w:rsidRPr="00E6448B">
              <w:rPr>
                <w:rFonts w:eastAsia="Calibri"/>
                <w:sz w:val="20"/>
                <w:lang w:val="fr-CA"/>
              </w:rPr>
              <w:noBreakHyphen/>
              <w:t>elle être annulée?</w:t>
            </w:r>
          </w:p>
          <w:p w:rsidR="00E05044" w:rsidRPr="00E6448B" w:rsidRDefault="00E05044" w:rsidP="00DD098E">
            <w:pPr>
              <w:jc w:val="both"/>
              <w:rPr>
                <w:rFonts w:eastAsia="Calibri"/>
                <w:sz w:val="20"/>
                <w:lang w:val="fr-CA"/>
              </w:rPr>
            </w:pPr>
          </w:p>
        </w:tc>
      </w:tr>
      <w:tr w:rsidR="00E05044" w:rsidRPr="00E6448B" w:rsidTr="00DD098E">
        <w:tc>
          <w:tcPr>
            <w:tcW w:w="5000" w:type="pct"/>
            <w:gridSpan w:val="3"/>
          </w:tcPr>
          <w:p w:rsidR="00E05044" w:rsidRPr="00E6448B" w:rsidRDefault="00E05044" w:rsidP="00DD098E">
            <w:pPr>
              <w:jc w:val="both"/>
              <w:rPr>
                <w:rFonts w:eastAsia="Calibri"/>
                <w:sz w:val="20"/>
                <w:lang w:val="fr-CA"/>
              </w:rPr>
            </w:pPr>
            <w:r w:rsidRPr="00E6448B">
              <w:rPr>
                <w:rFonts w:eastAsia="Calibri"/>
                <w:sz w:val="20"/>
                <w:lang w:val="fr-CA"/>
              </w:rPr>
              <w:t>Le demandeur a intenté une action en dommages</w:t>
            </w:r>
            <w:r w:rsidRPr="00E6448B">
              <w:rPr>
                <w:rFonts w:eastAsia="Calibri"/>
                <w:sz w:val="20"/>
                <w:lang w:val="fr-CA"/>
              </w:rPr>
              <w:noBreakHyphen/>
              <w:t>intérêts contre les intimés pour insouciance, négligence grave et poursuite abusive sur le fondement d’une longue suite de procédures disciplinaires découlant de la plainte qu’une patiente avait portée contre lui en 1999.  Dans sa déclaration, il demandait des dommages</w:t>
            </w:r>
            <w:r w:rsidRPr="00E6448B">
              <w:rPr>
                <w:rFonts w:eastAsia="Calibri"/>
                <w:sz w:val="20"/>
                <w:lang w:val="fr-CA"/>
              </w:rPr>
              <w:noBreakHyphen/>
              <w:t>intérêts spéciaux de 2,3 millions de dollars et des dommages</w:t>
            </w:r>
            <w:r w:rsidRPr="00E6448B">
              <w:rPr>
                <w:rFonts w:eastAsia="Calibri"/>
                <w:sz w:val="20"/>
                <w:lang w:val="fr-CA"/>
              </w:rPr>
              <w:noBreakHyphen/>
              <w:t xml:space="preserve">intérêts généraux de 20 millions de dollars.  Un juge des requêtes a déclaré le </w:t>
            </w:r>
            <w:r w:rsidRPr="00E6448B">
              <w:rPr>
                <w:rFonts w:eastAsia="Calibri"/>
                <w:sz w:val="20"/>
                <w:lang w:val="fr-CA"/>
              </w:rPr>
              <w:lastRenderedPageBreak/>
              <w:t>demandeur plaideur vexatoire, délivré une ordonnance lui interdisant d’intenter ou de poursuivre quelque procédure que ce soit sans l’autorisation de la Cour et annulé sa déclaration. La Cour d’appel a rejeté l’appel.</w:t>
            </w:r>
          </w:p>
          <w:p w:rsidR="00E05044" w:rsidRPr="00E6448B" w:rsidRDefault="00E05044" w:rsidP="00DD098E">
            <w:pPr>
              <w:jc w:val="both"/>
              <w:rPr>
                <w:rFonts w:eastAsia="Calibri"/>
                <w:sz w:val="20"/>
                <w:lang w:val="fr-CA"/>
              </w:rPr>
            </w:pPr>
          </w:p>
        </w:tc>
      </w:tr>
      <w:tr w:rsidR="00E05044" w:rsidRPr="00A77989" w:rsidTr="00DD098E">
        <w:tblPrEx>
          <w:tblCellMar>
            <w:bottom w:w="0" w:type="dxa"/>
          </w:tblCellMar>
        </w:tblPrEx>
        <w:tc>
          <w:tcPr>
            <w:tcW w:w="2367" w:type="pct"/>
          </w:tcPr>
          <w:p w:rsidR="00E05044" w:rsidRPr="00E6448B" w:rsidRDefault="00E05044" w:rsidP="00DD098E">
            <w:pPr>
              <w:jc w:val="both"/>
              <w:rPr>
                <w:rFonts w:eastAsia="Calibri"/>
                <w:sz w:val="20"/>
                <w:lang w:val="fr-CA"/>
              </w:rPr>
            </w:pPr>
            <w:r w:rsidRPr="00E6448B">
              <w:rPr>
                <w:rFonts w:eastAsia="Calibri"/>
                <w:sz w:val="20"/>
                <w:lang w:val="fr-CA"/>
              </w:rPr>
              <w:lastRenderedPageBreak/>
              <w:t>23 septembre 2010</w:t>
            </w:r>
          </w:p>
          <w:p w:rsidR="00E05044" w:rsidRPr="00E6448B" w:rsidRDefault="00E05044" w:rsidP="00DD098E">
            <w:pPr>
              <w:jc w:val="both"/>
              <w:rPr>
                <w:rFonts w:eastAsia="Calibri"/>
                <w:sz w:val="20"/>
                <w:lang w:val="fr-CA"/>
              </w:rPr>
            </w:pPr>
            <w:r w:rsidRPr="00E6448B">
              <w:rPr>
                <w:rFonts w:eastAsia="Calibri"/>
                <w:sz w:val="20"/>
                <w:lang w:val="fr-CA"/>
              </w:rPr>
              <w:t xml:space="preserve">Cour supérieure de justice de l’Ontario </w:t>
            </w:r>
          </w:p>
          <w:p w:rsidR="00E05044" w:rsidRPr="00E6448B" w:rsidRDefault="00E05044" w:rsidP="00DD098E">
            <w:pPr>
              <w:jc w:val="both"/>
              <w:rPr>
                <w:rFonts w:eastAsia="Calibri"/>
                <w:sz w:val="20"/>
                <w:lang w:val="fr-CA"/>
              </w:rPr>
            </w:pPr>
            <w:r w:rsidRPr="00E6448B">
              <w:rPr>
                <w:rFonts w:eastAsia="Calibri"/>
                <w:sz w:val="20"/>
                <w:lang w:val="fr-CA"/>
              </w:rPr>
              <w:t xml:space="preserve">(Juge Mesbur)  </w:t>
            </w:r>
          </w:p>
          <w:p w:rsidR="00E05044" w:rsidRPr="00E6448B" w:rsidRDefault="00E05044" w:rsidP="00DD098E">
            <w:pPr>
              <w:jc w:val="both"/>
              <w:rPr>
                <w:rFonts w:eastAsia="Calibri"/>
                <w:sz w:val="20"/>
                <w:lang w:val="fr-CA"/>
              </w:rPr>
            </w:pPr>
          </w:p>
        </w:tc>
        <w:tc>
          <w:tcPr>
            <w:tcW w:w="267" w:type="pct"/>
          </w:tcPr>
          <w:p w:rsidR="00E05044" w:rsidRPr="00E6448B" w:rsidRDefault="00E05044" w:rsidP="00DD098E">
            <w:pPr>
              <w:jc w:val="both"/>
              <w:rPr>
                <w:rFonts w:eastAsia="Calibri"/>
                <w:sz w:val="20"/>
                <w:lang w:val="fr-CA"/>
              </w:rPr>
            </w:pPr>
          </w:p>
        </w:tc>
        <w:tc>
          <w:tcPr>
            <w:tcW w:w="2366" w:type="pct"/>
          </w:tcPr>
          <w:p w:rsidR="00E05044" w:rsidRPr="00E6448B" w:rsidRDefault="00E05044" w:rsidP="00DD098E">
            <w:pPr>
              <w:jc w:val="both"/>
              <w:rPr>
                <w:rFonts w:eastAsia="Calibri"/>
                <w:sz w:val="20"/>
                <w:lang w:val="fr-CA"/>
              </w:rPr>
            </w:pPr>
            <w:r w:rsidRPr="00E6448B">
              <w:rPr>
                <w:rFonts w:eastAsia="Calibri"/>
                <w:sz w:val="20"/>
                <w:lang w:val="fr-CA"/>
              </w:rPr>
              <w:t>Demandeur déclaré plaideur vexatoire, demande radiée; ordonnance interdisant au demandeur d’intenter ou de poursuivre quelque procédure que ce soit en Ontario sans l’autorisation de la cour</w:t>
            </w:r>
          </w:p>
          <w:p w:rsidR="00E05044" w:rsidRPr="00E6448B" w:rsidRDefault="00E05044" w:rsidP="00DD098E">
            <w:pPr>
              <w:jc w:val="both"/>
              <w:rPr>
                <w:rFonts w:eastAsia="Calibri"/>
                <w:sz w:val="20"/>
                <w:lang w:val="fr-CA"/>
              </w:rPr>
            </w:pPr>
          </w:p>
        </w:tc>
      </w:tr>
      <w:tr w:rsidR="00E05044" w:rsidRPr="00E6448B" w:rsidTr="00BA6730">
        <w:tblPrEx>
          <w:tblCellMar>
            <w:bottom w:w="0" w:type="dxa"/>
          </w:tblCellMar>
        </w:tblPrEx>
        <w:trPr>
          <w:cantSplit/>
        </w:trPr>
        <w:tc>
          <w:tcPr>
            <w:tcW w:w="2367" w:type="pct"/>
          </w:tcPr>
          <w:p w:rsidR="00E05044" w:rsidRPr="00E6448B" w:rsidRDefault="00E05044" w:rsidP="00DD098E">
            <w:pPr>
              <w:jc w:val="both"/>
              <w:rPr>
                <w:rFonts w:eastAsia="Calibri"/>
                <w:sz w:val="20"/>
                <w:lang w:val="fr-CA"/>
              </w:rPr>
            </w:pPr>
            <w:r w:rsidRPr="00E6448B">
              <w:rPr>
                <w:rFonts w:eastAsia="Calibri"/>
                <w:sz w:val="20"/>
                <w:lang w:val="fr-CA"/>
              </w:rPr>
              <w:t>4 mars 2011</w:t>
            </w:r>
          </w:p>
          <w:p w:rsidR="00E05044" w:rsidRPr="00E6448B" w:rsidRDefault="00E05044" w:rsidP="00DD098E">
            <w:pPr>
              <w:jc w:val="both"/>
              <w:rPr>
                <w:rFonts w:eastAsia="Calibri"/>
                <w:sz w:val="20"/>
                <w:lang w:val="fr-CA"/>
              </w:rPr>
            </w:pPr>
            <w:r w:rsidRPr="00E6448B">
              <w:rPr>
                <w:rFonts w:eastAsia="Calibri"/>
                <w:sz w:val="20"/>
                <w:lang w:val="fr-CA"/>
              </w:rPr>
              <w:t>Cour d’appel de l’Ontario</w:t>
            </w:r>
          </w:p>
          <w:p w:rsidR="00E05044" w:rsidRPr="00E6448B" w:rsidRDefault="00E05044" w:rsidP="00DD098E">
            <w:pPr>
              <w:jc w:val="both"/>
              <w:rPr>
                <w:rFonts w:eastAsia="Calibri"/>
                <w:sz w:val="20"/>
                <w:lang w:val="fr-CA"/>
              </w:rPr>
            </w:pPr>
            <w:r w:rsidRPr="00E6448B">
              <w:rPr>
                <w:rFonts w:eastAsia="Calibri"/>
                <w:sz w:val="20"/>
                <w:lang w:val="fr-CA"/>
              </w:rPr>
              <w:t xml:space="preserve">(Juges MacPherson, Rouleau et Epstein) </w:t>
            </w:r>
          </w:p>
          <w:p w:rsidR="00E05044" w:rsidRPr="00E6448B" w:rsidRDefault="00E05044" w:rsidP="00DD098E">
            <w:pPr>
              <w:jc w:val="both"/>
              <w:rPr>
                <w:rFonts w:eastAsia="Calibri"/>
                <w:sz w:val="20"/>
                <w:lang w:val="fr-CA"/>
              </w:rPr>
            </w:pPr>
            <w:r w:rsidRPr="00E6448B">
              <w:rPr>
                <w:rFonts w:eastAsia="Calibri"/>
                <w:sz w:val="20"/>
                <w:lang w:val="fr-CA"/>
              </w:rPr>
              <w:t>2011 ONCA 196</w:t>
            </w:r>
          </w:p>
          <w:p w:rsidR="00E05044" w:rsidRPr="00E6448B" w:rsidRDefault="00E05044" w:rsidP="00DD098E">
            <w:pPr>
              <w:jc w:val="both"/>
              <w:rPr>
                <w:rFonts w:eastAsia="Calibri"/>
                <w:sz w:val="20"/>
                <w:lang w:val="fr-CA"/>
              </w:rPr>
            </w:pPr>
            <w:r w:rsidRPr="00E6448B">
              <w:rPr>
                <w:rFonts w:eastAsia="Calibri"/>
                <w:sz w:val="20"/>
                <w:lang w:val="fr-CA"/>
              </w:rPr>
              <w:t>M39387/M39512/C52721</w:t>
            </w:r>
          </w:p>
          <w:p w:rsidR="00E05044" w:rsidRPr="00E6448B" w:rsidRDefault="00E05044" w:rsidP="00DD098E">
            <w:pPr>
              <w:jc w:val="both"/>
              <w:rPr>
                <w:rFonts w:eastAsia="Calibri"/>
                <w:sz w:val="20"/>
                <w:lang w:val="fr-CA"/>
              </w:rPr>
            </w:pPr>
          </w:p>
        </w:tc>
        <w:tc>
          <w:tcPr>
            <w:tcW w:w="267" w:type="pct"/>
          </w:tcPr>
          <w:p w:rsidR="00E05044" w:rsidRPr="00E6448B" w:rsidRDefault="00E05044" w:rsidP="00DD098E">
            <w:pPr>
              <w:jc w:val="both"/>
              <w:rPr>
                <w:rFonts w:eastAsia="Calibri"/>
                <w:sz w:val="20"/>
                <w:lang w:val="fr-CA"/>
              </w:rPr>
            </w:pPr>
          </w:p>
        </w:tc>
        <w:tc>
          <w:tcPr>
            <w:tcW w:w="2366" w:type="pct"/>
          </w:tcPr>
          <w:p w:rsidR="00E05044" w:rsidRPr="00E6448B" w:rsidRDefault="00E05044" w:rsidP="00DD098E">
            <w:pPr>
              <w:jc w:val="both"/>
              <w:rPr>
                <w:rFonts w:eastAsia="Calibri"/>
                <w:sz w:val="20"/>
                <w:lang w:val="fr-CA"/>
              </w:rPr>
            </w:pPr>
            <w:r w:rsidRPr="00E6448B">
              <w:rPr>
                <w:rFonts w:eastAsia="Calibri"/>
                <w:sz w:val="20"/>
                <w:lang w:val="fr-CA"/>
              </w:rPr>
              <w:t>Appel rejeté</w:t>
            </w:r>
          </w:p>
          <w:p w:rsidR="00E05044" w:rsidRPr="00E6448B" w:rsidRDefault="00E05044" w:rsidP="00DD098E">
            <w:pPr>
              <w:jc w:val="both"/>
              <w:rPr>
                <w:rFonts w:eastAsia="Calibri"/>
                <w:sz w:val="20"/>
                <w:lang w:val="fr-CA"/>
              </w:rPr>
            </w:pPr>
          </w:p>
        </w:tc>
      </w:tr>
      <w:tr w:rsidR="00E05044" w:rsidRPr="00E6448B" w:rsidTr="00BA6730">
        <w:tblPrEx>
          <w:tblCellMar>
            <w:bottom w:w="0" w:type="dxa"/>
          </w:tblCellMar>
        </w:tblPrEx>
        <w:trPr>
          <w:cantSplit/>
        </w:trPr>
        <w:tc>
          <w:tcPr>
            <w:tcW w:w="2367" w:type="pct"/>
          </w:tcPr>
          <w:p w:rsidR="00E05044" w:rsidRPr="00E6448B" w:rsidRDefault="00E05044" w:rsidP="00DD098E">
            <w:pPr>
              <w:jc w:val="both"/>
              <w:rPr>
                <w:rFonts w:eastAsia="Calibri"/>
                <w:sz w:val="20"/>
                <w:lang w:val="fr-CA"/>
              </w:rPr>
            </w:pPr>
            <w:r w:rsidRPr="00E6448B">
              <w:rPr>
                <w:rFonts w:eastAsia="Calibri"/>
                <w:sz w:val="20"/>
                <w:lang w:val="fr-CA"/>
              </w:rPr>
              <w:t>7 avril 2011</w:t>
            </w:r>
          </w:p>
          <w:p w:rsidR="00E05044" w:rsidRPr="00E6448B" w:rsidRDefault="00E05044" w:rsidP="00DD098E">
            <w:pPr>
              <w:jc w:val="both"/>
              <w:rPr>
                <w:rFonts w:eastAsia="Calibri"/>
                <w:sz w:val="20"/>
                <w:lang w:val="fr-CA"/>
              </w:rPr>
            </w:pPr>
            <w:r w:rsidRPr="00E6448B">
              <w:rPr>
                <w:rFonts w:eastAsia="Calibri"/>
                <w:sz w:val="20"/>
                <w:lang w:val="fr-CA"/>
              </w:rPr>
              <w:t xml:space="preserve">Cour suprême du Canada </w:t>
            </w:r>
          </w:p>
          <w:p w:rsidR="00E05044" w:rsidRPr="00E6448B" w:rsidRDefault="00E05044" w:rsidP="00DD098E">
            <w:pPr>
              <w:jc w:val="both"/>
              <w:rPr>
                <w:rFonts w:eastAsia="Calibri"/>
                <w:sz w:val="20"/>
                <w:lang w:val="fr-CA"/>
              </w:rPr>
            </w:pPr>
          </w:p>
        </w:tc>
        <w:tc>
          <w:tcPr>
            <w:tcW w:w="267" w:type="pct"/>
          </w:tcPr>
          <w:p w:rsidR="00E05044" w:rsidRPr="00E6448B" w:rsidRDefault="00E05044" w:rsidP="00DD098E">
            <w:pPr>
              <w:jc w:val="both"/>
              <w:rPr>
                <w:rFonts w:eastAsia="Calibri"/>
                <w:sz w:val="20"/>
                <w:lang w:val="fr-CA"/>
              </w:rPr>
            </w:pPr>
          </w:p>
        </w:tc>
        <w:tc>
          <w:tcPr>
            <w:tcW w:w="2366" w:type="pct"/>
          </w:tcPr>
          <w:p w:rsidR="00E05044" w:rsidRPr="00E6448B" w:rsidRDefault="00E05044" w:rsidP="00DD098E">
            <w:pPr>
              <w:jc w:val="both"/>
              <w:rPr>
                <w:rFonts w:eastAsia="Calibri"/>
                <w:sz w:val="20"/>
                <w:lang w:val="fr-CA"/>
              </w:rPr>
            </w:pPr>
            <w:r w:rsidRPr="00E6448B">
              <w:rPr>
                <w:rFonts w:eastAsia="Calibri"/>
                <w:sz w:val="20"/>
                <w:lang w:val="fr-CA"/>
              </w:rPr>
              <w:t>Demande d’autorisation d’appel, déposée</w:t>
            </w:r>
          </w:p>
          <w:p w:rsidR="00E05044" w:rsidRPr="00E6448B" w:rsidRDefault="00E05044" w:rsidP="00DD098E">
            <w:pPr>
              <w:jc w:val="both"/>
              <w:rPr>
                <w:rFonts w:eastAsia="Calibri"/>
                <w:sz w:val="20"/>
                <w:lang w:val="fr-CA"/>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63"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96EBF" w:rsidRPr="00396EBF" w:rsidTr="009C7281">
        <w:trPr>
          <w:cantSplit/>
        </w:trPr>
        <w:tc>
          <w:tcPr>
            <w:tcW w:w="1458" w:type="dxa"/>
          </w:tcPr>
          <w:p w:rsidR="00396EBF" w:rsidRPr="00396EBF" w:rsidRDefault="00396EBF" w:rsidP="009C7281">
            <w:pPr>
              <w:rPr>
                <w:rFonts w:cs="Times New Roman"/>
                <w:sz w:val="20"/>
                <w:szCs w:val="20"/>
              </w:rPr>
            </w:pPr>
            <w:r w:rsidRPr="00396EBF">
              <w:rPr>
                <w:rStyle w:val="SCCFileNumberChar"/>
                <w:sz w:val="20"/>
                <w:szCs w:val="20"/>
              </w:rPr>
              <w:t>34193</w:t>
            </w:r>
          </w:p>
          <w:p w:rsidR="00396EBF" w:rsidRPr="00396EBF" w:rsidRDefault="00396EBF" w:rsidP="009C7281">
            <w:pPr>
              <w:rPr>
                <w:rFonts w:cs="Times New Roman"/>
                <w:b/>
                <w:sz w:val="20"/>
                <w:szCs w:val="20"/>
                <w:lang w:val="fr-CA"/>
              </w:rPr>
            </w:pPr>
          </w:p>
        </w:tc>
        <w:tc>
          <w:tcPr>
            <w:tcW w:w="8118" w:type="dxa"/>
          </w:tcPr>
          <w:p w:rsidR="00396EBF" w:rsidRPr="00396EBF" w:rsidRDefault="00396EBF" w:rsidP="009C7281">
            <w:pPr>
              <w:rPr>
                <w:rFonts w:cs="Times New Roman"/>
                <w:sz w:val="20"/>
                <w:szCs w:val="20"/>
              </w:rPr>
            </w:pPr>
            <w:r w:rsidRPr="00396EBF">
              <w:rPr>
                <w:rStyle w:val="SCCLsocChar"/>
                <w:rFonts w:cs="Times New Roman"/>
                <w:sz w:val="20"/>
                <w:szCs w:val="20"/>
                <w:lang w:val="en-CA"/>
              </w:rPr>
              <w:t>Randall Richard Potts v. Her Majesty the Queen</w:t>
            </w:r>
            <w:r w:rsidRPr="00396EBF">
              <w:rPr>
                <w:rFonts w:cs="Times New Roman"/>
                <w:sz w:val="20"/>
                <w:szCs w:val="20"/>
              </w:rPr>
              <w:t xml:space="preserve"> (B.C.) (Criminal) (By Leave)</w:t>
            </w:r>
          </w:p>
          <w:p w:rsidR="00396EBF" w:rsidRPr="00396EBF" w:rsidRDefault="00396EBF" w:rsidP="009C7281">
            <w:pPr>
              <w:rPr>
                <w:rFonts w:cs="Times New Roman"/>
                <w:sz w:val="20"/>
                <w:szCs w:val="20"/>
              </w:rPr>
            </w:pPr>
          </w:p>
        </w:tc>
      </w:tr>
      <w:tr w:rsidR="00396EBF" w:rsidRPr="00396EBF" w:rsidTr="009C7281">
        <w:trPr>
          <w:cantSplit/>
        </w:trPr>
        <w:tc>
          <w:tcPr>
            <w:tcW w:w="1458" w:type="dxa"/>
          </w:tcPr>
          <w:p w:rsidR="00396EBF" w:rsidRPr="00396EBF" w:rsidRDefault="00396EBF" w:rsidP="009C7281">
            <w:pPr>
              <w:rPr>
                <w:rFonts w:cs="Times New Roman"/>
                <w:sz w:val="20"/>
                <w:szCs w:val="20"/>
              </w:rPr>
            </w:pPr>
            <w:r w:rsidRPr="00396EBF">
              <w:rPr>
                <w:rFonts w:cs="Times New Roman"/>
                <w:sz w:val="20"/>
                <w:szCs w:val="20"/>
              </w:rPr>
              <w:t>Coram :</w:t>
            </w:r>
          </w:p>
        </w:tc>
        <w:tc>
          <w:tcPr>
            <w:tcW w:w="8118" w:type="dxa"/>
          </w:tcPr>
          <w:p w:rsidR="00396EBF" w:rsidRPr="00396EBF" w:rsidRDefault="00396EBF" w:rsidP="009C7281">
            <w:pPr>
              <w:rPr>
                <w:rFonts w:cs="Times New Roman"/>
                <w:sz w:val="20"/>
                <w:szCs w:val="20"/>
              </w:rPr>
            </w:pPr>
            <w:r w:rsidRPr="00396EBF">
              <w:rPr>
                <w:rStyle w:val="SCCCoramChar"/>
                <w:rFonts w:cs="Times New Roman"/>
                <w:sz w:val="20"/>
                <w:szCs w:val="20"/>
                <w:lang w:val="en-CA"/>
              </w:rPr>
              <w:t>McLachlin C.J. and Deschamps and Charron JJ.</w:t>
            </w:r>
          </w:p>
          <w:p w:rsidR="00396EBF" w:rsidRPr="00396EBF" w:rsidRDefault="00396EBF" w:rsidP="009C7281">
            <w:pPr>
              <w:rPr>
                <w:rFonts w:cs="Times New Roman"/>
                <w:sz w:val="20"/>
                <w:szCs w:val="20"/>
                <w:u w:val="single"/>
              </w:rPr>
            </w:pPr>
          </w:p>
        </w:tc>
      </w:tr>
      <w:tr w:rsidR="00396EBF" w:rsidRPr="00396EBF" w:rsidTr="009C7281">
        <w:trPr>
          <w:cantSplit/>
        </w:trPr>
        <w:tc>
          <w:tcPr>
            <w:tcW w:w="9576" w:type="dxa"/>
            <w:gridSpan w:val="2"/>
          </w:tcPr>
          <w:p w:rsidR="00396EBF" w:rsidRPr="00396EBF" w:rsidRDefault="00396EBF" w:rsidP="009C7281">
            <w:pPr>
              <w:pStyle w:val="SCCShortJudgment"/>
              <w:rPr>
                <w:rFonts w:cs="Times New Roman"/>
                <w:szCs w:val="20"/>
              </w:rPr>
            </w:pPr>
            <w:r w:rsidRPr="00396EBF">
              <w:rPr>
                <w:rFonts w:cs="Times New Roman"/>
                <w:szCs w:val="20"/>
              </w:rPr>
              <w:t>The application for leave to appeal from the judgment of the Court of Appeal for British Columbia (Vancouver), Number CA037698, 2011 BCCA 55, dated February 10, 2011, is granted without costs.</w:t>
            </w:r>
          </w:p>
          <w:p w:rsidR="00396EBF" w:rsidRPr="00396EBF" w:rsidRDefault="00396EBF" w:rsidP="009C7281">
            <w:pPr>
              <w:pStyle w:val="SCCShortJudgment"/>
              <w:ind w:firstLine="0"/>
              <w:rPr>
                <w:rFonts w:cs="Times New Roman"/>
                <w:szCs w:val="20"/>
              </w:rPr>
            </w:pPr>
          </w:p>
          <w:p w:rsidR="00396EBF" w:rsidRPr="00396EBF" w:rsidRDefault="00396EBF" w:rsidP="00396EBF">
            <w:pPr>
              <w:pStyle w:val="SCCShortJudgment"/>
              <w:rPr>
                <w:rFonts w:cs="Times New Roman"/>
                <w:szCs w:val="20"/>
                <w:lang w:val="fr-CA"/>
              </w:rPr>
            </w:pPr>
            <w:r w:rsidRPr="00396EBF">
              <w:rPr>
                <w:rFonts w:cs="Times New Roman"/>
                <w:szCs w:val="20"/>
                <w:lang w:val="fr-CA"/>
              </w:rPr>
              <w:t>La demande d’autorisation d’appel de l’arrêt de la Cour d’appel de la Colombie-Britannique (Vancouver), numéro CA037698, 2011 BCCA 55, daté du 10 février 2011, est accordée sans dépens.</w:t>
            </w:r>
          </w:p>
        </w:tc>
      </w:tr>
    </w:tbl>
    <w:p w:rsidR="00396EBF" w:rsidRPr="00396EBF" w:rsidRDefault="00396EBF"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5000" w:type="pct"/>
        <w:tblLayout w:type="fixed"/>
        <w:tblCellMar>
          <w:left w:w="0" w:type="dxa"/>
          <w:bottom w:w="99" w:type="dxa"/>
          <w:right w:w="0" w:type="dxa"/>
        </w:tblCellMar>
        <w:tblLook w:val="04A0"/>
      </w:tblPr>
      <w:tblGrid>
        <w:gridCol w:w="4578"/>
        <w:gridCol w:w="460"/>
        <w:gridCol w:w="4581"/>
      </w:tblGrid>
      <w:tr w:rsidR="00E05044" w:rsidRPr="00E6448B" w:rsidTr="00DD098E">
        <w:tc>
          <w:tcPr>
            <w:tcW w:w="5000" w:type="pct"/>
            <w:gridSpan w:val="3"/>
          </w:tcPr>
          <w:p w:rsidR="00E05044" w:rsidRPr="00E6448B" w:rsidRDefault="00E05044" w:rsidP="00DD098E">
            <w:pPr>
              <w:jc w:val="both"/>
              <w:rPr>
                <w:sz w:val="20"/>
              </w:rPr>
            </w:pPr>
            <w:r w:rsidRPr="00E6448B">
              <w:rPr>
                <w:sz w:val="20"/>
              </w:rPr>
              <w:t>Criminal Law — Trial — Pre</w:t>
            </w:r>
            <w:r w:rsidRPr="00E6448B">
              <w:rPr>
                <w:sz w:val="20"/>
              </w:rPr>
              <w:noBreakHyphen/>
              <w:t>trial proceedings — Issue estoppel — Whether trial judge erred in applying balance of probabilities standard of proof to decide whether requirements of issue estoppel were satisfied — Whether Court of Appeal erred in determining that the erroneous application of a legal standard might reasonably have had a material bearing on the acquittal — Whether determining issue estoppel is a question of law or fact.</w:t>
            </w:r>
          </w:p>
          <w:p w:rsidR="00E05044" w:rsidRPr="00E6448B" w:rsidRDefault="00E05044" w:rsidP="00DD098E">
            <w:pPr>
              <w:rPr>
                <w:sz w:val="20"/>
              </w:rPr>
            </w:pPr>
          </w:p>
        </w:tc>
      </w:tr>
      <w:tr w:rsidR="00E05044" w:rsidRPr="00E6448B" w:rsidTr="00DD098E">
        <w:tc>
          <w:tcPr>
            <w:tcW w:w="5000" w:type="pct"/>
            <w:gridSpan w:val="3"/>
          </w:tcPr>
          <w:p w:rsidR="00E05044" w:rsidRPr="00E6448B" w:rsidRDefault="00E05044" w:rsidP="00DD098E">
            <w:pPr>
              <w:jc w:val="both"/>
              <w:rPr>
                <w:sz w:val="20"/>
              </w:rPr>
            </w:pPr>
            <w:r w:rsidRPr="00E6448B">
              <w:rPr>
                <w:sz w:val="20"/>
              </w:rPr>
              <w:t xml:space="preserve">The applicant was charged with offences under the </w:t>
            </w:r>
            <w:r w:rsidRPr="00E6448B">
              <w:rPr>
                <w:i/>
                <w:sz w:val="20"/>
              </w:rPr>
              <w:t>Criminal Code</w:t>
            </w:r>
            <w:r w:rsidRPr="00E6448B">
              <w:rPr>
                <w:sz w:val="20"/>
              </w:rPr>
              <w:t xml:space="preserve"> and the</w:t>
            </w:r>
            <w:r w:rsidRPr="00E6448B">
              <w:rPr>
                <w:i/>
                <w:sz w:val="20"/>
              </w:rPr>
              <w:t xml:space="preserve"> Controlled Drugs and Substances Act</w:t>
            </w:r>
            <w:r w:rsidRPr="00E6448B">
              <w:rPr>
                <w:sz w:val="20"/>
              </w:rPr>
              <w:t xml:space="preserve">.  The </w:t>
            </w:r>
            <w:r w:rsidRPr="00E6448B">
              <w:rPr>
                <w:i/>
                <w:sz w:val="20"/>
              </w:rPr>
              <w:t>Criminal Code</w:t>
            </w:r>
            <w:r w:rsidRPr="00E6448B">
              <w:rPr>
                <w:sz w:val="20"/>
              </w:rPr>
              <w:t xml:space="preserve"> offences were prosecuted before a jury.  The jury acquitted the applicant of criminal organization offences that required in part proof that the offences were committed for the benefit of, and at the direction of, the East End Charter of the Hells Angels.  The applicant was sentenced in the </w:t>
            </w:r>
            <w:r w:rsidRPr="00E6448B">
              <w:rPr>
                <w:i/>
                <w:sz w:val="20"/>
              </w:rPr>
              <w:t xml:space="preserve">Criminal </w:t>
            </w:r>
            <w:r w:rsidRPr="00E6448B">
              <w:rPr>
                <w:sz w:val="20"/>
              </w:rPr>
              <w:t>Code proceedings on convictions for other offences.  A trial of the</w:t>
            </w:r>
            <w:r w:rsidRPr="00E6448B">
              <w:rPr>
                <w:i/>
                <w:sz w:val="20"/>
              </w:rPr>
              <w:t xml:space="preserve"> Controlled Drugs and Substances Act</w:t>
            </w:r>
            <w:r w:rsidRPr="00E6448B">
              <w:rPr>
                <w:sz w:val="20"/>
              </w:rPr>
              <w:t xml:space="preserve"> charges proceeded and included a charge of instructing the commission of the production and trafficking of methamphetamine for the benefit of, and at the direction of, the East End Charter of the Hells Angels.  In a pre</w:t>
            </w:r>
            <w:r w:rsidRPr="00E6448B">
              <w:rPr>
                <w:sz w:val="20"/>
              </w:rPr>
              <w:noBreakHyphen/>
              <w:t xml:space="preserve">trial motion, the trial judge acquitted the applicant of the criminal organization offence because the Crown was estopped from leading evidence to prove that the East End Charter of the Hells Angels was a criminal organization by the verdicts and reasons for sentencing in the </w:t>
            </w:r>
            <w:r w:rsidRPr="00E6448B">
              <w:rPr>
                <w:i/>
                <w:sz w:val="20"/>
              </w:rPr>
              <w:t>Criminal Code</w:t>
            </w:r>
            <w:r w:rsidRPr="00E6448B">
              <w:rPr>
                <w:sz w:val="20"/>
              </w:rPr>
              <w:t xml:space="preserve"> proceedings.  The applicant pled guilty to the other charges.</w:t>
            </w:r>
          </w:p>
          <w:p w:rsidR="00E05044" w:rsidRPr="00E6448B" w:rsidRDefault="00E05044" w:rsidP="00DD098E">
            <w:pPr>
              <w:rPr>
                <w:sz w:val="20"/>
              </w:rPr>
            </w:pPr>
          </w:p>
        </w:tc>
      </w:tr>
      <w:tr w:rsidR="00E05044" w:rsidRPr="00E6448B" w:rsidTr="00A73773">
        <w:trPr>
          <w:cantSplit/>
        </w:trPr>
        <w:tc>
          <w:tcPr>
            <w:tcW w:w="2380" w:type="pct"/>
          </w:tcPr>
          <w:p w:rsidR="00E05044" w:rsidRPr="00E6448B" w:rsidRDefault="00E05044" w:rsidP="00DD098E">
            <w:pPr>
              <w:rPr>
                <w:sz w:val="20"/>
              </w:rPr>
            </w:pPr>
            <w:r w:rsidRPr="00E6448B">
              <w:rPr>
                <w:sz w:val="20"/>
              </w:rPr>
              <w:lastRenderedPageBreak/>
              <w:t>November 27, 2009</w:t>
            </w:r>
          </w:p>
          <w:p w:rsidR="00E05044" w:rsidRPr="00E6448B" w:rsidRDefault="00E05044" w:rsidP="00DD098E">
            <w:pPr>
              <w:rPr>
                <w:sz w:val="20"/>
              </w:rPr>
            </w:pPr>
            <w:r w:rsidRPr="00E6448B">
              <w:rPr>
                <w:sz w:val="20"/>
              </w:rPr>
              <w:t>Supreme Court of British Columbia</w:t>
            </w:r>
          </w:p>
          <w:p w:rsidR="00E05044" w:rsidRPr="00E6448B" w:rsidRDefault="00E05044" w:rsidP="00DD098E">
            <w:pPr>
              <w:rPr>
                <w:sz w:val="20"/>
              </w:rPr>
            </w:pPr>
            <w:r w:rsidRPr="00E6448B">
              <w:rPr>
                <w:sz w:val="20"/>
              </w:rPr>
              <w:t xml:space="preserve">(Leask J.) </w:t>
            </w:r>
          </w:p>
          <w:p w:rsidR="00E05044" w:rsidRPr="00E6448B" w:rsidRDefault="00E05044" w:rsidP="00DD098E">
            <w:pPr>
              <w:rPr>
                <w:sz w:val="20"/>
              </w:rPr>
            </w:pPr>
          </w:p>
        </w:tc>
        <w:tc>
          <w:tcPr>
            <w:tcW w:w="239" w:type="pct"/>
          </w:tcPr>
          <w:p w:rsidR="00E05044" w:rsidRPr="00E6448B" w:rsidRDefault="00E05044" w:rsidP="00DD098E">
            <w:pPr>
              <w:rPr>
                <w:sz w:val="20"/>
              </w:rPr>
            </w:pPr>
          </w:p>
        </w:tc>
        <w:tc>
          <w:tcPr>
            <w:tcW w:w="2381" w:type="pct"/>
          </w:tcPr>
          <w:p w:rsidR="00E05044" w:rsidRPr="00E6448B" w:rsidRDefault="00E05044" w:rsidP="00DD098E">
            <w:pPr>
              <w:jc w:val="both"/>
              <w:rPr>
                <w:sz w:val="20"/>
              </w:rPr>
            </w:pPr>
            <w:r w:rsidRPr="00E6448B">
              <w:rPr>
                <w:sz w:val="20"/>
              </w:rPr>
              <w:t>Order issued that Crown estopped from leading evidence that the East End Charter of the Hells Angels is a criminal organization and applicant acquitted of criminal organization offence</w:t>
            </w:r>
          </w:p>
          <w:p w:rsidR="00E05044" w:rsidRPr="00E6448B" w:rsidRDefault="00E05044" w:rsidP="00DD098E">
            <w:pPr>
              <w:rPr>
                <w:sz w:val="20"/>
              </w:rPr>
            </w:pPr>
          </w:p>
        </w:tc>
      </w:tr>
      <w:tr w:rsidR="00E05044" w:rsidRPr="00E6448B" w:rsidTr="00A73773">
        <w:trPr>
          <w:cantSplit/>
        </w:trPr>
        <w:tc>
          <w:tcPr>
            <w:tcW w:w="2380" w:type="pct"/>
          </w:tcPr>
          <w:p w:rsidR="00E05044" w:rsidRPr="00E6448B" w:rsidRDefault="00E05044" w:rsidP="00DD098E">
            <w:pPr>
              <w:rPr>
                <w:sz w:val="20"/>
              </w:rPr>
            </w:pPr>
            <w:r w:rsidRPr="00E6448B">
              <w:rPr>
                <w:sz w:val="20"/>
              </w:rPr>
              <w:t xml:space="preserve">December 19, 2009 </w:t>
            </w:r>
          </w:p>
          <w:p w:rsidR="00E05044" w:rsidRPr="00E6448B" w:rsidRDefault="00E05044" w:rsidP="00DD098E">
            <w:pPr>
              <w:rPr>
                <w:sz w:val="20"/>
              </w:rPr>
            </w:pPr>
            <w:r w:rsidRPr="00E6448B">
              <w:rPr>
                <w:sz w:val="20"/>
              </w:rPr>
              <w:t>Supreme Court of British Columbia</w:t>
            </w:r>
          </w:p>
          <w:p w:rsidR="00E05044" w:rsidRPr="00E6448B" w:rsidRDefault="00E05044" w:rsidP="00DD098E">
            <w:pPr>
              <w:rPr>
                <w:sz w:val="20"/>
              </w:rPr>
            </w:pPr>
            <w:r w:rsidRPr="00E6448B">
              <w:rPr>
                <w:sz w:val="20"/>
              </w:rPr>
              <w:t xml:space="preserve">(Leask J.) </w:t>
            </w:r>
          </w:p>
          <w:p w:rsidR="00E05044" w:rsidRPr="00E6448B" w:rsidRDefault="00E05044" w:rsidP="00DD098E">
            <w:pPr>
              <w:rPr>
                <w:sz w:val="20"/>
              </w:rPr>
            </w:pPr>
            <w:r w:rsidRPr="00E6448B">
              <w:rPr>
                <w:sz w:val="20"/>
              </w:rPr>
              <w:t>2010 BCSC 70</w:t>
            </w:r>
          </w:p>
          <w:p w:rsidR="00E05044" w:rsidRPr="00E6448B" w:rsidRDefault="00E05044" w:rsidP="00DD098E">
            <w:pPr>
              <w:rPr>
                <w:sz w:val="20"/>
              </w:rPr>
            </w:pPr>
          </w:p>
        </w:tc>
        <w:tc>
          <w:tcPr>
            <w:tcW w:w="239" w:type="pct"/>
          </w:tcPr>
          <w:p w:rsidR="00E05044" w:rsidRPr="00E6448B" w:rsidRDefault="00E05044" w:rsidP="00DD098E">
            <w:pPr>
              <w:rPr>
                <w:sz w:val="20"/>
              </w:rPr>
            </w:pPr>
          </w:p>
        </w:tc>
        <w:tc>
          <w:tcPr>
            <w:tcW w:w="2381" w:type="pct"/>
          </w:tcPr>
          <w:p w:rsidR="00E05044" w:rsidRPr="00E6448B" w:rsidRDefault="00E05044" w:rsidP="00DD098E">
            <w:pPr>
              <w:jc w:val="both"/>
              <w:rPr>
                <w:sz w:val="20"/>
              </w:rPr>
            </w:pPr>
            <w:r w:rsidRPr="00E6448B">
              <w:rPr>
                <w:sz w:val="20"/>
              </w:rPr>
              <w:t xml:space="preserve">Applicant pleads guilty to counts of conspiracy to produce and traffic in methamphetamine, possession of proceeds of crime and trafficking in cocaine </w:t>
            </w:r>
          </w:p>
          <w:p w:rsidR="00E05044" w:rsidRPr="00E6448B" w:rsidRDefault="00E05044" w:rsidP="00DD098E">
            <w:pPr>
              <w:rPr>
                <w:sz w:val="20"/>
              </w:rPr>
            </w:pPr>
          </w:p>
        </w:tc>
      </w:tr>
      <w:tr w:rsidR="00E05044" w:rsidRPr="00E6448B" w:rsidTr="00A73773">
        <w:trPr>
          <w:cantSplit/>
        </w:trPr>
        <w:tc>
          <w:tcPr>
            <w:tcW w:w="2380" w:type="pct"/>
          </w:tcPr>
          <w:p w:rsidR="00E05044" w:rsidRPr="00E6448B" w:rsidRDefault="00E05044" w:rsidP="00DD098E">
            <w:pPr>
              <w:rPr>
                <w:sz w:val="20"/>
              </w:rPr>
            </w:pPr>
            <w:r w:rsidRPr="00E6448B">
              <w:rPr>
                <w:sz w:val="20"/>
              </w:rPr>
              <w:t>February 10, 2011</w:t>
            </w:r>
          </w:p>
          <w:p w:rsidR="00E05044" w:rsidRPr="00E6448B" w:rsidRDefault="00E05044" w:rsidP="00DD098E">
            <w:pPr>
              <w:rPr>
                <w:sz w:val="20"/>
              </w:rPr>
            </w:pPr>
            <w:r w:rsidRPr="00E6448B">
              <w:rPr>
                <w:sz w:val="20"/>
              </w:rPr>
              <w:t xml:space="preserve">Court of Appeal for British Columbia </w:t>
            </w:r>
          </w:p>
          <w:p w:rsidR="00E05044" w:rsidRPr="00E6448B" w:rsidRDefault="00E05044" w:rsidP="00DD098E">
            <w:pPr>
              <w:rPr>
                <w:sz w:val="20"/>
              </w:rPr>
            </w:pPr>
            <w:r w:rsidRPr="00E6448B">
              <w:rPr>
                <w:sz w:val="20"/>
              </w:rPr>
              <w:t>(Vancouver)</w:t>
            </w:r>
          </w:p>
          <w:p w:rsidR="00E05044" w:rsidRPr="00E6448B" w:rsidRDefault="00E05044" w:rsidP="00DD098E">
            <w:pPr>
              <w:rPr>
                <w:sz w:val="20"/>
              </w:rPr>
            </w:pPr>
            <w:r w:rsidRPr="00E6448B">
              <w:rPr>
                <w:sz w:val="20"/>
              </w:rPr>
              <w:t xml:space="preserve">(Finch, Kirkpatrick, Groberman JJ.A.) </w:t>
            </w:r>
          </w:p>
          <w:p w:rsidR="00E05044" w:rsidRPr="00E6448B" w:rsidRDefault="00E05044" w:rsidP="00DD098E">
            <w:pPr>
              <w:rPr>
                <w:sz w:val="20"/>
              </w:rPr>
            </w:pPr>
          </w:p>
        </w:tc>
        <w:tc>
          <w:tcPr>
            <w:tcW w:w="239" w:type="pct"/>
          </w:tcPr>
          <w:p w:rsidR="00E05044" w:rsidRPr="00E6448B" w:rsidRDefault="00E05044" w:rsidP="00DD098E">
            <w:pPr>
              <w:rPr>
                <w:sz w:val="20"/>
              </w:rPr>
            </w:pPr>
          </w:p>
        </w:tc>
        <w:tc>
          <w:tcPr>
            <w:tcW w:w="2381" w:type="pct"/>
          </w:tcPr>
          <w:p w:rsidR="00E05044" w:rsidRPr="00E6448B" w:rsidRDefault="00E05044" w:rsidP="00DD098E">
            <w:pPr>
              <w:jc w:val="both"/>
              <w:rPr>
                <w:sz w:val="20"/>
              </w:rPr>
            </w:pPr>
            <w:r w:rsidRPr="00E6448B">
              <w:rPr>
                <w:sz w:val="20"/>
              </w:rPr>
              <w:t>Crown’s appeals from acquittal allowed, acquittal set aside and new trial ordered on criminal organization count</w:t>
            </w:r>
          </w:p>
          <w:p w:rsidR="00E05044" w:rsidRPr="00E6448B" w:rsidRDefault="00E05044" w:rsidP="00DD098E">
            <w:pPr>
              <w:rPr>
                <w:sz w:val="20"/>
              </w:rPr>
            </w:pPr>
          </w:p>
        </w:tc>
      </w:tr>
      <w:tr w:rsidR="00E05044" w:rsidRPr="00E6448B" w:rsidTr="00A73773">
        <w:trPr>
          <w:cantSplit/>
        </w:trPr>
        <w:tc>
          <w:tcPr>
            <w:tcW w:w="2380" w:type="pct"/>
          </w:tcPr>
          <w:p w:rsidR="00E05044" w:rsidRPr="00E6448B" w:rsidRDefault="00E05044" w:rsidP="00DD098E">
            <w:pPr>
              <w:rPr>
                <w:sz w:val="20"/>
              </w:rPr>
            </w:pPr>
            <w:r w:rsidRPr="00E6448B">
              <w:rPr>
                <w:sz w:val="20"/>
              </w:rPr>
              <w:t>April 6, 2011</w:t>
            </w:r>
          </w:p>
          <w:p w:rsidR="00E05044" w:rsidRPr="00E6448B" w:rsidRDefault="00E05044" w:rsidP="00DD098E">
            <w:pPr>
              <w:rPr>
                <w:sz w:val="20"/>
              </w:rPr>
            </w:pPr>
            <w:r w:rsidRPr="00E6448B">
              <w:rPr>
                <w:sz w:val="20"/>
              </w:rPr>
              <w:t>Supreme Court of Canada</w:t>
            </w:r>
          </w:p>
        </w:tc>
        <w:tc>
          <w:tcPr>
            <w:tcW w:w="239" w:type="pct"/>
          </w:tcPr>
          <w:p w:rsidR="00E05044" w:rsidRPr="00E6448B" w:rsidRDefault="00E05044" w:rsidP="00DD098E">
            <w:pPr>
              <w:rPr>
                <w:sz w:val="20"/>
              </w:rPr>
            </w:pPr>
          </w:p>
        </w:tc>
        <w:tc>
          <w:tcPr>
            <w:tcW w:w="2381" w:type="pct"/>
          </w:tcPr>
          <w:p w:rsidR="00E05044" w:rsidRPr="00E6448B" w:rsidRDefault="00E05044" w:rsidP="00DD098E">
            <w:pPr>
              <w:rPr>
                <w:sz w:val="20"/>
              </w:rPr>
            </w:pPr>
            <w:r w:rsidRPr="00E6448B">
              <w:rPr>
                <w:sz w:val="20"/>
              </w:rPr>
              <w:t>Application for leave to appeal filed</w:t>
            </w:r>
          </w:p>
          <w:p w:rsidR="00E05044" w:rsidRPr="00E6448B" w:rsidRDefault="00E05044" w:rsidP="00DD098E">
            <w:pPr>
              <w:rPr>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64"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5000" w:type="pct"/>
        <w:tblLayout w:type="fixed"/>
        <w:tblCellMar>
          <w:left w:w="0" w:type="dxa"/>
          <w:bottom w:w="99" w:type="dxa"/>
          <w:right w:w="0" w:type="dxa"/>
        </w:tblCellMar>
        <w:tblLook w:val="00A0"/>
      </w:tblPr>
      <w:tblGrid>
        <w:gridCol w:w="4578"/>
        <w:gridCol w:w="460"/>
        <w:gridCol w:w="4581"/>
      </w:tblGrid>
      <w:tr w:rsidR="00E05044" w:rsidRPr="00A77989" w:rsidTr="00DD098E">
        <w:tc>
          <w:tcPr>
            <w:tcW w:w="5000" w:type="pct"/>
            <w:gridSpan w:val="3"/>
          </w:tcPr>
          <w:p w:rsidR="00E05044" w:rsidRPr="00E6448B" w:rsidRDefault="00E05044" w:rsidP="00DD098E">
            <w:pPr>
              <w:jc w:val="both"/>
              <w:rPr>
                <w:sz w:val="20"/>
                <w:lang w:val="fr-CA"/>
              </w:rPr>
            </w:pPr>
            <w:r w:rsidRPr="00E6448B">
              <w:rPr>
                <w:sz w:val="20"/>
                <w:lang w:val="fr-CA"/>
              </w:rPr>
              <w:t>Droit criminel — Procès — Procédures préliminaires — Préclusion découlant d’une question déjà tranchée — Le juge du procès a</w:t>
            </w:r>
            <w:r w:rsidRPr="00E6448B">
              <w:rPr>
                <w:sz w:val="20"/>
                <w:lang w:val="fr-CA"/>
              </w:rPr>
              <w:noBreakHyphen/>
              <w:t>t</w:t>
            </w:r>
            <w:r w:rsidRPr="00E6448B">
              <w:rPr>
                <w:sz w:val="20"/>
                <w:lang w:val="fr-CA"/>
              </w:rPr>
              <w:noBreakHyphen/>
              <w:t>il eu tort d’appliquer la norme de preuve de la prépondérance des probabilités pour trancher la question de savoir si les conditions de la préclusion découlant d’une question déjà tranchée avaient été remplies? — La Cour d’appel a</w:t>
            </w:r>
            <w:r w:rsidRPr="00E6448B">
              <w:rPr>
                <w:sz w:val="20"/>
                <w:lang w:val="fr-CA"/>
              </w:rPr>
              <w:noBreakHyphen/>
              <w:t>t</w:t>
            </w:r>
            <w:r w:rsidRPr="00E6448B">
              <w:rPr>
                <w:sz w:val="20"/>
                <w:lang w:val="fr-CA"/>
              </w:rPr>
              <w:noBreakHyphen/>
              <w:t>elle eu tort de statuer que l’application erronée d’une norme juridique pouvait vraisemblablement avoir une incidence significative sur le verdict d’acquittement? — La question de savoir s’il y a préclusion découlant d’une question déjà tranchée est</w:t>
            </w:r>
            <w:r w:rsidRPr="00E6448B">
              <w:rPr>
                <w:sz w:val="20"/>
                <w:lang w:val="fr-CA"/>
              </w:rPr>
              <w:noBreakHyphen/>
              <w:t>elle une question de droit ou de fait?</w:t>
            </w:r>
          </w:p>
          <w:p w:rsidR="00E05044" w:rsidRPr="00E6448B" w:rsidRDefault="00E05044" w:rsidP="00DD098E">
            <w:pPr>
              <w:rPr>
                <w:sz w:val="20"/>
                <w:lang w:val="fr-CA"/>
              </w:rPr>
            </w:pPr>
          </w:p>
        </w:tc>
      </w:tr>
      <w:tr w:rsidR="00E05044" w:rsidRPr="00E6448B" w:rsidTr="00DD098E">
        <w:tc>
          <w:tcPr>
            <w:tcW w:w="5000" w:type="pct"/>
            <w:gridSpan w:val="3"/>
          </w:tcPr>
          <w:p w:rsidR="00E05044" w:rsidRPr="00E6448B" w:rsidRDefault="00E05044" w:rsidP="00DD098E">
            <w:pPr>
              <w:jc w:val="both"/>
              <w:rPr>
                <w:sz w:val="20"/>
                <w:lang w:val="fr-CA"/>
              </w:rPr>
            </w:pPr>
            <w:r w:rsidRPr="00E6448B">
              <w:rPr>
                <w:sz w:val="20"/>
                <w:lang w:val="fr-CA"/>
              </w:rPr>
              <w:t xml:space="preserve">Le demandeur a été accusé d’infractions prévues dans le </w:t>
            </w:r>
            <w:r w:rsidRPr="00E6448B">
              <w:rPr>
                <w:i/>
                <w:sz w:val="20"/>
                <w:lang w:val="fr-CA"/>
              </w:rPr>
              <w:t>Code criminel</w:t>
            </w:r>
            <w:r w:rsidRPr="00E6448B">
              <w:rPr>
                <w:sz w:val="20"/>
                <w:lang w:val="fr-CA"/>
              </w:rPr>
              <w:t xml:space="preserve"> et dans la</w:t>
            </w:r>
            <w:r w:rsidRPr="00E6448B">
              <w:rPr>
                <w:i/>
                <w:sz w:val="20"/>
                <w:lang w:val="fr-CA"/>
              </w:rPr>
              <w:t xml:space="preserve"> Loi réglementant certaines drogues et autres substances</w:t>
            </w:r>
            <w:r w:rsidRPr="00E6448B">
              <w:rPr>
                <w:sz w:val="20"/>
                <w:lang w:val="fr-CA"/>
              </w:rPr>
              <w:t xml:space="preserve">.  La poursuite relative aux infractions prévues dans le </w:t>
            </w:r>
            <w:r w:rsidRPr="00E6448B">
              <w:rPr>
                <w:i/>
                <w:sz w:val="20"/>
                <w:lang w:val="fr-CA"/>
              </w:rPr>
              <w:t>Code criminel</w:t>
            </w:r>
            <w:r w:rsidRPr="00E6448B">
              <w:rPr>
                <w:sz w:val="20"/>
                <w:lang w:val="fr-CA"/>
              </w:rPr>
              <w:t xml:space="preserve"> a été instruite devant un jury.  Le jury a acquitté le demandeur relativement aux infractions d’organisation criminelle qui nécessitaient en partie une preuve comme quoi les infractions avaient été commises au profit et sous la direction de l’East End Charter des Hells Angels.  Le demandeur a été condamné à une peine au terme de l’instruction fondée sur le</w:t>
            </w:r>
            <w:r w:rsidRPr="00E6448B">
              <w:rPr>
                <w:i/>
                <w:sz w:val="20"/>
                <w:lang w:val="fr-CA"/>
              </w:rPr>
              <w:t xml:space="preserve"> Code criminel</w:t>
            </w:r>
            <w:r w:rsidRPr="00E6448B">
              <w:rPr>
                <w:sz w:val="20"/>
                <w:lang w:val="fr-CA"/>
              </w:rPr>
              <w:t xml:space="preserve"> relativement à des déclarations de culpabilité pour d’autres infractions.  Un procès portant sur des accusations en vertu de la</w:t>
            </w:r>
            <w:r w:rsidRPr="00E6448B">
              <w:rPr>
                <w:i/>
                <w:sz w:val="20"/>
                <w:lang w:val="fr-CA"/>
              </w:rPr>
              <w:t xml:space="preserve"> Loi réglementant certaines drogues et autres substances</w:t>
            </w:r>
            <w:r w:rsidRPr="00E6448B">
              <w:rPr>
                <w:sz w:val="20"/>
                <w:lang w:val="fr-CA"/>
              </w:rPr>
              <w:t xml:space="preserve"> a eu lieu et comprenait une accusation d’avoir ordonné la commission de la production et du trafic de méthamphétamine au profit et sous la direction de l’East End Charter des Hells Angels.  Saisi d’une requête préalable au procès, le juge du procès a acquitté le demandeur relativement à l’infraction d’organisation criminelle parce que le ministère public était préclus de présenter des éléments de preuve visant à prouver que l’East End Charter des Hells Angels était une organisation criminelle par les verdicts et les motifs de détermination de la peine dans l’instance fondée sur le</w:t>
            </w:r>
            <w:r w:rsidRPr="00E6448B">
              <w:rPr>
                <w:i/>
                <w:sz w:val="20"/>
                <w:lang w:val="fr-CA"/>
              </w:rPr>
              <w:t xml:space="preserve"> Code criminel</w:t>
            </w:r>
            <w:r w:rsidRPr="00E6448B">
              <w:rPr>
                <w:sz w:val="20"/>
                <w:lang w:val="fr-CA"/>
              </w:rPr>
              <w:t>.  Le demandeur a plaidé coupable relativement aux autres accusations.</w:t>
            </w:r>
          </w:p>
          <w:p w:rsidR="00E05044" w:rsidRPr="00E6448B" w:rsidRDefault="00E05044" w:rsidP="00DD098E">
            <w:pPr>
              <w:rPr>
                <w:sz w:val="20"/>
                <w:lang w:val="fr-CA"/>
              </w:rPr>
            </w:pPr>
          </w:p>
        </w:tc>
      </w:tr>
      <w:tr w:rsidR="00E05044" w:rsidRPr="00A77989" w:rsidTr="00DD098E">
        <w:tc>
          <w:tcPr>
            <w:tcW w:w="2380" w:type="pct"/>
          </w:tcPr>
          <w:p w:rsidR="00E05044" w:rsidRPr="00E6448B" w:rsidRDefault="00E05044" w:rsidP="00DD098E">
            <w:pPr>
              <w:rPr>
                <w:sz w:val="20"/>
                <w:lang w:val="fr-CA"/>
              </w:rPr>
            </w:pPr>
            <w:r w:rsidRPr="00E6448B">
              <w:rPr>
                <w:sz w:val="20"/>
                <w:lang w:val="fr-CA"/>
              </w:rPr>
              <w:t>27 novembre 2009</w:t>
            </w:r>
          </w:p>
          <w:p w:rsidR="00E05044" w:rsidRPr="00E6448B" w:rsidRDefault="00E05044" w:rsidP="00DD098E">
            <w:pPr>
              <w:rPr>
                <w:sz w:val="20"/>
                <w:lang w:val="fr-CA"/>
              </w:rPr>
            </w:pPr>
            <w:r w:rsidRPr="00E6448B">
              <w:rPr>
                <w:sz w:val="20"/>
                <w:lang w:val="fr-CA"/>
              </w:rPr>
              <w:t>Cour suprême de la Colombie</w:t>
            </w:r>
            <w:r w:rsidRPr="00E6448B">
              <w:rPr>
                <w:sz w:val="20"/>
                <w:lang w:val="fr-CA"/>
              </w:rPr>
              <w:noBreakHyphen/>
              <w:t xml:space="preserve">Britannique </w:t>
            </w:r>
          </w:p>
          <w:p w:rsidR="00E05044" w:rsidRPr="00E6448B" w:rsidRDefault="00E05044" w:rsidP="00DD098E">
            <w:pPr>
              <w:rPr>
                <w:sz w:val="20"/>
                <w:lang w:val="fr-CA"/>
              </w:rPr>
            </w:pPr>
            <w:r w:rsidRPr="00E6448B">
              <w:rPr>
                <w:sz w:val="20"/>
                <w:lang w:val="fr-CA"/>
              </w:rPr>
              <w:t xml:space="preserve">(Juge Leask) </w:t>
            </w:r>
          </w:p>
          <w:p w:rsidR="00E05044" w:rsidRPr="00E6448B" w:rsidRDefault="00E05044" w:rsidP="00DD098E">
            <w:pPr>
              <w:rPr>
                <w:sz w:val="20"/>
                <w:lang w:val="fr-CA"/>
              </w:rPr>
            </w:pPr>
          </w:p>
        </w:tc>
        <w:tc>
          <w:tcPr>
            <w:tcW w:w="239" w:type="pct"/>
          </w:tcPr>
          <w:p w:rsidR="00E05044" w:rsidRPr="00E6448B" w:rsidRDefault="00E05044" w:rsidP="00DD098E">
            <w:pPr>
              <w:rPr>
                <w:sz w:val="20"/>
                <w:lang w:val="fr-CA"/>
              </w:rPr>
            </w:pPr>
          </w:p>
        </w:tc>
        <w:tc>
          <w:tcPr>
            <w:tcW w:w="2381" w:type="pct"/>
          </w:tcPr>
          <w:p w:rsidR="00E05044" w:rsidRPr="00E6448B" w:rsidRDefault="00E05044" w:rsidP="00DD098E">
            <w:pPr>
              <w:jc w:val="both"/>
              <w:rPr>
                <w:sz w:val="20"/>
                <w:lang w:val="fr-CA"/>
              </w:rPr>
            </w:pPr>
            <w:r w:rsidRPr="00E6448B">
              <w:rPr>
                <w:sz w:val="20"/>
                <w:lang w:val="fr-CA"/>
              </w:rPr>
              <w:t>Ordonnance portant que le ministère public est préclus de présenter des éléments de preuve que l’East End Charter des Hells Angels est une organisation criminelle et demandeur acquitté relativement à l’infraction d’organisation criminelle</w:t>
            </w:r>
          </w:p>
          <w:p w:rsidR="00E05044" w:rsidRPr="00E6448B" w:rsidRDefault="00E05044" w:rsidP="00DD098E">
            <w:pPr>
              <w:rPr>
                <w:sz w:val="20"/>
                <w:lang w:val="fr-CA"/>
              </w:rPr>
            </w:pPr>
          </w:p>
        </w:tc>
      </w:tr>
      <w:tr w:rsidR="00E05044" w:rsidRPr="00A77989" w:rsidTr="00A73773">
        <w:trPr>
          <w:cantSplit/>
        </w:trPr>
        <w:tc>
          <w:tcPr>
            <w:tcW w:w="2380" w:type="pct"/>
          </w:tcPr>
          <w:p w:rsidR="00E05044" w:rsidRPr="00E6448B" w:rsidRDefault="00E05044" w:rsidP="00DD098E">
            <w:pPr>
              <w:rPr>
                <w:sz w:val="20"/>
                <w:lang w:val="fr-CA"/>
              </w:rPr>
            </w:pPr>
            <w:r w:rsidRPr="00E6448B">
              <w:rPr>
                <w:sz w:val="20"/>
                <w:lang w:val="fr-CA"/>
              </w:rPr>
              <w:lastRenderedPageBreak/>
              <w:t xml:space="preserve">19 décembre 2009 </w:t>
            </w:r>
          </w:p>
          <w:p w:rsidR="00E05044" w:rsidRPr="00E6448B" w:rsidRDefault="00E05044" w:rsidP="00DD098E">
            <w:pPr>
              <w:rPr>
                <w:sz w:val="20"/>
                <w:lang w:val="fr-CA"/>
              </w:rPr>
            </w:pPr>
            <w:r w:rsidRPr="00E6448B">
              <w:rPr>
                <w:sz w:val="20"/>
                <w:lang w:val="fr-CA"/>
              </w:rPr>
              <w:t>Cour suprême de la Colombie</w:t>
            </w:r>
            <w:r w:rsidRPr="00E6448B">
              <w:rPr>
                <w:sz w:val="20"/>
                <w:lang w:val="fr-CA"/>
              </w:rPr>
              <w:noBreakHyphen/>
              <w:t xml:space="preserve">Britannique </w:t>
            </w:r>
          </w:p>
          <w:p w:rsidR="00E05044" w:rsidRPr="00E6448B" w:rsidRDefault="00E05044" w:rsidP="00DD098E">
            <w:pPr>
              <w:rPr>
                <w:sz w:val="20"/>
                <w:lang w:val="fr-CA"/>
              </w:rPr>
            </w:pPr>
            <w:r w:rsidRPr="00E6448B">
              <w:rPr>
                <w:sz w:val="20"/>
                <w:lang w:val="fr-CA"/>
              </w:rPr>
              <w:t xml:space="preserve">(Juge Leask) </w:t>
            </w:r>
          </w:p>
          <w:p w:rsidR="00E05044" w:rsidRPr="00E6448B" w:rsidRDefault="00E05044" w:rsidP="00DD098E">
            <w:pPr>
              <w:rPr>
                <w:sz w:val="20"/>
                <w:lang w:val="fr-CA"/>
              </w:rPr>
            </w:pPr>
            <w:r w:rsidRPr="00E6448B">
              <w:rPr>
                <w:sz w:val="20"/>
                <w:lang w:val="fr-CA"/>
              </w:rPr>
              <w:t>2010 BCSC 70</w:t>
            </w:r>
          </w:p>
          <w:p w:rsidR="00E05044" w:rsidRPr="00E6448B" w:rsidRDefault="00E05044" w:rsidP="00DD098E">
            <w:pPr>
              <w:rPr>
                <w:sz w:val="20"/>
                <w:lang w:val="fr-CA"/>
              </w:rPr>
            </w:pPr>
          </w:p>
        </w:tc>
        <w:tc>
          <w:tcPr>
            <w:tcW w:w="239" w:type="pct"/>
          </w:tcPr>
          <w:p w:rsidR="00E05044" w:rsidRPr="00E6448B" w:rsidRDefault="00E05044" w:rsidP="00DD098E">
            <w:pPr>
              <w:rPr>
                <w:sz w:val="20"/>
                <w:lang w:val="fr-CA"/>
              </w:rPr>
            </w:pPr>
          </w:p>
        </w:tc>
        <w:tc>
          <w:tcPr>
            <w:tcW w:w="2381" w:type="pct"/>
          </w:tcPr>
          <w:p w:rsidR="00E05044" w:rsidRPr="00E6448B" w:rsidRDefault="00E05044" w:rsidP="00DD098E">
            <w:pPr>
              <w:jc w:val="both"/>
              <w:rPr>
                <w:sz w:val="20"/>
                <w:lang w:val="fr-CA"/>
              </w:rPr>
            </w:pPr>
            <w:r w:rsidRPr="00E6448B">
              <w:rPr>
                <w:sz w:val="20"/>
                <w:lang w:val="fr-CA"/>
              </w:rPr>
              <w:t>Demandeur plaide coupable sous les chefs de complot en vue de produire de la méthamphétamine et d’en faire de trafic, de possession des produits de la criminalité et de trafic de cocaïne</w:t>
            </w:r>
          </w:p>
          <w:p w:rsidR="00E05044" w:rsidRPr="00E6448B" w:rsidRDefault="00E05044" w:rsidP="00DD098E">
            <w:pPr>
              <w:rPr>
                <w:sz w:val="20"/>
                <w:lang w:val="fr-CA"/>
              </w:rPr>
            </w:pPr>
          </w:p>
        </w:tc>
      </w:tr>
      <w:tr w:rsidR="00E05044" w:rsidRPr="00A77989" w:rsidTr="00A73773">
        <w:trPr>
          <w:cantSplit/>
        </w:trPr>
        <w:tc>
          <w:tcPr>
            <w:tcW w:w="2380" w:type="pct"/>
          </w:tcPr>
          <w:p w:rsidR="00E05044" w:rsidRPr="00E6448B" w:rsidRDefault="00E05044" w:rsidP="00DD098E">
            <w:pPr>
              <w:rPr>
                <w:sz w:val="20"/>
                <w:lang w:val="fr-CA"/>
              </w:rPr>
            </w:pPr>
            <w:r w:rsidRPr="00E6448B">
              <w:rPr>
                <w:sz w:val="20"/>
                <w:lang w:val="fr-CA"/>
              </w:rPr>
              <w:t>10 février 2011</w:t>
            </w:r>
          </w:p>
          <w:p w:rsidR="00E05044" w:rsidRPr="00E6448B" w:rsidRDefault="00E05044" w:rsidP="00DD098E">
            <w:pPr>
              <w:rPr>
                <w:sz w:val="20"/>
                <w:lang w:val="fr-CA"/>
              </w:rPr>
            </w:pPr>
            <w:r w:rsidRPr="00E6448B">
              <w:rPr>
                <w:sz w:val="20"/>
                <w:lang w:val="fr-CA"/>
              </w:rPr>
              <w:t>Cour d’appel de la Colombie</w:t>
            </w:r>
            <w:r w:rsidRPr="00E6448B">
              <w:rPr>
                <w:sz w:val="20"/>
                <w:lang w:val="fr-CA"/>
              </w:rPr>
              <w:noBreakHyphen/>
              <w:t xml:space="preserve">Britannique </w:t>
            </w:r>
          </w:p>
          <w:p w:rsidR="00E05044" w:rsidRPr="00E6448B" w:rsidRDefault="00E05044" w:rsidP="00DD098E">
            <w:pPr>
              <w:rPr>
                <w:sz w:val="20"/>
                <w:lang w:val="fr-CA"/>
              </w:rPr>
            </w:pPr>
            <w:r w:rsidRPr="00E6448B">
              <w:rPr>
                <w:sz w:val="20"/>
                <w:lang w:val="fr-CA"/>
              </w:rPr>
              <w:t>(Vancouver)</w:t>
            </w:r>
          </w:p>
          <w:p w:rsidR="00E05044" w:rsidRPr="00E6448B" w:rsidRDefault="00E05044" w:rsidP="00DD098E">
            <w:pPr>
              <w:rPr>
                <w:sz w:val="20"/>
                <w:lang w:val="fr-CA"/>
              </w:rPr>
            </w:pPr>
            <w:r w:rsidRPr="00E6448B">
              <w:rPr>
                <w:sz w:val="20"/>
                <w:lang w:val="fr-CA"/>
              </w:rPr>
              <w:t xml:space="preserve">(Juges Finch, Kirkpatrick et Groberman) </w:t>
            </w:r>
          </w:p>
          <w:p w:rsidR="00E05044" w:rsidRPr="00E6448B" w:rsidRDefault="00E05044" w:rsidP="00DD098E">
            <w:pPr>
              <w:rPr>
                <w:sz w:val="20"/>
                <w:lang w:val="fr-CA"/>
              </w:rPr>
            </w:pPr>
          </w:p>
        </w:tc>
        <w:tc>
          <w:tcPr>
            <w:tcW w:w="239" w:type="pct"/>
          </w:tcPr>
          <w:p w:rsidR="00E05044" w:rsidRPr="00E6448B" w:rsidRDefault="00E05044" w:rsidP="00DD098E">
            <w:pPr>
              <w:rPr>
                <w:sz w:val="20"/>
                <w:lang w:val="fr-CA"/>
              </w:rPr>
            </w:pPr>
          </w:p>
        </w:tc>
        <w:tc>
          <w:tcPr>
            <w:tcW w:w="2381" w:type="pct"/>
          </w:tcPr>
          <w:p w:rsidR="00E05044" w:rsidRPr="00E6448B" w:rsidRDefault="00E05044" w:rsidP="00DD098E">
            <w:pPr>
              <w:jc w:val="both"/>
              <w:rPr>
                <w:sz w:val="20"/>
                <w:lang w:val="fr-CA"/>
              </w:rPr>
            </w:pPr>
            <w:r w:rsidRPr="00E6448B">
              <w:rPr>
                <w:sz w:val="20"/>
                <w:lang w:val="fr-CA"/>
              </w:rPr>
              <w:t xml:space="preserve">Appel de l’acquittement interjeté par le ministère public, accueilli, acquittement annulé et nouveau procès ordonné sous le chef d’organisation criminelle </w:t>
            </w:r>
          </w:p>
          <w:p w:rsidR="00E05044" w:rsidRPr="00E6448B" w:rsidRDefault="00E05044" w:rsidP="00DD098E">
            <w:pPr>
              <w:rPr>
                <w:sz w:val="20"/>
                <w:lang w:val="fr-CA"/>
              </w:rPr>
            </w:pPr>
          </w:p>
        </w:tc>
      </w:tr>
      <w:tr w:rsidR="00E05044" w:rsidRPr="00E6448B" w:rsidTr="00396EBF">
        <w:trPr>
          <w:cantSplit/>
        </w:trPr>
        <w:tc>
          <w:tcPr>
            <w:tcW w:w="2380" w:type="pct"/>
          </w:tcPr>
          <w:p w:rsidR="00E05044" w:rsidRPr="00E6448B" w:rsidRDefault="00E05044" w:rsidP="00DD098E">
            <w:pPr>
              <w:rPr>
                <w:sz w:val="20"/>
                <w:lang w:val="fr-CA"/>
              </w:rPr>
            </w:pPr>
            <w:r w:rsidRPr="00E6448B">
              <w:rPr>
                <w:sz w:val="20"/>
                <w:lang w:val="fr-CA"/>
              </w:rPr>
              <w:t>6 avril 2011</w:t>
            </w:r>
          </w:p>
          <w:p w:rsidR="00E05044" w:rsidRPr="00E6448B" w:rsidRDefault="00E05044" w:rsidP="00DD098E">
            <w:pPr>
              <w:rPr>
                <w:sz w:val="20"/>
                <w:lang w:val="fr-CA"/>
              </w:rPr>
            </w:pPr>
            <w:r w:rsidRPr="00E6448B">
              <w:rPr>
                <w:sz w:val="20"/>
                <w:lang w:val="fr-CA"/>
              </w:rPr>
              <w:t>Cour suprême du Canada</w:t>
            </w:r>
          </w:p>
        </w:tc>
        <w:tc>
          <w:tcPr>
            <w:tcW w:w="239" w:type="pct"/>
          </w:tcPr>
          <w:p w:rsidR="00E05044" w:rsidRPr="00E6448B" w:rsidRDefault="00E05044" w:rsidP="00DD098E">
            <w:pPr>
              <w:rPr>
                <w:sz w:val="20"/>
                <w:lang w:val="fr-CA"/>
              </w:rPr>
            </w:pPr>
          </w:p>
        </w:tc>
        <w:tc>
          <w:tcPr>
            <w:tcW w:w="2381" w:type="pct"/>
          </w:tcPr>
          <w:p w:rsidR="00E05044" w:rsidRPr="00E6448B" w:rsidRDefault="00E05044" w:rsidP="00DD098E">
            <w:pPr>
              <w:rPr>
                <w:sz w:val="20"/>
                <w:lang w:val="fr-CA"/>
              </w:rPr>
            </w:pPr>
            <w:r w:rsidRPr="00E6448B">
              <w:rPr>
                <w:sz w:val="20"/>
                <w:lang w:val="fr-CA"/>
              </w:rPr>
              <w:t>Demande d’autorisation d’appel, déposée</w:t>
            </w:r>
          </w:p>
          <w:p w:rsidR="00E05044" w:rsidRPr="00E6448B" w:rsidRDefault="00E05044" w:rsidP="00DD098E">
            <w:pPr>
              <w:rPr>
                <w:sz w:val="20"/>
                <w:lang w:val="fr-CA"/>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65"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96EBF" w:rsidRPr="00396EBF" w:rsidTr="009C7281">
        <w:trPr>
          <w:cantSplit/>
        </w:trPr>
        <w:tc>
          <w:tcPr>
            <w:tcW w:w="1458" w:type="dxa"/>
          </w:tcPr>
          <w:p w:rsidR="00396EBF" w:rsidRPr="00396EBF" w:rsidRDefault="00396EBF" w:rsidP="009C7281">
            <w:pPr>
              <w:rPr>
                <w:rFonts w:cs="Times New Roman"/>
                <w:sz w:val="20"/>
                <w:szCs w:val="20"/>
              </w:rPr>
            </w:pPr>
            <w:r w:rsidRPr="00396EBF">
              <w:rPr>
                <w:rStyle w:val="SCCFileNumberChar"/>
                <w:sz w:val="20"/>
                <w:szCs w:val="20"/>
              </w:rPr>
              <w:t>34204</w:t>
            </w:r>
          </w:p>
          <w:p w:rsidR="00396EBF" w:rsidRPr="00396EBF" w:rsidRDefault="00396EBF" w:rsidP="009C7281">
            <w:pPr>
              <w:rPr>
                <w:rFonts w:cs="Times New Roman"/>
                <w:b/>
                <w:sz w:val="20"/>
                <w:szCs w:val="20"/>
                <w:lang w:val="fr-CA"/>
              </w:rPr>
            </w:pPr>
          </w:p>
        </w:tc>
        <w:tc>
          <w:tcPr>
            <w:tcW w:w="8118" w:type="dxa"/>
          </w:tcPr>
          <w:p w:rsidR="00396EBF" w:rsidRPr="00396EBF" w:rsidRDefault="00396EBF" w:rsidP="009C7281">
            <w:pPr>
              <w:rPr>
                <w:rFonts w:cs="Times New Roman"/>
                <w:sz w:val="20"/>
                <w:szCs w:val="20"/>
              </w:rPr>
            </w:pPr>
            <w:r w:rsidRPr="00396EBF">
              <w:rPr>
                <w:rStyle w:val="SCCLsocChar"/>
                <w:rFonts w:cs="Times New Roman"/>
                <w:sz w:val="20"/>
                <w:szCs w:val="20"/>
                <w:lang w:val="en-CA"/>
              </w:rPr>
              <w:t>Bradman Lee v. Her Majesty the Queen</w:t>
            </w:r>
            <w:r w:rsidRPr="00396EBF">
              <w:rPr>
                <w:rFonts w:cs="Times New Roman"/>
                <w:sz w:val="20"/>
                <w:szCs w:val="20"/>
              </w:rPr>
              <w:t xml:space="preserve"> (Ont.) (Criminal) (By Leave)</w:t>
            </w:r>
          </w:p>
          <w:p w:rsidR="00396EBF" w:rsidRPr="00396EBF" w:rsidRDefault="00396EBF" w:rsidP="009C7281">
            <w:pPr>
              <w:rPr>
                <w:rFonts w:cs="Times New Roman"/>
                <w:sz w:val="20"/>
                <w:szCs w:val="20"/>
              </w:rPr>
            </w:pPr>
          </w:p>
        </w:tc>
      </w:tr>
      <w:tr w:rsidR="00396EBF" w:rsidRPr="00396EBF" w:rsidTr="009C7281">
        <w:trPr>
          <w:cantSplit/>
        </w:trPr>
        <w:tc>
          <w:tcPr>
            <w:tcW w:w="1458" w:type="dxa"/>
          </w:tcPr>
          <w:p w:rsidR="00396EBF" w:rsidRPr="00396EBF" w:rsidRDefault="00396EBF" w:rsidP="009C7281">
            <w:pPr>
              <w:rPr>
                <w:rFonts w:cs="Times New Roman"/>
                <w:sz w:val="20"/>
                <w:szCs w:val="20"/>
              </w:rPr>
            </w:pPr>
            <w:r w:rsidRPr="00396EBF">
              <w:rPr>
                <w:rFonts w:cs="Times New Roman"/>
                <w:sz w:val="20"/>
                <w:szCs w:val="20"/>
              </w:rPr>
              <w:t>Coram :</w:t>
            </w:r>
          </w:p>
        </w:tc>
        <w:tc>
          <w:tcPr>
            <w:tcW w:w="8118" w:type="dxa"/>
          </w:tcPr>
          <w:p w:rsidR="00396EBF" w:rsidRPr="00396EBF" w:rsidRDefault="00396EBF" w:rsidP="009C7281">
            <w:pPr>
              <w:rPr>
                <w:rFonts w:cs="Times New Roman"/>
                <w:sz w:val="20"/>
                <w:szCs w:val="20"/>
              </w:rPr>
            </w:pPr>
            <w:r w:rsidRPr="00396EBF">
              <w:rPr>
                <w:rStyle w:val="SCCCoramChar"/>
                <w:rFonts w:cs="Times New Roman"/>
                <w:sz w:val="20"/>
                <w:szCs w:val="20"/>
                <w:lang w:val="en-CA"/>
              </w:rPr>
              <w:t>LeBel, Fish and Cromwell JJ.</w:t>
            </w:r>
          </w:p>
          <w:p w:rsidR="00396EBF" w:rsidRPr="00396EBF" w:rsidRDefault="00396EBF" w:rsidP="009C7281">
            <w:pPr>
              <w:rPr>
                <w:rFonts w:cs="Times New Roman"/>
                <w:sz w:val="20"/>
                <w:szCs w:val="20"/>
                <w:u w:val="single"/>
              </w:rPr>
            </w:pPr>
          </w:p>
        </w:tc>
      </w:tr>
      <w:tr w:rsidR="00396EBF" w:rsidRPr="00396EBF" w:rsidTr="009C7281">
        <w:trPr>
          <w:cantSplit/>
        </w:trPr>
        <w:tc>
          <w:tcPr>
            <w:tcW w:w="9576" w:type="dxa"/>
            <w:gridSpan w:val="2"/>
          </w:tcPr>
          <w:p w:rsidR="00396EBF" w:rsidRPr="00396EBF" w:rsidRDefault="00396EBF" w:rsidP="009C7281">
            <w:pPr>
              <w:pStyle w:val="SCCShortJudgment"/>
              <w:rPr>
                <w:rFonts w:cs="Times New Roman"/>
                <w:szCs w:val="20"/>
              </w:rPr>
            </w:pPr>
            <w:r w:rsidRPr="00396EBF">
              <w:rPr>
                <w:rFonts w:cs="Times New Roman"/>
                <w:szCs w:val="20"/>
              </w:rPr>
              <w:t>The application for leave to appeal from the judgment of the Court of Appeal for Ontario, Number C50827, dated February 7, 2011, is dismissed without costs.</w:t>
            </w:r>
          </w:p>
          <w:p w:rsidR="00396EBF" w:rsidRPr="00396EBF" w:rsidRDefault="00396EBF" w:rsidP="009C7281">
            <w:pPr>
              <w:pStyle w:val="SCCShortJudgment"/>
              <w:ind w:firstLine="0"/>
              <w:rPr>
                <w:rFonts w:cs="Times New Roman"/>
                <w:szCs w:val="20"/>
              </w:rPr>
            </w:pPr>
          </w:p>
          <w:p w:rsidR="00396EBF" w:rsidRPr="00396EBF" w:rsidRDefault="00396EBF" w:rsidP="00345978">
            <w:pPr>
              <w:pStyle w:val="SCCShortJudgment"/>
              <w:rPr>
                <w:rFonts w:cs="Times New Roman"/>
                <w:szCs w:val="20"/>
                <w:lang w:val="fr-CA"/>
              </w:rPr>
            </w:pPr>
            <w:r w:rsidRPr="00396EBF">
              <w:rPr>
                <w:rFonts w:cs="Times New Roman"/>
                <w:szCs w:val="20"/>
                <w:lang w:val="fr-CA"/>
              </w:rPr>
              <w:t>La demande d’autorisation d’appel de l’arrêt de la Cour d’appel de l’Ontario, numéro C50827, daté du 7 février 2011, est rejetée sans dépens.</w:t>
            </w:r>
          </w:p>
        </w:tc>
      </w:tr>
    </w:tbl>
    <w:p w:rsidR="00396EBF" w:rsidRPr="00396EBF" w:rsidRDefault="00396EBF"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A53DF" w:rsidRPr="00E6448B" w:rsidTr="00DD098E">
        <w:tc>
          <w:tcPr>
            <w:tcW w:w="5000" w:type="pct"/>
            <w:gridSpan w:val="3"/>
          </w:tcPr>
          <w:p w:rsidR="000A53DF" w:rsidRPr="00E6448B" w:rsidRDefault="000A53DF" w:rsidP="00DD098E">
            <w:pPr>
              <w:jc w:val="both"/>
              <w:rPr>
                <w:rFonts w:eastAsia="Calibri"/>
                <w:sz w:val="20"/>
              </w:rPr>
            </w:pPr>
            <w:r w:rsidRPr="00E6448B">
              <w:rPr>
                <w:rFonts w:eastAsia="Calibri"/>
                <w:sz w:val="20"/>
              </w:rPr>
              <w:t>Criminal law — Tax evasion — Whether Court of Appeal erred in dismissing the application for leave to appeal on the basis that there was no miscarriage of justice</w:t>
            </w:r>
          </w:p>
          <w:p w:rsidR="000A53DF" w:rsidRPr="00E6448B" w:rsidRDefault="000A53DF" w:rsidP="00DD098E">
            <w:pPr>
              <w:jc w:val="both"/>
              <w:rPr>
                <w:rFonts w:eastAsia="Calibri"/>
                <w:sz w:val="20"/>
              </w:rPr>
            </w:pPr>
          </w:p>
        </w:tc>
      </w:tr>
      <w:tr w:rsidR="000A53DF" w:rsidRPr="00E6448B" w:rsidTr="00DD098E">
        <w:tc>
          <w:tcPr>
            <w:tcW w:w="5000" w:type="pct"/>
            <w:gridSpan w:val="3"/>
          </w:tcPr>
          <w:p w:rsidR="000A53DF" w:rsidRPr="00E6448B" w:rsidRDefault="000A53DF" w:rsidP="00DD098E">
            <w:pPr>
              <w:jc w:val="both"/>
              <w:rPr>
                <w:rFonts w:eastAsia="Calibri"/>
                <w:sz w:val="20"/>
              </w:rPr>
            </w:pPr>
            <w:r w:rsidRPr="00E6448B">
              <w:rPr>
                <w:rFonts w:eastAsia="Calibri"/>
                <w:sz w:val="20"/>
              </w:rPr>
              <w:t>The applicant was a real estate agent.  He was charged with three counts of unlawfully making, participating in, assenting to or acquiescing in the making of false or deceptive statements in his T1 individual income tax returns for the taxation years 1999, 2000 and 2001 by understating his real estate commissions for those years by $148,000.  He was also charged with evading the payment of taxes in the amount of $24,000 during those years by this understatement. Finally, he was charged with wilfully failing to collect and remit gross GST in the amount of $19,000 for those years.  The trial judge found him guilty of all counts and ordered him to pay 100% of the amount owing.  The summary conviction appeal court dismissed the appeal of conviction but reduced the sentence to 50% of the amount owing.  The Court of Appeal refused leave to appeal in the case.</w:t>
            </w:r>
          </w:p>
          <w:p w:rsidR="000A53DF" w:rsidRPr="00E6448B" w:rsidRDefault="000A53DF" w:rsidP="00DD098E">
            <w:pPr>
              <w:jc w:val="both"/>
              <w:rPr>
                <w:rFonts w:eastAsia="Calibri"/>
                <w:sz w:val="20"/>
              </w:rPr>
            </w:pPr>
          </w:p>
        </w:tc>
      </w:tr>
      <w:tr w:rsidR="000A53DF" w:rsidRPr="00E6448B" w:rsidTr="00DD098E">
        <w:tc>
          <w:tcPr>
            <w:tcW w:w="2427" w:type="pct"/>
          </w:tcPr>
          <w:p w:rsidR="000A53DF" w:rsidRPr="00E6448B" w:rsidRDefault="000A53DF" w:rsidP="00DD098E">
            <w:pPr>
              <w:jc w:val="both"/>
              <w:rPr>
                <w:rFonts w:eastAsia="Calibri"/>
                <w:sz w:val="20"/>
              </w:rPr>
            </w:pPr>
            <w:r w:rsidRPr="00E6448B">
              <w:rPr>
                <w:rFonts w:eastAsia="Calibri"/>
                <w:sz w:val="20"/>
              </w:rPr>
              <w:t>November 23, 2007</w:t>
            </w:r>
          </w:p>
          <w:p w:rsidR="000A53DF" w:rsidRPr="00E6448B" w:rsidRDefault="000A53DF" w:rsidP="00DD098E">
            <w:pPr>
              <w:jc w:val="both"/>
              <w:rPr>
                <w:rFonts w:eastAsia="Calibri"/>
                <w:sz w:val="20"/>
              </w:rPr>
            </w:pPr>
            <w:r w:rsidRPr="00E6448B">
              <w:rPr>
                <w:rFonts w:eastAsia="Calibri"/>
                <w:sz w:val="20"/>
              </w:rPr>
              <w:t>Ontario Court of Justice</w:t>
            </w:r>
          </w:p>
          <w:p w:rsidR="000A53DF" w:rsidRPr="00E6448B" w:rsidRDefault="000A53DF" w:rsidP="00DD098E">
            <w:pPr>
              <w:jc w:val="both"/>
              <w:rPr>
                <w:rFonts w:eastAsia="Calibri"/>
                <w:sz w:val="20"/>
              </w:rPr>
            </w:pPr>
            <w:r w:rsidRPr="00E6448B">
              <w:rPr>
                <w:rFonts w:eastAsia="Calibri"/>
                <w:sz w:val="20"/>
              </w:rPr>
              <w:t>(Cowan J.)</w:t>
            </w:r>
          </w:p>
          <w:p w:rsidR="000A53DF" w:rsidRPr="00E6448B" w:rsidRDefault="000A53DF" w:rsidP="00DD098E">
            <w:pPr>
              <w:jc w:val="both"/>
              <w:rPr>
                <w:rFonts w:eastAsia="Calibri"/>
                <w:sz w:val="20"/>
              </w:rPr>
            </w:pPr>
          </w:p>
        </w:tc>
        <w:tc>
          <w:tcPr>
            <w:tcW w:w="243" w:type="pct"/>
          </w:tcPr>
          <w:p w:rsidR="000A53DF" w:rsidRPr="00E6448B" w:rsidRDefault="000A53DF" w:rsidP="00DD098E">
            <w:pPr>
              <w:jc w:val="both"/>
              <w:rPr>
                <w:rFonts w:eastAsia="Calibri"/>
                <w:sz w:val="20"/>
              </w:rPr>
            </w:pPr>
          </w:p>
        </w:tc>
        <w:tc>
          <w:tcPr>
            <w:tcW w:w="2330" w:type="pct"/>
          </w:tcPr>
          <w:p w:rsidR="000A53DF" w:rsidRPr="00E6448B" w:rsidRDefault="000A53DF" w:rsidP="00DD098E">
            <w:pPr>
              <w:jc w:val="both"/>
              <w:rPr>
                <w:rFonts w:eastAsia="Calibri"/>
                <w:sz w:val="20"/>
              </w:rPr>
            </w:pPr>
            <w:r w:rsidRPr="00E6448B">
              <w:rPr>
                <w:rFonts w:eastAsia="Calibri"/>
                <w:sz w:val="20"/>
              </w:rPr>
              <w:t xml:space="preserve">Guilty of 3 counts of making false statements on income tax forms contrary to s. 239(1)(a) of the </w:t>
            </w:r>
            <w:r w:rsidRPr="00E6448B">
              <w:rPr>
                <w:rFonts w:eastAsia="Calibri"/>
                <w:i/>
                <w:sz w:val="20"/>
              </w:rPr>
              <w:t>Income Tax Act</w:t>
            </w:r>
            <w:r w:rsidRPr="00E6448B">
              <w:rPr>
                <w:rFonts w:eastAsia="Calibri"/>
                <w:sz w:val="20"/>
              </w:rPr>
              <w:t xml:space="preserve">, guilty of evading taxes contrary to s. 239(1)(d) of the </w:t>
            </w:r>
            <w:r w:rsidRPr="00E6448B">
              <w:rPr>
                <w:rFonts w:eastAsia="Calibri"/>
                <w:i/>
                <w:sz w:val="20"/>
              </w:rPr>
              <w:t>Income Tax Act</w:t>
            </w:r>
            <w:r w:rsidRPr="00E6448B">
              <w:rPr>
                <w:rFonts w:eastAsia="Calibri"/>
                <w:sz w:val="20"/>
              </w:rPr>
              <w:t xml:space="preserve"> and guilty of wilfully failing to collect and remit GST contrary to s. 327(1)(c) of the </w:t>
            </w:r>
            <w:r w:rsidRPr="00E6448B">
              <w:rPr>
                <w:rFonts w:eastAsia="Calibri"/>
                <w:i/>
                <w:sz w:val="20"/>
              </w:rPr>
              <w:t>Excise Tax Act</w:t>
            </w:r>
            <w:r w:rsidRPr="00E6448B">
              <w:rPr>
                <w:rFonts w:eastAsia="Calibri"/>
                <w:sz w:val="20"/>
              </w:rPr>
              <w:t>.</w:t>
            </w:r>
          </w:p>
          <w:p w:rsidR="000A53DF" w:rsidRPr="00E6448B" w:rsidRDefault="000A53DF" w:rsidP="00DD098E">
            <w:pPr>
              <w:jc w:val="both"/>
              <w:rPr>
                <w:rFonts w:eastAsia="Calibri"/>
                <w:sz w:val="20"/>
              </w:rPr>
            </w:pPr>
          </w:p>
        </w:tc>
      </w:tr>
      <w:tr w:rsidR="000A53DF" w:rsidRPr="00E6448B" w:rsidTr="00DD098E">
        <w:trPr>
          <w:trHeight w:val="487"/>
        </w:trPr>
        <w:tc>
          <w:tcPr>
            <w:tcW w:w="2427" w:type="pct"/>
          </w:tcPr>
          <w:p w:rsidR="000A53DF" w:rsidRPr="00E6448B" w:rsidRDefault="000A53DF" w:rsidP="00DD098E">
            <w:pPr>
              <w:jc w:val="both"/>
              <w:rPr>
                <w:rFonts w:eastAsia="Calibri"/>
                <w:sz w:val="20"/>
              </w:rPr>
            </w:pPr>
            <w:r w:rsidRPr="00E6448B">
              <w:rPr>
                <w:rFonts w:eastAsia="Calibri"/>
                <w:sz w:val="20"/>
              </w:rPr>
              <w:t>September 22, 2008</w:t>
            </w:r>
          </w:p>
          <w:p w:rsidR="000A53DF" w:rsidRPr="00E6448B" w:rsidRDefault="000A53DF" w:rsidP="00DD098E">
            <w:pPr>
              <w:jc w:val="both"/>
              <w:rPr>
                <w:rFonts w:eastAsia="Calibri"/>
                <w:sz w:val="20"/>
              </w:rPr>
            </w:pPr>
            <w:r w:rsidRPr="00E6448B">
              <w:rPr>
                <w:rFonts w:eastAsia="Calibri"/>
                <w:sz w:val="20"/>
              </w:rPr>
              <w:t>Ontario Court of Justice</w:t>
            </w:r>
          </w:p>
          <w:p w:rsidR="000A53DF" w:rsidRPr="00E6448B" w:rsidRDefault="000A53DF" w:rsidP="00DD098E">
            <w:pPr>
              <w:jc w:val="both"/>
              <w:rPr>
                <w:rFonts w:eastAsia="Calibri"/>
                <w:sz w:val="20"/>
              </w:rPr>
            </w:pPr>
            <w:r w:rsidRPr="00E6448B">
              <w:rPr>
                <w:rFonts w:eastAsia="Calibri"/>
                <w:sz w:val="20"/>
              </w:rPr>
              <w:t>(Corbett J.)</w:t>
            </w:r>
          </w:p>
          <w:p w:rsidR="000A53DF" w:rsidRPr="00E6448B" w:rsidRDefault="000A53DF" w:rsidP="00DD098E">
            <w:pPr>
              <w:jc w:val="both"/>
              <w:rPr>
                <w:rFonts w:eastAsia="Calibri"/>
                <w:sz w:val="20"/>
              </w:rPr>
            </w:pPr>
          </w:p>
        </w:tc>
        <w:tc>
          <w:tcPr>
            <w:tcW w:w="243" w:type="pct"/>
          </w:tcPr>
          <w:p w:rsidR="000A53DF" w:rsidRPr="00E6448B" w:rsidRDefault="000A53DF" w:rsidP="00DD098E">
            <w:pPr>
              <w:jc w:val="both"/>
              <w:rPr>
                <w:rFonts w:eastAsia="Calibri"/>
                <w:sz w:val="20"/>
              </w:rPr>
            </w:pPr>
          </w:p>
        </w:tc>
        <w:tc>
          <w:tcPr>
            <w:tcW w:w="2330" w:type="pct"/>
          </w:tcPr>
          <w:p w:rsidR="000A53DF" w:rsidRPr="00E6448B" w:rsidRDefault="000A53DF" w:rsidP="00DD098E">
            <w:pPr>
              <w:jc w:val="both"/>
              <w:rPr>
                <w:rFonts w:eastAsia="Calibri"/>
                <w:sz w:val="20"/>
              </w:rPr>
            </w:pPr>
            <w:r w:rsidRPr="00E6448B">
              <w:rPr>
                <w:rFonts w:eastAsia="Calibri"/>
                <w:sz w:val="20"/>
              </w:rPr>
              <w:t xml:space="preserve">Appeal of conviction dismissed. </w:t>
            </w:r>
          </w:p>
          <w:p w:rsidR="000A53DF" w:rsidRPr="00E6448B" w:rsidRDefault="000A53DF" w:rsidP="00DD098E">
            <w:pPr>
              <w:jc w:val="both"/>
              <w:rPr>
                <w:rFonts w:eastAsia="Calibri"/>
                <w:sz w:val="20"/>
              </w:rPr>
            </w:pPr>
          </w:p>
        </w:tc>
      </w:tr>
      <w:tr w:rsidR="000A53DF" w:rsidRPr="00E6448B" w:rsidTr="00A73773">
        <w:trPr>
          <w:cantSplit/>
          <w:trHeight w:val="486"/>
        </w:trPr>
        <w:tc>
          <w:tcPr>
            <w:tcW w:w="2427" w:type="pct"/>
          </w:tcPr>
          <w:p w:rsidR="000A53DF" w:rsidRPr="00E6448B" w:rsidRDefault="000A53DF" w:rsidP="00DD098E">
            <w:pPr>
              <w:jc w:val="both"/>
              <w:rPr>
                <w:rFonts w:eastAsia="Calibri"/>
                <w:sz w:val="20"/>
              </w:rPr>
            </w:pPr>
            <w:r w:rsidRPr="00E6448B">
              <w:rPr>
                <w:rFonts w:eastAsia="Calibri"/>
                <w:sz w:val="20"/>
              </w:rPr>
              <w:lastRenderedPageBreak/>
              <w:t>July 27, 2009</w:t>
            </w:r>
          </w:p>
          <w:p w:rsidR="000A53DF" w:rsidRPr="00E6448B" w:rsidRDefault="000A53DF" w:rsidP="00DD098E">
            <w:pPr>
              <w:jc w:val="both"/>
              <w:rPr>
                <w:rFonts w:eastAsia="Calibri"/>
                <w:sz w:val="20"/>
              </w:rPr>
            </w:pPr>
            <w:r w:rsidRPr="00E6448B">
              <w:rPr>
                <w:rFonts w:eastAsia="Calibri"/>
                <w:sz w:val="20"/>
              </w:rPr>
              <w:t>Ontario Court of Justice</w:t>
            </w:r>
          </w:p>
          <w:p w:rsidR="000A53DF" w:rsidRPr="00E6448B" w:rsidRDefault="000A53DF" w:rsidP="00DD098E">
            <w:pPr>
              <w:jc w:val="both"/>
              <w:rPr>
                <w:rFonts w:eastAsia="Calibri"/>
                <w:sz w:val="20"/>
              </w:rPr>
            </w:pPr>
            <w:r w:rsidRPr="00E6448B">
              <w:rPr>
                <w:rFonts w:eastAsia="Calibri"/>
                <w:sz w:val="20"/>
              </w:rPr>
              <w:t>(Corbett J.)</w:t>
            </w:r>
          </w:p>
          <w:p w:rsidR="000A53DF" w:rsidRPr="00E6448B" w:rsidRDefault="000A53DF" w:rsidP="00DD098E">
            <w:pPr>
              <w:jc w:val="both"/>
              <w:rPr>
                <w:rFonts w:eastAsia="Calibri"/>
                <w:sz w:val="20"/>
              </w:rPr>
            </w:pPr>
          </w:p>
        </w:tc>
        <w:tc>
          <w:tcPr>
            <w:tcW w:w="243" w:type="pct"/>
          </w:tcPr>
          <w:p w:rsidR="000A53DF" w:rsidRPr="00E6448B" w:rsidRDefault="000A53DF" w:rsidP="00DD098E">
            <w:pPr>
              <w:jc w:val="both"/>
              <w:rPr>
                <w:rFonts w:eastAsia="Calibri"/>
                <w:sz w:val="20"/>
              </w:rPr>
            </w:pPr>
          </w:p>
        </w:tc>
        <w:tc>
          <w:tcPr>
            <w:tcW w:w="2330" w:type="pct"/>
          </w:tcPr>
          <w:p w:rsidR="000A53DF" w:rsidRPr="00E6448B" w:rsidRDefault="000A53DF" w:rsidP="00DD098E">
            <w:pPr>
              <w:jc w:val="both"/>
              <w:rPr>
                <w:rFonts w:eastAsia="Calibri"/>
                <w:sz w:val="20"/>
              </w:rPr>
            </w:pPr>
            <w:r w:rsidRPr="00E6448B">
              <w:rPr>
                <w:rFonts w:eastAsia="Calibri"/>
                <w:sz w:val="20"/>
              </w:rPr>
              <w:t>Sentence reduced to 50% of taxes evaded</w:t>
            </w:r>
          </w:p>
          <w:p w:rsidR="000A53DF" w:rsidRPr="00E6448B" w:rsidRDefault="000A53DF" w:rsidP="00DD098E">
            <w:pPr>
              <w:jc w:val="both"/>
              <w:rPr>
                <w:rFonts w:eastAsia="Calibri"/>
                <w:sz w:val="20"/>
              </w:rPr>
            </w:pPr>
          </w:p>
        </w:tc>
      </w:tr>
      <w:tr w:rsidR="000A53DF" w:rsidRPr="00E6448B" w:rsidTr="00A73773">
        <w:trPr>
          <w:cantSplit/>
        </w:trPr>
        <w:tc>
          <w:tcPr>
            <w:tcW w:w="2427" w:type="pct"/>
          </w:tcPr>
          <w:p w:rsidR="000A53DF" w:rsidRPr="00E6448B" w:rsidRDefault="000A53DF" w:rsidP="00DD098E">
            <w:pPr>
              <w:jc w:val="both"/>
              <w:rPr>
                <w:rFonts w:eastAsia="Calibri"/>
                <w:sz w:val="20"/>
              </w:rPr>
            </w:pPr>
            <w:r w:rsidRPr="00E6448B">
              <w:rPr>
                <w:rFonts w:eastAsia="Calibri"/>
                <w:sz w:val="20"/>
              </w:rPr>
              <w:t>February 7, 2011</w:t>
            </w:r>
          </w:p>
          <w:p w:rsidR="000A53DF" w:rsidRPr="00E6448B" w:rsidRDefault="000A53DF" w:rsidP="00DD098E">
            <w:pPr>
              <w:jc w:val="both"/>
              <w:rPr>
                <w:rFonts w:eastAsia="Calibri"/>
                <w:sz w:val="20"/>
              </w:rPr>
            </w:pPr>
            <w:r w:rsidRPr="00E6448B">
              <w:rPr>
                <w:rFonts w:eastAsia="Calibri"/>
                <w:sz w:val="20"/>
              </w:rPr>
              <w:t>Court of Appeal for Ontario</w:t>
            </w:r>
          </w:p>
          <w:p w:rsidR="000A53DF" w:rsidRPr="00E6448B" w:rsidRDefault="000A53DF" w:rsidP="00DD098E">
            <w:pPr>
              <w:jc w:val="both"/>
              <w:rPr>
                <w:rFonts w:eastAsia="Calibri"/>
                <w:sz w:val="20"/>
              </w:rPr>
            </w:pPr>
            <w:r w:rsidRPr="00E6448B">
              <w:rPr>
                <w:rFonts w:eastAsia="Calibri"/>
                <w:sz w:val="20"/>
              </w:rPr>
              <w:t>(MacPherson, Blair and Rouleau JJ.A.)</w:t>
            </w:r>
          </w:p>
          <w:p w:rsidR="000A53DF" w:rsidRPr="00E6448B" w:rsidRDefault="000A53DF" w:rsidP="00DD098E">
            <w:pPr>
              <w:jc w:val="both"/>
              <w:rPr>
                <w:rFonts w:eastAsia="Calibri"/>
                <w:sz w:val="20"/>
                <w:lang w:val="fr-CA"/>
              </w:rPr>
            </w:pPr>
          </w:p>
        </w:tc>
        <w:tc>
          <w:tcPr>
            <w:tcW w:w="243" w:type="pct"/>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rPr>
            </w:pPr>
            <w:r w:rsidRPr="00E6448B">
              <w:rPr>
                <w:rFonts w:eastAsia="Calibri"/>
                <w:sz w:val="20"/>
              </w:rPr>
              <w:t>Application for leave to appeal dismissed.</w:t>
            </w:r>
          </w:p>
          <w:p w:rsidR="000A53DF" w:rsidRPr="00E6448B" w:rsidRDefault="000A53DF" w:rsidP="00DD098E">
            <w:pPr>
              <w:jc w:val="both"/>
              <w:rPr>
                <w:rFonts w:eastAsia="Calibri"/>
                <w:sz w:val="20"/>
              </w:rPr>
            </w:pPr>
          </w:p>
        </w:tc>
      </w:tr>
      <w:tr w:rsidR="000A53DF" w:rsidRPr="00E6448B" w:rsidTr="00A73773">
        <w:trPr>
          <w:cantSplit/>
        </w:trPr>
        <w:tc>
          <w:tcPr>
            <w:tcW w:w="2427" w:type="pct"/>
          </w:tcPr>
          <w:p w:rsidR="000A53DF" w:rsidRPr="00E6448B" w:rsidRDefault="000A53DF" w:rsidP="00DD098E">
            <w:pPr>
              <w:jc w:val="both"/>
              <w:rPr>
                <w:rFonts w:eastAsia="Calibri"/>
                <w:sz w:val="20"/>
              </w:rPr>
            </w:pPr>
            <w:r w:rsidRPr="00E6448B">
              <w:rPr>
                <w:rFonts w:eastAsia="Calibri"/>
                <w:sz w:val="20"/>
              </w:rPr>
              <w:t>April 1, 2011</w:t>
            </w:r>
          </w:p>
          <w:p w:rsidR="000A53DF" w:rsidRPr="00E6448B" w:rsidRDefault="000A53DF" w:rsidP="00DD098E">
            <w:pPr>
              <w:jc w:val="both"/>
              <w:rPr>
                <w:rFonts w:eastAsia="Calibri"/>
                <w:sz w:val="20"/>
              </w:rPr>
            </w:pPr>
            <w:r w:rsidRPr="00E6448B">
              <w:rPr>
                <w:rFonts w:eastAsia="Calibri"/>
                <w:sz w:val="20"/>
              </w:rPr>
              <w:t>Supreme Court of Canada</w:t>
            </w:r>
          </w:p>
        </w:tc>
        <w:tc>
          <w:tcPr>
            <w:tcW w:w="243" w:type="pct"/>
          </w:tcPr>
          <w:p w:rsidR="000A53DF" w:rsidRPr="00E6448B" w:rsidRDefault="000A53DF" w:rsidP="00DD098E">
            <w:pPr>
              <w:jc w:val="both"/>
              <w:rPr>
                <w:rFonts w:eastAsia="Calibri"/>
                <w:sz w:val="20"/>
              </w:rPr>
            </w:pPr>
          </w:p>
        </w:tc>
        <w:tc>
          <w:tcPr>
            <w:tcW w:w="2330" w:type="pct"/>
          </w:tcPr>
          <w:p w:rsidR="000A53DF" w:rsidRPr="00E6448B" w:rsidRDefault="000A53DF" w:rsidP="00DD098E">
            <w:pPr>
              <w:jc w:val="both"/>
              <w:rPr>
                <w:rFonts w:eastAsia="Calibri"/>
                <w:sz w:val="20"/>
              </w:rPr>
            </w:pPr>
            <w:r w:rsidRPr="00E6448B">
              <w:rPr>
                <w:rFonts w:eastAsia="Calibri"/>
                <w:sz w:val="20"/>
              </w:rPr>
              <w:t>Application for leave to appeal filed</w:t>
            </w:r>
          </w:p>
          <w:p w:rsidR="000A53DF" w:rsidRPr="00E6448B" w:rsidRDefault="000A53DF" w:rsidP="00DD098E">
            <w:pPr>
              <w:jc w:val="both"/>
              <w:rPr>
                <w:rFonts w:eastAsia="Calibri"/>
                <w:sz w:val="20"/>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66"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A53DF" w:rsidRPr="00A77989" w:rsidTr="00DD098E">
        <w:tc>
          <w:tcPr>
            <w:tcW w:w="5000" w:type="pct"/>
            <w:gridSpan w:val="3"/>
          </w:tcPr>
          <w:p w:rsidR="000A53DF" w:rsidRPr="00E6448B" w:rsidRDefault="000A53DF" w:rsidP="00DD098E">
            <w:pPr>
              <w:jc w:val="both"/>
              <w:rPr>
                <w:rFonts w:eastAsia="Calibri"/>
                <w:sz w:val="20"/>
                <w:lang w:val="fr-CA"/>
              </w:rPr>
            </w:pPr>
            <w:r w:rsidRPr="00E6448B">
              <w:rPr>
                <w:rFonts w:eastAsia="Calibri"/>
                <w:sz w:val="20"/>
                <w:lang w:val="fr-CA"/>
              </w:rPr>
              <w:t>Droit criminel — Fraude fiscale — La Cour d'appel a-t-elle eu tort de rejeter la demande d'autorisation d'appel au motif qu'il n'y a pas eu de déni de justice?</w:t>
            </w:r>
          </w:p>
          <w:p w:rsidR="000A53DF" w:rsidRPr="00E6448B" w:rsidRDefault="000A53DF" w:rsidP="00DD098E">
            <w:pPr>
              <w:jc w:val="both"/>
              <w:rPr>
                <w:rFonts w:eastAsia="Calibri"/>
                <w:sz w:val="20"/>
                <w:lang w:val="fr-CA"/>
              </w:rPr>
            </w:pPr>
          </w:p>
        </w:tc>
      </w:tr>
      <w:tr w:rsidR="000A53DF" w:rsidRPr="00E6448B" w:rsidTr="00DD098E">
        <w:tc>
          <w:tcPr>
            <w:tcW w:w="5000" w:type="pct"/>
            <w:gridSpan w:val="3"/>
          </w:tcPr>
          <w:p w:rsidR="000A53DF" w:rsidRPr="00E6448B" w:rsidRDefault="000A53DF" w:rsidP="00DD098E">
            <w:pPr>
              <w:jc w:val="both"/>
              <w:rPr>
                <w:rFonts w:eastAsia="Calibri"/>
                <w:sz w:val="20"/>
                <w:lang w:val="fr-CA"/>
              </w:rPr>
            </w:pPr>
            <w:r w:rsidRPr="00E6448B">
              <w:rPr>
                <w:rFonts w:eastAsia="Calibri"/>
                <w:sz w:val="20"/>
                <w:lang w:val="fr-CA"/>
              </w:rPr>
              <w:t>Le demandeur était agent immobilier. Il a été accusé sous trois chefs d'avoir illégalement fait des déclarations fausses ou trompeuses, ou d’avoir participé, consenti ou acquiescé à leur énonciation dans ses relevés d'impôt sur le revenu des particuliers T1 pour les années d'imposition 1999, 2000 et 2001 en déclarant 148 000 $ en moins de ses commissions de courtage pour ces années.  Il a également été accusé d'avoir éludé le paiement de l'impôt pour un montant de 24 000 $ pendant ces années en déclarant ainsi en moins son revenu.  Enfin, il a été accusé d'avoir sciemment omis de percevoir et de verser un montant brut de TPS de 19 000 $ pour ces années.  Le juge du procès l’a déclaré coupable sous tous les chefs et lui a ordonné de payer 100 % du montant dû.  La cour d'appel en matière de poursuites sommaires a rejeté l'appel de la déclaration de culpabilité, mais a réduit la peine à 50 % du montant dû.  La Cour d'appel a refusé l'autorisation d'appel en l’espèce.</w:t>
            </w:r>
          </w:p>
          <w:p w:rsidR="000A53DF" w:rsidRPr="00E6448B" w:rsidRDefault="000A53DF" w:rsidP="00DD098E">
            <w:pPr>
              <w:jc w:val="both"/>
              <w:rPr>
                <w:rFonts w:eastAsia="Calibri"/>
                <w:sz w:val="20"/>
                <w:lang w:val="fr-CA"/>
              </w:rPr>
            </w:pPr>
          </w:p>
        </w:tc>
      </w:tr>
      <w:tr w:rsidR="000A53DF" w:rsidRPr="00A77989" w:rsidTr="00DD098E">
        <w:tc>
          <w:tcPr>
            <w:tcW w:w="2427" w:type="pct"/>
          </w:tcPr>
          <w:p w:rsidR="000A53DF" w:rsidRPr="00E6448B" w:rsidRDefault="000A53DF" w:rsidP="00DD098E">
            <w:pPr>
              <w:jc w:val="both"/>
              <w:rPr>
                <w:rFonts w:eastAsia="Calibri"/>
                <w:sz w:val="20"/>
                <w:lang w:val="fr-CA"/>
              </w:rPr>
            </w:pPr>
            <w:r w:rsidRPr="00E6448B">
              <w:rPr>
                <w:rFonts w:eastAsia="Calibri"/>
                <w:sz w:val="20"/>
                <w:lang w:val="fr-CA"/>
              </w:rPr>
              <w:t>23 novembre 2007</w:t>
            </w:r>
          </w:p>
          <w:p w:rsidR="000A53DF" w:rsidRPr="00E6448B" w:rsidRDefault="000A53DF" w:rsidP="00DD098E">
            <w:pPr>
              <w:jc w:val="both"/>
              <w:rPr>
                <w:rFonts w:eastAsia="Calibri"/>
                <w:sz w:val="20"/>
                <w:lang w:val="fr-CA"/>
              </w:rPr>
            </w:pPr>
            <w:r w:rsidRPr="00E6448B">
              <w:rPr>
                <w:rFonts w:eastAsia="Calibri"/>
                <w:sz w:val="20"/>
                <w:lang w:val="fr-CA"/>
              </w:rPr>
              <w:t xml:space="preserve">Cour de justice de l'Ontario </w:t>
            </w:r>
          </w:p>
          <w:p w:rsidR="000A53DF" w:rsidRPr="00E6448B" w:rsidRDefault="000A53DF" w:rsidP="00DD098E">
            <w:pPr>
              <w:jc w:val="both"/>
              <w:rPr>
                <w:rFonts w:eastAsia="Calibri"/>
                <w:sz w:val="20"/>
                <w:lang w:val="fr-CA"/>
              </w:rPr>
            </w:pPr>
            <w:r w:rsidRPr="00E6448B">
              <w:rPr>
                <w:rFonts w:eastAsia="Calibri"/>
                <w:sz w:val="20"/>
                <w:lang w:val="fr-CA"/>
              </w:rPr>
              <w:t>(Juge Cowan)</w:t>
            </w:r>
          </w:p>
          <w:p w:rsidR="000A53DF" w:rsidRPr="00E6448B" w:rsidRDefault="000A53DF" w:rsidP="00DD098E">
            <w:pPr>
              <w:jc w:val="both"/>
              <w:rPr>
                <w:rFonts w:eastAsia="Calibri"/>
                <w:sz w:val="20"/>
                <w:lang w:val="fr-CA"/>
              </w:rPr>
            </w:pPr>
          </w:p>
        </w:tc>
        <w:tc>
          <w:tcPr>
            <w:tcW w:w="243" w:type="pct"/>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Coupable sous trois chefs d'avoir fait de fausses déclarations sur des formules d'impôt sur le revenu, contrairement à l’al. 239(1)a) de la</w:t>
            </w:r>
            <w:r w:rsidRPr="00E6448B">
              <w:rPr>
                <w:rFonts w:eastAsia="Calibri"/>
                <w:i/>
                <w:sz w:val="20"/>
                <w:lang w:val="fr-CA"/>
              </w:rPr>
              <w:t xml:space="preserve"> Loi de l'impôt sur le revenu</w:t>
            </w:r>
            <w:r w:rsidRPr="00E6448B">
              <w:rPr>
                <w:rFonts w:eastAsia="Calibri"/>
                <w:sz w:val="20"/>
                <w:lang w:val="fr-CA"/>
              </w:rPr>
              <w:t>, coupable d'avoir éludé le paiement de l'impôt, contrairement à l’al. 239(1)d) de la</w:t>
            </w:r>
            <w:r w:rsidRPr="00E6448B">
              <w:rPr>
                <w:rFonts w:eastAsia="Calibri"/>
                <w:i/>
                <w:sz w:val="20"/>
                <w:lang w:val="fr-CA"/>
              </w:rPr>
              <w:t xml:space="preserve"> Loi de l'impôt sur le revenu</w:t>
            </w:r>
            <w:r w:rsidRPr="00E6448B">
              <w:rPr>
                <w:rFonts w:eastAsia="Calibri"/>
                <w:sz w:val="20"/>
                <w:lang w:val="fr-CA"/>
              </w:rPr>
              <w:t xml:space="preserve"> et coupable d'avoir sciemment omis de percevoir et de verser la TPS, contrairement à l’al. 327(1)c) de la</w:t>
            </w:r>
            <w:r w:rsidRPr="00E6448B">
              <w:rPr>
                <w:rFonts w:eastAsia="Calibri"/>
                <w:i/>
                <w:sz w:val="20"/>
                <w:lang w:val="fr-CA"/>
              </w:rPr>
              <w:t xml:space="preserve"> Loi sur la taxe d'accise</w:t>
            </w:r>
            <w:r w:rsidRPr="00E6448B">
              <w:rPr>
                <w:rFonts w:eastAsia="Calibri"/>
                <w:sz w:val="20"/>
                <w:lang w:val="fr-CA"/>
              </w:rPr>
              <w:t>.</w:t>
            </w:r>
          </w:p>
          <w:p w:rsidR="000A53DF" w:rsidRPr="00E6448B" w:rsidRDefault="000A53DF" w:rsidP="00DD098E">
            <w:pPr>
              <w:jc w:val="both"/>
              <w:rPr>
                <w:rFonts w:eastAsia="Calibri"/>
                <w:sz w:val="20"/>
                <w:lang w:val="fr-CA"/>
              </w:rPr>
            </w:pPr>
          </w:p>
        </w:tc>
      </w:tr>
      <w:tr w:rsidR="000A53DF" w:rsidRPr="00A77989" w:rsidTr="00DD098E">
        <w:trPr>
          <w:trHeight w:val="487"/>
        </w:trPr>
        <w:tc>
          <w:tcPr>
            <w:tcW w:w="2427" w:type="pct"/>
          </w:tcPr>
          <w:p w:rsidR="000A53DF" w:rsidRPr="00E6448B" w:rsidRDefault="000A53DF" w:rsidP="00DD098E">
            <w:pPr>
              <w:jc w:val="both"/>
              <w:rPr>
                <w:rFonts w:eastAsia="Calibri"/>
                <w:sz w:val="20"/>
                <w:lang w:val="fr-CA"/>
              </w:rPr>
            </w:pPr>
            <w:r w:rsidRPr="00E6448B">
              <w:rPr>
                <w:rFonts w:eastAsia="Calibri"/>
                <w:sz w:val="20"/>
                <w:lang w:val="fr-CA"/>
              </w:rPr>
              <w:t>22 septembre 2008</w:t>
            </w:r>
          </w:p>
          <w:p w:rsidR="000A53DF" w:rsidRPr="00E6448B" w:rsidRDefault="000A53DF" w:rsidP="00DD098E">
            <w:pPr>
              <w:jc w:val="both"/>
              <w:rPr>
                <w:rFonts w:eastAsia="Calibri"/>
                <w:sz w:val="20"/>
                <w:lang w:val="fr-CA"/>
              </w:rPr>
            </w:pPr>
            <w:r w:rsidRPr="00E6448B">
              <w:rPr>
                <w:rFonts w:eastAsia="Calibri"/>
                <w:sz w:val="20"/>
                <w:lang w:val="fr-CA"/>
              </w:rPr>
              <w:t xml:space="preserve">Cour de justice de l'Ontario </w:t>
            </w:r>
          </w:p>
          <w:p w:rsidR="000A53DF" w:rsidRPr="00E6448B" w:rsidRDefault="000A53DF" w:rsidP="00DD098E">
            <w:pPr>
              <w:jc w:val="both"/>
              <w:rPr>
                <w:rFonts w:eastAsia="Calibri"/>
                <w:sz w:val="20"/>
                <w:lang w:val="fr-CA"/>
              </w:rPr>
            </w:pPr>
            <w:r w:rsidRPr="00E6448B">
              <w:rPr>
                <w:rFonts w:eastAsia="Calibri"/>
                <w:sz w:val="20"/>
                <w:lang w:val="fr-CA"/>
              </w:rPr>
              <w:t>(Juge Corbett)</w:t>
            </w:r>
          </w:p>
          <w:p w:rsidR="000A53DF" w:rsidRPr="00E6448B" w:rsidRDefault="000A53DF" w:rsidP="00DD098E">
            <w:pPr>
              <w:jc w:val="both"/>
              <w:rPr>
                <w:rFonts w:eastAsia="Calibri"/>
                <w:sz w:val="20"/>
                <w:lang w:val="fr-CA"/>
              </w:rPr>
            </w:pPr>
          </w:p>
        </w:tc>
        <w:tc>
          <w:tcPr>
            <w:tcW w:w="243" w:type="pct"/>
            <w:vMerge w:val="restart"/>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 xml:space="preserve">Appel de la déclaration de culpabilité, rejeté. </w:t>
            </w:r>
          </w:p>
          <w:p w:rsidR="000A53DF" w:rsidRPr="00E6448B" w:rsidRDefault="000A53DF" w:rsidP="00DD098E">
            <w:pPr>
              <w:jc w:val="both"/>
              <w:rPr>
                <w:rFonts w:eastAsia="Calibri"/>
                <w:sz w:val="20"/>
                <w:lang w:val="fr-CA"/>
              </w:rPr>
            </w:pPr>
          </w:p>
        </w:tc>
      </w:tr>
      <w:tr w:rsidR="000A53DF" w:rsidRPr="00A77989" w:rsidTr="00DD098E">
        <w:trPr>
          <w:trHeight w:val="486"/>
        </w:trPr>
        <w:tc>
          <w:tcPr>
            <w:tcW w:w="2427" w:type="pct"/>
          </w:tcPr>
          <w:p w:rsidR="000A53DF" w:rsidRPr="00E6448B" w:rsidRDefault="000A53DF" w:rsidP="00DD098E">
            <w:pPr>
              <w:jc w:val="both"/>
              <w:rPr>
                <w:rFonts w:eastAsia="Calibri"/>
                <w:sz w:val="20"/>
                <w:lang w:val="fr-CA"/>
              </w:rPr>
            </w:pPr>
            <w:r w:rsidRPr="00E6448B">
              <w:rPr>
                <w:rFonts w:eastAsia="Calibri"/>
                <w:sz w:val="20"/>
                <w:lang w:val="fr-CA"/>
              </w:rPr>
              <w:t>27 juillet 2009</w:t>
            </w:r>
          </w:p>
          <w:p w:rsidR="000A53DF" w:rsidRPr="00E6448B" w:rsidRDefault="000A53DF" w:rsidP="00DD098E">
            <w:pPr>
              <w:jc w:val="both"/>
              <w:rPr>
                <w:rFonts w:eastAsia="Calibri"/>
                <w:sz w:val="20"/>
                <w:lang w:val="fr-CA"/>
              </w:rPr>
            </w:pPr>
            <w:r w:rsidRPr="00E6448B">
              <w:rPr>
                <w:rFonts w:eastAsia="Calibri"/>
                <w:sz w:val="20"/>
                <w:lang w:val="fr-CA"/>
              </w:rPr>
              <w:t xml:space="preserve">Cour de justice de l'Ontario </w:t>
            </w:r>
          </w:p>
          <w:p w:rsidR="000A53DF" w:rsidRPr="00E6448B" w:rsidRDefault="000A53DF" w:rsidP="00DD098E">
            <w:pPr>
              <w:jc w:val="both"/>
              <w:rPr>
                <w:rFonts w:eastAsia="Calibri"/>
                <w:sz w:val="20"/>
                <w:lang w:val="fr-CA"/>
              </w:rPr>
            </w:pPr>
            <w:r w:rsidRPr="00E6448B">
              <w:rPr>
                <w:rFonts w:eastAsia="Calibri"/>
                <w:sz w:val="20"/>
                <w:lang w:val="fr-CA"/>
              </w:rPr>
              <w:t>(Juge Corbett)</w:t>
            </w:r>
          </w:p>
          <w:p w:rsidR="000A53DF" w:rsidRPr="00E6448B" w:rsidRDefault="000A53DF" w:rsidP="00DD098E">
            <w:pPr>
              <w:jc w:val="both"/>
              <w:rPr>
                <w:rFonts w:eastAsia="Calibri"/>
                <w:sz w:val="20"/>
                <w:lang w:val="fr-CA"/>
              </w:rPr>
            </w:pPr>
          </w:p>
        </w:tc>
        <w:tc>
          <w:tcPr>
            <w:tcW w:w="243" w:type="pct"/>
            <w:vMerge/>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Peine réduite à 50 % de l'impôt éludé</w:t>
            </w:r>
          </w:p>
          <w:p w:rsidR="000A53DF" w:rsidRPr="00E6448B" w:rsidRDefault="000A53DF" w:rsidP="00DD098E">
            <w:pPr>
              <w:jc w:val="both"/>
              <w:rPr>
                <w:rFonts w:eastAsia="Calibri"/>
                <w:sz w:val="20"/>
                <w:lang w:val="fr-CA"/>
              </w:rPr>
            </w:pPr>
          </w:p>
        </w:tc>
      </w:tr>
      <w:tr w:rsidR="000A53DF" w:rsidRPr="00E6448B" w:rsidTr="00DD098E">
        <w:tc>
          <w:tcPr>
            <w:tcW w:w="2427" w:type="pct"/>
          </w:tcPr>
          <w:p w:rsidR="000A53DF" w:rsidRPr="00E6448B" w:rsidRDefault="000A53DF" w:rsidP="00DD098E">
            <w:pPr>
              <w:jc w:val="both"/>
              <w:rPr>
                <w:rFonts w:eastAsia="Calibri"/>
                <w:sz w:val="20"/>
                <w:lang w:val="fr-CA"/>
              </w:rPr>
            </w:pPr>
            <w:r w:rsidRPr="00E6448B">
              <w:rPr>
                <w:rFonts w:eastAsia="Calibri"/>
                <w:sz w:val="20"/>
                <w:lang w:val="fr-CA"/>
              </w:rPr>
              <w:t>7 février 2011</w:t>
            </w:r>
          </w:p>
          <w:p w:rsidR="000A53DF" w:rsidRPr="00E6448B" w:rsidRDefault="000A53DF" w:rsidP="00DD098E">
            <w:pPr>
              <w:jc w:val="both"/>
              <w:rPr>
                <w:rFonts w:eastAsia="Calibri"/>
                <w:sz w:val="20"/>
                <w:lang w:val="fr-CA"/>
              </w:rPr>
            </w:pPr>
            <w:r w:rsidRPr="00E6448B">
              <w:rPr>
                <w:rFonts w:eastAsia="Calibri"/>
                <w:sz w:val="20"/>
                <w:lang w:val="fr-CA"/>
              </w:rPr>
              <w:t>Cour d'appel de l'Ontario</w:t>
            </w:r>
          </w:p>
          <w:p w:rsidR="000A53DF" w:rsidRPr="00E6448B" w:rsidRDefault="000A53DF" w:rsidP="00DD098E">
            <w:pPr>
              <w:jc w:val="both"/>
              <w:rPr>
                <w:rFonts w:eastAsia="Calibri"/>
                <w:sz w:val="20"/>
                <w:lang w:val="fr-CA"/>
              </w:rPr>
            </w:pPr>
            <w:r w:rsidRPr="00E6448B">
              <w:rPr>
                <w:rFonts w:eastAsia="Calibri"/>
                <w:sz w:val="20"/>
                <w:lang w:val="fr-CA"/>
              </w:rPr>
              <w:t>(Juges MacPherson, Blair et Rouleau)</w:t>
            </w:r>
          </w:p>
          <w:p w:rsidR="000A53DF" w:rsidRPr="00E6448B" w:rsidRDefault="000A53DF" w:rsidP="00DD098E">
            <w:pPr>
              <w:jc w:val="both"/>
              <w:rPr>
                <w:rFonts w:eastAsia="Calibri"/>
                <w:sz w:val="20"/>
                <w:lang w:val="fr-CA"/>
              </w:rPr>
            </w:pPr>
          </w:p>
        </w:tc>
        <w:tc>
          <w:tcPr>
            <w:tcW w:w="243" w:type="pct"/>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Demande d'autorisation d'appel, rejetée.</w:t>
            </w:r>
          </w:p>
          <w:p w:rsidR="000A53DF" w:rsidRPr="00E6448B" w:rsidRDefault="000A53DF" w:rsidP="00DD098E">
            <w:pPr>
              <w:jc w:val="both"/>
              <w:rPr>
                <w:rFonts w:eastAsia="Calibri"/>
                <w:sz w:val="20"/>
                <w:lang w:val="fr-CA"/>
              </w:rPr>
            </w:pPr>
          </w:p>
        </w:tc>
      </w:tr>
      <w:tr w:rsidR="000A53DF" w:rsidRPr="00E6448B" w:rsidTr="00A73773">
        <w:trPr>
          <w:cantSplit/>
        </w:trPr>
        <w:tc>
          <w:tcPr>
            <w:tcW w:w="2427" w:type="pct"/>
          </w:tcPr>
          <w:p w:rsidR="000A53DF" w:rsidRPr="00E6448B" w:rsidRDefault="000A53DF" w:rsidP="00DD098E">
            <w:pPr>
              <w:jc w:val="both"/>
              <w:rPr>
                <w:rFonts w:eastAsia="Calibri"/>
                <w:sz w:val="20"/>
                <w:lang w:val="fr-CA"/>
              </w:rPr>
            </w:pPr>
            <w:r w:rsidRPr="00E6448B">
              <w:rPr>
                <w:rFonts w:eastAsia="Calibri"/>
                <w:sz w:val="20"/>
                <w:lang w:val="fr-CA"/>
              </w:rPr>
              <w:lastRenderedPageBreak/>
              <w:t>1</w:t>
            </w:r>
            <w:r w:rsidRPr="00E6448B">
              <w:rPr>
                <w:rFonts w:eastAsia="Calibri"/>
                <w:sz w:val="20"/>
                <w:vertAlign w:val="superscript"/>
                <w:lang w:val="fr-CA"/>
              </w:rPr>
              <w:t>er</w:t>
            </w:r>
            <w:r w:rsidRPr="00E6448B">
              <w:rPr>
                <w:rFonts w:eastAsia="Calibri"/>
                <w:sz w:val="20"/>
                <w:lang w:val="fr-CA"/>
              </w:rPr>
              <w:t xml:space="preserve"> avril 2011</w:t>
            </w:r>
          </w:p>
          <w:p w:rsidR="000A53DF" w:rsidRPr="00E6448B" w:rsidRDefault="000A53DF" w:rsidP="00DD098E">
            <w:pPr>
              <w:jc w:val="both"/>
              <w:rPr>
                <w:rFonts w:eastAsia="Calibri"/>
                <w:sz w:val="20"/>
                <w:lang w:val="fr-CA"/>
              </w:rPr>
            </w:pPr>
            <w:r w:rsidRPr="00E6448B">
              <w:rPr>
                <w:rFonts w:eastAsia="Calibri"/>
                <w:sz w:val="20"/>
                <w:lang w:val="fr-CA"/>
              </w:rPr>
              <w:t>Cour suprême du Canada</w:t>
            </w:r>
          </w:p>
        </w:tc>
        <w:tc>
          <w:tcPr>
            <w:tcW w:w="243" w:type="pct"/>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Demande d'autorisation d'appel, déposée</w:t>
            </w:r>
          </w:p>
          <w:p w:rsidR="000A53DF" w:rsidRPr="00E6448B" w:rsidRDefault="000A53DF" w:rsidP="00DD098E">
            <w:pPr>
              <w:jc w:val="both"/>
              <w:rPr>
                <w:rFonts w:eastAsia="Calibri"/>
                <w:sz w:val="20"/>
                <w:lang w:val="fr-CA"/>
              </w:rPr>
            </w:pP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67" style="width:2in;height:1pt" o:hrpct="0" o:hralign="center" o:hrstd="t" o:hrnoshade="t" o:hr="t" fillcolor="black [3213]" stroked="f"/>
        </w:pict>
      </w:r>
    </w:p>
    <w:p w:rsidR="00FE43CC" w:rsidRDefault="00FE43CC" w:rsidP="00FE43CC">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45978" w:rsidRPr="00345978" w:rsidTr="009C7281">
        <w:trPr>
          <w:cantSplit/>
        </w:trPr>
        <w:tc>
          <w:tcPr>
            <w:tcW w:w="1458" w:type="dxa"/>
          </w:tcPr>
          <w:p w:rsidR="00345978" w:rsidRPr="00345978" w:rsidRDefault="00345978" w:rsidP="009C7281">
            <w:pPr>
              <w:rPr>
                <w:rFonts w:cs="Times New Roman"/>
                <w:sz w:val="20"/>
                <w:szCs w:val="20"/>
              </w:rPr>
            </w:pPr>
            <w:r w:rsidRPr="00345978">
              <w:rPr>
                <w:rStyle w:val="SCCFileNumberChar"/>
                <w:sz w:val="20"/>
                <w:szCs w:val="20"/>
              </w:rPr>
              <w:t>34228</w:t>
            </w:r>
          </w:p>
          <w:p w:rsidR="00345978" w:rsidRPr="00345978" w:rsidRDefault="00345978" w:rsidP="009C7281">
            <w:pPr>
              <w:rPr>
                <w:rFonts w:cs="Times New Roman"/>
                <w:b/>
                <w:sz w:val="20"/>
                <w:szCs w:val="20"/>
                <w:lang w:val="fr-CA"/>
              </w:rPr>
            </w:pPr>
          </w:p>
        </w:tc>
        <w:tc>
          <w:tcPr>
            <w:tcW w:w="8118" w:type="dxa"/>
          </w:tcPr>
          <w:p w:rsidR="00345978" w:rsidRPr="00345978" w:rsidRDefault="00345978" w:rsidP="009C7281">
            <w:pPr>
              <w:rPr>
                <w:rFonts w:cs="Times New Roman"/>
                <w:sz w:val="20"/>
                <w:szCs w:val="20"/>
              </w:rPr>
            </w:pPr>
            <w:r w:rsidRPr="00345978">
              <w:rPr>
                <w:rStyle w:val="SCCLsocChar"/>
                <w:rFonts w:cs="Times New Roman"/>
                <w:sz w:val="20"/>
                <w:szCs w:val="20"/>
                <w:lang w:val="en-CA"/>
              </w:rPr>
              <w:t>Her Majesty the Queen v. Marius Nedelcu</w:t>
            </w:r>
            <w:r w:rsidRPr="00345978">
              <w:rPr>
                <w:rFonts w:cs="Times New Roman"/>
                <w:sz w:val="20"/>
                <w:szCs w:val="20"/>
              </w:rPr>
              <w:t xml:space="preserve"> (Ont.) (Criminal) (By Leave)</w:t>
            </w:r>
          </w:p>
          <w:p w:rsidR="00345978" w:rsidRPr="00345978" w:rsidRDefault="00345978" w:rsidP="009C7281">
            <w:pPr>
              <w:rPr>
                <w:rFonts w:cs="Times New Roman"/>
                <w:sz w:val="20"/>
                <w:szCs w:val="20"/>
              </w:rPr>
            </w:pPr>
          </w:p>
        </w:tc>
      </w:tr>
      <w:tr w:rsidR="00345978" w:rsidRPr="00345978" w:rsidTr="009C7281">
        <w:trPr>
          <w:cantSplit/>
        </w:trPr>
        <w:tc>
          <w:tcPr>
            <w:tcW w:w="1458" w:type="dxa"/>
          </w:tcPr>
          <w:p w:rsidR="00345978" w:rsidRPr="00345978" w:rsidRDefault="00345978" w:rsidP="009C7281">
            <w:pPr>
              <w:rPr>
                <w:rFonts w:cs="Times New Roman"/>
                <w:sz w:val="20"/>
                <w:szCs w:val="20"/>
              </w:rPr>
            </w:pPr>
            <w:r w:rsidRPr="00345978">
              <w:rPr>
                <w:rFonts w:cs="Times New Roman"/>
                <w:sz w:val="20"/>
                <w:szCs w:val="20"/>
              </w:rPr>
              <w:t>Coram :</w:t>
            </w:r>
          </w:p>
        </w:tc>
        <w:tc>
          <w:tcPr>
            <w:tcW w:w="8118" w:type="dxa"/>
          </w:tcPr>
          <w:p w:rsidR="00345978" w:rsidRPr="00345978" w:rsidRDefault="00345978" w:rsidP="009C7281">
            <w:pPr>
              <w:rPr>
                <w:rFonts w:cs="Times New Roman"/>
                <w:sz w:val="20"/>
                <w:szCs w:val="20"/>
              </w:rPr>
            </w:pPr>
            <w:r w:rsidRPr="00345978">
              <w:rPr>
                <w:rStyle w:val="SCCCoramChar"/>
                <w:rFonts w:cs="Times New Roman"/>
                <w:sz w:val="20"/>
                <w:szCs w:val="20"/>
                <w:lang w:val="en-CA"/>
              </w:rPr>
              <w:t>Binnie, Abella and Rothstein JJ.</w:t>
            </w:r>
          </w:p>
          <w:p w:rsidR="00345978" w:rsidRPr="00345978" w:rsidRDefault="00345978" w:rsidP="009C7281">
            <w:pPr>
              <w:rPr>
                <w:rFonts w:cs="Times New Roman"/>
                <w:sz w:val="20"/>
                <w:szCs w:val="20"/>
                <w:u w:val="single"/>
              </w:rPr>
            </w:pPr>
          </w:p>
        </w:tc>
      </w:tr>
      <w:tr w:rsidR="00345978" w:rsidRPr="00345978" w:rsidTr="009C7281">
        <w:trPr>
          <w:cantSplit/>
        </w:trPr>
        <w:tc>
          <w:tcPr>
            <w:tcW w:w="9576" w:type="dxa"/>
            <w:gridSpan w:val="2"/>
          </w:tcPr>
          <w:p w:rsidR="00345978" w:rsidRPr="00345978" w:rsidRDefault="00345978" w:rsidP="009C7281">
            <w:pPr>
              <w:pStyle w:val="SCCShortJudgment"/>
              <w:rPr>
                <w:rFonts w:cs="Times New Roman"/>
                <w:szCs w:val="20"/>
              </w:rPr>
            </w:pPr>
            <w:r w:rsidRPr="00345978">
              <w:rPr>
                <w:rFonts w:cs="Times New Roman"/>
                <w:szCs w:val="20"/>
              </w:rPr>
              <w:t>The motion for an extension of time to serve and file the application for leave to appeal and the application for leave to appeal from the judgment of the Court of Appeal for Ontario, Number C48500, 2011 ONCA 143, dated February 24, 2011, are granted without costs.</w:t>
            </w:r>
          </w:p>
          <w:p w:rsidR="00345978" w:rsidRPr="00345978" w:rsidRDefault="00345978" w:rsidP="009C7281">
            <w:pPr>
              <w:pStyle w:val="SCCShortJudgment"/>
              <w:ind w:firstLine="0"/>
              <w:rPr>
                <w:rFonts w:cs="Times New Roman"/>
                <w:szCs w:val="20"/>
              </w:rPr>
            </w:pPr>
          </w:p>
          <w:p w:rsidR="00345978" w:rsidRPr="00345978" w:rsidRDefault="00345978" w:rsidP="00345978">
            <w:pPr>
              <w:pStyle w:val="SCCShortJudgment"/>
              <w:rPr>
                <w:rFonts w:cs="Times New Roman"/>
                <w:szCs w:val="20"/>
                <w:lang w:val="fr-CA"/>
              </w:rPr>
            </w:pPr>
            <w:r w:rsidRPr="00345978">
              <w:rPr>
                <w:rFonts w:cs="Times New Roman"/>
                <w:szCs w:val="20"/>
                <w:lang w:val="fr-CA"/>
              </w:rPr>
              <w:t>La requête en prorogation du délai de signification et de dépôt de la demande d’autorisation d’appel et la demande d’autorisation d’appel de l’arrêt de la Cour d’appel de l’Ontario, numéro C48500, 2011 ONCA 143, daté du 24 février 2011, sont accordées sans dépens.</w:t>
            </w:r>
          </w:p>
        </w:tc>
      </w:tr>
    </w:tbl>
    <w:p w:rsidR="00345978" w:rsidRPr="00345978" w:rsidRDefault="00345978" w:rsidP="008D292F">
      <w:pPr>
        <w:rPr>
          <w:sz w:val="20"/>
          <w:szCs w:val="20"/>
          <w:lang w:val="fr-CA"/>
        </w:rPr>
      </w:pPr>
    </w:p>
    <w:p w:rsidR="00FE43CC" w:rsidRPr="00FE43CC" w:rsidRDefault="00FE43CC" w:rsidP="00FE43CC">
      <w:pPr>
        <w:rPr>
          <w:sz w:val="20"/>
          <w:szCs w:val="20"/>
        </w:rPr>
      </w:pPr>
      <w:r>
        <w:rPr>
          <w:sz w:val="20"/>
          <w:szCs w:val="20"/>
          <w:u w:val="single"/>
        </w:rPr>
        <w:t>CASE SUMMARY</w:t>
      </w:r>
    </w:p>
    <w:p w:rsidR="00FE43CC" w:rsidRDefault="00FE43CC" w:rsidP="00FE43C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A53DF" w:rsidRPr="00E6448B" w:rsidTr="00DD098E">
        <w:tc>
          <w:tcPr>
            <w:tcW w:w="5000" w:type="pct"/>
            <w:gridSpan w:val="3"/>
          </w:tcPr>
          <w:p w:rsidR="000A53DF" w:rsidRPr="00E6448B" w:rsidRDefault="000A53DF" w:rsidP="00DD098E">
            <w:pPr>
              <w:jc w:val="both"/>
              <w:rPr>
                <w:rFonts w:eastAsia="Calibri"/>
                <w:sz w:val="20"/>
              </w:rPr>
            </w:pPr>
            <w:r w:rsidRPr="00E6448B">
              <w:rPr>
                <w:rFonts w:eastAsia="Calibri"/>
                <w:i/>
                <w:sz w:val="20"/>
              </w:rPr>
              <w:t>Canadian Charter of Rights and Freedoms</w:t>
            </w:r>
            <w:r w:rsidRPr="00E6448B">
              <w:rPr>
                <w:rFonts w:eastAsia="Calibri"/>
                <w:sz w:val="20"/>
              </w:rPr>
              <w:t xml:space="preserve"> — Self Incrimination — Whether s. 13 of the </w:t>
            </w:r>
            <w:r w:rsidRPr="00E6448B">
              <w:rPr>
                <w:rFonts w:eastAsia="Calibri"/>
                <w:i/>
                <w:sz w:val="20"/>
              </w:rPr>
              <w:t>Charter</w:t>
            </w:r>
            <w:r w:rsidRPr="00E6448B">
              <w:rPr>
                <w:rFonts w:eastAsia="Calibri"/>
                <w:sz w:val="20"/>
              </w:rPr>
              <w:t xml:space="preserve"> precludes the use of civil discovery evidence to impeach the credibility of an accused who chooses to testify at his criminal trial</w:t>
            </w:r>
          </w:p>
          <w:p w:rsidR="000A53DF" w:rsidRPr="00E6448B" w:rsidRDefault="000A53DF" w:rsidP="00DD098E">
            <w:pPr>
              <w:jc w:val="both"/>
              <w:rPr>
                <w:rFonts w:eastAsia="Calibri"/>
                <w:sz w:val="20"/>
              </w:rPr>
            </w:pPr>
          </w:p>
        </w:tc>
      </w:tr>
      <w:tr w:rsidR="000A53DF" w:rsidRPr="00E6448B" w:rsidTr="00DD098E">
        <w:tc>
          <w:tcPr>
            <w:tcW w:w="5000" w:type="pct"/>
            <w:gridSpan w:val="3"/>
          </w:tcPr>
          <w:p w:rsidR="000A53DF" w:rsidRPr="00E6448B" w:rsidRDefault="000A53DF" w:rsidP="00DD098E">
            <w:pPr>
              <w:jc w:val="both"/>
              <w:rPr>
                <w:rFonts w:eastAsia="Calibri"/>
                <w:sz w:val="20"/>
              </w:rPr>
            </w:pPr>
            <w:r w:rsidRPr="00E6448B">
              <w:rPr>
                <w:rFonts w:eastAsia="Calibri"/>
                <w:sz w:val="20"/>
              </w:rPr>
              <w:t xml:space="preserve">The respondent and the victim worked together.  After work, the respondent took the victim for a ride on his motorcycle on the property of their employer.  The victim was not wearing a helmet and was ejected from the back of the bike when the vehicle crashed.  The victim suffered permanent brain damage.  The respondent was charged with dangerous driving causing bodily harm and impaired driving causing bodily harm.  The respondent was also sued in a civil action by the victim and his family.  He was examined for discovery as part of those proceedings. In discovery, he testified that he had no memory of the events that day from 5pm to the following day at 11am when he woke up in hospital.  Fourteen months later at his criminal trial, however, he gave a detailed account of the accident and the events preceding it.  He testified that he recalled about 90 to 95 percent of what occurred the day of the accident.  The applicant Crown sought leave to cross examine the respondent on his discovery evidence.  A </w:t>
            </w:r>
            <w:r w:rsidRPr="00E6448B">
              <w:rPr>
                <w:rFonts w:eastAsia="Calibri"/>
                <w:i/>
                <w:sz w:val="20"/>
              </w:rPr>
              <w:t>voir dire</w:t>
            </w:r>
            <w:r w:rsidRPr="00E6448B">
              <w:rPr>
                <w:rFonts w:eastAsia="Calibri"/>
                <w:sz w:val="20"/>
              </w:rPr>
              <w:t xml:space="preserve"> followed and the trial judge ruled that the discovery evidence could be put to the respondent for the purpose of impeaching his credibility. </w:t>
            </w:r>
          </w:p>
          <w:p w:rsidR="000A53DF" w:rsidRPr="00E6448B" w:rsidRDefault="000A53DF" w:rsidP="00DD098E">
            <w:pPr>
              <w:jc w:val="both"/>
              <w:rPr>
                <w:rFonts w:eastAsia="Calibri"/>
                <w:sz w:val="20"/>
              </w:rPr>
            </w:pPr>
          </w:p>
        </w:tc>
      </w:tr>
      <w:tr w:rsidR="000A53DF" w:rsidRPr="00E6448B" w:rsidTr="00DD098E">
        <w:trPr>
          <w:trHeight w:val="546"/>
        </w:trPr>
        <w:tc>
          <w:tcPr>
            <w:tcW w:w="2427" w:type="pct"/>
          </w:tcPr>
          <w:p w:rsidR="000A53DF" w:rsidRPr="00E6448B" w:rsidRDefault="000A53DF" w:rsidP="00DD098E">
            <w:pPr>
              <w:jc w:val="both"/>
              <w:rPr>
                <w:rFonts w:eastAsia="Calibri"/>
                <w:sz w:val="20"/>
              </w:rPr>
            </w:pPr>
            <w:r w:rsidRPr="00E6448B">
              <w:rPr>
                <w:rFonts w:eastAsia="Calibri"/>
                <w:sz w:val="20"/>
              </w:rPr>
              <w:t>March 26, 2007</w:t>
            </w:r>
          </w:p>
          <w:p w:rsidR="000A53DF" w:rsidRPr="00E6448B" w:rsidRDefault="000A53DF" w:rsidP="00DD098E">
            <w:pPr>
              <w:jc w:val="both"/>
              <w:rPr>
                <w:rFonts w:eastAsia="Calibri"/>
                <w:sz w:val="20"/>
              </w:rPr>
            </w:pPr>
            <w:r w:rsidRPr="00E6448B">
              <w:rPr>
                <w:rFonts w:eastAsia="Calibri"/>
                <w:sz w:val="20"/>
              </w:rPr>
              <w:t>Ontario Superior Court of Justice</w:t>
            </w:r>
          </w:p>
          <w:p w:rsidR="000A53DF" w:rsidRPr="00E6448B" w:rsidRDefault="000A53DF" w:rsidP="00DD098E">
            <w:pPr>
              <w:jc w:val="both"/>
              <w:rPr>
                <w:rFonts w:eastAsia="Calibri"/>
                <w:sz w:val="20"/>
              </w:rPr>
            </w:pPr>
            <w:r w:rsidRPr="00E6448B">
              <w:rPr>
                <w:rFonts w:eastAsia="Calibri"/>
                <w:sz w:val="20"/>
              </w:rPr>
              <w:t>(O’Connor J.)</w:t>
            </w:r>
          </w:p>
          <w:p w:rsidR="000A53DF" w:rsidRPr="00E6448B" w:rsidRDefault="000A53DF" w:rsidP="00DD098E">
            <w:pPr>
              <w:jc w:val="both"/>
              <w:rPr>
                <w:rFonts w:eastAsia="Calibri"/>
                <w:sz w:val="20"/>
              </w:rPr>
            </w:pPr>
          </w:p>
        </w:tc>
        <w:tc>
          <w:tcPr>
            <w:tcW w:w="243" w:type="pct"/>
            <w:vMerge w:val="restart"/>
          </w:tcPr>
          <w:p w:rsidR="000A53DF" w:rsidRPr="00E6448B" w:rsidRDefault="000A53DF" w:rsidP="00DD098E">
            <w:pPr>
              <w:jc w:val="both"/>
              <w:rPr>
                <w:rFonts w:eastAsia="Calibri"/>
                <w:sz w:val="20"/>
              </w:rPr>
            </w:pPr>
          </w:p>
        </w:tc>
        <w:tc>
          <w:tcPr>
            <w:tcW w:w="2330" w:type="pct"/>
          </w:tcPr>
          <w:p w:rsidR="000A53DF" w:rsidRPr="00E6448B" w:rsidRDefault="000A53DF" w:rsidP="00DD098E">
            <w:pPr>
              <w:jc w:val="both"/>
              <w:rPr>
                <w:rFonts w:eastAsia="Calibri"/>
                <w:sz w:val="20"/>
              </w:rPr>
            </w:pPr>
            <w:r w:rsidRPr="00E6448B">
              <w:rPr>
                <w:rFonts w:eastAsia="Calibri"/>
                <w:sz w:val="20"/>
              </w:rPr>
              <w:t>Crown application to introduce the respondent’s discovery evidence in a related civil action for the purposes of impeaching his credibility in the criminal trial granted</w:t>
            </w:r>
          </w:p>
          <w:p w:rsidR="000A53DF" w:rsidRPr="00E6448B" w:rsidRDefault="000A53DF" w:rsidP="00DD098E">
            <w:pPr>
              <w:jc w:val="both"/>
              <w:rPr>
                <w:rFonts w:eastAsia="Calibri"/>
                <w:sz w:val="20"/>
              </w:rPr>
            </w:pPr>
          </w:p>
        </w:tc>
      </w:tr>
      <w:tr w:rsidR="000A53DF" w:rsidRPr="00E6448B" w:rsidTr="00DD098E">
        <w:trPr>
          <w:trHeight w:val="546"/>
        </w:trPr>
        <w:tc>
          <w:tcPr>
            <w:tcW w:w="2427" w:type="pct"/>
          </w:tcPr>
          <w:p w:rsidR="000A53DF" w:rsidRPr="00E6448B" w:rsidRDefault="000A53DF" w:rsidP="00DD098E">
            <w:pPr>
              <w:jc w:val="both"/>
              <w:rPr>
                <w:rFonts w:eastAsia="Calibri"/>
                <w:sz w:val="20"/>
              </w:rPr>
            </w:pPr>
            <w:r w:rsidRPr="00E6448B">
              <w:rPr>
                <w:rFonts w:eastAsia="Calibri"/>
                <w:sz w:val="20"/>
              </w:rPr>
              <w:t>December 14, 2007</w:t>
            </w:r>
          </w:p>
          <w:p w:rsidR="000A53DF" w:rsidRPr="00E6448B" w:rsidRDefault="000A53DF" w:rsidP="00DD098E">
            <w:pPr>
              <w:jc w:val="both"/>
              <w:rPr>
                <w:rFonts w:eastAsia="Calibri"/>
                <w:sz w:val="20"/>
              </w:rPr>
            </w:pPr>
            <w:r w:rsidRPr="00E6448B">
              <w:rPr>
                <w:rFonts w:eastAsia="Calibri"/>
                <w:sz w:val="20"/>
              </w:rPr>
              <w:t>Ontario Superior Court of Justice</w:t>
            </w:r>
          </w:p>
          <w:p w:rsidR="000A53DF" w:rsidRPr="00E6448B" w:rsidRDefault="000A53DF" w:rsidP="00DD098E">
            <w:pPr>
              <w:jc w:val="both"/>
              <w:rPr>
                <w:rFonts w:eastAsia="Calibri"/>
                <w:sz w:val="20"/>
              </w:rPr>
            </w:pPr>
            <w:r w:rsidRPr="00E6448B">
              <w:rPr>
                <w:rFonts w:eastAsia="Calibri"/>
                <w:sz w:val="20"/>
              </w:rPr>
              <w:t>(O’Connor J.)</w:t>
            </w:r>
          </w:p>
          <w:p w:rsidR="000A53DF" w:rsidRPr="00E6448B" w:rsidRDefault="000A53DF" w:rsidP="00DD098E">
            <w:pPr>
              <w:jc w:val="both"/>
              <w:rPr>
                <w:rFonts w:eastAsia="Calibri"/>
                <w:sz w:val="20"/>
              </w:rPr>
            </w:pPr>
          </w:p>
        </w:tc>
        <w:tc>
          <w:tcPr>
            <w:tcW w:w="243" w:type="pct"/>
            <w:vMerge/>
          </w:tcPr>
          <w:p w:rsidR="000A53DF" w:rsidRPr="00E6448B" w:rsidRDefault="000A53DF" w:rsidP="00DD098E">
            <w:pPr>
              <w:jc w:val="both"/>
              <w:rPr>
                <w:rFonts w:eastAsia="Calibri"/>
                <w:sz w:val="20"/>
              </w:rPr>
            </w:pPr>
          </w:p>
        </w:tc>
        <w:tc>
          <w:tcPr>
            <w:tcW w:w="2330" w:type="pct"/>
          </w:tcPr>
          <w:p w:rsidR="000A53DF" w:rsidRPr="00E6448B" w:rsidRDefault="000A53DF" w:rsidP="00DD098E">
            <w:pPr>
              <w:jc w:val="both"/>
              <w:rPr>
                <w:rFonts w:eastAsia="Calibri"/>
                <w:sz w:val="20"/>
              </w:rPr>
            </w:pPr>
            <w:r w:rsidRPr="00E6448B">
              <w:rPr>
                <w:rFonts w:eastAsia="Calibri"/>
                <w:sz w:val="20"/>
              </w:rPr>
              <w:t>Respondent found guilty of dangerous driving causing bodily harm and not guilty of impaired driving causing bodily harm</w:t>
            </w:r>
          </w:p>
          <w:p w:rsidR="000A53DF" w:rsidRPr="00E6448B" w:rsidRDefault="000A53DF" w:rsidP="00DD098E">
            <w:pPr>
              <w:jc w:val="both"/>
              <w:rPr>
                <w:rFonts w:eastAsia="Calibri"/>
                <w:sz w:val="20"/>
              </w:rPr>
            </w:pPr>
          </w:p>
        </w:tc>
      </w:tr>
      <w:tr w:rsidR="000A53DF" w:rsidRPr="00E6448B" w:rsidTr="00DD098E">
        <w:tc>
          <w:tcPr>
            <w:tcW w:w="2427" w:type="pct"/>
          </w:tcPr>
          <w:p w:rsidR="000A53DF" w:rsidRPr="00E6448B" w:rsidRDefault="000A53DF" w:rsidP="00DD098E">
            <w:pPr>
              <w:jc w:val="both"/>
              <w:rPr>
                <w:rFonts w:eastAsia="Calibri"/>
                <w:sz w:val="20"/>
              </w:rPr>
            </w:pPr>
            <w:r w:rsidRPr="00E6448B">
              <w:rPr>
                <w:rFonts w:eastAsia="Calibri"/>
                <w:sz w:val="20"/>
              </w:rPr>
              <w:t>February 24, 2011</w:t>
            </w:r>
          </w:p>
          <w:p w:rsidR="000A53DF" w:rsidRPr="00E6448B" w:rsidRDefault="000A53DF" w:rsidP="00DD098E">
            <w:pPr>
              <w:jc w:val="both"/>
              <w:rPr>
                <w:rFonts w:eastAsia="Calibri"/>
                <w:sz w:val="20"/>
              </w:rPr>
            </w:pPr>
            <w:r w:rsidRPr="00E6448B">
              <w:rPr>
                <w:rFonts w:eastAsia="Calibri"/>
                <w:sz w:val="20"/>
              </w:rPr>
              <w:t>Court of Appeal for Ontario</w:t>
            </w:r>
          </w:p>
          <w:p w:rsidR="000A53DF" w:rsidRPr="00E6448B" w:rsidRDefault="000A53DF" w:rsidP="00DD098E">
            <w:pPr>
              <w:jc w:val="both"/>
              <w:rPr>
                <w:rFonts w:eastAsia="Calibri"/>
                <w:sz w:val="20"/>
              </w:rPr>
            </w:pPr>
            <w:r w:rsidRPr="00E6448B">
              <w:rPr>
                <w:rFonts w:eastAsia="Calibri"/>
                <w:sz w:val="20"/>
              </w:rPr>
              <w:t>(Weiler, MacPherson, and Armstrong JJ.A.)</w:t>
            </w:r>
          </w:p>
          <w:p w:rsidR="000A53DF" w:rsidRPr="00E6448B" w:rsidRDefault="000A53DF" w:rsidP="00DD098E">
            <w:pPr>
              <w:jc w:val="both"/>
              <w:rPr>
                <w:rFonts w:eastAsia="Calibri"/>
                <w:sz w:val="20"/>
              </w:rPr>
            </w:pPr>
            <w:r w:rsidRPr="00E6448B">
              <w:rPr>
                <w:rFonts w:eastAsia="Calibri"/>
                <w:sz w:val="20"/>
              </w:rPr>
              <w:t>Neutral citation: 2011 ONCA 143</w:t>
            </w:r>
          </w:p>
          <w:p w:rsidR="000A53DF" w:rsidRPr="00E6448B" w:rsidRDefault="000A53DF" w:rsidP="00DD098E">
            <w:pPr>
              <w:jc w:val="both"/>
              <w:rPr>
                <w:rFonts w:eastAsia="Calibri"/>
                <w:sz w:val="20"/>
              </w:rPr>
            </w:pPr>
          </w:p>
        </w:tc>
        <w:tc>
          <w:tcPr>
            <w:tcW w:w="243" w:type="pct"/>
          </w:tcPr>
          <w:p w:rsidR="000A53DF" w:rsidRPr="00E6448B" w:rsidRDefault="000A53DF" w:rsidP="00DD098E">
            <w:pPr>
              <w:jc w:val="both"/>
              <w:rPr>
                <w:rFonts w:eastAsia="Calibri"/>
                <w:sz w:val="20"/>
              </w:rPr>
            </w:pPr>
          </w:p>
        </w:tc>
        <w:tc>
          <w:tcPr>
            <w:tcW w:w="2330" w:type="pct"/>
          </w:tcPr>
          <w:p w:rsidR="000A53DF" w:rsidRPr="00E6448B" w:rsidRDefault="000A53DF" w:rsidP="00DD098E">
            <w:pPr>
              <w:jc w:val="both"/>
              <w:rPr>
                <w:rFonts w:eastAsia="Calibri"/>
                <w:sz w:val="20"/>
              </w:rPr>
            </w:pPr>
            <w:r w:rsidRPr="00E6448B">
              <w:rPr>
                <w:rFonts w:eastAsia="Calibri"/>
                <w:sz w:val="20"/>
              </w:rPr>
              <w:t>Appeal allowed, conviction set aside and new trial ordered</w:t>
            </w:r>
          </w:p>
          <w:p w:rsidR="000A53DF" w:rsidRPr="00E6448B" w:rsidRDefault="000A53DF" w:rsidP="00DD098E">
            <w:pPr>
              <w:jc w:val="both"/>
              <w:rPr>
                <w:rFonts w:eastAsia="Calibri"/>
                <w:sz w:val="20"/>
              </w:rPr>
            </w:pPr>
          </w:p>
        </w:tc>
      </w:tr>
      <w:tr w:rsidR="000A53DF" w:rsidRPr="00E6448B" w:rsidTr="00A73773">
        <w:trPr>
          <w:cantSplit/>
        </w:trPr>
        <w:tc>
          <w:tcPr>
            <w:tcW w:w="2427" w:type="pct"/>
          </w:tcPr>
          <w:p w:rsidR="000A53DF" w:rsidRPr="00E6448B" w:rsidRDefault="000A53DF" w:rsidP="00DD098E">
            <w:pPr>
              <w:jc w:val="both"/>
              <w:rPr>
                <w:rFonts w:eastAsia="Calibri"/>
                <w:sz w:val="20"/>
              </w:rPr>
            </w:pPr>
            <w:r w:rsidRPr="00E6448B">
              <w:rPr>
                <w:rFonts w:eastAsia="Calibri"/>
                <w:sz w:val="20"/>
              </w:rPr>
              <w:lastRenderedPageBreak/>
              <w:t>May 2, 2011</w:t>
            </w:r>
          </w:p>
          <w:p w:rsidR="000A53DF" w:rsidRPr="00E6448B" w:rsidRDefault="000A53DF" w:rsidP="00DD098E">
            <w:pPr>
              <w:jc w:val="both"/>
              <w:rPr>
                <w:rFonts w:eastAsia="Calibri"/>
                <w:sz w:val="20"/>
              </w:rPr>
            </w:pPr>
            <w:r w:rsidRPr="00E6448B">
              <w:rPr>
                <w:rFonts w:eastAsia="Calibri"/>
                <w:sz w:val="20"/>
              </w:rPr>
              <w:t>Supreme Court of Canada</w:t>
            </w:r>
          </w:p>
          <w:p w:rsidR="000A53DF" w:rsidRPr="00E6448B" w:rsidRDefault="000A53DF" w:rsidP="00DD098E">
            <w:pPr>
              <w:jc w:val="both"/>
              <w:rPr>
                <w:rFonts w:eastAsia="Calibri"/>
                <w:sz w:val="20"/>
              </w:rPr>
            </w:pPr>
          </w:p>
        </w:tc>
        <w:tc>
          <w:tcPr>
            <w:tcW w:w="243" w:type="pct"/>
          </w:tcPr>
          <w:p w:rsidR="000A53DF" w:rsidRPr="00E6448B" w:rsidRDefault="000A53DF" w:rsidP="00DD098E">
            <w:pPr>
              <w:jc w:val="both"/>
              <w:rPr>
                <w:rFonts w:eastAsia="Calibri"/>
                <w:sz w:val="20"/>
              </w:rPr>
            </w:pPr>
          </w:p>
        </w:tc>
        <w:tc>
          <w:tcPr>
            <w:tcW w:w="2330" w:type="pct"/>
          </w:tcPr>
          <w:p w:rsidR="000A53DF" w:rsidRPr="00E6448B" w:rsidRDefault="000A53DF" w:rsidP="00DD098E">
            <w:pPr>
              <w:jc w:val="both"/>
              <w:rPr>
                <w:rFonts w:eastAsia="Calibri"/>
                <w:sz w:val="20"/>
              </w:rPr>
            </w:pPr>
            <w:r w:rsidRPr="00E6448B">
              <w:rPr>
                <w:rFonts w:eastAsia="Calibri"/>
                <w:sz w:val="20"/>
              </w:rPr>
              <w:t>Motion for extension of time to file and/or serve the application for leave to appeal</w:t>
            </w:r>
          </w:p>
          <w:p w:rsidR="000A53DF" w:rsidRPr="00E6448B" w:rsidRDefault="000A53DF" w:rsidP="00DD098E">
            <w:pPr>
              <w:jc w:val="both"/>
              <w:rPr>
                <w:rFonts w:eastAsia="Calibri"/>
                <w:sz w:val="20"/>
              </w:rPr>
            </w:pPr>
            <w:r w:rsidRPr="00E6448B">
              <w:rPr>
                <w:rFonts w:eastAsia="Calibri"/>
                <w:sz w:val="20"/>
              </w:rPr>
              <w:t>Application for leave to appeal filed</w:t>
            </w:r>
          </w:p>
        </w:tc>
      </w:tr>
    </w:tbl>
    <w:p w:rsidR="00FE43CC" w:rsidRDefault="00FE43CC" w:rsidP="00FE43CC">
      <w:pPr>
        <w:rPr>
          <w:sz w:val="20"/>
          <w:szCs w:val="20"/>
        </w:rPr>
      </w:pPr>
    </w:p>
    <w:p w:rsidR="00FE43CC" w:rsidRDefault="00AB3236" w:rsidP="00FE43CC">
      <w:pPr>
        <w:rPr>
          <w:sz w:val="20"/>
          <w:szCs w:val="20"/>
          <w:lang w:val="fr-CA"/>
        </w:rPr>
      </w:pPr>
      <w:r w:rsidRPr="00AB3236">
        <w:rPr>
          <w:sz w:val="20"/>
          <w:szCs w:val="20"/>
          <w:lang w:val="fr-CA"/>
        </w:rPr>
        <w:pict>
          <v:rect id="_x0000_i1068" style="width:2in;height:1pt" o:hrpct="0" o:hralign="center" o:hrstd="t" o:hrnoshade="t" o:hr="t" fillcolor="black [3213]" stroked="f"/>
        </w:pict>
      </w:r>
    </w:p>
    <w:p w:rsidR="00FE43CC" w:rsidRDefault="00FE43CC" w:rsidP="00FE43CC">
      <w:pPr>
        <w:rPr>
          <w:sz w:val="20"/>
          <w:szCs w:val="20"/>
        </w:rPr>
      </w:pPr>
    </w:p>
    <w:p w:rsidR="00FE43CC" w:rsidRPr="00FE43CC" w:rsidRDefault="00FE43CC" w:rsidP="00FE43CC">
      <w:pPr>
        <w:rPr>
          <w:sz w:val="20"/>
          <w:szCs w:val="20"/>
        </w:rPr>
      </w:pPr>
      <w:r>
        <w:rPr>
          <w:sz w:val="20"/>
          <w:szCs w:val="20"/>
          <w:u w:val="single"/>
        </w:rPr>
        <w:t>RÉSUMÉ DE L’AFFAIRE</w:t>
      </w:r>
    </w:p>
    <w:p w:rsidR="00FE43CC" w:rsidRDefault="00FE43CC" w:rsidP="00FE43C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A53DF" w:rsidRPr="00A77989" w:rsidTr="00DD098E">
        <w:tc>
          <w:tcPr>
            <w:tcW w:w="5000" w:type="pct"/>
            <w:gridSpan w:val="3"/>
          </w:tcPr>
          <w:p w:rsidR="000A53DF" w:rsidRPr="00E6448B" w:rsidRDefault="000A53DF" w:rsidP="00DD098E">
            <w:pPr>
              <w:jc w:val="both"/>
              <w:rPr>
                <w:rFonts w:eastAsia="Calibri"/>
                <w:sz w:val="20"/>
                <w:lang w:val="fr-CA"/>
              </w:rPr>
            </w:pPr>
            <w:r w:rsidRPr="00E6448B">
              <w:rPr>
                <w:rFonts w:eastAsia="Calibri"/>
                <w:i/>
                <w:sz w:val="20"/>
                <w:lang w:val="fr-CA"/>
              </w:rPr>
              <w:t xml:space="preserve">Charte canadienne des droits et libertés </w:t>
            </w:r>
            <w:r w:rsidRPr="00E6448B">
              <w:rPr>
                <w:rFonts w:eastAsia="Calibri"/>
                <w:sz w:val="20"/>
                <w:lang w:val="fr-CA"/>
              </w:rPr>
              <w:t>— Auto</w:t>
            </w:r>
            <w:r w:rsidRPr="00E6448B">
              <w:rPr>
                <w:rFonts w:eastAsia="Calibri"/>
                <w:sz w:val="20"/>
                <w:lang w:val="fr-CA"/>
              </w:rPr>
              <w:noBreakHyphen/>
              <w:t xml:space="preserve">incrimination — L’article 13 de la </w:t>
            </w:r>
            <w:r w:rsidRPr="00E6448B">
              <w:rPr>
                <w:rFonts w:eastAsia="Calibri"/>
                <w:i/>
                <w:sz w:val="20"/>
                <w:lang w:val="fr-CA"/>
              </w:rPr>
              <w:t>Charte</w:t>
            </w:r>
            <w:r w:rsidRPr="00E6448B">
              <w:rPr>
                <w:rFonts w:eastAsia="Calibri"/>
                <w:sz w:val="20"/>
                <w:lang w:val="fr-CA"/>
              </w:rPr>
              <w:t xml:space="preserve"> empêche</w:t>
            </w:r>
            <w:r w:rsidRPr="00E6448B">
              <w:rPr>
                <w:rFonts w:eastAsia="Calibri"/>
                <w:sz w:val="20"/>
                <w:lang w:val="fr-CA"/>
              </w:rPr>
              <w:noBreakHyphen/>
              <w:t>t</w:t>
            </w:r>
            <w:r w:rsidRPr="00E6448B">
              <w:rPr>
                <w:rFonts w:eastAsia="Calibri"/>
                <w:sz w:val="20"/>
                <w:lang w:val="fr-CA"/>
              </w:rPr>
              <w:noBreakHyphen/>
              <w:t>il d’avoir recours à des éléments de preuve obtenus au préalable au civil pour discréditer un accusé qui choisit de témoigner à son procès criminel?</w:t>
            </w:r>
          </w:p>
          <w:p w:rsidR="000A53DF" w:rsidRPr="00E6448B" w:rsidRDefault="000A53DF" w:rsidP="00DD098E">
            <w:pPr>
              <w:jc w:val="both"/>
              <w:rPr>
                <w:rFonts w:eastAsia="Calibri"/>
                <w:sz w:val="20"/>
                <w:lang w:val="fr-CA"/>
              </w:rPr>
            </w:pPr>
          </w:p>
        </w:tc>
      </w:tr>
      <w:tr w:rsidR="000A53DF" w:rsidRPr="00A77989" w:rsidTr="00DD098E">
        <w:tc>
          <w:tcPr>
            <w:tcW w:w="5000" w:type="pct"/>
            <w:gridSpan w:val="3"/>
          </w:tcPr>
          <w:p w:rsidR="000A53DF" w:rsidRPr="00E6448B" w:rsidRDefault="000A53DF" w:rsidP="00DD098E">
            <w:pPr>
              <w:jc w:val="both"/>
              <w:rPr>
                <w:rFonts w:eastAsia="Calibri"/>
                <w:sz w:val="20"/>
                <w:lang w:val="fr-CA"/>
              </w:rPr>
            </w:pPr>
            <w:r w:rsidRPr="00E6448B">
              <w:rPr>
                <w:rFonts w:eastAsia="Calibri"/>
                <w:sz w:val="20"/>
                <w:lang w:val="fr-CA"/>
              </w:rPr>
              <w:t>L’intimé et la victime travaillaient ensemble.  Après le travail, l’intimé a amené la victime faire une randonnée sur sa motocyclette sur la propriété de leur employeur.  La victime ne portait pas de casque et a été éjectée de l’arrière de la moto lorsque le véhicule est entré en collision.  La victime a subi des lésions cérébrales permanentes.  L’intimé a été accusé de conduite dangereuse ayant causé des lésions corporelles et de conduite avec facultés affaiblies ayant causé des lésions corporelles.  L’intimé a également été poursuivi au civil par la victime et sa famille.  Il a été interrogé au préalable dans le cadre de cette instance.  Au cours de l’interrogatoire préalable, il a affirmé qu’il ne se souvenait pas des événements de cette journée de 17:00 à 11:00 le lendemain lorsqu’il s’est réveillé à l’hôpital.  Toutefois, quatorze mois plus tard à son procès criminel, il a donné un compte rendu détaillé de l’accident et des événements qui l’ont précédé.  Dans son témoignage, il a affirmé qu’il se souvenait d’environ 90 à 95 % de ce qui s’était produit le jour de l’accident.  Le ministère public demandeur a demandé l’autorisation de contre</w:t>
            </w:r>
            <w:r w:rsidRPr="00E6448B">
              <w:rPr>
                <w:rFonts w:eastAsia="Calibri"/>
                <w:sz w:val="20"/>
                <w:lang w:val="fr-CA"/>
              </w:rPr>
              <w:noBreakHyphen/>
              <w:t>interroger l’intimé sur son témoignage préalable.  Il y a ensuite eu un voir</w:t>
            </w:r>
            <w:r w:rsidRPr="00E6448B">
              <w:rPr>
                <w:rFonts w:eastAsia="Calibri"/>
                <w:sz w:val="20"/>
                <w:lang w:val="fr-CA"/>
              </w:rPr>
              <w:noBreakHyphen/>
              <w:t xml:space="preserve">dire et le juge du procès a statué que l’intimé pouvait être confronté à la preuve obtenue au préalable pour le discréditer. </w:t>
            </w:r>
          </w:p>
          <w:p w:rsidR="000A53DF" w:rsidRPr="00E6448B" w:rsidRDefault="000A53DF" w:rsidP="00DD098E">
            <w:pPr>
              <w:jc w:val="both"/>
              <w:rPr>
                <w:rFonts w:eastAsia="Calibri"/>
                <w:sz w:val="20"/>
                <w:lang w:val="fr-CA"/>
              </w:rPr>
            </w:pPr>
          </w:p>
        </w:tc>
      </w:tr>
      <w:tr w:rsidR="000A53DF" w:rsidRPr="00A77989" w:rsidTr="00DD098E">
        <w:trPr>
          <w:trHeight w:val="728"/>
        </w:trPr>
        <w:tc>
          <w:tcPr>
            <w:tcW w:w="2427" w:type="pct"/>
          </w:tcPr>
          <w:p w:rsidR="000A53DF" w:rsidRPr="00E6448B" w:rsidRDefault="000A53DF" w:rsidP="00DD098E">
            <w:pPr>
              <w:jc w:val="both"/>
              <w:rPr>
                <w:rFonts w:eastAsia="Calibri"/>
                <w:sz w:val="20"/>
                <w:lang w:val="fr-CA"/>
              </w:rPr>
            </w:pPr>
            <w:r w:rsidRPr="00E6448B">
              <w:rPr>
                <w:rFonts w:eastAsia="Calibri"/>
                <w:sz w:val="20"/>
                <w:lang w:val="fr-CA"/>
              </w:rPr>
              <w:t>26 mars 2007</w:t>
            </w:r>
          </w:p>
          <w:p w:rsidR="000A53DF" w:rsidRPr="00E6448B" w:rsidRDefault="000A53DF" w:rsidP="00DD098E">
            <w:pPr>
              <w:jc w:val="both"/>
              <w:rPr>
                <w:rFonts w:eastAsia="Calibri"/>
                <w:sz w:val="20"/>
                <w:lang w:val="fr-CA"/>
              </w:rPr>
            </w:pPr>
            <w:r w:rsidRPr="00E6448B">
              <w:rPr>
                <w:rFonts w:eastAsia="Calibri"/>
                <w:sz w:val="20"/>
                <w:lang w:val="fr-CA"/>
              </w:rPr>
              <w:t xml:space="preserve">Cour supérieure de justice de l’Ontario </w:t>
            </w:r>
          </w:p>
          <w:p w:rsidR="000A53DF" w:rsidRPr="00E6448B" w:rsidRDefault="000A53DF" w:rsidP="00DD098E">
            <w:pPr>
              <w:jc w:val="both"/>
              <w:rPr>
                <w:rFonts w:eastAsia="Calibri"/>
                <w:sz w:val="20"/>
                <w:lang w:val="fr-CA"/>
              </w:rPr>
            </w:pPr>
            <w:r w:rsidRPr="00E6448B">
              <w:rPr>
                <w:rFonts w:eastAsia="Calibri"/>
                <w:sz w:val="20"/>
                <w:lang w:val="fr-CA"/>
              </w:rPr>
              <w:t>(Juge O’Connor)</w:t>
            </w:r>
          </w:p>
          <w:p w:rsidR="000A53DF" w:rsidRPr="00E6448B" w:rsidRDefault="000A53DF" w:rsidP="00DD098E">
            <w:pPr>
              <w:jc w:val="both"/>
              <w:rPr>
                <w:rFonts w:eastAsia="Calibri"/>
                <w:sz w:val="20"/>
                <w:lang w:val="fr-CA"/>
              </w:rPr>
            </w:pPr>
          </w:p>
        </w:tc>
        <w:tc>
          <w:tcPr>
            <w:tcW w:w="243" w:type="pct"/>
            <w:vMerge w:val="restart"/>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Demande du ministère public en vue d’introduire les témoignages de l’intimé obtenus préalablement dans une action civile liée dans le but de le discréditer au procès criminel, accueillie</w:t>
            </w:r>
          </w:p>
          <w:p w:rsidR="000A53DF" w:rsidRPr="00E6448B" w:rsidRDefault="000A53DF" w:rsidP="00DD098E">
            <w:pPr>
              <w:jc w:val="both"/>
              <w:rPr>
                <w:rFonts w:eastAsia="Calibri"/>
                <w:sz w:val="20"/>
                <w:lang w:val="fr-CA"/>
              </w:rPr>
            </w:pPr>
          </w:p>
        </w:tc>
      </w:tr>
      <w:tr w:rsidR="000A53DF" w:rsidRPr="00A77989" w:rsidTr="00DD098E">
        <w:trPr>
          <w:trHeight w:val="728"/>
        </w:trPr>
        <w:tc>
          <w:tcPr>
            <w:tcW w:w="2427" w:type="pct"/>
          </w:tcPr>
          <w:p w:rsidR="000A53DF" w:rsidRPr="00E6448B" w:rsidRDefault="000A53DF" w:rsidP="00DD098E">
            <w:pPr>
              <w:jc w:val="both"/>
              <w:rPr>
                <w:rFonts w:eastAsia="Calibri"/>
                <w:sz w:val="20"/>
                <w:lang w:val="fr-CA"/>
              </w:rPr>
            </w:pPr>
            <w:r w:rsidRPr="00E6448B">
              <w:rPr>
                <w:rFonts w:eastAsia="Calibri"/>
                <w:sz w:val="20"/>
                <w:lang w:val="fr-CA"/>
              </w:rPr>
              <w:t>14 décembre 2007</w:t>
            </w:r>
          </w:p>
          <w:p w:rsidR="000A53DF" w:rsidRPr="00E6448B" w:rsidRDefault="000A53DF" w:rsidP="00DD098E">
            <w:pPr>
              <w:jc w:val="both"/>
              <w:rPr>
                <w:rFonts w:eastAsia="Calibri"/>
                <w:sz w:val="20"/>
                <w:lang w:val="fr-CA"/>
              </w:rPr>
            </w:pPr>
            <w:r w:rsidRPr="00E6448B">
              <w:rPr>
                <w:rFonts w:eastAsia="Calibri"/>
                <w:sz w:val="20"/>
                <w:lang w:val="fr-CA"/>
              </w:rPr>
              <w:t xml:space="preserve">Cour supérieure de justice de l’Ontario </w:t>
            </w:r>
          </w:p>
          <w:p w:rsidR="000A53DF" w:rsidRPr="00E6448B" w:rsidRDefault="000A53DF" w:rsidP="00DD098E">
            <w:pPr>
              <w:jc w:val="both"/>
              <w:rPr>
                <w:rFonts w:eastAsia="Calibri"/>
                <w:sz w:val="20"/>
                <w:lang w:val="fr-CA"/>
              </w:rPr>
            </w:pPr>
            <w:r w:rsidRPr="00E6448B">
              <w:rPr>
                <w:rFonts w:eastAsia="Calibri"/>
                <w:sz w:val="20"/>
                <w:lang w:val="fr-CA"/>
              </w:rPr>
              <w:t>(Juge O’Connor)</w:t>
            </w:r>
          </w:p>
          <w:p w:rsidR="000A53DF" w:rsidRPr="00E6448B" w:rsidRDefault="000A53DF" w:rsidP="00DD098E">
            <w:pPr>
              <w:jc w:val="both"/>
              <w:rPr>
                <w:rFonts w:eastAsia="Calibri"/>
                <w:sz w:val="20"/>
                <w:lang w:val="fr-CA"/>
              </w:rPr>
            </w:pPr>
          </w:p>
        </w:tc>
        <w:tc>
          <w:tcPr>
            <w:tcW w:w="243" w:type="pct"/>
            <w:vMerge/>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Intimé déclaré coupable de conduite dangereuse ayant causé des lésions corporelles et non coupable de conduite avec les facultés affaiblies ayant causé des lésions corporelles</w:t>
            </w:r>
          </w:p>
          <w:p w:rsidR="000A53DF" w:rsidRPr="00E6448B" w:rsidRDefault="000A53DF" w:rsidP="00DD098E">
            <w:pPr>
              <w:jc w:val="both"/>
              <w:rPr>
                <w:rFonts w:eastAsia="Calibri"/>
                <w:sz w:val="20"/>
                <w:lang w:val="fr-CA"/>
              </w:rPr>
            </w:pPr>
          </w:p>
        </w:tc>
      </w:tr>
      <w:tr w:rsidR="000A53DF" w:rsidRPr="00A77989" w:rsidTr="00DD098E">
        <w:tc>
          <w:tcPr>
            <w:tcW w:w="2427" w:type="pct"/>
          </w:tcPr>
          <w:p w:rsidR="000A53DF" w:rsidRPr="00E6448B" w:rsidRDefault="000A53DF" w:rsidP="00DD098E">
            <w:pPr>
              <w:jc w:val="both"/>
              <w:rPr>
                <w:rFonts w:eastAsia="Calibri"/>
                <w:sz w:val="20"/>
                <w:lang w:val="fr-CA"/>
              </w:rPr>
            </w:pPr>
            <w:r w:rsidRPr="00E6448B">
              <w:rPr>
                <w:rFonts w:eastAsia="Calibri"/>
                <w:sz w:val="20"/>
                <w:lang w:val="fr-CA"/>
              </w:rPr>
              <w:t>24 février 2011</w:t>
            </w:r>
          </w:p>
          <w:p w:rsidR="000A53DF" w:rsidRPr="00E6448B" w:rsidRDefault="000A53DF" w:rsidP="00DD098E">
            <w:pPr>
              <w:jc w:val="both"/>
              <w:rPr>
                <w:rFonts w:eastAsia="Calibri"/>
                <w:sz w:val="20"/>
                <w:lang w:val="fr-CA"/>
              </w:rPr>
            </w:pPr>
            <w:r w:rsidRPr="00E6448B">
              <w:rPr>
                <w:rFonts w:eastAsia="Calibri"/>
                <w:sz w:val="20"/>
                <w:lang w:val="fr-CA"/>
              </w:rPr>
              <w:t xml:space="preserve">Cour d’appel de l’Ontario </w:t>
            </w:r>
          </w:p>
          <w:p w:rsidR="000A53DF" w:rsidRPr="00E6448B" w:rsidRDefault="000A53DF" w:rsidP="00DD098E">
            <w:pPr>
              <w:jc w:val="both"/>
              <w:rPr>
                <w:rFonts w:eastAsia="Calibri"/>
                <w:sz w:val="20"/>
                <w:lang w:val="fr-CA"/>
              </w:rPr>
            </w:pPr>
            <w:r w:rsidRPr="00E6448B">
              <w:rPr>
                <w:rFonts w:eastAsia="Calibri"/>
                <w:sz w:val="20"/>
                <w:lang w:val="fr-CA"/>
              </w:rPr>
              <w:t>(Juges Weiler, MacPherson et Armstrong)</w:t>
            </w:r>
          </w:p>
          <w:p w:rsidR="000A53DF" w:rsidRPr="00E6448B" w:rsidRDefault="000A53DF" w:rsidP="00DD098E">
            <w:pPr>
              <w:jc w:val="both"/>
              <w:rPr>
                <w:rFonts w:eastAsia="Calibri"/>
                <w:sz w:val="20"/>
                <w:lang w:val="fr-CA"/>
              </w:rPr>
            </w:pPr>
            <w:r w:rsidRPr="00E6448B">
              <w:rPr>
                <w:rFonts w:eastAsia="Calibri"/>
                <w:sz w:val="20"/>
                <w:lang w:val="fr-CA"/>
              </w:rPr>
              <w:t>Référence neutre : 2011 ONCA 143</w:t>
            </w:r>
          </w:p>
          <w:p w:rsidR="000A53DF" w:rsidRPr="00E6448B" w:rsidRDefault="000A53DF" w:rsidP="00DD098E">
            <w:pPr>
              <w:jc w:val="both"/>
              <w:rPr>
                <w:rFonts w:eastAsia="Calibri"/>
                <w:sz w:val="20"/>
                <w:lang w:val="fr-CA"/>
              </w:rPr>
            </w:pPr>
          </w:p>
        </w:tc>
        <w:tc>
          <w:tcPr>
            <w:tcW w:w="243" w:type="pct"/>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Appel accueilli, déclaration de culpabilité annulée et nouveau procès ordonné</w:t>
            </w:r>
          </w:p>
          <w:p w:rsidR="000A53DF" w:rsidRPr="00E6448B" w:rsidRDefault="000A53DF" w:rsidP="00DD098E">
            <w:pPr>
              <w:jc w:val="both"/>
              <w:rPr>
                <w:rFonts w:eastAsia="Calibri"/>
                <w:sz w:val="20"/>
                <w:lang w:val="fr-CA"/>
              </w:rPr>
            </w:pPr>
          </w:p>
        </w:tc>
      </w:tr>
      <w:tr w:rsidR="000A53DF" w:rsidRPr="00A77989" w:rsidTr="00DD098E">
        <w:tc>
          <w:tcPr>
            <w:tcW w:w="2427" w:type="pct"/>
          </w:tcPr>
          <w:p w:rsidR="000A53DF" w:rsidRPr="00E6448B" w:rsidRDefault="000A53DF" w:rsidP="00DD098E">
            <w:pPr>
              <w:jc w:val="both"/>
              <w:rPr>
                <w:rFonts w:eastAsia="Calibri"/>
                <w:sz w:val="20"/>
                <w:lang w:val="fr-CA"/>
              </w:rPr>
            </w:pPr>
            <w:r w:rsidRPr="00E6448B">
              <w:rPr>
                <w:rFonts w:eastAsia="Calibri"/>
                <w:sz w:val="20"/>
                <w:lang w:val="fr-CA"/>
              </w:rPr>
              <w:t>2 mai 2011</w:t>
            </w:r>
          </w:p>
          <w:p w:rsidR="000A53DF" w:rsidRPr="00E6448B" w:rsidRDefault="000A53DF" w:rsidP="00DD098E">
            <w:pPr>
              <w:jc w:val="both"/>
              <w:rPr>
                <w:rFonts w:eastAsia="Calibri"/>
                <w:sz w:val="20"/>
                <w:lang w:val="fr-CA"/>
              </w:rPr>
            </w:pPr>
            <w:r w:rsidRPr="00E6448B">
              <w:rPr>
                <w:rFonts w:eastAsia="Calibri"/>
                <w:sz w:val="20"/>
                <w:lang w:val="fr-CA"/>
              </w:rPr>
              <w:t>Cour suprême du Canada</w:t>
            </w:r>
          </w:p>
          <w:p w:rsidR="000A53DF" w:rsidRPr="00E6448B" w:rsidRDefault="000A53DF" w:rsidP="00DD098E">
            <w:pPr>
              <w:jc w:val="both"/>
              <w:rPr>
                <w:rFonts w:eastAsia="Calibri"/>
                <w:sz w:val="20"/>
                <w:lang w:val="fr-CA"/>
              </w:rPr>
            </w:pPr>
          </w:p>
        </w:tc>
        <w:tc>
          <w:tcPr>
            <w:tcW w:w="243" w:type="pct"/>
          </w:tcPr>
          <w:p w:rsidR="000A53DF" w:rsidRPr="00E6448B" w:rsidRDefault="000A53DF" w:rsidP="00DD098E">
            <w:pPr>
              <w:jc w:val="both"/>
              <w:rPr>
                <w:rFonts w:eastAsia="Calibri"/>
                <w:sz w:val="20"/>
                <w:lang w:val="fr-CA"/>
              </w:rPr>
            </w:pPr>
          </w:p>
        </w:tc>
        <w:tc>
          <w:tcPr>
            <w:tcW w:w="2330" w:type="pct"/>
          </w:tcPr>
          <w:p w:rsidR="000A53DF" w:rsidRPr="00E6448B" w:rsidRDefault="000A53DF" w:rsidP="00DD098E">
            <w:pPr>
              <w:jc w:val="both"/>
              <w:rPr>
                <w:rFonts w:eastAsia="Calibri"/>
                <w:sz w:val="20"/>
                <w:lang w:val="fr-CA"/>
              </w:rPr>
            </w:pPr>
            <w:r w:rsidRPr="00E6448B">
              <w:rPr>
                <w:rFonts w:eastAsia="Calibri"/>
                <w:sz w:val="20"/>
                <w:lang w:val="fr-CA"/>
              </w:rPr>
              <w:t>Requête en prorogation du délai de dépôt ou de signification de la demande d’autorisation d’appel et demande autorisation d’appel, déposées</w:t>
            </w:r>
          </w:p>
        </w:tc>
      </w:tr>
    </w:tbl>
    <w:p w:rsidR="00FE43CC" w:rsidRPr="000A53DF" w:rsidRDefault="00FE43CC" w:rsidP="00FE43CC">
      <w:pPr>
        <w:rPr>
          <w:sz w:val="20"/>
          <w:szCs w:val="20"/>
          <w:lang w:val="fr-CA"/>
        </w:rPr>
      </w:pPr>
    </w:p>
    <w:p w:rsidR="00FE43CC" w:rsidRDefault="00AB3236" w:rsidP="00FE43CC">
      <w:pPr>
        <w:rPr>
          <w:sz w:val="20"/>
          <w:szCs w:val="20"/>
          <w:lang w:val="fr-CA"/>
        </w:rPr>
      </w:pPr>
      <w:r w:rsidRPr="00AB3236">
        <w:rPr>
          <w:sz w:val="20"/>
          <w:szCs w:val="20"/>
          <w:lang w:val="fr-CA"/>
        </w:rPr>
        <w:pict>
          <v:rect id="_x0000_i1069" style="width:2in;height:1pt" o:hrpct="0" o:hralign="center" o:hrstd="t" o:hrnoshade="t" o:hr="t" fillcolor="black [3213]" stroked="f"/>
        </w:pict>
      </w:r>
    </w:p>
    <w:p w:rsidR="00FE43CC" w:rsidRDefault="00FE43CC" w:rsidP="00FE43CC">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465D8" w:rsidRPr="002746B8" w:rsidRDefault="005465D8" w:rsidP="005465D8">
      <w:pPr>
        <w:jc w:val="both"/>
        <w:rPr>
          <w:rFonts w:cs="Times New Roman"/>
          <w:sz w:val="20"/>
          <w:szCs w:val="20"/>
          <w:lang w:val="fr-CA"/>
        </w:rPr>
      </w:pPr>
      <w:r w:rsidRPr="002746B8">
        <w:rPr>
          <w:rFonts w:cs="Times New Roman"/>
          <w:sz w:val="20"/>
          <w:szCs w:val="20"/>
          <w:lang w:val="fr-CA"/>
        </w:rPr>
        <w:t>17.06.2011</w: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tabs>
          <w:tab w:val="left" w:pos="-1440"/>
          <w:tab w:val="left" w:pos="-720"/>
        </w:tabs>
        <w:jc w:val="both"/>
        <w:rPr>
          <w:rFonts w:cs="Times New Roman"/>
          <w:sz w:val="20"/>
          <w:szCs w:val="20"/>
        </w:rPr>
      </w:pPr>
      <w:r w:rsidRPr="002746B8">
        <w:rPr>
          <w:rFonts w:cs="Times New Roman"/>
          <w:sz w:val="20"/>
          <w:szCs w:val="20"/>
        </w:rPr>
        <w:t>Before / Devant :   THE REGISTRAR / LE REGISTRAIRE</w:t>
      </w:r>
    </w:p>
    <w:p w:rsidR="005465D8" w:rsidRPr="002746B8" w:rsidRDefault="005465D8" w:rsidP="005465D8">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65D8" w:rsidRPr="00A77989" w:rsidTr="002F0EB9">
        <w:tc>
          <w:tcPr>
            <w:tcW w:w="4338" w:type="dxa"/>
          </w:tcPr>
          <w:p w:rsidR="005465D8" w:rsidRPr="002746B8" w:rsidRDefault="005465D8" w:rsidP="002F0EB9">
            <w:pPr>
              <w:tabs>
                <w:tab w:val="left" w:pos="-1440"/>
                <w:tab w:val="left" w:pos="-720"/>
              </w:tabs>
              <w:jc w:val="both"/>
              <w:rPr>
                <w:rFonts w:cs="Times New Roman"/>
                <w:b/>
                <w:bCs/>
                <w:sz w:val="20"/>
                <w:szCs w:val="20"/>
              </w:rPr>
            </w:pPr>
            <w:r w:rsidRPr="002746B8">
              <w:rPr>
                <w:rFonts w:cs="Times New Roman"/>
                <w:b/>
                <w:bCs/>
                <w:sz w:val="20"/>
                <w:szCs w:val="20"/>
              </w:rPr>
              <w:t>Motion to extend the time to serve and file the respondents’ response</w:t>
            </w:r>
          </w:p>
          <w:p w:rsidR="005465D8" w:rsidRPr="002746B8" w:rsidRDefault="005465D8" w:rsidP="002F0EB9">
            <w:pPr>
              <w:tabs>
                <w:tab w:val="left" w:pos="-1440"/>
                <w:tab w:val="left" w:pos="-720"/>
              </w:tabs>
              <w:jc w:val="both"/>
              <w:rPr>
                <w:rFonts w:cs="Times New Roman"/>
                <w:b/>
                <w:sz w:val="20"/>
                <w:szCs w:val="20"/>
              </w:rPr>
            </w:pPr>
          </w:p>
        </w:tc>
        <w:tc>
          <w:tcPr>
            <w:tcW w:w="1170" w:type="dxa"/>
          </w:tcPr>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p>
        </w:tc>
        <w:tc>
          <w:tcPr>
            <w:tcW w:w="4327" w:type="dxa"/>
          </w:tcPr>
          <w:p w:rsidR="005465D8" w:rsidRPr="002746B8" w:rsidRDefault="005465D8" w:rsidP="002F0EB9">
            <w:pPr>
              <w:tabs>
                <w:tab w:val="left" w:pos="-1440"/>
                <w:tab w:val="left" w:pos="-720"/>
              </w:tabs>
              <w:jc w:val="both"/>
              <w:rPr>
                <w:rFonts w:cs="Times New Roman"/>
                <w:b/>
                <w:sz w:val="20"/>
                <w:szCs w:val="20"/>
                <w:lang w:val="fr-CA"/>
              </w:rPr>
            </w:pPr>
            <w:r w:rsidRPr="002746B8">
              <w:rPr>
                <w:rFonts w:cs="Times New Roman"/>
                <w:b/>
                <w:bCs/>
                <w:sz w:val="20"/>
                <w:szCs w:val="20"/>
                <w:lang w:val="fr-CA"/>
              </w:rPr>
              <w:t>Requête en prorogation du délai de signification et de dépôt de la réponse de l’intimée</w:t>
            </w:r>
            <w:r w:rsidR="00AB3236" w:rsidRPr="002746B8">
              <w:rPr>
                <w:rFonts w:cs="Times New Roman"/>
                <w:b/>
                <w:sz w:val="20"/>
                <w:szCs w:val="20"/>
              </w:rPr>
              <w:fldChar w:fldCharType="begin"/>
            </w:r>
            <w:r w:rsidRPr="002746B8">
              <w:rPr>
                <w:rFonts w:cs="Times New Roman"/>
                <w:b/>
                <w:sz w:val="20"/>
                <w:szCs w:val="20"/>
                <w:lang w:val="fr-CA"/>
              </w:rPr>
              <w:instrText xml:space="preserve"> SEQ CHAPTER \h \r 1</w:instrText>
            </w:r>
            <w:r w:rsidR="00AB3236" w:rsidRPr="002746B8">
              <w:rPr>
                <w:rFonts w:cs="Times New Roman"/>
                <w:b/>
                <w:sz w:val="20"/>
                <w:szCs w:val="20"/>
              </w:rPr>
              <w:fldChar w:fldCharType="end"/>
            </w:r>
          </w:p>
        </w:tc>
      </w:tr>
      <w:tr w:rsidR="005465D8" w:rsidRPr="002746B8" w:rsidTr="002F0EB9">
        <w:tc>
          <w:tcPr>
            <w:tcW w:w="4338" w:type="dxa"/>
          </w:tcPr>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D.V.B.</w:t>
            </w:r>
          </w:p>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ab/>
              <w:t>v. (34227)</w:t>
            </w:r>
          </w:p>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Her Majesty the Queen (Crim.) (Ont.)</w:t>
            </w:r>
          </w:p>
        </w:tc>
        <w:tc>
          <w:tcPr>
            <w:tcW w:w="1170" w:type="dxa"/>
          </w:tcPr>
          <w:p w:rsidR="005465D8" w:rsidRPr="002746B8" w:rsidRDefault="005465D8" w:rsidP="002F0EB9">
            <w:pPr>
              <w:tabs>
                <w:tab w:val="left" w:pos="-1440"/>
                <w:tab w:val="left" w:pos="-720"/>
              </w:tabs>
              <w:jc w:val="both"/>
              <w:rPr>
                <w:rFonts w:cs="Times New Roman"/>
                <w:sz w:val="20"/>
                <w:szCs w:val="20"/>
              </w:rPr>
            </w:pPr>
          </w:p>
        </w:tc>
        <w:tc>
          <w:tcPr>
            <w:tcW w:w="4327" w:type="dxa"/>
          </w:tcPr>
          <w:p w:rsidR="005465D8" w:rsidRPr="002746B8" w:rsidRDefault="005465D8" w:rsidP="002F0EB9">
            <w:pPr>
              <w:tabs>
                <w:tab w:val="left" w:pos="-1440"/>
                <w:tab w:val="left" w:pos="-720"/>
              </w:tabs>
              <w:jc w:val="both"/>
              <w:rPr>
                <w:rFonts w:cs="Times New Roman"/>
                <w:sz w:val="20"/>
                <w:szCs w:val="20"/>
              </w:rPr>
            </w:pPr>
          </w:p>
        </w:tc>
      </w:tr>
    </w:tbl>
    <w:p w:rsidR="005465D8" w:rsidRPr="002746B8" w:rsidRDefault="005465D8" w:rsidP="005465D8">
      <w:pPr>
        <w:tabs>
          <w:tab w:val="left" w:pos="-1440"/>
          <w:tab w:val="left" w:pos="-720"/>
        </w:tabs>
        <w:jc w:val="both"/>
        <w:rPr>
          <w:rFonts w:cs="Times New Roman"/>
          <w:sz w:val="20"/>
          <w:szCs w:val="20"/>
        </w:rPr>
      </w:pPr>
    </w:p>
    <w:p w:rsidR="005465D8" w:rsidRPr="002746B8" w:rsidRDefault="005465D8" w:rsidP="005465D8">
      <w:pPr>
        <w:tabs>
          <w:tab w:val="left" w:pos="-1440"/>
          <w:tab w:val="left" w:pos="-720"/>
        </w:tabs>
        <w:jc w:val="both"/>
        <w:rPr>
          <w:rFonts w:cs="Times New Roman"/>
          <w:b/>
          <w:sz w:val="20"/>
          <w:szCs w:val="20"/>
          <w:lang w:val="fr-CA"/>
        </w:rPr>
      </w:pPr>
      <w:r w:rsidRPr="002746B8">
        <w:rPr>
          <w:rFonts w:cs="Times New Roman"/>
          <w:b/>
          <w:sz w:val="20"/>
          <w:szCs w:val="20"/>
          <w:lang w:val="fr-CA"/>
        </w:rPr>
        <w:t>GRANTED / ACCORDÉE</w:t>
      </w:r>
    </w:p>
    <w:p w:rsidR="005465D8" w:rsidRPr="002746B8" w:rsidRDefault="005465D8" w:rsidP="005465D8">
      <w:pPr>
        <w:jc w:val="both"/>
        <w:rPr>
          <w:rFonts w:cs="Times New Roman"/>
          <w:sz w:val="20"/>
          <w:szCs w:val="20"/>
        </w:rPr>
      </w:pPr>
    </w:p>
    <w:p w:rsidR="005465D8" w:rsidRPr="002746B8" w:rsidRDefault="00AB3236" w:rsidP="005465D8">
      <w:pPr>
        <w:jc w:val="both"/>
        <w:rPr>
          <w:rFonts w:cs="Times New Roman"/>
          <w:sz w:val="20"/>
          <w:szCs w:val="20"/>
          <w:lang w:val="fr-CA"/>
        </w:rPr>
      </w:pPr>
      <w:r w:rsidRPr="00AB3236">
        <w:rPr>
          <w:rFonts w:cs="Times New Roman"/>
          <w:sz w:val="20"/>
          <w:szCs w:val="20"/>
          <w:lang w:val="fr-CA"/>
        </w:rPr>
        <w:pict>
          <v:rect id="_x0000_i1072" style="width:2in;height:1pt" o:hrpct="0" o:hralign="center" o:hrstd="t" o:hrnoshade="t" o:hr="t" fillcolor="black [3213]" stroked="f"/>
        </w:pict>
      </w:r>
    </w:p>
    <w:p w:rsidR="005465D8" w:rsidRPr="002746B8" w:rsidRDefault="005465D8" w:rsidP="005465D8">
      <w:pPr>
        <w:jc w:val="both"/>
        <w:rPr>
          <w:rFonts w:cs="Times New Roman"/>
          <w:sz w:val="20"/>
          <w:szCs w:val="20"/>
          <w:lang w:val="fr-CA"/>
        </w:rPr>
      </w:pPr>
    </w:p>
    <w:p w:rsidR="005465D8" w:rsidRPr="002746B8" w:rsidRDefault="005465D8" w:rsidP="005465D8">
      <w:pPr>
        <w:jc w:val="both"/>
        <w:rPr>
          <w:rFonts w:cs="Times New Roman"/>
          <w:sz w:val="20"/>
          <w:szCs w:val="20"/>
          <w:lang w:val="fr-CA"/>
        </w:rPr>
      </w:pPr>
      <w:r w:rsidRPr="002746B8">
        <w:rPr>
          <w:rFonts w:cs="Times New Roman"/>
          <w:sz w:val="20"/>
          <w:szCs w:val="20"/>
          <w:lang w:val="fr-CA"/>
        </w:rPr>
        <w:t>17.06.2011</w: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tabs>
          <w:tab w:val="left" w:pos="-1440"/>
          <w:tab w:val="left" w:pos="-720"/>
        </w:tabs>
        <w:jc w:val="both"/>
        <w:rPr>
          <w:rFonts w:cs="Times New Roman"/>
          <w:sz w:val="20"/>
          <w:szCs w:val="20"/>
        </w:rPr>
      </w:pPr>
      <w:r w:rsidRPr="002746B8">
        <w:rPr>
          <w:rFonts w:cs="Times New Roman"/>
          <w:sz w:val="20"/>
          <w:szCs w:val="20"/>
        </w:rPr>
        <w:t>Before / Devant :   THE REGISTRAR / LE REGISTRAIRE</w:t>
      </w:r>
    </w:p>
    <w:p w:rsidR="005465D8" w:rsidRPr="002746B8" w:rsidRDefault="005465D8" w:rsidP="005465D8">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65D8" w:rsidRPr="00A77989" w:rsidTr="002F0EB9">
        <w:tc>
          <w:tcPr>
            <w:tcW w:w="4338" w:type="dxa"/>
          </w:tcPr>
          <w:p w:rsidR="005465D8" w:rsidRPr="002746B8" w:rsidRDefault="005465D8" w:rsidP="002F0EB9">
            <w:pPr>
              <w:tabs>
                <w:tab w:val="left" w:pos="-1440"/>
                <w:tab w:val="left" w:pos="-720"/>
              </w:tabs>
              <w:jc w:val="both"/>
              <w:rPr>
                <w:rFonts w:cs="Times New Roman"/>
                <w:b/>
                <w:bCs/>
                <w:sz w:val="20"/>
                <w:szCs w:val="20"/>
              </w:rPr>
            </w:pPr>
            <w:r w:rsidRPr="002746B8">
              <w:rPr>
                <w:rFonts w:cs="Times New Roman"/>
                <w:b/>
                <w:bCs/>
                <w:sz w:val="20"/>
                <w:szCs w:val="20"/>
              </w:rPr>
              <w:t>Motion to extend the time to serve and file the respondents’ response</w:t>
            </w:r>
          </w:p>
          <w:p w:rsidR="005465D8" w:rsidRPr="002746B8" w:rsidRDefault="005465D8" w:rsidP="002F0EB9">
            <w:pPr>
              <w:tabs>
                <w:tab w:val="left" w:pos="-1440"/>
                <w:tab w:val="left" w:pos="-720"/>
              </w:tabs>
              <w:jc w:val="both"/>
              <w:rPr>
                <w:rFonts w:cs="Times New Roman"/>
                <w:b/>
                <w:sz w:val="20"/>
                <w:szCs w:val="20"/>
              </w:rPr>
            </w:pPr>
          </w:p>
        </w:tc>
        <w:tc>
          <w:tcPr>
            <w:tcW w:w="1170" w:type="dxa"/>
          </w:tcPr>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p>
        </w:tc>
        <w:tc>
          <w:tcPr>
            <w:tcW w:w="4327" w:type="dxa"/>
          </w:tcPr>
          <w:p w:rsidR="005465D8" w:rsidRPr="002746B8" w:rsidRDefault="005465D8" w:rsidP="002F0EB9">
            <w:pPr>
              <w:tabs>
                <w:tab w:val="left" w:pos="-1440"/>
                <w:tab w:val="left" w:pos="-720"/>
              </w:tabs>
              <w:jc w:val="both"/>
              <w:rPr>
                <w:rFonts w:cs="Times New Roman"/>
                <w:b/>
                <w:sz w:val="20"/>
                <w:szCs w:val="20"/>
                <w:lang w:val="fr-CA"/>
              </w:rPr>
            </w:pPr>
            <w:r w:rsidRPr="002746B8">
              <w:rPr>
                <w:rFonts w:cs="Times New Roman"/>
                <w:b/>
                <w:bCs/>
                <w:sz w:val="20"/>
                <w:szCs w:val="20"/>
                <w:lang w:val="fr-CA"/>
              </w:rPr>
              <w:t xml:space="preserve">Requête en prorogation du délai de signification et de dépôt de la réponse de l’intimée </w:t>
            </w:r>
            <w:r w:rsidR="00AB3236" w:rsidRPr="002746B8">
              <w:rPr>
                <w:rFonts w:cs="Times New Roman"/>
                <w:b/>
                <w:sz w:val="20"/>
                <w:szCs w:val="20"/>
              </w:rPr>
              <w:fldChar w:fldCharType="begin"/>
            </w:r>
            <w:r w:rsidRPr="002746B8">
              <w:rPr>
                <w:rFonts w:cs="Times New Roman"/>
                <w:b/>
                <w:sz w:val="20"/>
                <w:szCs w:val="20"/>
                <w:lang w:val="fr-CA"/>
              </w:rPr>
              <w:instrText xml:space="preserve"> SEQ CHAPTER \h \r 1</w:instrText>
            </w:r>
            <w:r w:rsidR="00AB3236" w:rsidRPr="002746B8">
              <w:rPr>
                <w:rFonts w:cs="Times New Roman"/>
                <w:b/>
                <w:sz w:val="20"/>
                <w:szCs w:val="20"/>
              </w:rPr>
              <w:fldChar w:fldCharType="end"/>
            </w:r>
          </w:p>
        </w:tc>
      </w:tr>
      <w:tr w:rsidR="005465D8" w:rsidRPr="002746B8" w:rsidTr="002F0EB9">
        <w:tc>
          <w:tcPr>
            <w:tcW w:w="4338" w:type="dxa"/>
          </w:tcPr>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Kevin Khan</w:t>
            </w:r>
          </w:p>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ab/>
              <w:t>v. (34234)</w:t>
            </w:r>
          </w:p>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Her Majesty the Queen (Crim.) (Ont.)</w:t>
            </w:r>
          </w:p>
        </w:tc>
        <w:tc>
          <w:tcPr>
            <w:tcW w:w="1170" w:type="dxa"/>
          </w:tcPr>
          <w:p w:rsidR="005465D8" w:rsidRPr="002746B8" w:rsidRDefault="005465D8" w:rsidP="002F0EB9">
            <w:pPr>
              <w:tabs>
                <w:tab w:val="left" w:pos="-1440"/>
                <w:tab w:val="left" w:pos="-720"/>
              </w:tabs>
              <w:jc w:val="both"/>
              <w:rPr>
                <w:rFonts w:cs="Times New Roman"/>
                <w:sz w:val="20"/>
                <w:szCs w:val="20"/>
              </w:rPr>
            </w:pPr>
          </w:p>
        </w:tc>
        <w:tc>
          <w:tcPr>
            <w:tcW w:w="4327" w:type="dxa"/>
          </w:tcPr>
          <w:p w:rsidR="005465D8" w:rsidRPr="002746B8" w:rsidRDefault="005465D8" w:rsidP="002F0EB9">
            <w:pPr>
              <w:tabs>
                <w:tab w:val="left" w:pos="-1440"/>
                <w:tab w:val="left" w:pos="-720"/>
              </w:tabs>
              <w:jc w:val="both"/>
              <w:rPr>
                <w:rFonts w:cs="Times New Roman"/>
                <w:sz w:val="20"/>
                <w:szCs w:val="20"/>
              </w:rPr>
            </w:pPr>
          </w:p>
        </w:tc>
      </w:tr>
    </w:tbl>
    <w:p w:rsidR="005465D8" w:rsidRPr="002746B8" w:rsidRDefault="005465D8" w:rsidP="005465D8">
      <w:pPr>
        <w:tabs>
          <w:tab w:val="left" w:pos="-1440"/>
          <w:tab w:val="left" w:pos="-720"/>
        </w:tabs>
        <w:jc w:val="both"/>
        <w:rPr>
          <w:rFonts w:cs="Times New Roman"/>
          <w:sz w:val="20"/>
          <w:szCs w:val="20"/>
        </w:rPr>
      </w:pPr>
    </w:p>
    <w:p w:rsidR="005465D8" w:rsidRPr="002746B8" w:rsidRDefault="005465D8" w:rsidP="005465D8">
      <w:pPr>
        <w:tabs>
          <w:tab w:val="left" w:pos="-1440"/>
          <w:tab w:val="left" w:pos="-720"/>
        </w:tabs>
        <w:jc w:val="both"/>
        <w:rPr>
          <w:rFonts w:cs="Times New Roman"/>
          <w:b/>
          <w:sz w:val="20"/>
          <w:szCs w:val="20"/>
          <w:lang w:val="fr-CA"/>
        </w:rPr>
      </w:pPr>
      <w:r w:rsidRPr="002746B8">
        <w:rPr>
          <w:rFonts w:cs="Times New Roman"/>
          <w:b/>
          <w:sz w:val="20"/>
          <w:szCs w:val="20"/>
          <w:lang w:val="fr-CA"/>
        </w:rPr>
        <w:t>GRANTED / ACCORDÉE</w:t>
      </w:r>
    </w:p>
    <w:p w:rsidR="005465D8" w:rsidRPr="002746B8" w:rsidRDefault="005465D8" w:rsidP="005465D8">
      <w:pPr>
        <w:spacing w:line="233" w:lineRule="auto"/>
        <w:jc w:val="both"/>
        <w:rPr>
          <w:rFonts w:cs="Times New Roman"/>
          <w:sz w:val="20"/>
          <w:szCs w:val="20"/>
          <w:lang w:val="fr-CA"/>
        </w:rPr>
      </w:pPr>
    </w:p>
    <w:p w:rsidR="005465D8" w:rsidRPr="002746B8" w:rsidRDefault="00AB3236" w:rsidP="005465D8">
      <w:pPr>
        <w:tabs>
          <w:tab w:val="left" w:pos="-1440"/>
          <w:tab w:val="left" w:pos="-720"/>
        </w:tabs>
        <w:jc w:val="both"/>
        <w:rPr>
          <w:rFonts w:cs="Times New Roman"/>
          <w:sz w:val="20"/>
          <w:szCs w:val="20"/>
          <w:lang w:val="fr-CA"/>
        </w:rPr>
      </w:pPr>
      <w:r w:rsidRPr="00AB3236">
        <w:rPr>
          <w:rFonts w:cs="Times New Roman"/>
          <w:sz w:val="20"/>
          <w:szCs w:val="20"/>
          <w:lang w:val="fr-CA"/>
        </w:rPr>
        <w:pict>
          <v:rect id="_x0000_i1073" style="width:2in;height:1pt" o:hrpct="0" o:hralign="center" o:hrstd="t" o:hrnoshade="t" o:hr="t" fillcolor="black [3213]" stroked="f"/>
        </w:pic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jc w:val="both"/>
        <w:rPr>
          <w:rFonts w:cs="Times New Roman"/>
          <w:sz w:val="20"/>
          <w:szCs w:val="20"/>
          <w:lang w:val="fr-CA"/>
        </w:rPr>
      </w:pPr>
      <w:r w:rsidRPr="002746B8">
        <w:rPr>
          <w:rFonts w:cs="Times New Roman"/>
          <w:sz w:val="20"/>
          <w:szCs w:val="20"/>
          <w:lang w:val="fr-CA"/>
        </w:rPr>
        <w:t>20.06.2011</w:t>
      </w:r>
    </w:p>
    <w:p w:rsidR="005465D8" w:rsidRPr="002746B8" w:rsidRDefault="005465D8" w:rsidP="005465D8">
      <w:pPr>
        <w:jc w:val="both"/>
        <w:rPr>
          <w:rFonts w:cs="Times New Roman"/>
          <w:sz w:val="20"/>
          <w:szCs w:val="20"/>
          <w:lang w:val="fr-CA"/>
        </w:rPr>
      </w:pPr>
    </w:p>
    <w:p w:rsidR="005465D8" w:rsidRPr="002746B8" w:rsidRDefault="005465D8" w:rsidP="005465D8">
      <w:pPr>
        <w:tabs>
          <w:tab w:val="left" w:pos="-1440"/>
          <w:tab w:val="left" w:pos="-720"/>
        </w:tabs>
        <w:jc w:val="both"/>
        <w:rPr>
          <w:rFonts w:cs="Times New Roman"/>
          <w:sz w:val="20"/>
          <w:szCs w:val="20"/>
          <w:lang w:val="fr-CA"/>
        </w:rPr>
      </w:pPr>
      <w:r w:rsidRPr="002746B8">
        <w:rPr>
          <w:rFonts w:cs="Times New Roman"/>
          <w:sz w:val="20"/>
          <w:szCs w:val="20"/>
          <w:lang w:val="fr-CA"/>
        </w:rPr>
        <w:t>Before / Devant :   CHARRON J. / LA JUGE CHARRON</w:t>
      </w:r>
    </w:p>
    <w:p w:rsidR="005465D8" w:rsidRPr="002746B8" w:rsidRDefault="005465D8" w:rsidP="005465D8">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465D8" w:rsidRPr="002746B8" w:rsidTr="002F0EB9">
        <w:tc>
          <w:tcPr>
            <w:tcW w:w="4338" w:type="dxa"/>
            <w:gridSpan w:val="2"/>
          </w:tcPr>
          <w:p w:rsidR="005465D8" w:rsidRPr="002746B8" w:rsidRDefault="005465D8" w:rsidP="002F0EB9">
            <w:pPr>
              <w:rPr>
                <w:rFonts w:cs="Times New Roman"/>
                <w:b/>
                <w:sz w:val="20"/>
                <w:szCs w:val="20"/>
              </w:rPr>
            </w:pPr>
            <w:r w:rsidRPr="002746B8">
              <w:rPr>
                <w:rFonts w:cs="Times New Roman"/>
                <w:b/>
                <w:sz w:val="20"/>
                <w:szCs w:val="20"/>
              </w:rPr>
              <w:t>Motion for leave to intervene</w:t>
            </w:r>
            <w:r w:rsidRPr="002746B8">
              <w:rPr>
                <w:rFonts w:cs="Times New Roman"/>
                <w:sz w:val="20"/>
                <w:szCs w:val="20"/>
              </w:rPr>
              <w:t xml:space="preserve"> </w:t>
            </w:r>
            <w:r w:rsidR="00AB3236" w:rsidRPr="002746B8">
              <w:rPr>
                <w:rFonts w:cs="Times New Roman"/>
                <w:sz w:val="20"/>
                <w:szCs w:val="20"/>
              </w:rPr>
              <w:fldChar w:fldCharType="begin"/>
            </w:r>
            <w:r w:rsidRPr="002746B8">
              <w:rPr>
                <w:rFonts w:cs="Times New Roman"/>
                <w:sz w:val="20"/>
                <w:szCs w:val="20"/>
              </w:rPr>
              <w:instrText xml:space="preserve"> SEQ CHAPTER \h \r 1</w:instrText>
            </w:r>
            <w:r w:rsidR="00AB3236" w:rsidRPr="002746B8">
              <w:rPr>
                <w:rFonts w:cs="Times New Roman"/>
                <w:sz w:val="20"/>
                <w:szCs w:val="20"/>
              </w:rPr>
              <w:fldChar w:fldCharType="end"/>
            </w:r>
          </w:p>
        </w:tc>
        <w:tc>
          <w:tcPr>
            <w:tcW w:w="1170" w:type="dxa"/>
          </w:tcPr>
          <w:p w:rsidR="005465D8" w:rsidRPr="002746B8" w:rsidRDefault="005465D8" w:rsidP="002F0EB9">
            <w:pPr>
              <w:rPr>
                <w:rFonts w:cs="Times New Roman"/>
                <w:sz w:val="20"/>
                <w:szCs w:val="20"/>
              </w:rPr>
            </w:pPr>
          </w:p>
          <w:p w:rsidR="005465D8" w:rsidRPr="002746B8" w:rsidRDefault="005465D8" w:rsidP="002F0EB9">
            <w:pPr>
              <w:rPr>
                <w:rFonts w:cs="Times New Roman"/>
                <w:sz w:val="20"/>
                <w:szCs w:val="20"/>
              </w:rPr>
            </w:pPr>
          </w:p>
        </w:tc>
        <w:tc>
          <w:tcPr>
            <w:tcW w:w="4327" w:type="dxa"/>
          </w:tcPr>
          <w:p w:rsidR="005465D8" w:rsidRPr="002746B8" w:rsidRDefault="005465D8" w:rsidP="002F0EB9">
            <w:pPr>
              <w:rPr>
                <w:rFonts w:cs="Times New Roman"/>
                <w:b/>
                <w:sz w:val="20"/>
                <w:szCs w:val="20"/>
              </w:rPr>
            </w:pPr>
            <w:r w:rsidRPr="002746B8">
              <w:rPr>
                <w:rFonts w:cs="Times New Roman"/>
                <w:b/>
                <w:bCs/>
                <w:sz w:val="20"/>
                <w:szCs w:val="20"/>
                <w:lang w:val="fr-CA"/>
              </w:rPr>
              <w:t>Requête en autorisation d’intervenir</w:t>
            </w:r>
            <w:r w:rsidRPr="002746B8">
              <w:rPr>
                <w:rFonts w:cs="Times New Roman"/>
                <w:sz w:val="20"/>
                <w:szCs w:val="20"/>
              </w:rPr>
              <w:t xml:space="preserve"> </w:t>
            </w:r>
            <w:r w:rsidR="00AB3236" w:rsidRPr="002746B8">
              <w:rPr>
                <w:rFonts w:cs="Times New Roman"/>
                <w:sz w:val="20"/>
                <w:szCs w:val="20"/>
              </w:rPr>
              <w:fldChar w:fldCharType="begin"/>
            </w:r>
            <w:r w:rsidRPr="002746B8">
              <w:rPr>
                <w:rFonts w:cs="Times New Roman"/>
                <w:sz w:val="20"/>
                <w:szCs w:val="20"/>
              </w:rPr>
              <w:instrText xml:space="preserve"> SEQ CHAPTER \h \r 1</w:instrText>
            </w:r>
            <w:r w:rsidR="00AB3236" w:rsidRPr="002746B8">
              <w:rPr>
                <w:rFonts w:cs="Times New Roman"/>
                <w:sz w:val="20"/>
                <w:szCs w:val="20"/>
              </w:rPr>
              <w:fldChar w:fldCharType="end"/>
            </w:r>
          </w:p>
        </w:tc>
      </w:tr>
      <w:tr w:rsidR="005465D8" w:rsidRPr="002746B8" w:rsidTr="002F0EB9">
        <w:tc>
          <w:tcPr>
            <w:tcW w:w="1368" w:type="dxa"/>
          </w:tcPr>
          <w:p w:rsidR="005465D8" w:rsidRPr="002746B8" w:rsidRDefault="005465D8" w:rsidP="002F0EB9">
            <w:pPr>
              <w:rPr>
                <w:rFonts w:cs="Times New Roman"/>
                <w:sz w:val="20"/>
                <w:szCs w:val="20"/>
              </w:rPr>
            </w:pPr>
            <w:r w:rsidRPr="002746B8">
              <w:rPr>
                <w:rFonts w:cs="Times New Roman"/>
                <w:sz w:val="20"/>
                <w:szCs w:val="20"/>
              </w:rPr>
              <w:t>BY / PAR</w:t>
            </w:r>
          </w:p>
        </w:tc>
        <w:tc>
          <w:tcPr>
            <w:tcW w:w="2970" w:type="dxa"/>
          </w:tcPr>
          <w:p w:rsidR="005465D8" w:rsidRPr="002746B8" w:rsidRDefault="005465D8" w:rsidP="002F0EB9">
            <w:pPr>
              <w:rPr>
                <w:rFonts w:cs="Times New Roman"/>
                <w:sz w:val="20"/>
                <w:szCs w:val="20"/>
              </w:rPr>
            </w:pPr>
            <w:r w:rsidRPr="002746B8">
              <w:rPr>
                <w:rFonts w:cs="Times New Roman"/>
                <w:sz w:val="20"/>
                <w:szCs w:val="20"/>
              </w:rPr>
              <w:t>Directeur des poursuites pénales</w:t>
            </w:r>
          </w:p>
        </w:tc>
        <w:tc>
          <w:tcPr>
            <w:tcW w:w="1170" w:type="dxa"/>
          </w:tcPr>
          <w:p w:rsidR="005465D8" w:rsidRPr="002746B8" w:rsidRDefault="005465D8" w:rsidP="002F0EB9">
            <w:pPr>
              <w:rPr>
                <w:rFonts w:cs="Times New Roman"/>
                <w:sz w:val="20"/>
                <w:szCs w:val="20"/>
              </w:rPr>
            </w:pPr>
          </w:p>
        </w:tc>
        <w:tc>
          <w:tcPr>
            <w:tcW w:w="4327" w:type="dxa"/>
          </w:tcPr>
          <w:p w:rsidR="005465D8" w:rsidRPr="002746B8" w:rsidRDefault="005465D8" w:rsidP="002F0EB9">
            <w:pPr>
              <w:rPr>
                <w:rFonts w:cs="Times New Roman"/>
                <w:sz w:val="20"/>
                <w:szCs w:val="20"/>
              </w:rPr>
            </w:pPr>
          </w:p>
        </w:tc>
      </w:tr>
      <w:tr w:rsidR="005465D8" w:rsidRPr="002746B8" w:rsidTr="002F0EB9">
        <w:tc>
          <w:tcPr>
            <w:tcW w:w="1368" w:type="dxa"/>
          </w:tcPr>
          <w:p w:rsidR="005465D8" w:rsidRPr="002746B8" w:rsidRDefault="005465D8" w:rsidP="002F0EB9">
            <w:pPr>
              <w:rPr>
                <w:rFonts w:cs="Times New Roman"/>
                <w:sz w:val="20"/>
                <w:szCs w:val="20"/>
              </w:rPr>
            </w:pPr>
          </w:p>
        </w:tc>
        <w:tc>
          <w:tcPr>
            <w:tcW w:w="2970" w:type="dxa"/>
          </w:tcPr>
          <w:p w:rsidR="005465D8" w:rsidRPr="002746B8" w:rsidRDefault="005465D8" w:rsidP="002F0EB9">
            <w:pPr>
              <w:rPr>
                <w:rFonts w:cs="Times New Roman"/>
                <w:sz w:val="20"/>
                <w:szCs w:val="20"/>
              </w:rPr>
            </w:pPr>
          </w:p>
        </w:tc>
        <w:tc>
          <w:tcPr>
            <w:tcW w:w="1170" w:type="dxa"/>
          </w:tcPr>
          <w:p w:rsidR="005465D8" w:rsidRPr="002746B8" w:rsidRDefault="005465D8" w:rsidP="002F0EB9">
            <w:pPr>
              <w:rPr>
                <w:rFonts w:cs="Times New Roman"/>
                <w:sz w:val="20"/>
                <w:szCs w:val="20"/>
              </w:rPr>
            </w:pPr>
          </w:p>
        </w:tc>
        <w:tc>
          <w:tcPr>
            <w:tcW w:w="4327" w:type="dxa"/>
          </w:tcPr>
          <w:p w:rsidR="005465D8" w:rsidRPr="002746B8" w:rsidRDefault="005465D8" w:rsidP="002F0EB9">
            <w:pPr>
              <w:rPr>
                <w:rFonts w:cs="Times New Roman"/>
                <w:sz w:val="20"/>
                <w:szCs w:val="20"/>
              </w:rPr>
            </w:pPr>
          </w:p>
        </w:tc>
      </w:tr>
      <w:tr w:rsidR="005465D8" w:rsidRPr="002746B8" w:rsidTr="002F0EB9">
        <w:tc>
          <w:tcPr>
            <w:tcW w:w="1368" w:type="dxa"/>
          </w:tcPr>
          <w:p w:rsidR="005465D8" w:rsidRPr="002746B8" w:rsidRDefault="005465D8" w:rsidP="002F0EB9">
            <w:pPr>
              <w:rPr>
                <w:rFonts w:cs="Times New Roman"/>
                <w:sz w:val="20"/>
                <w:szCs w:val="20"/>
              </w:rPr>
            </w:pPr>
            <w:r w:rsidRPr="002746B8">
              <w:rPr>
                <w:rFonts w:cs="Times New Roman"/>
                <w:sz w:val="20"/>
                <w:szCs w:val="20"/>
              </w:rPr>
              <w:t>IN / DANS :</w:t>
            </w:r>
          </w:p>
        </w:tc>
        <w:tc>
          <w:tcPr>
            <w:tcW w:w="2970" w:type="dxa"/>
          </w:tcPr>
          <w:p w:rsidR="005465D8" w:rsidRPr="002746B8" w:rsidRDefault="005465D8" w:rsidP="002F0EB9">
            <w:pPr>
              <w:rPr>
                <w:rFonts w:cs="Times New Roman"/>
                <w:sz w:val="20"/>
                <w:szCs w:val="20"/>
              </w:rPr>
            </w:pPr>
            <w:r w:rsidRPr="002746B8">
              <w:rPr>
                <w:rFonts w:cs="Times New Roman"/>
                <w:sz w:val="20"/>
                <w:szCs w:val="20"/>
              </w:rPr>
              <w:t>Sa Majesté la Reine</w:t>
            </w:r>
          </w:p>
          <w:p w:rsidR="005465D8" w:rsidRPr="002746B8" w:rsidRDefault="005465D8" w:rsidP="002F0EB9">
            <w:pPr>
              <w:rPr>
                <w:rFonts w:cs="Times New Roman"/>
                <w:sz w:val="20"/>
                <w:szCs w:val="20"/>
              </w:rPr>
            </w:pPr>
          </w:p>
        </w:tc>
        <w:tc>
          <w:tcPr>
            <w:tcW w:w="1170" w:type="dxa"/>
          </w:tcPr>
          <w:p w:rsidR="005465D8" w:rsidRPr="002746B8" w:rsidRDefault="005465D8" w:rsidP="002F0EB9">
            <w:pPr>
              <w:rPr>
                <w:rFonts w:cs="Times New Roman"/>
                <w:sz w:val="20"/>
                <w:szCs w:val="20"/>
              </w:rPr>
            </w:pPr>
          </w:p>
        </w:tc>
        <w:tc>
          <w:tcPr>
            <w:tcW w:w="4327" w:type="dxa"/>
          </w:tcPr>
          <w:p w:rsidR="005465D8" w:rsidRPr="002746B8" w:rsidRDefault="005465D8" w:rsidP="002F0EB9">
            <w:pPr>
              <w:rPr>
                <w:rFonts w:cs="Times New Roman"/>
                <w:sz w:val="20"/>
                <w:szCs w:val="20"/>
              </w:rPr>
            </w:pPr>
          </w:p>
        </w:tc>
      </w:tr>
      <w:tr w:rsidR="005465D8" w:rsidRPr="002746B8" w:rsidTr="002F0EB9">
        <w:tc>
          <w:tcPr>
            <w:tcW w:w="1368" w:type="dxa"/>
          </w:tcPr>
          <w:p w:rsidR="005465D8" w:rsidRPr="002746B8" w:rsidRDefault="005465D8" w:rsidP="002F0EB9">
            <w:pPr>
              <w:rPr>
                <w:rFonts w:cs="Times New Roman"/>
                <w:sz w:val="20"/>
                <w:szCs w:val="20"/>
              </w:rPr>
            </w:pPr>
          </w:p>
        </w:tc>
        <w:tc>
          <w:tcPr>
            <w:tcW w:w="2970" w:type="dxa"/>
          </w:tcPr>
          <w:p w:rsidR="005465D8" w:rsidRPr="002746B8" w:rsidRDefault="005465D8" w:rsidP="002F0EB9">
            <w:pPr>
              <w:rPr>
                <w:rFonts w:cs="Times New Roman"/>
                <w:sz w:val="20"/>
                <w:szCs w:val="20"/>
              </w:rPr>
            </w:pPr>
            <w:r w:rsidRPr="002746B8">
              <w:rPr>
                <w:rFonts w:cs="Times New Roman"/>
                <w:sz w:val="20"/>
                <w:szCs w:val="20"/>
              </w:rPr>
              <w:tab/>
              <w:t>c. (34038)</w:t>
            </w:r>
          </w:p>
          <w:p w:rsidR="005465D8" w:rsidRPr="002746B8" w:rsidRDefault="005465D8" w:rsidP="002F0EB9">
            <w:pPr>
              <w:rPr>
                <w:rFonts w:cs="Times New Roman"/>
                <w:sz w:val="20"/>
                <w:szCs w:val="20"/>
              </w:rPr>
            </w:pPr>
          </w:p>
        </w:tc>
        <w:tc>
          <w:tcPr>
            <w:tcW w:w="1170" w:type="dxa"/>
          </w:tcPr>
          <w:p w:rsidR="005465D8" w:rsidRPr="002746B8" w:rsidRDefault="005465D8" w:rsidP="002F0EB9">
            <w:pPr>
              <w:rPr>
                <w:rFonts w:cs="Times New Roman"/>
                <w:sz w:val="20"/>
                <w:szCs w:val="20"/>
              </w:rPr>
            </w:pPr>
          </w:p>
        </w:tc>
        <w:tc>
          <w:tcPr>
            <w:tcW w:w="4327" w:type="dxa"/>
          </w:tcPr>
          <w:p w:rsidR="005465D8" w:rsidRPr="002746B8" w:rsidRDefault="005465D8" w:rsidP="002F0EB9">
            <w:pPr>
              <w:rPr>
                <w:rFonts w:cs="Times New Roman"/>
                <w:sz w:val="20"/>
                <w:szCs w:val="20"/>
              </w:rPr>
            </w:pPr>
          </w:p>
        </w:tc>
      </w:tr>
      <w:tr w:rsidR="005465D8" w:rsidRPr="002746B8" w:rsidTr="002F0EB9">
        <w:tc>
          <w:tcPr>
            <w:tcW w:w="1368" w:type="dxa"/>
          </w:tcPr>
          <w:p w:rsidR="005465D8" w:rsidRPr="002746B8" w:rsidRDefault="005465D8" w:rsidP="002F0EB9">
            <w:pPr>
              <w:rPr>
                <w:rFonts w:cs="Times New Roman"/>
                <w:sz w:val="20"/>
                <w:szCs w:val="20"/>
              </w:rPr>
            </w:pPr>
          </w:p>
        </w:tc>
        <w:tc>
          <w:tcPr>
            <w:tcW w:w="2970" w:type="dxa"/>
          </w:tcPr>
          <w:p w:rsidR="005465D8" w:rsidRPr="002746B8" w:rsidRDefault="005465D8" w:rsidP="002F0EB9">
            <w:pPr>
              <w:jc w:val="both"/>
              <w:rPr>
                <w:rFonts w:cs="Times New Roman"/>
                <w:sz w:val="20"/>
                <w:szCs w:val="20"/>
              </w:rPr>
            </w:pPr>
            <w:r w:rsidRPr="002746B8">
              <w:rPr>
                <w:rFonts w:cs="Times New Roman"/>
                <w:sz w:val="20"/>
                <w:szCs w:val="20"/>
              </w:rPr>
              <w:t>R.P. (Crim.) (Qc)</w:t>
            </w:r>
          </w:p>
        </w:tc>
        <w:tc>
          <w:tcPr>
            <w:tcW w:w="1170" w:type="dxa"/>
          </w:tcPr>
          <w:p w:rsidR="005465D8" w:rsidRPr="002746B8" w:rsidRDefault="005465D8" w:rsidP="002F0EB9">
            <w:pPr>
              <w:rPr>
                <w:rFonts w:cs="Times New Roman"/>
                <w:sz w:val="20"/>
                <w:szCs w:val="20"/>
              </w:rPr>
            </w:pPr>
          </w:p>
        </w:tc>
        <w:tc>
          <w:tcPr>
            <w:tcW w:w="4327" w:type="dxa"/>
          </w:tcPr>
          <w:p w:rsidR="005465D8" w:rsidRPr="002746B8" w:rsidRDefault="005465D8" w:rsidP="002F0EB9">
            <w:pPr>
              <w:rPr>
                <w:rFonts w:cs="Times New Roman"/>
                <w:sz w:val="20"/>
                <w:szCs w:val="20"/>
              </w:rPr>
            </w:pPr>
          </w:p>
        </w:tc>
      </w:tr>
    </w:tbl>
    <w:p w:rsidR="005465D8" w:rsidRPr="002746B8" w:rsidRDefault="005465D8" w:rsidP="005465D8">
      <w:pPr>
        <w:tabs>
          <w:tab w:val="left" w:pos="-1440"/>
          <w:tab w:val="left" w:pos="-720"/>
        </w:tabs>
        <w:jc w:val="both"/>
        <w:rPr>
          <w:rFonts w:cs="Times New Roman"/>
          <w:sz w:val="20"/>
          <w:szCs w:val="20"/>
        </w:rPr>
      </w:pPr>
    </w:p>
    <w:p w:rsidR="005465D8" w:rsidRPr="002746B8" w:rsidRDefault="005465D8" w:rsidP="005465D8">
      <w:pPr>
        <w:tabs>
          <w:tab w:val="left" w:pos="-1440"/>
          <w:tab w:val="left" w:pos="-720"/>
        </w:tabs>
        <w:jc w:val="both"/>
        <w:rPr>
          <w:rFonts w:cs="Times New Roman"/>
          <w:sz w:val="20"/>
          <w:szCs w:val="20"/>
        </w:rPr>
      </w:pPr>
      <w:r w:rsidRPr="002746B8">
        <w:rPr>
          <w:rFonts w:cs="Times New Roman"/>
          <w:b/>
          <w:sz w:val="20"/>
          <w:szCs w:val="20"/>
        </w:rPr>
        <w:t>DISMISSED / REJETÉE</w:t>
      </w:r>
    </w:p>
    <w:p w:rsidR="005465D8" w:rsidRPr="002746B8" w:rsidRDefault="005465D8" w:rsidP="005465D8">
      <w:pPr>
        <w:tabs>
          <w:tab w:val="left" w:pos="-1440"/>
          <w:tab w:val="left" w:pos="-720"/>
        </w:tabs>
        <w:jc w:val="both"/>
        <w:rPr>
          <w:rFonts w:cs="Times New Roman"/>
          <w:sz w:val="20"/>
          <w:szCs w:val="20"/>
        </w:rPr>
      </w:pPr>
    </w:p>
    <w:p w:rsidR="005465D8" w:rsidRPr="002746B8" w:rsidRDefault="005465D8" w:rsidP="005465D8">
      <w:pPr>
        <w:spacing w:line="233" w:lineRule="auto"/>
        <w:jc w:val="both"/>
        <w:rPr>
          <w:rFonts w:cs="Times New Roman"/>
          <w:sz w:val="20"/>
          <w:szCs w:val="20"/>
          <w:lang w:val="fr-FR"/>
        </w:rPr>
      </w:pPr>
      <w:r w:rsidRPr="002746B8">
        <w:rPr>
          <w:rFonts w:cs="Times New Roman"/>
          <w:b/>
          <w:bCs/>
          <w:sz w:val="20"/>
          <w:szCs w:val="20"/>
          <w:lang w:val="fr-CA"/>
        </w:rPr>
        <w:t xml:space="preserve">À LA SUITE DE LA DEMANDE </w:t>
      </w:r>
      <w:r w:rsidRPr="002746B8">
        <w:rPr>
          <w:rFonts w:cs="Times New Roman"/>
          <w:bCs/>
          <w:sz w:val="20"/>
          <w:szCs w:val="20"/>
          <w:lang w:val="fr-CA"/>
        </w:rPr>
        <w:t>d’</w:t>
      </w:r>
      <w:r w:rsidRPr="002746B8">
        <w:rPr>
          <w:rFonts w:cs="Times New Roman"/>
          <w:sz w:val="20"/>
          <w:szCs w:val="20"/>
          <w:lang w:val="fr-CA"/>
        </w:rPr>
        <w:t>autorisation d’intervenir dans l’appel présentée par le</w:t>
      </w:r>
      <w:r w:rsidRPr="002746B8">
        <w:rPr>
          <w:rFonts w:cs="Times New Roman"/>
          <w:sz w:val="20"/>
          <w:szCs w:val="20"/>
          <w:lang w:val="fr-FR"/>
        </w:rPr>
        <w:t xml:space="preserve"> </w:t>
      </w:r>
      <w:r w:rsidRPr="002746B8">
        <w:rPr>
          <w:rFonts w:cs="Times New Roman"/>
          <w:sz w:val="20"/>
          <w:szCs w:val="20"/>
          <w:lang w:val="fr-CA"/>
        </w:rPr>
        <w:t>Directeur des poursuites pénales;</w:t>
      </w:r>
    </w:p>
    <w:p w:rsidR="005465D8" w:rsidRDefault="005465D8">
      <w:pPr>
        <w:rPr>
          <w:rFonts w:cs="Times New Roman"/>
          <w:sz w:val="20"/>
          <w:szCs w:val="20"/>
          <w:lang w:val="fr-CA"/>
        </w:rPr>
      </w:pPr>
      <w:r>
        <w:rPr>
          <w:rFonts w:cs="Times New Roman"/>
          <w:sz w:val="20"/>
          <w:szCs w:val="20"/>
          <w:lang w:val="fr-CA"/>
        </w:rPr>
        <w:br w:type="page"/>
      </w:r>
    </w:p>
    <w:p w:rsidR="005465D8" w:rsidRPr="002746B8" w:rsidRDefault="005465D8" w:rsidP="005465D8">
      <w:pPr>
        <w:spacing w:line="233" w:lineRule="auto"/>
        <w:jc w:val="both"/>
        <w:rPr>
          <w:rFonts w:cs="Times New Roman"/>
          <w:sz w:val="20"/>
          <w:szCs w:val="20"/>
          <w:lang w:val="fr-CA"/>
        </w:rPr>
      </w:pPr>
      <w:r w:rsidRPr="002746B8">
        <w:rPr>
          <w:rFonts w:cs="Times New Roman"/>
          <w:b/>
          <w:bCs/>
          <w:sz w:val="20"/>
          <w:szCs w:val="20"/>
          <w:lang w:val="fr-CA"/>
        </w:rPr>
        <w:lastRenderedPageBreak/>
        <w:t xml:space="preserve">ET APRÈS EXAMEN </w:t>
      </w:r>
      <w:r w:rsidRPr="002746B8">
        <w:rPr>
          <w:rFonts w:cs="Times New Roman"/>
          <w:sz w:val="20"/>
          <w:szCs w:val="20"/>
          <w:lang w:val="fr-CA"/>
        </w:rPr>
        <w:t xml:space="preserve">des documents déposés; </w:t>
      </w:r>
    </w:p>
    <w:p w:rsidR="005465D8" w:rsidRPr="002746B8" w:rsidRDefault="005465D8" w:rsidP="005465D8">
      <w:pPr>
        <w:rPr>
          <w:rFonts w:cs="Times New Roman"/>
          <w:sz w:val="20"/>
          <w:szCs w:val="20"/>
          <w:lang w:val="fr-CA"/>
        </w:rPr>
      </w:pPr>
    </w:p>
    <w:p w:rsidR="005465D8" w:rsidRPr="002746B8" w:rsidRDefault="005465D8" w:rsidP="005465D8">
      <w:pPr>
        <w:spacing w:line="233" w:lineRule="auto"/>
        <w:jc w:val="both"/>
        <w:rPr>
          <w:rFonts w:cs="Times New Roman"/>
          <w:sz w:val="20"/>
          <w:szCs w:val="20"/>
          <w:lang w:val="fr-CA"/>
        </w:rPr>
      </w:pPr>
      <w:r w:rsidRPr="002746B8">
        <w:rPr>
          <w:rFonts w:cs="Times New Roman"/>
          <w:b/>
          <w:bCs/>
          <w:sz w:val="20"/>
          <w:szCs w:val="20"/>
          <w:lang w:val="fr-CA"/>
        </w:rPr>
        <w:t xml:space="preserve">IL EST ORDONNÉ CE QUI SUIT : </w:t>
      </w:r>
    </w:p>
    <w:p w:rsidR="005465D8" w:rsidRPr="002746B8" w:rsidRDefault="005465D8" w:rsidP="005465D8">
      <w:pPr>
        <w:spacing w:line="233" w:lineRule="auto"/>
        <w:jc w:val="both"/>
        <w:rPr>
          <w:rFonts w:cs="Times New Roman"/>
          <w:sz w:val="20"/>
          <w:szCs w:val="20"/>
          <w:lang w:val="fr-CA"/>
        </w:rPr>
      </w:pPr>
    </w:p>
    <w:p w:rsidR="005465D8" w:rsidRPr="002746B8" w:rsidRDefault="005465D8" w:rsidP="005465D8">
      <w:pPr>
        <w:spacing w:line="233" w:lineRule="auto"/>
        <w:jc w:val="both"/>
        <w:rPr>
          <w:rFonts w:cs="Times New Roman"/>
          <w:sz w:val="20"/>
          <w:szCs w:val="20"/>
          <w:lang w:val="fr-CA"/>
        </w:rPr>
      </w:pPr>
      <w:r w:rsidRPr="002746B8">
        <w:rPr>
          <w:rFonts w:cs="Times New Roman"/>
          <w:sz w:val="20"/>
          <w:szCs w:val="20"/>
          <w:lang w:val="fr-CA"/>
        </w:rPr>
        <w:t xml:space="preserve">La requête </w:t>
      </w:r>
      <w:r w:rsidR="00AB3236" w:rsidRPr="002746B8">
        <w:rPr>
          <w:rFonts w:cs="Times New Roman"/>
          <w:sz w:val="20"/>
          <w:szCs w:val="20"/>
        </w:rPr>
        <w:fldChar w:fldCharType="begin"/>
      </w:r>
      <w:r w:rsidRPr="002746B8">
        <w:rPr>
          <w:rFonts w:cs="Times New Roman"/>
          <w:sz w:val="20"/>
          <w:szCs w:val="20"/>
          <w:lang w:val="fr-FR"/>
        </w:rPr>
        <w:instrText xml:space="preserve"> SEQ CHAPTER \h \r 1</w:instrText>
      </w:r>
      <w:r w:rsidR="00AB3236" w:rsidRPr="002746B8">
        <w:rPr>
          <w:rFonts w:cs="Times New Roman"/>
          <w:sz w:val="20"/>
          <w:szCs w:val="20"/>
        </w:rPr>
        <w:fldChar w:fldCharType="end"/>
      </w:r>
      <w:r w:rsidRPr="002746B8">
        <w:rPr>
          <w:rFonts w:cs="Times New Roman"/>
          <w:sz w:val="20"/>
          <w:szCs w:val="20"/>
          <w:lang w:val="fr-CA"/>
        </w:rPr>
        <w:t xml:space="preserve">en autorisation d’intervenir du </w:t>
      </w:r>
      <w:r w:rsidR="00AB3236" w:rsidRPr="002746B8">
        <w:rPr>
          <w:rFonts w:cs="Times New Roman"/>
          <w:sz w:val="20"/>
          <w:szCs w:val="20"/>
        </w:rPr>
        <w:fldChar w:fldCharType="begin"/>
      </w:r>
      <w:r w:rsidRPr="002746B8">
        <w:rPr>
          <w:rFonts w:cs="Times New Roman"/>
          <w:sz w:val="20"/>
          <w:szCs w:val="20"/>
          <w:lang w:val="fr-FR"/>
        </w:rPr>
        <w:instrText xml:space="preserve"> SEQ CHAPTER \h \r 1</w:instrText>
      </w:r>
      <w:r w:rsidR="00AB3236" w:rsidRPr="002746B8">
        <w:rPr>
          <w:rFonts w:cs="Times New Roman"/>
          <w:sz w:val="20"/>
          <w:szCs w:val="20"/>
        </w:rPr>
        <w:fldChar w:fldCharType="end"/>
      </w:r>
      <w:r w:rsidRPr="002746B8">
        <w:rPr>
          <w:rFonts w:cs="Times New Roman"/>
          <w:sz w:val="20"/>
          <w:szCs w:val="20"/>
          <w:lang w:val="fr-FR"/>
        </w:rPr>
        <w:t xml:space="preserve">Directeur des poursuites pénales </w:t>
      </w:r>
      <w:r w:rsidRPr="002746B8">
        <w:rPr>
          <w:rFonts w:cs="Times New Roman"/>
          <w:sz w:val="20"/>
          <w:szCs w:val="20"/>
          <w:lang w:val="fr-CA"/>
        </w:rPr>
        <w:t>est rejetée.</w: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spacing w:line="233" w:lineRule="auto"/>
        <w:jc w:val="both"/>
        <w:rPr>
          <w:rFonts w:cs="Times New Roman"/>
          <w:sz w:val="20"/>
          <w:szCs w:val="20"/>
        </w:rPr>
      </w:pPr>
      <w:r w:rsidRPr="002746B8">
        <w:rPr>
          <w:rFonts w:cs="Times New Roman"/>
          <w:b/>
          <w:bCs/>
          <w:sz w:val="20"/>
          <w:szCs w:val="20"/>
        </w:rPr>
        <w:t xml:space="preserve">UPON APPLICATION </w:t>
      </w:r>
      <w:r w:rsidRPr="002746B8">
        <w:rPr>
          <w:rFonts w:cs="Times New Roman"/>
          <w:bCs/>
          <w:sz w:val="20"/>
          <w:szCs w:val="20"/>
        </w:rPr>
        <w:t>by the Director of Public Prosecutions for leave to intervene in the appeal</w:t>
      </w:r>
      <w:r w:rsidRPr="002746B8">
        <w:rPr>
          <w:rFonts w:cs="Times New Roman"/>
          <w:sz w:val="20"/>
          <w:szCs w:val="20"/>
        </w:rPr>
        <w:t>;</w:t>
      </w:r>
    </w:p>
    <w:p w:rsidR="005465D8" w:rsidRPr="002746B8" w:rsidRDefault="005465D8" w:rsidP="005465D8">
      <w:pPr>
        <w:spacing w:line="233" w:lineRule="auto"/>
        <w:jc w:val="both"/>
        <w:rPr>
          <w:rFonts w:cs="Times New Roman"/>
          <w:sz w:val="20"/>
          <w:szCs w:val="20"/>
        </w:rPr>
      </w:pPr>
    </w:p>
    <w:p w:rsidR="005465D8" w:rsidRPr="002746B8" w:rsidRDefault="005465D8" w:rsidP="005465D8">
      <w:pPr>
        <w:spacing w:line="233" w:lineRule="auto"/>
        <w:jc w:val="both"/>
        <w:rPr>
          <w:rFonts w:cs="Times New Roman"/>
          <w:sz w:val="20"/>
          <w:szCs w:val="20"/>
        </w:rPr>
      </w:pPr>
      <w:r w:rsidRPr="002746B8">
        <w:rPr>
          <w:rFonts w:cs="Times New Roman"/>
          <w:b/>
          <w:bCs/>
          <w:sz w:val="20"/>
          <w:szCs w:val="20"/>
        </w:rPr>
        <w:t xml:space="preserve">AND THE MATERIAL FILED </w:t>
      </w:r>
      <w:r w:rsidRPr="002746B8">
        <w:rPr>
          <w:rFonts w:cs="Times New Roman"/>
          <w:sz w:val="20"/>
          <w:szCs w:val="20"/>
        </w:rPr>
        <w:t xml:space="preserve">having been read; </w:t>
      </w:r>
    </w:p>
    <w:p w:rsidR="005465D8" w:rsidRPr="002746B8" w:rsidRDefault="005465D8" w:rsidP="005465D8">
      <w:pPr>
        <w:spacing w:line="233" w:lineRule="auto"/>
        <w:jc w:val="both"/>
        <w:rPr>
          <w:rFonts w:cs="Times New Roman"/>
          <w:sz w:val="20"/>
          <w:szCs w:val="20"/>
        </w:rPr>
      </w:pPr>
    </w:p>
    <w:p w:rsidR="005465D8" w:rsidRPr="002746B8" w:rsidRDefault="005465D8" w:rsidP="005465D8">
      <w:pPr>
        <w:spacing w:line="233" w:lineRule="auto"/>
        <w:jc w:val="both"/>
        <w:rPr>
          <w:rFonts w:cs="Times New Roman"/>
          <w:sz w:val="20"/>
          <w:szCs w:val="20"/>
        </w:rPr>
      </w:pPr>
      <w:r w:rsidRPr="002746B8">
        <w:rPr>
          <w:rFonts w:cs="Times New Roman"/>
          <w:b/>
          <w:bCs/>
          <w:sz w:val="20"/>
          <w:szCs w:val="20"/>
        </w:rPr>
        <w:t xml:space="preserve">IT IS HEREBY ORDERED THAT: </w:t>
      </w:r>
    </w:p>
    <w:p w:rsidR="005465D8" w:rsidRPr="002746B8" w:rsidRDefault="005465D8" w:rsidP="005465D8">
      <w:pPr>
        <w:spacing w:line="233" w:lineRule="auto"/>
        <w:jc w:val="both"/>
        <w:rPr>
          <w:rFonts w:cs="Times New Roman"/>
          <w:sz w:val="20"/>
          <w:szCs w:val="20"/>
        </w:rPr>
      </w:pPr>
    </w:p>
    <w:p w:rsidR="005465D8" w:rsidRPr="002746B8" w:rsidRDefault="005465D8" w:rsidP="005465D8">
      <w:pPr>
        <w:spacing w:line="233" w:lineRule="auto"/>
        <w:jc w:val="both"/>
        <w:rPr>
          <w:rFonts w:cs="Times New Roman"/>
          <w:sz w:val="20"/>
          <w:szCs w:val="20"/>
        </w:rPr>
      </w:pPr>
      <w:r w:rsidRPr="002746B8">
        <w:rPr>
          <w:rFonts w:cs="Times New Roman"/>
          <w:sz w:val="20"/>
          <w:szCs w:val="20"/>
        </w:rPr>
        <w:t xml:space="preserve">The motion </w:t>
      </w:r>
      <w:r w:rsidRPr="002746B8">
        <w:rPr>
          <w:rFonts w:cs="Times New Roman"/>
          <w:bCs/>
          <w:sz w:val="20"/>
          <w:szCs w:val="20"/>
        </w:rPr>
        <w:t xml:space="preserve">for leave to intervene </w:t>
      </w:r>
      <w:r w:rsidRPr="002746B8">
        <w:rPr>
          <w:rFonts w:cs="Times New Roman"/>
          <w:sz w:val="20"/>
          <w:szCs w:val="20"/>
        </w:rPr>
        <w:t xml:space="preserve">of the </w:t>
      </w:r>
      <w:r w:rsidRPr="002746B8">
        <w:rPr>
          <w:rFonts w:cs="Times New Roman"/>
          <w:bCs/>
          <w:sz w:val="20"/>
          <w:szCs w:val="20"/>
        </w:rPr>
        <w:t>Director of Public Prosecutions is dismissed</w:t>
      </w:r>
      <w:r w:rsidRPr="002746B8">
        <w:rPr>
          <w:rFonts w:cs="Times New Roman"/>
          <w:sz w:val="20"/>
          <w:szCs w:val="20"/>
        </w:rPr>
        <w:t>.</w:t>
      </w:r>
    </w:p>
    <w:p w:rsidR="005465D8" w:rsidRPr="002746B8" w:rsidRDefault="005465D8" w:rsidP="005465D8">
      <w:pPr>
        <w:tabs>
          <w:tab w:val="left" w:pos="-1440"/>
          <w:tab w:val="left" w:pos="-720"/>
        </w:tabs>
        <w:jc w:val="both"/>
        <w:rPr>
          <w:rFonts w:cs="Times New Roman"/>
          <w:sz w:val="20"/>
          <w:szCs w:val="20"/>
        </w:rPr>
      </w:pPr>
    </w:p>
    <w:p w:rsidR="005465D8" w:rsidRPr="002746B8" w:rsidRDefault="00AB3236" w:rsidP="005465D8">
      <w:pPr>
        <w:tabs>
          <w:tab w:val="left" w:pos="-1440"/>
          <w:tab w:val="left" w:pos="-720"/>
        </w:tabs>
        <w:jc w:val="both"/>
        <w:rPr>
          <w:rFonts w:cs="Times New Roman"/>
          <w:sz w:val="20"/>
          <w:szCs w:val="20"/>
          <w:lang w:val="fr-CA"/>
        </w:rPr>
      </w:pPr>
      <w:r w:rsidRPr="00AB3236">
        <w:rPr>
          <w:rFonts w:cs="Times New Roman"/>
          <w:sz w:val="20"/>
          <w:szCs w:val="20"/>
          <w:lang w:val="fr-CA"/>
        </w:rPr>
        <w:pict>
          <v:rect id="_x0000_i1074" style="width:2in;height:1pt" o:hrpct="0" o:hralign="center" o:hrstd="t" o:hrnoshade="t" o:hr="t" fillcolor="black [3213]" stroked="f"/>
        </w:pic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jc w:val="both"/>
        <w:rPr>
          <w:rFonts w:cs="Times New Roman"/>
          <w:sz w:val="20"/>
          <w:szCs w:val="20"/>
          <w:lang w:val="fr-CA"/>
        </w:rPr>
      </w:pPr>
      <w:r w:rsidRPr="002746B8">
        <w:rPr>
          <w:rFonts w:cs="Times New Roman"/>
          <w:sz w:val="20"/>
          <w:szCs w:val="20"/>
          <w:lang w:val="fr-CA"/>
        </w:rPr>
        <w:t>21.06.2011</w:t>
      </w:r>
    </w:p>
    <w:p w:rsidR="005465D8" w:rsidRPr="002746B8" w:rsidRDefault="005465D8" w:rsidP="005465D8">
      <w:pPr>
        <w:jc w:val="both"/>
        <w:rPr>
          <w:rFonts w:cs="Times New Roman"/>
          <w:sz w:val="20"/>
          <w:szCs w:val="20"/>
          <w:lang w:val="fr-CA"/>
        </w:rPr>
      </w:pPr>
    </w:p>
    <w:p w:rsidR="005465D8" w:rsidRPr="002746B8" w:rsidRDefault="005465D8" w:rsidP="005465D8">
      <w:pPr>
        <w:tabs>
          <w:tab w:val="left" w:pos="-1440"/>
          <w:tab w:val="left" w:pos="-720"/>
        </w:tabs>
        <w:jc w:val="both"/>
        <w:rPr>
          <w:rFonts w:cs="Times New Roman"/>
          <w:sz w:val="20"/>
          <w:szCs w:val="20"/>
        </w:rPr>
      </w:pPr>
      <w:r w:rsidRPr="002746B8">
        <w:rPr>
          <w:rFonts w:cs="Times New Roman"/>
          <w:sz w:val="20"/>
          <w:szCs w:val="20"/>
        </w:rPr>
        <w:t>Before / Devant :   THE REGISTRAR / LE REGISTRAIRE</w:t>
      </w:r>
    </w:p>
    <w:p w:rsidR="005465D8" w:rsidRPr="002746B8" w:rsidRDefault="005465D8" w:rsidP="005465D8">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65D8" w:rsidRPr="00613D68" w:rsidTr="002F0EB9">
        <w:tc>
          <w:tcPr>
            <w:tcW w:w="4338" w:type="dxa"/>
          </w:tcPr>
          <w:p w:rsidR="005465D8" w:rsidRPr="002746B8" w:rsidRDefault="005465D8" w:rsidP="002F0EB9">
            <w:pPr>
              <w:rPr>
                <w:rFonts w:cs="Times New Roman"/>
                <w:b/>
                <w:bCs/>
                <w:sz w:val="20"/>
                <w:szCs w:val="20"/>
              </w:rPr>
            </w:pPr>
            <w:r w:rsidRPr="002746B8">
              <w:rPr>
                <w:rFonts w:cs="Times New Roman"/>
                <w:b/>
                <w:bCs/>
                <w:sz w:val="20"/>
                <w:szCs w:val="20"/>
              </w:rPr>
              <w:t xml:space="preserve">Motion to extend the time to serve and file the respondent’s factum and book of authorities </w:t>
            </w:r>
          </w:p>
          <w:p w:rsidR="005465D8" w:rsidRPr="002746B8" w:rsidRDefault="00AB3236" w:rsidP="002F0EB9">
            <w:pPr>
              <w:rPr>
                <w:rFonts w:cs="Times New Roman"/>
                <w:b/>
                <w:sz w:val="20"/>
                <w:szCs w:val="20"/>
              </w:rPr>
            </w:pPr>
            <w:r w:rsidRPr="002746B8">
              <w:rPr>
                <w:rFonts w:cs="Times New Roman"/>
                <w:sz w:val="20"/>
                <w:szCs w:val="20"/>
              </w:rPr>
              <w:fldChar w:fldCharType="begin"/>
            </w:r>
            <w:r w:rsidR="005465D8" w:rsidRPr="002746B8">
              <w:rPr>
                <w:rFonts w:cs="Times New Roman"/>
                <w:sz w:val="20"/>
                <w:szCs w:val="20"/>
              </w:rPr>
              <w:instrText xml:space="preserve"> SEQ CHAPTER \h \r 1</w:instrText>
            </w:r>
            <w:r w:rsidRPr="002746B8">
              <w:rPr>
                <w:rFonts w:cs="Times New Roman"/>
                <w:sz w:val="20"/>
                <w:szCs w:val="20"/>
              </w:rPr>
              <w:fldChar w:fldCharType="end"/>
            </w:r>
          </w:p>
        </w:tc>
        <w:tc>
          <w:tcPr>
            <w:tcW w:w="1170" w:type="dxa"/>
          </w:tcPr>
          <w:p w:rsidR="005465D8" w:rsidRPr="002746B8" w:rsidRDefault="005465D8" w:rsidP="002F0EB9">
            <w:pPr>
              <w:rPr>
                <w:rFonts w:cs="Times New Roman"/>
                <w:sz w:val="20"/>
                <w:szCs w:val="20"/>
              </w:rPr>
            </w:pPr>
          </w:p>
          <w:p w:rsidR="005465D8" w:rsidRPr="002746B8" w:rsidRDefault="005465D8" w:rsidP="002F0EB9">
            <w:pPr>
              <w:rPr>
                <w:rFonts w:cs="Times New Roman"/>
                <w:sz w:val="20"/>
                <w:szCs w:val="20"/>
              </w:rPr>
            </w:pPr>
          </w:p>
        </w:tc>
        <w:tc>
          <w:tcPr>
            <w:tcW w:w="4327" w:type="dxa"/>
          </w:tcPr>
          <w:p w:rsidR="005465D8" w:rsidRPr="002746B8" w:rsidRDefault="005465D8" w:rsidP="002F0EB9">
            <w:pPr>
              <w:rPr>
                <w:rFonts w:cs="Times New Roman"/>
                <w:b/>
                <w:sz w:val="20"/>
                <w:szCs w:val="20"/>
                <w:lang w:val="fr-CA"/>
              </w:rPr>
            </w:pPr>
            <w:r w:rsidRPr="002746B8">
              <w:rPr>
                <w:rFonts w:cs="Times New Roman"/>
                <w:b/>
                <w:bCs/>
                <w:sz w:val="20"/>
                <w:szCs w:val="20"/>
                <w:lang w:val="fr-CA"/>
              </w:rPr>
              <w:t xml:space="preserve">Requête en prorogation du délai de signification et de dépôt des mémoire et recueil de sources de l’intimé </w:t>
            </w:r>
            <w:r w:rsidR="00AB3236" w:rsidRPr="002746B8">
              <w:rPr>
                <w:rFonts w:cs="Times New Roman"/>
                <w:sz w:val="20"/>
                <w:szCs w:val="20"/>
              </w:rPr>
              <w:fldChar w:fldCharType="begin"/>
            </w:r>
            <w:r w:rsidRPr="002746B8">
              <w:rPr>
                <w:rFonts w:cs="Times New Roman"/>
                <w:sz w:val="20"/>
                <w:szCs w:val="20"/>
                <w:lang w:val="fr-CA"/>
              </w:rPr>
              <w:instrText xml:space="preserve"> SEQ CHAPTER \h \r 1</w:instrText>
            </w:r>
            <w:r w:rsidR="00AB3236" w:rsidRPr="002746B8">
              <w:rPr>
                <w:rFonts w:cs="Times New Roman"/>
                <w:sz w:val="20"/>
                <w:szCs w:val="20"/>
              </w:rPr>
              <w:fldChar w:fldCharType="end"/>
            </w:r>
          </w:p>
        </w:tc>
      </w:tr>
      <w:tr w:rsidR="005465D8" w:rsidRPr="002746B8" w:rsidTr="002F0EB9">
        <w:trPr>
          <w:trHeight w:val="1150"/>
        </w:trPr>
        <w:tc>
          <w:tcPr>
            <w:tcW w:w="4338" w:type="dxa"/>
          </w:tcPr>
          <w:p w:rsidR="005465D8" w:rsidRPr="002746B8" w:rsidRDefault="005465D8" w:rsidP="002F0EB9">
            <w:pPr>
              <w:rPr>
                <w:rFonts w:cs="Times New Roman"/>
                <w:sz w:val="20"/>
                <w:szCs w:val="20"/>
                <w:lang w:val="fr-CA"/>
              </w:rPr>
            </w:pPr>
            <w:r w:rsidRPr="002746B8">
              <w:rPr>
                <w:rFonts w:cs="Times New Roman"/>
                <w:sz w:val="20"/>
                <w:szCs w:val="20"/>
                <w:lang w:val="fr-CA"/>
              </w:rPr>
              <w:t>Sa Majesté la Reine</w:t>
            </w:r>
          </w:p>
          <w:p w:rsidR="005465D8" w:rsidRPr="002746B8" w:rsidRDefault="005465D8" w:rsidP="002F0EB9">
            <w:pPr>
              <w:rPr>
                <w:rFonts w:cs="Times New Roman"/>
                <w:sz w:val="20"/>
                <w:szCs w:val="20"/>
                <w:lang w:val="fr-CA"/>
              </w:rPr>
            </w:pPr>
          </w:p>
          <w:p w:rsidR="005465D8" w:rsidRPr="002746B8" w:rsidRDefault="005465D8" w:rsidP="002F0EB9">
            <w:pPr>
              <w:rPr>
                <w:rFonts w:cs="Times New Roman"/>
                <w:sz w:val="20"/>
                <w:szCs w:val="20"/>
                <w:lang w:val="fr-CA"/>
              </w:rPr>
            </w:pPr>
            <w:r w:rsidRPr="002746B8">
              <w:rPr>
                <w:rFonts w:cs="Times New Roman"/>
                <w:sz w:val="20"/>
                <w:szCs w:val="20"/>
                <w:lang w:val="fr-CA"/>
              </w:rPr>
              <w:tab/>
              <w:t>c. (34038)</w:t>
            </w:r>
          </w:p>
          <w:p w:rsidR="005465D8" w:rsidRPr="002746B8" w:rsidRDefault="005465D8" w:rsidP="002F0EB9">
            <w:pPr>
              <w:rPr>
                <w:rFonts w:cs="Times New Roman"/>
                <w:sz w:val="20"/>
                <w:szCs w:val="20"/>
                <w:lang w:val="fr-CA"/>
              </w:rPr>
            </w:pPr>
          </w:p>
          <w:p w:rsidR="005465D8" w:rsidRPr="002746B8" w:rsidRDefault="005465D8" w:rsidP="002F0EB9">
            <w:pPr>
              <w:jc w:val="both"/>
              <w:rPr>
                <w:rFonts w:cs="Times New Roman"/>
                <w:sz w:val="20"/>
                <w:szCs w:val="20"/>
              </w:rPr>
            </w:pPr>
            <w:r w:rsidRPr="002746B8">
              <w:rPr>
                <w:rFonts w:cs="Times New Roman"/>
                <w:sz w:val="20"/>
                <w:szCs w:val="20"/>
              </w:rPr>
              <w:t>R.P. (Crim.) (Qc)</w:t>
            </w:r>
          </w:p>
        </w:tc>
        <w:tc>
          <w:tcPr>
            <w:tcW w:w="1170" w:type="dxa"/>
          </w:tcPr>
          <w:p w:rsidR="005465D8" w:rsidRPr="002746B8" w:rsidRDefault="005465D8" w:rsidP="002F0EB9">
            <w:pPr>
              <w:rPr>
                <w:rFonts w:cs="Times New Roman"/>
                <w:sz w:val="20"/>
                <w:szCs w:val="20"/>
              </w:rPr>
            </w:pPr>
          </w:p>
        </w:tc>
        <w:tc>
          <w:tcPr>
            <w:tcW w:w="4327" w:type="dxa"/>
          </w:tcPr>
          <w:p w:rsidR="005465D8" w:rsidRPr="002746B8" w:rsidRDefault="005465D8" w:rsidP="002F0EB9">
            <w:pPr>
              <w:rPr>
                <w:rFonts w:cs="Times New Roman"/>
                <w:sz w:val="20"/>
                <w:szCs w:val="20"/>
              </w:rPr>
            </w:pPr>
          </w:p>
        </w:tc>
      </w:tr>
    </w:tbl>
    <w:p w:rsidR="005465D8" w:rsidRPr="002746B8" w:rsidRDefault="005465D8" w:rsidP="005465D8">
      <w:pPr>
        <w:tabs>
          <w:tab w:val="left" w:pos="-1440"/>
          <w:tab w:val="left" w:pos="-720"/>
        </w:tabs>
        <w:jc w:val="both"/>
        <w:rPr>
          <w:rFonts w:cs="Times New Roman"/>
          <w:sz w:val="20"/>
          <w:szCs w:val="20"/>
        </w:rPr>
      </w:pPr>
    </w:p>
    <w:p w:rsidR="005465D8" w:rsidRPr="002746B8" w:rsidRDefault="005465D8" w:rsidP="005465D8">
      <w:pPr>
        <w:tabs>
          <w:tab w:val="left" w:pos="-1440"/>
          <w:tab w:val="left" w:pos="-720"/>
        </w:tabs>
        <w:jc w:val="both"/>
        <w:rPr>
          <w:rFonts w:cs="Times New Roman"/>
          <w:b/>
          <w:sz w:val="20"/>
          <w:szCs w:val="20"/>
          <w:lang w:val="fr-CA"/>
        </w:rPr>
      </w:pPr>
      <w:r w:rsidRPr="002746B8">
        <w:rPr>
          <w:rFonts w:cs="Times New Roman"/>
          <w:b/>
          <w:sz w:val="20"/>
          <w:szCs w:val="20"/>
          <w:lang w:val="fr-CA"/>
        </w:rPr>
        <w:t>GRANTED / ACCORDÉE</w: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AB3236" w:rsidP="005465D8">
      <w:pPr>
        <w:tabs>
          <w:tab w:val="left" w:pos="-1440"/>
          <w:tab w:val="left" w:pos="-720"/>
        </w:tabs>
        <w:jc w:val="both"/>
        <w:rPr>
          <w:rFonts w:cs="Times New Roman"/>
          <w:sz w:val="20"/>
          <w:szCs w:val="20"/>
          <w:lang w:val="fr-CA"/>
        </w:rPr>
      </w:pPr>
      <w:r w:rsidRPr="00AB3236">
        <w:rPr>
          <w:rFonts w:cs="Times New Roman"/>
          <w:sz w:val="20"/>
          <w:szCs w:val="20"/>
          <w:lang w:val="fr-CA"/>
        </w:rPr>
        <w:pict>
          <v:rect id="_x0000_i1075" style="width:2in;height:1pt" o:hrpct="0" o:hralign="center" o:hrstd="t" o:hrnoshade="t" o:hr="t" fillcolor="black [3213]" stroked="f"/>
        </w:pict>
      </w:r>
    </w:p>
    <w:p w:rsidR="005465D8" w:rsidRPr="002746B8" w:rsidRDefault="005465D8" w:rsidP="005465D8">
      <w:pPr>
        <w:tabs>
          <w:tab w:val="left" w:pos="-1440"/>
          <w:tab w:val="left" w:pos="-720"/>
        </w:tabs>
        <w:jc w:val="both"/>
        <w:rPr>
          <w:rFonts w:cs="Times New Roman"/>
          <w:sz w:val="20"/>
          <w:szCs w:val="20"/>
        </w:rPr>
      </w:pPr>
    </w:p>
    <w:p w:rsidR="005465D8" w:rsidRPr="002746B8" w:rsidRDefault="005465D8" w:rsidP="005465D8">
      <w:pPr>
        <w:jc w:val="both"/>
        <w:rPr>
          <w:rFonts w:cs="Times New Roman"/>
          <w:sz w:val="20"/>
          <w:szCs w:val="20"/>
          <w:lang w:val="fr-CA"/>
        </w:rPr>
      </w:pPr>
      <w:r w:rsidRPr="002746B8">
        <w:rPr>
          <w:rFonts w:cs="Times New Roman"/>
          <w:sz w:val="20"/>
          <w:szCs w:val="20"/>
          <w:lang w:val="fr-CA"/>
        </w:rPr>
        <w:t>22.06.2011</w: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tabs>
          <w:tab w:val="left" w:pos="-1440"/>
          <w:tab w:val="left" w:pos="-720"/>
        </w:tabs>
        <w:jc w:val="both"/>
        <w:rPr>
          <w:rFonts w:cs="Times New Roman"/>
          <w:sz w:val="20"/>
          <w:szCs w:val="20"/>
        </w:rPr>
      </w:pPr>
      <w:r w:rsidRPr="002746B8">
        <w:rPr>
          <w:rFonts w:cs="Times New Roman"/>
          <w:sz w:val="20"/>
          <w:szCs w:val="20"/>
        </w:rPr>
        <w:t>Before / Devant :   THE REGISTRAR / LE REGISTRAIRE</w:t>
      </w:r>
    </w:p>
    <w:p w:rsidR="005465D8" w:rsidRPr="002746B8" w:rsidRDefault="005465D8" w:rsidP="005465D8">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65D8" w:rsidRPr="00A77989" w:rsidTr="002F0EB9">
        <w:tc>
          <w:tcPr>
            <w:tcW w:w="4338" w:type="dxa"/>
          </w:tcPr>
          <w:p w:rsidR="005465D8" w:rsidRPr="002746B8" w:rsidRDefault="005465D8" w:rsidP="002F0EB9">
            <w:pPr>
              <w:tabs>
                <w:tab w:val="left" w:pos="-1440"/>
                <w:tab w:val="left" w:pos="-720"/>
              </w:tabs>
              <w:jc w:val="both"/>
              <w:rPr>
                <w:rFonts w:cs="Times New Roman"/>
                <w:b/>
                <w:bCs/>
                <w:sz w:val="20"/>
                <w:szCs w:val="20"/>
              </w:rPr>
            </w:pPr>
            <w:r w:rsidRPr="002746B8">
              <w:rPr>
                <w:rFonts w:cs="Times New Roman"/>
                <w:b/>
                <w:bCs/>
                <w:sz w:val="20"/>
                <w:szCs w:val="20"/>
              </w:rPr>
              <w:t>Motion to extend the time to serve and file the respondents’ response</w:t>
            </w:r>
          </w:p>
          <w:p w:rsidR="005465D8" w:rsidRPr="002746B8" w:rsidRDefault="005465D8" w:rsidP="002F0EB9">
            <w:pPr>
              <w:tabs>
                <w:tab w:val="left" w:pos="-1440"/>
                <w:tab w:val="left" w:pos="-720"/>
              </w:tabs>
              <w:jc w:val="both"/>
              <w:rPr>
                <w:rFonts w:cs="Times New Roman"/>
                <w:b/>
                <w:sz w:val="20"/>
                <w:szCs w:val="20"/>
              </w:rPr>
            </w:pPr>
          </w:p>
        </w:tc>
        <w:tc>
          <w:tcPr>
            <w:tcW w:w="1170" w:type="dxa"/>
          </w:tcPr>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p>
        </w:tc>
        <w:tc>
          <w:tcPr>
            <w:tcW w:w="4327" w:type="dxa"/>
          </w:tcPr>
          <w:p w:rsidR="005465D8" w:rsidRPr="002746B8" w:rsidRDefault="005465D8" w:rsidP="002F0EB9">
            <w:pPr>
              <w:tabs>
                <w:tab w:val="left" w:pos="-1440"/>
                <w:tab w:val="left" w:pos="-720"/>
              </w:tabs>
              <w:jc w:val="both"/>
              <w:rPr>
                <w:rFonts w:cs="Times New Roman"/>
                <w:b/>
                <w:sz w:val="20"/>
                <w:szCs w:val="20"/>
                <w:lang w:val="fr-CA"/>
              </w:rPr>
            </w:pPr>
            <w:r w:rsidRPr="002746B8">
              <w:rPr>
                <w:rFonts w:cs="Times New Roman"/>
                <w:b/>
                <w:bCs/>
                <w:sz w:val="20"/>
                <w:szCs w:val="20"/>
                <w:lang w:val="fr-CA"/>
              </w:rPr>
              <w:t xml:space="preserve">Requête en prorogation du délai de signification et de dépôt de la réponse de l’intimée </w:t>
            </w:r>
            <w:r w:rsidR="00AB3236" w:rsidRPr="002746B8">
              <w:rPr>
                <w:rFonts w:cs="Times New Roman"/>
                <w:b/>
                <w:sz w:val="20"/>
                <w:szCs w:val="20"/>
              </w:rPr>
              <w:fldChar w:fldCharType="begin"/>
            </w:r>
            <w:r w:rsidRPr="002746B8">
              <w:rPr>
                <w:rFonts w:cs="Times New Roman"/>
                <w:b/>
                <w:sz w:val="20"/>
                <w:szCs w:val="20"/>
                <w:lang w:val="fr-CA"/>
              </w:rPr>
              <w:instrText xml:space="preserve"> SEQ CHAPTER \h \r 1</w:instrText>
            </w:r>
            <w:r w:rsidR="00AB3236" w:rsidRPr="002746B8">
              <w:rPr>
                <w:rFonts w:cs="Times New Roman"/>
                <w:b/>
                <w:sz w:val="20"/>
                <w:szCs w:val="20"/>
              </w:rPr>
              <w:fldChar w:fldCharType="end"/>
            </w:r>
          </w:p>
        </w:tc>
      </w:tr>
      <w:tr w:rsidR="005465D8" w:rsidRPr="002746B8" w:rsidTr="002F0EB9">
        <w:tc>
          <w:tcPr>
            <w:tcW w:w="4338" w:type="dxa"/>
          </w:tcPr>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Ivana Levkovic</w:t>
            </w:r>
          </w:p>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ab/>
              <w:t>v. (34229)</w:t>
            </w:r>
          </w:p>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Her Majesty the Queen (Crim.) (Ont.)</w:t>
            </w:r>
          </w:p>
        </w:tc>
        <w:tc>
          <w:tcPr>
            <w:tcW w:w="1170" w:type="dxa"/>
          </w:tcPr>
          <w:p w:rsidR="005465D8" w:rsidRPr="002746B8" w:rsidRDefault="005465D8" w:rsidP="002F0EB9">
            <w:pPr>
              <w:tabs>
                <w:tab w:val="left" w:pos="-1440"/>
                <w:tab w:val="left" w:pos="-720"/>
              </w:tabs>
              <w:jc w:val="both"/>
              <w:rPr>
                <w:rFonts w:cs="Times New Roman"/>
                <w:sz w:val="20"/>
                <w:szCs w:val="20"/>
              </w:rPr>
            </w:pPr>
          </w:p>
        </w:tc>
        <w:tc>
          <w:tcPr>
            <w:tcW w:w="4327" w:type="dxa"/>
          </w:tcPr>
          <w:p w:rsidR="005465D8" w:rsidRPr="002746B8" w:rsidRDefault="005465D8" w:rsidP="002F0EB9">
            <w:pPr>
              <w:tabs>
                <w:tab w:val="left" w:pos="-1440"/>
                <w:tab w:val="left" w:pos="-720"/>
              </w:tabs>
              <w:jc w:val="both"/>
              <w:rPr>
                <w:rFonts w:cs="Times New Roman"/>
                <w:sz w:val="20"/>
                <w:szCs w:val="20"/>
              </w:rPr>
            </w:pPr>
          </w:p>
        </w:tc>
      </w:tr>
    </w:tbl>
    <w:p w:rsidR="005465D8" w:rsidRPr="002746B8" w:rsidRDefault="005465D8" w:rsidP="005465D8">
      <w:pPr>
        <w:tabs>
          <w:tab w:val="left" w:pos="-1440"/>
          <w:tab w:val="left" w:pos="-720"/>
        </w:tabs>
        <w:jc w:val="both"/>
        <w:rPr>
          <w:rFonts w:cs="Times New Roman"/>
          <w:sz w:val="20"/>
          <w:szCs w:val="20"/>
        </w:rPr>
      </w:pPr>
    </w:p>
    <w:p w:rsidR="005465D8" w:rsidRPr="002746B8" w:rsidRDefault="005465D8" w:rsidP="005465D8">
      <w:pPr>
        <w:tabs>
          <w:tab w:val="left" w:pos="-1440"/>
          <w:tab w:val="left" w:pos="-720"/>
        </w:tabs>
        <w:jc w:val="both"/>
        <w:rPr>
          <w:rFonts w:cs="Times New Roman"/>
          <w:b/>
          <w:sz w:val="20"/>
          <w:szCs w:val="20"/>
          <w:lang w:val="fr-CA"/>
        </w:rPr>
      </w:pPr>
      <w:r w:rsidRPr="002746B8">
        <w:rPr>
          <w:rFonts w:cs="Times New Roman"/>
          <w:b/>
          <w:sz w:val="20"/>
          <w:szCs w:val="20"/>
          <w:lang w:val="fr-CA"/>
        </w:rPr>
        <w:t>GRANTED / ACCORDÉE</w: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AB3236" w:rsidP="005465D8">
      <w:pPr>
        <w:tabs>
          <w:tab w:val="left" w:pos="-1440"/>
          <w:tab w:val="left" w:pos="-720"/>
        </w:tabs>
        <w:jc w:val="both"/>
        <w:rPr>
          <w:rFonts w:cs="Times New Roman"/>
          <w:sz w:val="20"/>
          <w:szCs w:val="20"/>
          <w:lang w:val="fr-CA"/>
        </w:rPr>
      </w:pPr>
      <w:r w:rsidRPr="00AB3236">
        <w:rPr>
          <w:rFonts w:cs="Times New Roman"/>
          <w:sz w:val="20"/>
          <w:szCs w:val="20"/>
          <w:lang w:val="fr-CA"/>
        </w:rPr>
        <w:pict>
          <v:rect id="_x0000_i1076" style="width:2in;height:1pt" o:hrpct="0" o:hralign="center" o:hrstd="t" o:hrnoshade="t" o:hr="t" fillcolor="black [3213]" stroked="f"/>
        </w:pict>
      </w:r>
    </w:p>
    <w:p w:rsidR="005465D8" w:rsidRPr="002746B8" w:rsidRDefault="005465D8" w:rsidP="005465D8">
      <w:pPr>
        <w:rPr>
          <w:rFonts w:cs="Times New Roman"/>
          <w:sz w:val="20"/>
          <w:szCs w:val="20"/>
        </w:rPr>
      </w:pPr>
      <w:r w:rsidRPr="002746B8">
        <w:rPr>
          <w:rFonts w:cs="Times New Roman"/>
          <w:sz w:val="20"/>
          <w:szCs w:val="20"/>
        </w:rPr>
        <w:br w:type="page"/>
      </w:r>
    </w:p>
    <w:p w:rsidR="005465D8" w:rsidRPr="002746B8" w:rsidRDefault="005465D8" w:rsidP="005465D8">
      <w:pPr>
        <w:jc w:val="both"/>
        <w:rPr>
          <w:rFonts w:cs="Times New Roman"/>
          <w:sz w:val="20"/>
          <w:szCs w:val="20"/>
          <w:lang w:val="fr-CA"/>
        </w:rPr>
      </w:pPr>
      <w:r w:rsidRPr="002746B8">
        <w:rPr>
          <w:rFonts w:cs="Times New Roman"/>
          <w:sz w:val="20"/>
          <w:szCs w:val="20"/>
          <w:lang w:val="fr-CA"/>
        </w:rPr>
        <w:lastRenderedPageBreak/>
        <w:t>23.06.2011</w:t>
      </w:r>
    </w:p>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tabs>
          <w:tab w:val="left" w:pos="-1440"/>
          <w:tab w:val="left" w:pos="-720"/>
        </w:tabs>
        <w:jc w:val="both"/>
        <w:rPr>
          <w:rFonts w:cs="Times New Roman"/>
          <w:sz w:val="20"/>
          <w:szCs w:val="20"/>
        </w:rPr>
      </w:pPr>
      <w:r w:rsidRPr="002746B8">
        <w:rPr>
          <w:rFonts w:cs="Times New Roman"/>
          <w:sz w:val="20"/>
          <w:szCs w:val="20"/>
        </w:rPr>
        <w:t>Before / Devant :   THE REGISTRAR / LE REGISTRAIRE</w:t>
      </w:r>
    </w:p>
    <w:p w:rsidR="005465D8" w:rsidRPr="002746B8" w:rsidRDefault="005465D8" w:rsidP="005465D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65D8" w:rsidRPr="00613D68" w:rsidTr="002F0EB9">
        <w:tc>
          <w:tcPr>
            <w:tcW w:w="4338" w:type="dxa"/>
          </w:tcPr>
          <w:p w:rsidR="005465D8" w:rsidRPr="002746B8" w:rsidRDefault="005465D8" w:rsidP="002F0EB9">
            <w:pPr>
              <w:tabs>
                <w:tab w:val="left" w:pos="-1440"/>
                <w:tab w:val="left" w:pos="-720"/>
              </w:tabs>
              <w:jc w:val="both"/>
              <w:rPr>
                <w:rFonts w:cs="Times New Roman"/>
                <w:b/>
                <w:bCs/>
                <w:sz w:val="20"/>
                <w:szCs w:val="20"/>
              </w:rPr>
            </w:pPr>
            <w:r w:rsidRPr="002746B8">
              <w:rPr>
                <w:rFonts w:cs="Times New Roman"/>
                <w:b/>
                <w:bCs/>
                <w:sz w:val="20"/>
                <w:szCs w:val="20"/>
              </w:rPr>
              <w:t xml:space="preserve">Motion to extend the time to serve and file the respondents’ record, factum and book of authorities </w:t>
            </w:r>
          </w:p>
          <w:p w:rsidR="005465D8" w:rsidRPr="002746B8" w:rsidRDefault="00AB3236" w:rsidP="002F0EB9">
            <w:pPr>
              <w:tabs>
                <w:tab w:val="left" w:pos="-1440"/>
                <w:tab w:val="left" w:pos="-720"/>
              </w:tabs>
              <w:jc w:val="both"/>
              <w:rPr>
                <w:rFonts w:cs="Times New Roman"/>
                <w:b/>
                <w:bCs/>
                <w:sz w:val="20"/>
                <w:szCs w:val="20"/>
              </w:rPr>
            </w:pPr>
            <w:r w:rsidRPr="002746B8">
              <w:rPr>
                <w:rFonts w:cs="Times New Roman"/>
                <w:sz w:val="20"/>
                <w:szCs w:val="20"/>
              </w:rPr>
              <w:fldChar w:fldCharType="begin"/>
            </w:r>
            <w:r w:rsidR="005465D8" w:rsidRPr="002746B8">
              <w:rPr>
                <w:rFonts w:cs="Times New Roman"/>
                <w:sz w:val="20"/>
                <w:szCs w:val="20"/>
              </w:rPr>
              <w:instrText xml:space="preserve"> SEQ CHAPTER \h \r 1</w:instrText>
            </w:r>
            <w:r w:rsidRPr="002746B8">
              <w:rPr>
                <w:rFonts w:cs="Times New Roman"/>
                <w:sz w:val="20"/>
                <w:szCs w:val="20"/>
              </w:rPr>
              <w:fldChar w:fldCharType="end"/>
            </w:r>
          </w:p>
        </w:tc>
        <w:tc>
          <w:tcPr>
            <w:tcW w:w="1170" w:type="dxa"/>
          </w:tcPr>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rPr>
            </w:pPr>
          </w:p>
        </w:tc>
        <w:tc>
          <w:tcPr>
            <w:tcW w:w="4327" w:type="dxa"/>
          </w:tcPr>
          <w:p w:rsidR="005465D8" w:rsidRPr="002746B8" w:rsidRDefault="005465D8" w:rsidP="002F0EB9">
            <w:pPr>
              <w:tabs>
                <w:tab w:val="left" w:pos="-1440"/>
                <w:tab w:val="left" w:pos="-720"/>
              </w:tabs>
              <w:jc w:val="both"/>
              <w:rPr>
                <w:rFonts w:cs="Times New Roman"/>
                <w:b/>
                <w:sz w:val="20"/>
                <w:szCs w:val="20"/>
                <w:lang w:val="fr-CA"/>
              </w:rPr>
            </w:pPr>
            <w:r w:rsidRPr="002746B8">
              <w:rPr>
                <w:rFonts w:cs="Times New Roman"/>
                <w:b/>
                <w:bCs/>
                <w:sz w:val="20"/>
                <w:szCs w:val="20"/>
                <w:lang w:val="fr-CA"/>
              </w:rPr>
              <w:t xml:space="preserve">Requête en prorogation du délai de signification et de dépôt des dossier, mémoire et recueil de sources des intimés </w:t>
            </w:r>
            <w:r w:rsidR="00AB3236" w:rsidRPr="002746B8">
              <w:rPr>
                <w:rFonts w:cs="Times New Roman"/>
                <w:b/>
                <w:sz w:val="20"/>
                <w:szCs w:val="20"/>
              </w:rPr>
              <w:fldChar w:fldCharType="begin"/>
            </w:r>
            <w:r w:rsidRPr="002746B8">
              <w:rPr>
                <w:rFonts w:cs="Times New Roman"/>
                <w:b/>
                <w:sz w:val="20"/>
                <w:szCs w:val="20"/>
                <w:lang w:val="fr-CA"/>
              </w:rPr>
              <w:instrText xml:space="preserve"> SEQ CHAPTER \h \r 1</w:instrText>
            </w:r>
            <w:r w:rsidR="00AB3236" w:rsidRPr="002746B8">
              <w:rPr>
                <w:rFonts w:cs="Times New Roman"/>
                <w:b/>
                <w:sz w:val="20"/>
                <w:szCs w:val="20"/>
              </w:rPr>
              <w:fldChar w:fldCharType="end"/>
            </w:r>
            <w:r w:rsidR="00AB3236" w:rsidRPr="002746B8">
              <w:rPr>
                <w:rFonts w:cs="Times New Roman"/>
                <w:b/>
                <w:sz w:val="20"/>
                <w:szCs w:val="20"/>
              </w:rPr>
              <w:fldChar w:fldCharType="begin"/>
            </w:r>
            <w:r w:rsidRPr="002746B8">
              <w:rPr>
                <w:rFonts w:cs="Times New Roman"/>
                <w:b/>
                <w:sz w:val="20"/>
                <w:szCs w:val="20"/>
                <w:lang w:val="fr-CA"/>
              </w:rPr>
              <w:instrText xml:space="preserve"> SEQ CHAPTER \h \r 1</w:instrText>
            </w:r>
            <w:r w:rsidR="00AB3236" w:rsidRPr="002746B8">
              <w:rPr>
                <w:rFonts w:cs="Times New Roman"/>
                <w:b/>
                <w:sz w:val="20"/>
                <w:szCs w:val="20"/>
              </w:rPr>
              <w:fldChar w:fldCharType="end"/>
            </w:r>
          </w:p>
        </w:tc>
      </w:tr>
      <w:tr w:rsidR="005465D8" w:rsidRPr="002746B8" w:rsidTr="002F0EB9">
        <w:tc>
          <w:tcPr>
            <w:tcW w:w="4338" w:type="dxa"/>
          </w:tcPr>
          <w:p w:rsidR="005465D8" w:rsidRPr="002746B8" w:rsidRDefault="005465D8" w:rsidP="002F0EB9">
            <w:pPr>
              <w:tabs>
                <w:tab w:val="left" w:pos="-1440"/>
                <w:tab w:val="left" w:pos="-720"/>
              </w:tabs>
              <w:jc w:val="both"/>
              <w:rPr>
                <w:rFonts w:cs="Times New Roman"/>
                <w:sz w:val="20"/>
                <w:szCs w:val="20"/>
              </w:rPr>
            </w:pPr>
            <w:r w:rsidRPr="002746B8">
              <w:rPr>
                <w:rFonts w:cs="Times New Roman"/>
                <w:sz w:val="20"/>
                <w:szCs w:val="20"/>
              </w:rPr>
              <w:t>Society of Composers, Authors and Music Publishers of Canada</w:t>
            </w:r>
          </w:p>
          <w:p w:rsidR="005465D8" w:rsidRPr="002746B8" w:rsidRDefault="005465D8" w:rsidP="002F0EB9">
            <w:pPr>
              <w:tabs>
                <w:tab w:val="left" w:pos="-1440"/>
                <w:tab w:val="left" w:pos="-720"/>
              </w:tabs>
              <w:jc w:val="both"/>
              <w:rPr>
                <w:rFonts w:cs="Times New Roman"/>
                <w:sz w:val="20"/>
                <w:szCs w:val="20"/>
              </w:rPr>
            </w:pPr>
          </w:p>
          <w:p w:rsidR="005465D8" w:rsidRPr="002746B8" w:rsidRDefault="005465D8" w:rsidP="002F0EB9">
            <w:pPr>
              <w:tabs>
                <w:tab w:val="left" w:pos="-1440"/>
                <w:tab w:val="left" w:pos="-720"/>
              </w:tabs>
              <w:jc w:val="both"/>
              <w:rPr>
                <w:rFonts w:cs="Times New Roman"/>
                <w:sz w:val="20"/>
                <w:szCs w:val="20"/>
                <w:lang w:val="fr-CA"/>
              </w:rPr>
            </w:pPr>
            <w:r w:rsidRPr="002746B8">
              <w:rPr>
                <w:rFonts w:cs="Times New Roman"/>
                <w:sz w:val="20"/>
                <w:szCs w:val="20"/>
              </w:rPr>
              <w:tab/>
            </w:r>
            <w:r w:rsidRPr="002746B8">
              <w:rPr>
                <w:rFonts w:cs="Times New Roman"/>
                <w:sz w:val="20"/>
                <w:szCs w:val="20"/>
                <w:lang w:val="fr-CA"/>
              </w:rPr>
              <w:t>v. (33800)</w:t>
            </w:r>
          </w:p>
          <w:p w:rsidR="005465D8" w:rsidRPr="002746B8" w:rsidRDefault="005465D8" w:rsidP="002F0EB9">
            <w:pPr>
              <w:tabs>
                <w:tab w:val="left" w:pos="-1440"/>
                <w:tab w:val="left" w:pos="-720"/>
              </w:tabs>
              <w:jc w:val="both"/>
              <w:rPr>
                <w:rFonts w:cs="Times New Roman"/>
                <w:sz w:val="20"/>
                <w:szCs w:val="20"/>
                <w:lang w:val="fr-CA"/>
              </w:rPr>
            </w:pPr>
          </w:p>
          <w:p w:rsidR="005465D8" w:rsidRPr="002746B8" w:rsidRDefault="005465D8" w:rsidP="002F0EB9">
            <w:pPr>
              <w:tabs>
                <w:tab w:val="left" w:pos="-1440"/>
                <w:tab w:val="left" w:pos="-720"/>
              </w:tabs>
              <w:jc w:val="both"/>
              <w:rPr>
                <w:rFonts w:cs="Times New Roman"/>
                <w:sz w:val="20"/>
                <w:szCs w:val="20"/>
                <w:lang w:val="fr-CA"/>
              </w:rPr>
            </w:pPr>
            <w:r w:rsidRPr="002746B8">
              <w:rPr>
                <w:rFonts w:cs="Times New Roman"/>
                <w:sz w:val="20"/>
                <w:szCs w:val="20"/>
                <w:lang w:val="fr-CA"/>
              </w:rPr>
              <w:t>Bell Canada et al. (F.C.)</w:t>
            </w:r>
          </w:p>
        </w:tc>
        <w:tc>
          <w:tcPr>
            <w:tcW w:w="1170" w:type="dxa"/>
          </w:tcPr>
          <w:p w:rsidR="005465D8" w:rsidRPr="002746B8" w:rsidRDefault="005465D8" w:rsidP="002F0EB9">
            <w:pPr>
              <w:tabs>
                <w:tab w:val="left" w:pos="-1440"/>
                <w:tab w:val="left" w:pos="-720"/>
              </w:tabs>
              <w:jc w:val="both"/>
              <w:rPr>
                <w:rFonts w:cs="Times New Roman"/>
                <w:sz w:val="20"/>
                <w:szCs w:val="20"/>
                <w:lang w:val="fr-CA"/>
              </w:rPr>
            </w:pPr>
          </w:p>
        </w:tc>
        <w:tc>
          <w:tcPr>
            <w:tcW w:w="4327" w:type="dxa"/>
          </w:tcPr>
          <w:p w:rsidR="005465D8" w:rsidRPr="002746B8" w:rsidRDefault="005465D8" w:rsidP="002F0EB9">
            <w:pPr>
              <w:tabs>
                <w:tab w:val="left" w:pos="-1440"/>
                <w:tab w:val="left" w:pos="-720"/>
              </w:tabs>
              <w:jc w:val="both"/>
              <w:rPr>
                <w:rFonts w:cs="Times New Roman"/>
                <w:sz w:val="20"/>
                <w:szCs w:val="20"/>
                <w:lang w:val="fr-CA"/>
              </w:rPr>
            </w:pPr>
          </w:p>
        </w:tc>
      </w:tr>
    </w:tbl>
    <w:p w:rsidR="005465D8" w:rsidRPr="002746B8" w:rsidRDefault="005465D8" w:rsidP="005465D8">
      <w:pPr>
        <w:tabs>
          <w:tab w:val="left" w:pos="-1440"/>
          <w:tab w:val="left" w:pos="-720"/>
        </w:tabs>
        <w:jc w:val="both"/>
        <w:rPr>
          <w:rFonts w:cs="Times New Roman"/>
          <w:sz w:val="20"/>
          <w:szCs w:val="20"/>
          <w:lang w:val="fr-CA"/>
        </w:rPr>
      </w:pPr>
    </w:p>
    <w:p w:rsidR="005465D8" w:rsidRPr="002746B8" w:rsidRDefault="005465D8" w:rsidP="005465D8">
      <w:pPr>
        <w:tabs>
          <w:tab w:val="left" w:pos="-1440"/>
          <w:tab w:val="left" w:pos="-720"/>
        </w:tabs>
        <w:jc w:val="both"/>
        <w:rPr>
          <w:rFonts w:cs="Times New Roman"/>
          <w:b/>
          <w:sz w:val="20"/>
          <w:szCs w:val="20"/>
          <w:lang w:val="fr-CA"/>
        </w:rPr>
      </w:pPr>
      <w:r w:rsidRPr="002746B8">
        <w:rPr>
          <w:rFonts w:cs="Times New Roman"/>
          <w:b/>
          <w:sz w:val="20"/>
          <w:szCs w:val="20"/>
          <w:lang w:val="fr-CA"/>
        </w:rPr>
        <w:t>GRANTED / ACCORDÉE</w:t>
      </w:r>
    </w:p>
    <w:p w:rsidR="005465D8" w:rsidRPr="002746B8" w:rsidRDefault="005465D8" w:rsidP="005465D8">
      <w:pPr>
        <w:tabs>
          <w:tab w:val="left" w:pos="-1440"/>
          <w:tab w:val="left" w:pos="-720"/>
        </w:tabs>
        <w:jc w:val="both"/>
        <w:rPr>
          <w:rFonts w:cs="Times New Roman"/>
          <w:sz w:val="20"/>
          <w:szCs w:val="20"/>
          <w:lang w:val="fr-CA"/>
        </w:rPr>
      </w:pPr>
    </w:p>
    <w:p w:rsidR="005465D8" w:rsidRDefault="00AB3236" w:rsidP="005465D8">
      <w:pPr>
        <w:tabs>
          <w:tab w:val="left" w:pos="-1440"/>
          <w:tab w:val="left" w:pos="-720"/>
        </w:tabs>
        <w:jc w:val="both"/>
        <w:rPr>
          <w:sz w:val="20"/>
          <w:szCs w:val="20"/>
        </w:rPr>
      </w:pPr>
      <w:r w:rsidRPr="00AB3236">
        <w:rPr>
          <w:rFonts w:cs="Times New Roman"/>
          <w:sz w:val="20"/>
          <w:szCs w:val="20"/>
          <w:lang w:val="fr-CA"/>
        </w:rPr>
        <w:pict>
          <v:rect id="_x0000_i1077" style="width:2in;height:1pt" o:hrpct="0" o:hralign="center" o:hrstd="t" o:hrnoshade="t" o:hr="t" fillcolor="black [3213]" stroked="f"/>
        </w:pict>
      </w:r>
    </w:p>
    <w:p w:rsidR="005465D8" w:rsidRDefault="005465D8"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740D" w:rsidRPr="00A77989" w:rsidTr="00BA6468">
        <w:tc>
          <w:tcPr>
            <w:tcW w:w="4200" w:type="dxa"/>
            <w:shd w:val="clear" w:color="auto" w:fill="auto"/>
            <w:tcMar>
              <w:left w:w="0" w:type="dxa"/>
              <w:right w:w="0" w:type="dxa"/>
            </w:tcMar>
          </w:tcPr>
          <w:p w:rsidR="00B4740D" w:rsidRPr="00C1697B" w:rsidRDefault="00B4740D" w:rsidP="00096BD9">
            <w:pPr>
              <w:rPr>
                <w:b/>
                <w:szCs w:val="24"/>
              </w:rPr>
            </w:pPr>
            <w:r w:rsidRPr="00C1697B">
              <w:rPr>
                <w:b/>
                <w:szCs w:val="24"/>
              </w:rPr>
              <w:lastRenderedPageBreak/>
              <w:t>NOTICES OF INTERVENTION FILED SINCE LAST ISSUE</w:t>
            </w:r>
          </w:p>
        </w:tc>
        <w:tc>
          <w:tcPr>
            <w:tcW w:w="1200" w:type="dxa"/>
            <w:shd w:val="clear" w:color="auto" w:fill="auto"/>
            <w:tcMar>
              <w:left w:w="0" w:type="dxa"/>
              <w:right w:w="0" w:type="dxa"/>
            </w:tcMar>
          </w:tcPr>
          <w:p w:rsidR="00B4740D" w:rsidRPr="00C1697B" w:rsidRDefault="00B4740D" w:rsidP="00B4740D">
            <w:pPr>
              <w:jc w:val="center"/>
              <w:rPr>
                <w:b/>
                <w:szCs w:val="24"/>
              </w:rPr>
            </w:pPr>
          </w:p>
          <w:p w:rsidR="00B4740D" w:rsidRPr="00C1697B" w:rsidRDefault="00B4740D" w:rsidP="00B4740D">
            <w:pPr>
              <w:jc w:val="center"/>
              <w:rPr>
                <w:b/>
                <w:szCs w:val="24"/>
              </w:rPr>
            </w:pPr>
          </w:p>
          <w:p w:rsidR="00B4740D" w:rsidRPr="00C1697B" w:rsidRDefault="00B4740D" w:rsidP="00B4740D">
            <w:pPr>
              <w:jc w:val="center"/>
              <w:rPr>
                <w:b/>
                <w:szCs w:val="24"/>
              </w:rPr>
            </w:pPr>
          </w:p>
        </w:tc>
        <w:tc>
          <w:tcPr>
            <w:tcW w:w="4080" w:type="dxa"/>
            <w:shd w:val="clear" w:color="auto" w:fill="auto"/>
            <w:tcMar>
              <w:left w:w="0" w:type="dxa"/>
              <w:right w:w="0" w:type="dxa"/>
            </w:tcMar>
          </w:tcPr>
          <w:p w:rsidR="00B4740D" w:rsidRPr="00C1697B" w:rsidRDefault="00B4740D" w:rsidP="00096BD9">
            <w:pPr>
              <w:rPr>
                <w:b/>
                <w:szCs w:val="24"/>
                <w:lang w:val="fr-CA"/>
              </w:rPr>
            </w:pPr>
            <w:r w:rsidRPr="00C1697B">
              <w:rPr>
                <w:b/>
                <w:szCs w:val="24"/>
                <w:lang w:val="fr-CA"/>
              </w:rPr>
              <w:t>AVIS D’INTERVENTION DÉPOSÉS DEPUIS LA DERNIÈRE PARUTION</w:t>
            </w:r>
          </w:p>
        </w:tc>
      </w:tr>
    </w:tbl>
    <w:p w:rsidR="00B4740D" w:rsidRPr="00C50A5C" w:rsidRDefault="00B4740D" w:rsidP="00B4740D">
      <w:pPr>
        <w:rPr>
          <w:sz w:val="20"/>
          <w:szCs w:val="20"/>
          <w:u w:val="single"/>
          <w:lang w:val="fr-CA"/>
        </w:rPr>
      </w:pPr>
    </w:p>
    <w:p w:rsidR="00B4740D" w:rsidRPr="00327B7F" w:rsidRDefault="00841F91" w:rsidP="00B4740D">
      <w:pPr>
        <w:rPr>
          <w:sz w:val="20"/>
          <w:szCs w:val="20"/>
        </w:rPr>
      </w:pPr>
      <w:r w:rsidRPr="00327B7F">
        <w:rPr>
          <w:sz w:val="20"/>
          <w:szCs w:val="20"/>
        </w:rPr>
        <w:t>21</w:t>
      </w:r>
      <w:r w:rsidR="00B4740D" w:rsidRPr="00327B7F">
        <w:rPr>
          <w:sz w:val="20"/>
          <w:szCs w:val="20"/>
        </w:rPr>
        <w:t>.0</w:t>
      </w:r>
      <w:r w:rsidRPr="00327B7F">
        <w:rPr>
          <w:sz w:val="20"/>
          <w:szCs w:val="20"/>
        </w:rPr>
        <w:t>6</w:t>
      </w:r>
      <w:r w:rsidR="00B4740D" w:rsidRPr="00327B7F">
        <w:rPr>
          <w:sz w:val="20"/>
          <w:szCs w:val="20"/>
        </w:rPr>
        <w:t>.20</w:t>
      </w:r>
      <w:r w:rsidRPr="00327B7F">
        <w:rPr>
          <w:sz w:val="20"/>
          <w:szCs w:val="20"/>
        </w:rPr>
        <w:t>11</w:t>
      </w:r>
    </w:p>
    <w:p w:rsidR="00B4740D" w:rsidRPr="00327B7F" w:rsidRDefault="00B4740D" w:rsidP="00B4740D">
      <w:pPr>
        <w:rPr>
          <w:sz w:val="20"/>
          <w:szCs w:val="20"/>
        </w:rPr>
      </w:pPr>
    </w:p>
    <w:p w:rsidR="00B4740D" w:rsidRPr="00D8406A" w:rsidRDefault="00B4740D" w:rsidP="00B4740D">
      <w:pPr>
        <w:rPr>
          <w:sz w:val="20"/>
          <w:szCs w:val="20"/>
        </w:rPr>
      </w:pPr>
      <w:r w:rsidRPr="00D8406A">
        <w:rPr>
          <w:sz w:val="20"/>
          <w:szCs w:val="20"/>
        </w:rPr>
        <w:t>BY / PAR:</w:t>
      </w:r>
      <w:r w:rsidRPr="00D8406A">
        <w:rPr>
          <w:sz w:val="20"/>
          <w:szCs w:val="20"/>
        </w:rPr>
        <w:tab/>
      </w:r>
      <w:r w:rsidR="00D8406A" w:rsidRPr="00D8406A">
        <w:rPr>
          <w:sz w:val="20"/>
          <w:szCs w:val="20"/>
        </w:rPr>
        <w:t>Attorney General of New Brunswick</w:t>
      </w:r>
    </w:p>
    <w:p w:rsidR="00B4740D" w:rsidRPr="00D8406A" w:rsidRDefault="00B4740D" w:rsidP="00B4740D">
      <w:pPr>
        <w:rPr>
          <w:sz w:val="20"/>
          <w:szCs w:val="20"/>
        </w:rPr>
      </w:pPr>
    </w:p>
    <w:p w:rsidR="00B4740D" w:rsidRPr="00D8406A" w:rsidRDefault="00B4740D" w:rsidP="00B4740D">
      <w:pPr>
        <w:rPr>
          <w:sz w:val="20"/>
          <w:szCs w:val="20"/>
        </w:rPr>
      </w:pPr>
    </w:p>
    <w:p w:rsidR="00B4740D" w:rsidRPr="00841F91" w:rsidRDefault="00B4740D" w:rsidP="00B4740D">
      <w:pPr>
        <w:rPr>
          <w:b/>
          <w:sz w:val="20"/>
          <w:szCs w:val="20"/>
          <w:lang w:val="fr-CA"/>
        </w:rPr>
      </w:pPr>
      <w:r w:rsidRPr="00841F91">
        <w:rPr>
          <w:sz w:val="20"/>
          <w:szCs w:val="20"/>
          <w:lang w:val="fr-CA"/>
        </w:rPr>
        <w:t>IN / DANS:</w:t>
      </w:r>
      <w:r w:rsidRPr="00841F91">
        <w:rPr>
          <w:sz w:val="20"/>
          <w:szCs w:val="20"/>
          <w:lang w:val="fr-CA"/>
        </w:rPr>
        <w:tab/>
      </w:r>
      <w:r w:rsidR="00D8406A" w:rsidRPr="00841F91">
        <w:rPr>
          <w:b/>
          <w:sz w:val="20"/>
          <w:szCs w:val="20"/>
          <w:lang w:val="fr-CA"/>
        </w:rPr>
        <w:t xml:space="preserve">Procureur </w:t>
      </w:r>
      <w:r w:rsidR="00841F91" w:rsidRPr="00841F91">
        <w:rPr>
          <w:b/>
          <w:sz w:val="20"/>
          <w:szCs w:val="20"/>
          <w:lang w:val="fr-CA"/>
        </w:rPr>
        <w:t>général du Québec et autres</w:t>
      </w:r>
    </w:p>
    <w:p w:rsidR="00B4740D" w:rsidRPr="00841F91" w:rsidRDefault="00B4740D" w:rsidP="00B4740D">
      <w:pPr>
        <w:rPr>
          <w:b/>
          <w:sz w:val="20"/>
          <w:szCs w:val="20"/>
          <w:lang w:val="fr-CA"/>
        </w:rPr>
      </w:pPr>
    </w:p>
    <w:p w:rsidR="00B4740D" w:rsidRPr="00C50A5C" w:rsidRDefault="00B4740D" w:rsidP="00B4740D">
      <w:pPr>
        <w:rPr>
          <w:b/>
          <w:sz w:val="20"/>
          <w:szCs w:val="20"/>
          <w:lang w:val="fr-CA"/>
        </w:rPr>
      </w:pPr>
      <w:r w:rsidRPr="00841F91">
        <w:rPr>
          <w:b/>
          <w:sz w:val="20"/>
          <w:szCs w:val="20"/>
          <w:lang w:val="fr-CA"/>
        </w:rPr>
        <w:tab/>
      </w:r>
      <w:r w:rsidRPr="00841F91">
        <w:rPr>
          <w:b/>
          <w:sz w:val="20"/>
          <w:szCs w:val="20"/>
          <w:lang w:val="fr-CA"/>
        </w:rPr>
        <w:tab/>
      </w:r>
      <w:r w:rsidRPr="00841F91">
        <w:rPr>
          <w:b/>
          <w:sz w:val="20"/>
          <w:szCs w:val="20"/>
          <w:lang w:val="fr-CA"/>
        </w:rPr>
        <w:tab/>
      </w:r>
      <w:r w:rsidRPr="00C50A5C">
        <w:rPr>
          <w:b/>
          <w:sz w:val="20"/>
          <w:szCs w:val="20"/>
          <w:lang w:val="fr-CA"/>
        </w:rPr>
        <w:t>c. (3</w:t>
      </w:r>
      <w:r w:rsidR="00841F91">
        <w:rPr>
          <w:b/>
          <w:sz w:val="20"/>
          <w:szCs w:val="20"/>
          <w:lang w:val="fr-CA"/>
        </w:rPr>
        <w:t>3990</w:t>
      </w:r>
      <w:r w:rsidRPr="00C50A5C">
        <w:rPr>
          <w:b/>
          <w:sz w:val="20"/>
          <w:szCs w:val="20"/>
          <w:lang w:val="fr-CA"/>
        </w:rPr>
        <w:t>)</w:t>
      </w:r>
    </w:p>
    <w:p w:rsidR="00B4740D" w:rsidRPr="00C50A5C" w:rsidRDefault="00B4740D" w:rsidP="00B4740D">
      <w:pPr>
        <w:rPr>
          <w:b/>
          <w:sz w:val="20"/>
          <w:szCs w:val="20"/>
          <w:lang w:val="fr-CA"/>
        </w:rPr>
      </w:pPr>
    </w:p>
    <w:p w:rsidR="00B4740D" w:rsidRPr="00C50A5C" w:rsidRDefault="00B4740D" w:rsidP="00B4740D">
      <w:pPr>
        <w:rPr>
          <w:b/>
          <w:sz w:val="20"/>
          <w:szCs w:val="20"/>
          <w:lang w:val="fr-CA"/>
        </w:rPr>
      </w:pPr>
      <w:r w:rsidRPr="00C50A5C">
        <w:rPr>
          <w:b/>
          <w:sz w:val="20"/>
          <w:szCs w:val="20"/>
          <w:lang w:val="fr-CA"/>
        </w:rPr>
        <w:tab/>
      </w:r>
      <w:r w:rsidRPr="00C50A5C">
        <w:rPr>
          <w:b/>
          <w:sz w:val="20"/>
          <w:szCs w:val="20"/>
          <w:lang w:val="fr-CA"/>
        </w:rPr>
        <w:tab/>
      </w:r>
      <w:r w:rsidR="00841F91">
        <w:rPr>
          <w:b/>
          <w:sz w:val="20"/>
          <w:szCs w:val="20"/>
          <w:lang w:val="fr-CA"/>
        </w:rPr>
        <w:t>A et</w:t>
      </w:r>
      <w:r w:rsidRPr="00C50A5C">
        <w:rPr>
          <w:b/>
          <w:sz w:val="20"/>
          <w:szCs w:val="20"/>
          <w:lang w:val="fr-CA"/>
        </w:rPr>
        <w:t xml:space="preserve"> autre (Qc)</w:t>
      </w:r>
    </w:p>
    <w:p w:rsidR="00B4740D" w:rsidRPr="00C50A5C" w:rsidRDefault="00B4740D" w:rsidP="00B4740D">
      <w:pPr>
        <w:rPr>
          <w:sz w:val="20"/>
          <w:szCs w:val="20"/>
          <w:lang w:val="fr-CA"/>
        </w:rPr>
      </w:pPr>
    </w:p>
    <w:p w:rsidR="00B4740D" w:rsidRPr="00C50A5C" w:rsidRDefault="00AB3236" w:rsidP="00B4740D">
      <w:pPr>
        <w:rPr>
          <w:sz w:val="20"/>
          <w:szCs w:val="20"/>
          <w:lang w:val="fr-CA"/>
        </w:rPr>
      </w:pPr>
      <w:r w:rsidRPr="00AB3236">
        <w:rPr>
          <w:sz w:val="20"/>
          <w:szCs w:val="20"/>
          <w:lang w:val="fr-CA"/>
        </w:rPr>
        <w:pict>
          <v:rect id="_x0000_i1080" style="width:2in;height:1pt" o:hrpct="0" o:hralign="center" o:hrstd="t" o:hrnoshade="t" o:hr="t" fillcolor="black [3213]" stroked="f"/>
        </w:pict>
      </w:r>
    </w:p>
    <w:p w:rsidR="00B4740D" w:rsidRPr="00C50A5C" w:rsidRDefault="00B4740D" w:rsidP="00B4740D">
      <w:pPr>
        <w:rPr>
          <w:sz w:val="20"/>
          <w:szCs w:val="20"/>
          <w:lang w:val="fr-CA"/>
        </w:rPr>
      </w:pPr>
    </w:p>
    <w:p w:rsidR="00B4740D" w:rsidRPr="00327B7F" w:rsidRDefault="004B048F" w:rsidP="00B4740D">
      <w:pPr>
        <w:rPr>
          <w:sz w:val="20"/>
          <w:szCs w:val="20"/>
        </w:rPr>
      </w:pPr>
      <w:r w:rsidRPr="00327B7F">
        <w:rPr>
          <w:sz w:val="20"/>
          <w:szCs w:val="20"/>
        </w:rPr>
        <w:t>21.</w:t>
      </w:r>
      <w:r w:rsidR="00B4740D" w:rsidRPr="00327B7F">
        <w:rPr>
          <w:sz w:val="20"/>
          <w:szCs w:val="20"/>
        </w:rPr>
        <w:t>06.20</w:t>
      </w:r>
      <w:r w:rsidRPr="00327B7F">
        <w:rPr>
          <w:sz w:val="20"/>
          <w:szCs w:val="20"/>
        </w:rPr>
        <w:t>11</w:t>
      </w:r>
    </w:p>
    <w:p w:rsidR="00B4740D" w:rsidRPr="00327B7F" w:rsidRDefault="00B4740D" w:rsidP="00B4740D">
      <w:pPr>
        <w:rPr>
          <w:sz w:val="20"/>
          <w:szCs w:val="20"/>
        </w:rPr>
      </w:pPr>
    </w:p>
    <w:p w:rsidR="00B4740D" w:rsidRPr="00841F91" w:rsidRDefault="00B4740D" w:rsidP="00B4740D">
      <w:pPr>
        <w:rPr>
          <w:sz w:val="20"/>
          <w:szCs w:val="20"/>
        </w:rPr>
      </w:pPr>
      <w:r w:rsidRPr="00841F91">
        <w:rPr>
          <w:sz w:val="20"/>
          <w:szCs w:val="20"/>
        </w:rPr>
        <w:t>BY / PAR:</w:t>
      </w:r>
      <w:r w:rsidRPr="00841F91">
        <w:rPr>
          <w:sz w:val="20"/>
          <w:szCs w:val="20"/>
        </w:rPr>
        <w:tab/>
      </w:r>
      <w:r w:rsidR="00841F91" w:rsidRPr="00D8406A">
        <w:rPr>
          <w:sz w:val="20"/>
          <w:szCs w:val="20"/>
        </w:rPr>
        <w:t>A</w:t>
      </w:r>
      <w:r w:rsidR="00841F91">
        <w:rPr>
          <w:sz w:val="20"/>
          <w:szCs w:val="20"/>
        </w:rPr>
        <w:t>ttorney General of Alberta</w:t>
      </w:r>
    </w:p>
    <w:p w:rsidR="00B4740D" w:rsidRPr="00841F91" w:rsidRDefault="00B4740D" w:rsidP="00B4740D">
      <w:pPr>
        <w:rPr>
          <w:sz w:val="20"/>
          <w:szCs w:val="20"/>
        </w:rPr>
      </w:pPr>
    </w:p>
    <w:p w:rsidR="00B4740D" w:rsidRPr="00841F91" w:rsidRDefault="00B4740D" w:rsidP="00B4740D">
      <w:pPr>
        <w:rPr>
          <w:sz w:val="20"/>
          <w:szCs w:val="20"/>
        </w:rPr>
      </w:pPr>
    </w:p>
    <w:p w:rsidR="00B4740D" w:rsidRPr="00841F91" w:rsidRDefault="00B4740D" w:rsidP="00B4740D">
      <w:pPr>
        <w:rPr>
          <w:b/>
          <w:sz w:val="20"/>
          <w:szCs w:val="20"/>
          <w:lang w:val="fr-CA"/>
        </w:rPr>
      </w:pPr>
      <w:r w:rsidRPr="00841F91">
        <w:rPr>
          <w:sz w:val="20"/>
          <w:szCs w:val="20"/>
          <w:lang w:val="fr-CA"/>
        </w:rPr>
        <w:t>IN / DANS:</w:t>
      </w:r>
      <w:r w:rsidRPr="00841F91">
        <w:rPr>
          <w:sz w:val="20"/>
          <w:szCs w:val="20"/>
          <w:lang w:val="fr-CA"/>
        </w:rPr>
        <w:tab/>
      </w:r>
      <w:r w:rsidR="00841F91" w:rsidRPr="00841F91">
        <w:rPr>
          <w:b/>
          <w:sz w:val="20"/>
          <w:szCs w:val="20"/>
          <w:lang w:val="fr-CA"/>
        </w:rPr>
        <w:t>Procureur général du Québec et autres</w:t>
      </w:r>
    </w:p>
    <w:p w:rsidR="00B4740D" w:rsidRPr="00841F91" w:rsidRDefault="00B4740D" w:rsidP="00B4740D">
      <w:pPr>
        <w:rPr>
          <w:b/>
          <w:sz w:val="20"/>
          <w:szCs w:val="20"/>
          <w:lang w:val="fr-CA"/>
        </w:rPr>
      </w:pPr>
    </w:p>
    <w:p w:rsidR="00B4740D" w:rsidRPr="00C50A5C" w:rsidRDefault="00B4740D" w:rsidP="00B4740D">
      <w:pPr>
        <w:rPr>
          <w:b/>
          <w:sz w:val="20"/>
          <w:szCs w:val="20"/>
          <w:lang w:val="fr-CA"/>
        </w:rPr>
      </w:pPr>
      <w:r w:rsidRPr="00841F91">
        <w:rPr>
          <w:b/>
          <w:sz w:val="20"/>
          <w:szCs w:val="20"/>
          <w:lang w:val="fr-CA"/>
        </w:rPr>
        <w:tab/>
      </w:r>
      <w:r w:rsidRPr="00841F91">
        <w:rPr>
          <w:b/>
          <w:sz w:val="20"/>
          <w:szCs w:val="20"/>
          <w:lang w:val="fr-CA"/>
        </w:rPr>
        <w:tab/>
      </w:r>
      <w:r w:rsidRPr="00841F91">
        <w:rPr>
          <w:b/>
          <w:sz w:val="20"/>
          <w:szCs w:val="20"/>
          <w:lang w:val="fr-CA"/>
        </w:rPr>
        <w:tab/>
      </w:r>
      <w:r w:rsidRPr="00C50A5C">
        <w:rPr>
          <w:b/>
          <w:sz w:val="20"/>
          <w:szCs w:val="20"/>
          <w:lang w:val="fr-CA"/>
        </w:rPr>
        <w:t>c. (3</w:t>
      </w:r>
      <w:r w:rsidR="00841F91">
        <w:rPr>
          <w:b/>
          <w:sz w:val="20"/>
          <w:szCs w:val="20"/>
          <w:lang w:val="fr-CA"/>
        </w:rPr>
        <w:t>3990</w:t>
      </w:r>
      <w:r w:rsidRPr="00C50A5C">
        <w:rPr>
          <w:b/>
          <w:sz w:val="20"/>
          <w:szCs w:val="20"/>
          <w:lang w:val="fr-CA"/>
        </w:rPr>
        <w:t>)</w:t>
      </w:r>
    </w:p>
    <w:p w:rsidR="00B4740D" w:rsidRPr="00C50A5C" w:rsidRDefault="00B4740D" w:rsidP="00B4740D">
      <w:pPr>
        <w:rPr>
          <w:b/>
          <w:sz w:val="20"/>
          <w:szCs w:val="20"/>
          <w:lang w:val="fr-CA"/>
        </w:rPr>
      </w:pPr>
    </w:p>
    <w:p w:rsidR="00B4740D" w:rsidRPr="00C50A5C" w:rsidRDefault="00B4740D" w:rsidP="00B4740D">
      <w:pPr>
        <w:rPr>
          <w:b/>
          <w:sz w:val="20"/>
          <w:szCs w:val="20"/>
          <w:lang w:val="fr-CA"/>
        </w:rPr>
      </w:pPr>
      <w:r w:rsidRPr="00C50A5C">
        <w:rPr>
          <w:b/>
          <w:sz w:val="20"/>
          <w:szCs w:val="20"/>
          <w:lang w:val="fr-CA"/>
        </w:rPr>
        <w:tab/>
      </w:r>
      <w:r w:rsidRPr="00C50A5C">
        <w:rPr>
          <w:b/>
          <w:sz w:val="20"/>
          <w:szCs w:val="20"/>
          <w:lang w:val="fr-CA"/>
        </w:rPr>
        <w:tab/>
      </w:r>
      <w:r w:rsidR="004B048F">
        <w:rPr>
          <w:b/>
          <w:sz w:val="20"/>
          <w:szCs w:val="20"/>
          <w:lang w:val="fr-CA"/>
        </w:rPr>
        <w:t>A et</w:t>
      </w:r>
      <w:r w:rsidR="004B048F" w:rsidRPr="00C50A5C">
        <w:rPr>
          <w:b/>
          <w:sz w:val="20"/>
          <w:szCs w:val="20"/>
          <w:lang w:val="fr-CA"/>
        </w:rPr>
        <w:t xml:space="preserve"> autre</w:t>
      </w:r>
      <w:r w:rsidRPr="00C50A5C">
        <w:rPr>
          <w:b/>
          <w:sz w:val="20"/>
          <w:szCs w:val="20"/>
          <w:lang w:val="fr-CA"/>
        </w:rPr>
        <w:t xml:space="preserve"> (Qc)</w:t>
      </w:r>
    </w:p>
    <w:p w:rsidR="00B4740D" w:rsidRPr="00C50A5C" w:rsidRDefault="00B4740D" w:rsidP="00B4740D">
      <w:pPr>
        <w:rPr>
          <w:sz w:val="20"/>
          <w:szCs w:val="20"/>
          <w:lang w:val="fr-CA"/>
        </w:rPr>
      </w:pPr>
    </w:p>
    <w:p w:rsidR="00B4740D" w:rsidRDefault="00AB3236" w:rsidP="00B4740D">
      <w:pPr>
        <w:rPr>
          <w:sz w:val="20"/>
          <w:szCs w:val="20"/>
          <w:lang w:val="fr-CA"/>
        </w:rPr>
      </w:pPr>
      <w:r w:rsidRPr="00AB3236">
        <w:rPr>
          <w:sz w:val="20"/>
          <w:szCs w:val="20"/>
          <w:lang w:val="fr-CA"/>
        </w:rPr>
        <w:pict>
          <v:rect id="_x0000_i1081" style="width:2in;height:1pt" o:hrpct="0" o:hralign="center" o:hrstd="t" o:hrnoshade="t" o:hr="t" fillcolor="black [3213]" stroked="f"/>
        </w:pict>
      </w:r>
    </w:p>
    <w:p w:rsidR="004B048F" w:rsidRDefault="004B048F" w:rsidP="00B4740D">
      <w:pPr>
        <w:rPr>
          <w:sz w:val="20"/>
          <w:szCs w:val="20"/>
          <w:lang w:val="fr-CA"/>
        </w:rPr>
      </w:pPr>
    </w:p>
    <w:p w:rsidR="004B048F" w:rsidRPr="00C50A5C" w:rsidRDefault="004B048F" w:rsidP="00B4740D">
      <w:pPr>
        <w:rPr>
          <w:sz w:val="20"/>
          <w:szCs w:val="20"/>
          <w:lang w:val="fr-CA"/>
        </w:rPr>
      </w:pPr>
    </w:p>
    <w:p w:rsidR="00B4740D" w:rsidRPr="00C50A5C" w:rsidRDefault="00B4740D" w:rsidP="00B4740D">
      <w:pPr>
        <w:rPr>
          <w:sz w:val="20"/>
          <w:szCs w:val="20"/>
          <w:lang w:val="fr-CA"/>
        </w:rPr>
      </w:pPr>
    </w:p>
    <w:p w:rsidR="00B4740D" w:rsidRPr="00C50A5C" w:rsidRDefault="00B4740D" w:rsidP="00831CA9">
      <w:pPr>
        <w:jc w:val="both"/>
        <w:rPr>
          <w:sz w:val="20"/>
          <w:szCs w:val="20"/>
        </w:rPr>
        <w:sectPr w:rsidR="00B4740D" w:rsidRPr="00C50A5C" w:rsidSect="00B4740D">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A77989"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D0B49" w:rsidRPr="00A77989" w:rsidTr="003B3977">
        <w:trPr>
          <w:cantSplit/>
          <w:trHeight w:val="1152"/>
        </w:trPr>
        <w:tc>
          <w:tcPr>
            <w:tcW w:w="4320" w:type="dxa"/>
            <w:tcBorders>
              <w:top w:val="nil"/>
              <w:left w:val="nil"/>
              <w:bottom w:val="nil"/>
              <w:right w:val="nil"/>
            </w:tcBorders>
          </w:tcPr>
          <w:p w:rsidR="00DD0B49" w:rsidRPr="00DD0B49" w:rsidRDefault="00DD0B49" w:rsidP="00DD0B49">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D0B49" w:rsidRPr="00DD0B49" w:rsidRDefault="00DD0B49" w:rsidP="003B3977">
            <w:pPr>
              <w:rPr>
                <w:rFonts w:cs="Times New Roman"/>
                <w:b/>
                <w:bCs/>
                <w:sz w:val="20"/>
                <w:szCs w:val="20"/>
                <w:lang w:val="en-GB"/>
              </w:rPr>
            </w:pPr>
          </w:p>
        </w:tc>
        <w:tc>
          <w:tcPr>
            <w:tcW w:w="4320" w:type="dxa"/>
            <w:tcBorders>
              <w:top w:val="nil"/>
              <w:left w:val="nil"/>
              <w:bottom w:val="nil"/>
              <w:right w:val="nil"/>
            </w:tcBorders>
          </w:tcPr>
          <w:p w:rsidR="00DD0B49" w:rsidRPr="00DD0B49" w:rsidRDefault="00DD0B49" w:rsidP="00DD0B49">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D0B49" w:rsidRPr="00DD0B49" w:rsidTr="003B3977">
        <w:tc>
          <w:tcPr>
            <w:tcW w:w="4320" w:type="dxa"/>
            <w:tcBorders>
              <w:top w:val="nil"/>
              <w:left w:val="nil"/>
              <w:bottom w:val="nil"/>
              <w:right w:val="nil"/>
            </w:tcBorders>
          </w:tcPr>
          <w:p w:rsidR="00DD0B49" w:rsidRPr="00DD0B49" w:rsidRDefault="00DD0B49" w:rsidP="003B3977">
            <w:pPr>
              <w:rPr>
                <w:rFonts w:cs="Times New Roman"/>
                <w:sz w:val="20"/>
                <w:szCs w:val="20"/>
                <w:lang w:val="en-GB"/>
              </w:rPr>
            </w:pPr>
            <w:r w:rsidRPr="00DD0B49">
              <w:rPr>
                <w:rFonts w:cs="Times New Roman"/>
                <w:b/>
                <w:bCs/>
                <w:sz w:val="20"/>
                <w:szCs w:val="20"/>
                <w:lang w:val="en-GB"/>
              </w:rPr>
              <w:t>Judgments reported in [201</w:t>
            </w:r>
            <w:r w:rsidR="00DD098E">
              <w:rPr>
                <w:rFonts w:cs="Times New Roman"/>
                <w:b/>
                <w:bCs/>
                <w:sz w:val="20"/>
                <w:szCs w:val="20"/>
                <w:lang w:val="en-GB"/>
              </w:rPr>
              <w:t>1</w:t>
            </w:r>
            <w:r w:rsidRPr="00DD0B49">
              <w:rPr>
                <w:rFonts w:cs="Times New Roman"/>
                <w:b/>
                <w:bCs/>
                <w:sz w:val="20"/>
                <w:szCs w:val="20"/>
                <w:lang w:val="en-GB"/>
              </w:rPr>
              <w:t xml:space="preserve">] 1 S.C.R. Part </w:t>
            </w:r>
            <w:r w:rsidR="00DD098E">
              <w:rPr>
                <w:rFonts w:cs="Times New Roman"/>
                <w:b/>
                <w:bCs/>
                <w:sz w:val="20"/>
                <w:szCs w:val="20"/>
                <w:lang w:val="en-GB"/>
              </w:rPr>
              <w:t>1</w:t>
            </w:r>
          </w:p>
          <w:p w:rsidR="00DD0B49" w:rsidRPr="00DD0B49" w:rsidRDefault="00DD0B49" w:rsidP="003B3977">
            <w:pPr>
              <w:rPr>
                <w:rFonts w:cs="Times New Roman"/>
                <w:sz w:val="20"/>
                <w:szCs w:val="20"/>
                <w:lang w:val="en-GB"/>
              </w:rPr>
            </w:pPr>
          </w:p>
          <w:p w:rsidR="00DD0B49" w:rsidRPr="009370B0" w:rsidRDefault="009370B0" w:rsidP="003B3977">
            <w:pPr>
              <w:rPr>
                <w:rFonts w:cs="Times New Roman"/>
                <w:sz w:val="20"/>
                <w:szCs w:val="20"/>
                <w:lang w:val="fr-CA"/>
              </w:rPr>
            </w:pPr>
            <w:r w:rsidRPr="009370B0">
              <w:rPr>
                <w:rFonts w:cs="Times New Roman"/>
                <w:sz w:val="20"/>
                <w:szCs w:val="20"/>
                <w:lang w:val="fr-CA"/>
              </w:rPr>
              <w:t xml:space="preserve">Bou Malhab </w:t>
            </w:r>
            <w:r w:rsidRPr="009370B0">
              <w:rPr>
                <w:rFonts w:cs="Times New Roman"/>
                <w:i/>
                <w:sz w:val="20"/>
                <w:szCs w:val="20"/>
                <w:lang w:val="fr-CA"/>
              </w:rPr>
              <w:t>v.</w:t>
            </w:r>
            <w:r w:rsidRPr="009370B0">
              <w:rPr>
                <w:rFonts w:cs="Times New Roman"/>
                <w:sz w:val="20"/>
                <w:szCs w:val="20"/>
                <w:lang w:val="fr-CA"/>
              </w:rPr>
              <w:t xml:space="preserve"> Diffusion Métromédia CMR inc.</w:t>
            </w:r>
            <w:r w:rsidR="00DD0B49" w:rsidRPr="009370B0">
              <w:rPr>
                <w:rFonts w:cs="Times New Roman"/>
                <w:sz w:val="20"/>
                <w:szCs w:val="20"/>
                <w:lang w:val="fr-CA"/>
              </w:rPr>
              <w:t>,</w:t>
            </w:r>
          </w:p>
          <w:p w:rsidR="00DD0B49" w:rsidRPr="009370B0" w:rsidRDefault="00DD0B49" w:rsidP="003B3977">
            <w:pPr>
              <w:rPr>
                <w:rFonts w:cs="Times New Roman"/>
                <w:sz w:val="20"/>
                <w:szCs w:val="20"/>
              </w:rPr>
            </w:pPr>
            <w:r w:rsidRPr="009370B0">
              <w:rPr>
                <w:rFonts w:cs="Times New Roman"/>
                <w:sz w:val="20"/>
                <w:szCs w:val="20"/>
              </w:rPr>
              <w:t>201</w:t>
            </w:r>
            <w:r w:rsidR="00DD098E" w:rsidRPr="009370B0">
              <w:rPr>
                <w:rFonts w:cs="Times New Roman"/>
                <w:sz w:val="20"/>
                <w:szCs w:val="20"/>
              </w:rPr>
              <w:t>1</w:t>
            </w:r>
            <w:r w:rsidRPr="009370B0">
              <w:rPr>
                <w:rFonts w:cs="Times New Roman"/>
                <w:sz w:val="20"/>
                <w:szCs w:val="20"/>
              </w:rPr>
              <w:t xml:space="preserve"> SCC </w:t>
            </w:r>
            <w:r w:rsidR="009370B0" w:rsidRPr="009370B0">
              <w:rPr>
                <w:rFonts w:cs="Times New Roman"/>
                <w:sz w:val="20"/>
                <w:szCs w:val="20"/>
              </w:rPr>
              <w:t>9</w:t>
            </w:r>
            <w:r w:rsidRPr="009370B0">
              <w:rPr>
                <w:rFonts w:cs="Times New Roman"/>
                <w:sz w:val="20"/>
                <w:szCs w:val="20"/>
              </w:rPr>
              <w:t>, [201</w:t>
            </w:r>
            <w:r w:rsidR="00DD098E" w:rsidRPr="009370B0">
              <w:rPr>
                <w:rFonts w:cs="Times New Roman"/>
                <w:sz w:val="20"/>
                <w:szCs w:val="20"/>
              </w:rPr>
              <w:t>1</w:t>
            </w:r>
            <w:r w:rsidRPr="009370B0">
              <w:rPr>
                <w:rFonts w:cs="Times New Roman"/>
                <w:sz w:val="20"/>
                <w:szCs w:val="20"/>
              </w:rPr>
              <w:t xml:space="preserve">] 1 S.C.R. </w:t>
            </w:r>
            <w:r w:rsidR="009370B0" w:rsidRPr="009370B0">
              <w:rPr>
                <w:rFonts w:cs="Times New Roman"/>
                <w:sz w:val="20"/>
                <w:szCs w:val="20"/>
              </w:rPr>
              <w:t>214</w:t>
            </w:r>
          </w:p>
          <w:p w:rsidR="00DD0B49" w:rsidRPr="009370B0" w:rsidRDefault="00DD0B49" w:rsidP="003B3977">
            <w:pPr>
              <w:rPr>
                <w:rFonts w:cs="Times New Roman"/>
                <w:sz w:val="20"/>
                <w:szCs w:val="20"/>
              </w:rPr>
            </w:pPr>
          </w:p>
          <w:p w:rsidR="00DD0B49" w:rsidRPr="00DD0B49" w:rsidRDefault="009370B0" w:rsidP="003B3977">
            <w:pPr>
              <w:rPr>
                <w:rFonts w:cs="Times New Roman"/>
                <w:sz w:val="20"/>
                <w:szCs w:val="20"/>
                <w:lang w:val="en-GB"/>
              </w:rPr>
            </w:pPr>
            <w:r>
              <w:rPr>
                <w:rFonts w:cs="Times New Roman"/>
                <w:sz w:val="20"/>
                <w:szCs w:val="20"/>
                <w:lang w:val="en-GB"/>
              </w:rPr>
              <w:t xml:space="preserve">Canadian Broadcasting Corp. </w:t>
            </w:r>
            <w:r w:rsidR="00DD0B49" w:rsidRPr="00DD0B49">
              <w:rPr>
                <w:rFonts w:cs="Times New Roman"/>
                <w:i/>
                <w:iCs/>
                <w:sz w:val="20"/>
                <w:szCs w:val="20"/>
                <w:lang w:val="en-GB"/>
              </w:rPr>
              <w:t>v.</w:t>
            </w:r>
            <w:r>
              <w:rPr>
                <w:rFonts w:cs="Times New Roman"/>
                <w:iCs/>
                <w:sz w:val="20"/>
                <w:szCs w:val="20"/>
                <w:lang w:val="en-GB"/>
              </w:rPr>
              <w:t xml:space="preserve"> Ca</w:t>
            </w:r>
            <w:r w:rsidR="00DD0B49" w:rsidRPr="00DD0B49">
              <w:rPr>
                <w:rFonts w:cs="Times New Roman"/>
                <w:iCs/>
                <w:sz w:val="20"/>
                <w:szCs w:val="20"/>
                <w:lang w:val="en-GB"/>
              </w:rPr>
              <w:t>na</w:t>
            </w:r>
            <w:r>
              <w:rPr>
                <w:rFonts w:cs="Times New Roman"/>
                <w:iCs/>
                <w:sz w:val="20"/>
                <w:szCs w:val="20"/>
                <w:lang w:val="en-GB"/>
              </w:rPr>
              <w:t>da (Attorney General)</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DD098E">
              <w:rPr>
                <w:rFonts w:cs="Times New Roman"/>
                <w:sz w:val="20"/>
                <w:szCs w:val="20"/>
                <w:lang w:val="en-GB"/>
              </w:rPr>
              <w:t>1</w:t>
            </w:r>
            <w:r w:rsidRPr="00DD0B49">
              <w:rPr>
                <w:rFonts w:cs="Times New Roman"/>
                <w:sz w:val="20"/>
                <w:szCs w:val="20"/>
                <w:lang w:val="en-GB"/>
              </w:rPr>
              <w:t xml:space="preserve"> SCC </w:t>
            </w:r>
            <w:r w:rsidR="009370B0">
              <w:rPr>
                <w:rFonts w:cs="Times New Roman"/>
                <w:sz w:val="20"/>
                <w:szCs w:val="20"/>
                <w:lang w:val="en-GB"/>
              </w:rPr>
              <w:t>2</w:t>
            </w:r>
            <w:r w:rsidRPr="00DD0B49">
              <w:rPr>
                <w:rFonts w:cs="Times New Roman"/>
                <w:sz w:val="20"/>
                <w:szCs w:val="20"/>
                <w:lang w:val="en-GB"/>
              </w:rPr>
              <w:t>, [201</w:t>
            </w:r>
            <w:r w:rsidR="00DD098E">
              <w:rPr>
                <w:rFonts w:cs="Times New Roman"/>
                <w:sz w:val="20"/>
                <w:szCs w:val="20"/>
                <w:lang w:val="en-GB"/>
              </w:rPr>
              <w:t>1</w:t>
            </w:r>
            <w:r w:rsidRPr="00DD0B49">
              <w:rPr>
                <w:rFonts w:cs="Times New Roman"/>
                <w:sz w:val="20"/>
                <w:szCs w:val="20"/>
                <w:lang w:val="en-GB"/>
              </w:rPr>
              <w:t xml:space="preserve">] 1 S.C.R. </w:t>
            </w:r>
            <w:r w:rsidR="009370B0">
              <w:rPr>
                <w:rFonts w:cs="Times New Roman"/>
                <w:sz w:val="20"/>
                <w:szCs w:val="20"/>
                <w:lang w:val="en-GB"/>
              </w:rPr>
              <w:t>19</w:t>
            </w:r>
          </w:p>
          <w:p w:rsidR="00DD0B49" w:rsidRPr="00DD0B49" w:rsidRDefault="00DD0B49" w:rsidP="003B3977">
            <w:pPr>
              <w:rPr>
                <w:rFonts w:cs="Times New Roman"/>
                <w:iCs/>
                <w:sz w:val="20"/>
                <w:szCs w:val="20"/>
                <w:lang w:val="en-GB"/>
              </w:rPr>
            </w:pPr>
          </w:p>
          <w:p w:rsidR="00DD0B49" w:rsidRPr="00DD0B49" w:rsidRDefault="009370B0" w:rsidP="003B3977">
            <w:pPr>
              <w:rPr>
                <w:rFonts w:cs="Times New Roman"/>
                <w:iCs/>
                <w:sz w:val="20"/>
                <w:szCs w:val="20"/>
                <w:lang w:val="en-GB"/>
              </w:rPr>
            </w:pPr>
            <w:r>
              <w:rPr>
                <w:rFonts w:cs="Times New Roman"/>
                <w:iCs/>
                <w:sz w:val="20"/>
                <w:szCs w:val="20"/>
                <w:lang w:val="en-GB"/>
              </w:rPr>
              <w:t xml:space="preserve">Canadian Broadcasting Corp. </w:t>
            </w:r>
            <w:r w:rsidR="00DD0B49" w:rsidRPr="00DD0B49">
              <w:rPr>
                <w:rFonts w:cs="Times New Roman"/>
                <w:i/>
                <w:iCs/>
                <w:sz w:val="20"/>
                <w:szCs w:val="20"/>
                <w:lang w:val="en-GB"/>
              </w:rPr>
              <w:t>v.</w:t>
            </w:r>
            <w:r w:rsidR="00DD0B49" w:rsidRPr="00DD0B49">
              <w:rPr>
                <w:rFonts w:cs="Times New Roman"/>
                <w:iCs/>
                <w:sz w:val="20"/>
                <w:szCs w:val="20"/>
                <w:lang w:val="en-GB"/>
              </w:rPr>
              <w:t xml:space="preserve"> </w:t>
            </w:r>
            <w:r>
              <w:rPr>
                <w:rFonts w:cs="Times New Roman"/>
                <w:iCs/>
                <w:sz w:val="20"/>
                <w:szCs w:val="20"/>
                <w:lang w:val="en-GB"/>
              </w:rPr>
              <w:t>The Qu</w:t>
            </w:r>
            <w:r w:rsidR="00DD0B49" w:rsidRPr="00DD0B49">
              <w:rPr>
                <w:rFonts w:cs="Times New Roman"/>
                <w:iCs/>
                <w:sz w:val="20"/>
                <w:szCs w:val="20"/>
                <w:lang w:val="en-GB"/>
              </w:rPr>
              <w:t>e</w:t>
            </w:r>
            <w:r>
              <w:rPr>
                <w:rFonts w:cs="Times New Roman"/>
                <w:iCs/>
                <w:sz w:val="20"/>
                <w:szCs w:val="20"/>
                <w:lang w:val="en-GB"/>
              </w:rPr>
              <w:t>en</w:t>
            </w:r>
            <w:r w:rsidR="00DD0B49" w:rsidRPr="00DD0B49">
              <w:rPr>
                <w:rFonts w:cs="Times New Roman"/>
                <w:iCs/>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DD098E">
              <w:rPr>
                <w:rFonts w:cs="Times New Roman"/>
                <w:sz w:val="20"/>
                <w:szCs w:val="20"/>
                <w:lang w:val="en-GB"/>
              </w:rPr>
              <w:t>1</w:t>
            </w:r>
            <w:r w:rsidRPr="00DD0B49">
              <w:rPr>
                <w:rFonts w:cs="Times New Roman"/>
                <w:sz w:val="20"/>
                <w:szCs w:val="20"/>
                <w:lang w:val="en-GB"/>
              </w:rPr>
              <w:t xml:space="preserve"> SCC </w:t>
            </w:r>
            <w:r w:rsidR="009370B0">
              <w:rPr>
                <w:rFonts w:cs="Times New Roman"/>
                <w:sz w:val="20"/>
                <w:szCs w:val="20"/>
                <w:lang w:val="en-GB"/>
              </w:rPr>
              <w:t>3</w:t>
            </w:r>
            <w:r w:rsidRPr="00DD0B49">
              <w:rPr>
                <w:rFonts w:cs="Times New Roman"/>
                <w:sz w:val="20"/>
                <w:szCs w:val="20"/>
                <w:lang w:val="en-GB"/>
              </w:rPr>
              <w:t>, [201</w:t>
            </w:r>
            <w:r w:rsidR="00DD098E">
              <w:rPr>
                <w:rFonts w:cs="Times New Roman"/>
                <w:sz w:val="20"/>
                <w:szCs w:val="20"/>
                <w:lang w:val="en-GB"/>
              </w:rPr>
              <w:t>1</w:t>
            </w:r>
            <w:r w:rsidRPr="00DD0B49">
              <w:rPr>
                <w:rFonts w:cs="Times New Roman"/>
                <w:sz w:val="20"/>
                <w:szCs w:val="20"/>
                <w:lang w:val="en-GB"/>
              </w:rPr>
              <w:t>] 1 S.C.R. 6</w:t>
            </w:r>
            <w:r w:rsidR="009370B0">
              <w:rPr>
                <w:rFonts w:cs="Times New Roman"/>
                <w:sz w:val="20"/>
                <w:szCs w:val="20"/>
                <w:lang w:val="en-GB"/>
              </w:rPr>
              <w:t>5</w:t>
            </w:r>
          </w:p>
          <w:p w:rsidR="00DD0B49" w:rsidRPr="00DD0B49" w:rsidRDefault="00DD0B49" w:rsidP="003B3977">
            <w:pPr>
              <w:rPr>
                <w:rFonts w:cs="Times New Roman"/>
                <w:sz w:val="20"/>
                <w:szCs w:val="20"/>
                <w:lang w:val="en-GB"/>
              </w:rPr>
            </w:pPr>
          </w:p>
          <w:p w:rsidR="00DD0B49" w:rsidRPr="00DD0B49" w:rsidRDefault="00CE2DA0" w:rsidP="003B3977">
            <w:pPr>
              <w:rPr>
                <w:rFonts w:cs="Times New Roman"/>
                <w:sz w:val="20"/>
                <w:szCs w:val="20"/>
                <w:lang w:val="en-GB"/>
              </w:rPr>
            </w:pPr>
            <w:r>
              <w:rPr>
                <w:rFonts w:cs="Times New Roman"/>
                <w:sz w:val="20"/>
                <w:szCs w:val="20"/>
                <w:lang w:val="en-GB"/>
              </w:rPr>
              <w:t>Celgene Corp.</w:t>
            </w:r>
            <w:r w:rsidR="00DD0B49" w:rsidRPr="00DD0B49">
              <w:rPr>
                <w:rFonts w:cs="Times New Roman"/>
                <w:sz w:val="20"/>
                <w:szCs w:val="20"/>
                <w:lang w:val="en-GB"/>
              </w:rPr>
              <w:t xml:space="preserve"> </w:t>
            </w:r>
            <w:r w:rsidR="00DD0B49" w:rsidRPr="00DD0B49">
              <w:rPr>
                <w:rFonts w:cs="Times New Roman"/>
                <w:i/>
                <w:iCs/>
                <w:sz w:val="20"/>
                <w:szCs w:val="20"/>
                <w:lang w:val="en-GB"/>
              </w:rPr>
              <w:t>v.</w:t>
            </w:r>
            <w:r w:rsidR="00DD0B49" w:rsidRPr="00DD0B49">
              <w:rPr>
                <w:rFonts w:cs="Times New Roman"/>
                <w:sz w:val="20"/>
                <w:szCs w:val="20"/>
                <w:lang w:val="en-GB"/>
              </w:rPr>
              <w:t xml:space="preserve"> </w:t>
            </w:r>
            <w:r>
              <w:rPr>
                <w:rFonts w:cs="Times New Roman"/>
                <w:sz w:val="20"/>
                <w:szCs w:val="20"/>
                <w:lang w:val="en-GB"/>
              </w:rPr>
              <w:t>Canada (Attorney General)</w:t>
            </w:r>
            <w:r w:rsidR="00DD0B49" w:rsidRPr="00DD0B49">
              <w:rPr>
                <w:rFonts w:cs="Times New Roman"/>
                <w:sz w:val="20"/>
                <w:szCs w:val="20"/>
                <w:lang w:val="en-GB"/>
              </w:rPr>
              <w:t>,</w:t>
            </w:r>
          </w:p>
          <w:p w:rsidR="00DD0B49" w:rsidRPr="00DD0B49" w:rsidRDefault="00DD0B49" w:rsidP="003B3977">
            <w:pPr>
              <w:rPr>
                <w:rFonts w:cs="Times New Roman"/>
                <w:sz w:val="20"/>
                <w:szCs w:val="20"/>
                <w:lang w:val="en-GB"/>
              </w:rPr>
            </w:pPr>
            <w:r w:rsidRPr="00DD0B49">
              <w:rPr>
                <w:rFonts w:cs="Times New Roman"/>
                <w:sz w:val="20"/>
                <w:szCs w:val="20"/>
                <w:lang w:val="en-GB"/>
              </w:rPr>
              <w:t>201</w:t>
            </w:r>
            <w:r w:rsidR="00DD098E">
              <w:rPr>
                <w:rFonts w:cs="Times New Roman"/>
                <w:sz w:val="20"/>
                <w:szCs w:val="20"/>
                <w:lang w:val="en-GB"/>
              </w:rPr>
              <w:t>1</w:t>
            </w:r>
            <w:r w:rsidRPr="00DD0B49">
              <w:rPr>
                <w:rFonts w:cs="Times New Roman"/>
                <w:sz w:val="20"/>
                <w:szCs w:val="20"/>
                <w:lang w:val="en-GB"/>
              </w:rPr>
              <w:t xml:space="preserve"> SCC </w:t>
            </w:r>
            <w:r w:rsidR="00CE2DA0">
              <w:rPr>
                <w:rFonts w:cs="Times New Roman"/>
                <w:sz w:val="20"/>
                <w:szCs w:val="20"/>
                <w:lang w:val="en-GB"/>
              </w:rPr>
              <w:t>1</w:t>
            </w:r>
            <w:r w:rsidRPr="00DD0B49">
              <w:rPr>
                <w:rFonts w:cs="Times New Roman"/>
                <w:sz w:val="20"/>
                <w:szCs w:val="20"/>
                <w:lang w:val="en-GB"/>
              </w:rPr>
              <w:t>, [201</w:t>
            </w:r>
            <w:r w:rsidR="00DD098E">
              <w:rPr>
                <w:rFonts w:cs="Times New Roman"/>
                <w:sz w:val="20"/>
                <w:szCs w:val="20"/>
                <w:lang w:val="en-GB"/>
              </w:rPr>
              <w:t>1</w:t>
            </w:r>
            <w:r w:rsidRPr="00DD0B49">
              <w:rPr>
                <w:rFonts w:cs="Times New Roman"/>
                <w:sz w:val="20"/>
                <w:szCs w:val="20"/>
                <w:lang w:val="en-GB"/>
              </w:rPr>
              <w:t xml:space="preserve">] 1 S.C.R. </w:t>
            </w:r>
            <w:r w:rsidR="00CE2DA0">
              <w:rPr>
                <w:rFonts w:cs="Times New Roman"/>
                <w:sz w:val="20"/>
                <w:szCs w:val="20"/>
                <w:lang w:val="en-GB"/>
              </w:rPr>
              <w:t>3</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sidR="00CE2DA0">
              <w:rPr>
                <w:rFonts w:cs="Times New Roman"/>
                <w:sz w:val="20"/>
                <w:szCs w:val="20"/>
                <w:lang w:val="en-GB"/>
              </w:rPr>
              <w:t>Ahmad</w:t>
            </w:r>
            <w:r w:rsidRPr="00DD0B49">
              <w:rPr>
                <w:rFonts w:cs="Times New Roman"/>
                <w:sz w:val="20"/>
                <w:szCs w:val="20"/>
                <w:lang w:val="en-GB"/>
              </w:rPr>
              <w:t>,</w:t>
            </w:r>
          </w:p>
          <w:p w:rsidR="00DD0B49" w:rsidRPr="00542AA1" w:rsidRDefault="00DD0B49" w:rsidP="003B3977">
            <w:pPr>
              <w:rPr>
                <w:rFonts w:cs="Times New Roman"/>
                <w:sz w:val="20"/>
                <w:szCs w:val="20"/>
              </w:rPr>
            </w:pPr>
            <w:r w:rsidRPr="00542AA1">
              <w:rPr>
                <w:rFonts w:cs="Times New Roman"/>
                <w:sz w:val="20"/>
                <w:szCs w:val="20"/>
              </w:rPr>
              <w:t>201</w:t>
            </w:r>
            <w:r w:rsidR="00DD098E" w:rsidRPr="00542AA1">
              <w:rPr>
                <w:rFonts w:cs="Times New Roman"/>
                <w:sz w:val="20"/>
                <w:szCs w:val="20"/>
              </w:rPr>
              <w:t>1</w:t>
            </w:r>
            <w:r w:rsidRPr="00542AA1">
              <w:rPr>
                <w:rFonts w:cs="Times New Roman"/>
                <w:sz w:val="20"/>
                <w:szCs w:val="20"/>
              </w:rPr>
              <w:t xml:space="preserve"> SCC </w:t>
            </w:r>
            <w:r w:rsidR="00CE2DA0" w:rsidRPr="00542AA1">
              <w:rPr>
                <w:rFonts w:cs="Times New Roman"/>
                <w:sz w:val="20"/>
                <w:szCs w:val="20"/>
              </w:rPr>
              <w:t>6</w:t>
            </w:r>
            <w:r w:rsidRPr="00542AA1">
              <w:rPr>
                <w:rFonts w:cs="Times New Roman"/>
                <w:sz w:val="20"/>
                <w:szCs w:val="20"/>
              </w:rPr>
              <w:t>, [201</w:t>
            </w:r>
            <w:r w:rsidR="00DD098E" w:rsidRPr="00542AA1">
              <w:rPr>
                <w:rFonts w:cs="Times New Roman"/>
                <w:sz w:val="20"/>
                <w:szCs w:val="20"/>
              </w:rPr>
              <w:t>1</w:t>
            </w:r>
            <w:r w:rsidRPr="00542AA1">
              <w:rPr>
                <w:rFonts w:cs="Times New Roman"/>
                <w:sz w:val="20"/>
                <w:szCs w:val="20"/>
              </w:rPr>
              <w:t xml:space="preserve">] 1 S.C.R. </w:t>
            </w:r>
            <w:r w:rsidR="00CE2DA0" w:rsidRPr="00542AA1">
              <w:rPr>
                <w:rFonts w:cs="Times New Roman"/>
                <w:sz w:val="20"/>
                <w:szCs w:val="20"/>
              </w:rPr>
              <w:t>110</w:t>
            </w:r>
          </w:p>
          <w:p w:rsidR="00DD0B49" w:rsidRPr="00542AA1" w:rsidRDefault="00DD0B49" w:rsidP="003B3977">
            <w:pPr>
              <w:rPr>
                <w:rFonts w:cs="Times New Roman"/>
                <w:sz w:val="20"/>
                <w:szCs w:val="20"/>
              </w:rPr>
            </w:pPr>
          </w:p>
          <w:p w:rsidR="00DD0B49" w:rsidRPr="00542AA1" w:rsidRDefault="00CE2DA0" w:rsidP="003B3977">
            <w:pPr>
              <w:rPr>
                <w:rFonts w:cs="Times New Roman"/>
                <w:sz w:val="20"/>
                <w:szCs w:val="20"/>
              </w:rPr>
            </w:pPr>
            <w:r w:rsidRPr="00542AA1">
              <w:rPr>
                <w:rFonts w:cs="Times New Roman"/>
                <w:sz w:val="20"/>
                <w:szCs w:val="20"/>
              </w:rPr>
              <w:t xml:space="preserve">R. </w:t>
            </w:r>
            <w:r w:rsidR="00DD0B49" w:rsidRPr="00542AA1">
              <w:rPr>
                <w:rFonts w:cs="Times New Roman"/>
                <w:i/>
                <w:iCs/>
                <w:sz w:val="20"/>
                <w:szCs w:val="20"/>
              </w:rPr>
              <w:t>v.</w:t>
            </w:r>
            <w:r w:rsidR="00DD0B49" w:rsidRPr="00542AA1">
              <w:rPr>
                <w:rFonts w:cs="Times New Roman"/>
                <w:sz w:val="20"/>
                <w:szCs w:val="20"/>
              </w:rPr>
              <w:t xml:space="preserve"> </w:t>
            </w:r>
            <w:r w:rsidRPr="00542AA1">
              <w:rPr>
                <w:rFonts w:cs="Times New Roman"/>
                <w:sz w:val="20"/>
                <w:szCs w:val="20"/>
              </w:rPr>
              <w:t>Bruce</w:t>
            </w:r>
            <w:r w:rsidR="00DD0B49" w:rsidRPr="00542AA1">
              <w:rPr>
                <w:rFonts w:cs="Times New Roman"/>
                <w:sz w:val="20"/>
                <w:szCs w:val="20"/>
              </w:rPr>
              <w:t>,</w:t>
            </w:r>
          </w:p>
          <w:p w:rsidR="00DD0B49" w:rsidRPr="00542AA1" w:rsidRDefault="00DD0B49" w:rsidP="003B3977">
            <w:pPr>
              <w:rPr>
                <w:rFonts w:cs="Times New Roman"/>
                <w:sz w:val="20"/>
                <w:szCs w:val="20"/>
              </w:rPr>
            </w:pPr>
            <w:r w:rsidRPr="00542AA1">
              <w:rPr>
                <w:rFonts w:cs="Times New Roman"/>
                <w:sz w:val="20"/>
                <w:szCs w:val="20"/>
              </w:rPr>
              <w:t>201</w:t>
            </w:r>
            <w:r w:rsidR="00DD098E" w:rsidRPr="00542AA1">
              <w:rPr>
                <w:rFonts w:cs="Times New Roman"/>
                <w:sz w:val="20"/>
                <w:szCs w:val="20"/>
              </w:rPr>
              <w:t>1</w:t>
            </w:r>
            <w:r w:rsidRPr="00542AA1">
              <w:rPr>
                <w:rFonts w:cs="Times New Roman"/>
                <w:sz w:val="20"/>
                <w:szCs w:val="20"/>
              </w:rPr>
              <w:t xml:space="preserve"> SCC </w:t>
            </w:r>
            <w:r w:rsidR="00CE2DA0" w:rsidRPr="00542AA1">
              <w:rPr>
                <w:rFonts w:cs="Times New Roman"/>
                <w:sz w:val="20"/>
                <w:szCs w:val="20"/>
              </w:rPr>
              <w:t>4</w:t>
            </w:r>
            <w:r w:rsidRPr="00542AA1">
              <w:rPr>
                <w:rFonts w:cs="Times New Roman"/>
                <w:sz w:val="20"/>
                <w:szCs w:val="20"/>
              </w:rPr>
              <w:t>, [201</w:t>
            </w:r>
            <w:r w:rsidR="00DD098E" w:rsidRPr="00542AA1">
              <w:rPr>
                <w:rFonts w:cs="Times New Roman"/>
                <w:sz w:val="20"/>
                <w:szCs w:val="20"/>
              </w:rPr>
              <w:t>1</w:t>
            </w:r>
            <w:r w:rsidRPr="00542AA1">
              <w:rPr>
                <w:rFonts w:cs="Times New Roman"/>
                <w:sz w:val="20"/>
                <w:szCs w:val="20"/>
              </w:rPr>
              <w:t>] 1 S.C.R. 7</w:t>
            </w:r>
            <w:r w:rsidR="00CE2DA0" w:rsidRPr="00542AA1">
              <w:rPr>
                <w:rFonts w:cs="Times New Roman"/>
                <w:sz w:val="20"/>
                <w:szCs w:val="20"/>
              </w:rPr>
              <w:t>6</w:t>
            </w:r>
          </w:p>
          <w:p w:rsidR="00DD0B49" w:rsidRPr="00542AA1" w:rsidRDefault="00DD0B49" w:rsidP="003B3977">
            <w:pPr>
              <w:rPr>
                <w:rFonts w:cs="Times New Roman"/>
                <w:sz w:val="20"/>
                <w:szCs w:val="20"/>
              </w:rPr>
            </w:pPr>
          </w:p>
          <w:p w:rsidR="00DD0B49" w:rsidRPr="00542AA1" w:rsidRDefault="00CE2DA0" w:rsidP="003B3977">
            <w:pPr>
              <w:rPr>
                <w:rFonts w:cs="Times New Roman"/>
                <w:sz w:val="20"/>
                <w:szCs w:val="20"/>
              </w:rPr>
            </w:pPr>
            <w:r w:rsidRPr="00542AA1">
              <w:rPr>
                <w:rFonts w:cs="Times New Roman"/>
                <w:sz w:val="20"/>
                <w:szCs w:val="20"/>
              </w:rPr>
              <w:t>R.</w:t>
            </w:r>
            <w:r w:rsidR="00DD0B49" w:rsidRPr="00542AA1">
              <w:rPr>
                <w:rFonts w:cs="Times New Roman"/>
                <w:sz w:val="20"/>
                <w:szCs w:val="20"/>
              </w:rPr>
              <w:t xml:space="preserve"> </w:t>
            </w:r>
            <w:r w:rsidR="00DD0B49" w:rsidRPr="00542AA1">
              <w:rPr>
                <w:rFonts w:cs="Times New Roman"/>
                <w:i/>
                <w:iCs/>
                <w:sz w:val="20"/>
                <w:szCs w:val="20"/>
              </w:rPr>
              <w:t xml:space="preserve">v. </w:t>
            </w:r>
            <w:r w:rsidRPr="00542AA1">
              <w:rPr>
                <w:rFonts w:cs="Times New Roman"/>
                <w:iCs/>
                <w:sz w:val="20"/>
                <w:szCs w:val="20"/>
              </w:rPr>
              <w:t>Caron</w:t>
            </w:r>
            <w:r w:rsidR="00DD0B49" w:rsidRPr="00542AA1">
              <w:rPr>
                <w:rFonts w:cs="Times New Roman"/>
                <w:iCs/>
                <w:sz w:val="20"/>
                <w:szCs w:val="20"/>
              </w:rPr>
              <w:t>,</w:t>
            </w:r>
          </w:p>
          <w:p w:rsidR="00DD0B49" w:rsidRPr="00542AA1" w:rsidRDefault="00DD0B49" w:rsidP="003B3977">
            <w:pPr>
              <w:rPr>
                <w:rFonts w:cs="Times New Roman"/>
                <w:sz w:val="20"/>
                <w:szCs w:val="20"/>
              </w:rPr>
            </w:pPr>
            <w:r w:rsidRPr="00542AA1">
              <w:rPr>
                <w:rFonts w:cs="Times New Roman"/>
                <w:sz w:val="20"/>
                <w:szCs w:val="20"/>
              </w:rPr>
              <w:t>201</w:t>
            </w:r>
            <w:r w:rsidR="00DD098E" w:rsidRPr="00542AA1">
              <w:rPr>
                <w:rFonts w:cs="Times New Roman"/>
                <w:sz w:val="20"/>
                <w:szCs w:val="20"/>
              </w:rPr>
              <w:t>1</w:t>
            </w:r>
            <w:r w:rsidRPr="00542AA1">
              <w:rPr>
                <w:rFonts w:cs="Times New Roman"/>
                <w:sz w:val="20"/>
                <w:szCs w:val="20"/>
              </w:rPr>
              <w:t xml:space="preserve"> SCC </w:t>
            </w:r>
            <w:r w:rsidR="00CE2DA0" w:rsidRPr="00542AA1">
              <w:rPr>
                <w:rFonts w:cs="Times New Roman"/>
                <w:sz w:val="20"/>
                <w:szCs w:val="20"/>
              </w:rPr>
              <w:t>5</w:t>
            </w:r>
            <w:r w:rsidRPr="00542AA1">
              <w:rPr>
                <w:rFonts w:cs="Times New Roman"/>
                <w:sz w:val="20"/>
                <w:szCs w:val="20"/>
              </w:rPr>
              <w:t>, [201</w:t>
            </w:r>
            <w:r w:rsidR="00DD098E" w:rsidRPr="00542AA1">
              <w:rPr>
                <w:rFonts w:cs="Times New Roman"/>
                <w:sz w:val="20"/>
                <w:szCs w:val="20"/>
              </w:rPr>
              <w:t>1</w:t>
            </w:r>
            <w:r w:rsidRPr="00542AA1">
              <w:rPr>
                <w:rFonts w:cs="Times New Roman"/>
                <w:sz w:val="20"/>
                <w:szCs w:val="20"/>
              </w:rPr>
              <w:t xml:space="preserve">] 1 S.C.R. </w:t>
            </w:r>
            <w:r w:rsidR="00CE2DA0" w:rsidRPr="00542AA1">
              <w:rPr>
                <w:rFonts w:cs="Times New Roman"/>
                <w:sz w:val="20"/>
                <w:szCs w:val="20"/>
              </w:rPr>
              <w:t>78</w:t>
            </w:r>
          </w:p>
          <w:p w:rsidR="00DD0B49" w:rsidRPr="00542AA1" w:rsidRDefault="00DD0B49" w:rsidP="003B3977">
            <w:pPr>
              <w:keepNext/>
              <w:keepLines/>
              <w:rPr>
                <w:rFonts w:cs="Times New Roman"/>
                <w:bCs/>
                <w:sz w:val="20"/>
                <w:szCs w:val="20"/>
              </w:rPr>
            </w:pPr>
          </w:p>
          <w:p w:rsidR="001951EF" w:rsidRPr="00542AA1" w:rsidRDefault="001951EF" w:rsidP="001951EF">
            <w:pPr>
              <w:rPr>
                <w:rFonts w:cs="Times New Roman"/>
                <w:sz w:val="20"/>
                <w:szCs w:val="20"/>
              </w:rPr>
            </w:pPr>
            <w:r w:rsidRPr="00542AA1">
              <w:rPr>
                <w:rFonts w:cs="Times New Roman"/>
                <w:sz w:val="20"/>
                <w:szCs w:val="20"/>
              </w:rPr>
              <w:t xml:space="preserve">R. </w:t>
            </w:r>
            <w:r w:rsidRPr="00542AA1">
              <w:rPr>
                <w:rFonts w:cs="Times New Roman"/>
                <w:i/>
                <w:iCs/>
                <w:sz w:val="20"/>
                <w:szCs w:val="20"/>
              </w:rPr>
              <w:t xml:space="preserve">v. </w:t>
            </w:r>
            <w:r w:rsidRPr="00542AA1">
              <w:rPr>
                <w:rFonts w:cs="Times New Roman"/>
                <w:iCs/>
                <w:sz w:val="20"/>
                <w:szCs w:val="20"/>
              </w:rPr>
              <w:t>Miljevic,</w:t>
            </w:r>
          </w:p>
          <w:p w:rsidR="001951EF" w:rsidRPr="001951EF" w:rsidRDefault="001951EF" w:rsidP="001951EF">
            <w:pPr>
              <w:rPr>
                <w:rFonts w:cs="Times New Roman"/>
                <w:sz w:val="20"/>
                <w:szCs w:val="20"/>
              </w:rPr>
            </w:pPr>
            <w:r w:rsidRPr="001951EF">
              <w:rPr>
                <w:rFonts w:cs="Times New Roman"/>
                <w:sz w:val="20"/>
                <w:szCs w:val="20"/>
              </w:rPr>
              <w:t>2011 SCC 8, [2011] 1 S.C.R. 203</w:t>
            </w:r>
          </w:p>
          <w:p w:rsidR="001951EF" w:rsidRPr="001951EF" w:rsidRDefault="001951EF" w:rsidP="003B3977">
            <w:pPr>
              <w:keepNext/>
              <w:keepLines/>
              <w:rPr>
                <w:rFonts w:cs="Times New Roman"/>
                <w:bCs/>
                <w:sz w:val="20"/>
                <w:szCs w:val="20"/>
              </w:rPr>
            </w:pPr>
          </w:p>
          <w:p w:rsidR="001951EF" w:rsidRPr="001951EF" w:rsidRDefault="001951EF" w:rsidP="001951EF">
            <w:pPr>
              <w:rPr>
                <w:rFonts w:cs="Times New Roman"/>
                <w:sz w:val="20"/>
                <w:szCs w:val="20"/>
              </w:rPr>
            </w:pPr>
            <w:r w:rsidRPr="001951EF">
              <w:rPr>
                <w:rFonts w:cs="Times New Roman"/>
                <w:sz w:val="20"/>
                <w:szCs w:val="20"/>
              </w:rPr>
              <w:t xml:space="preserve">Smith </w:t>
            </w:r>
            <w:r w:rsidRPr="001951EF">
              <w:rPr>
                <w:rFonts w:cs="Times New Roman"/>
                <w:i/>
                <w:iCs/>
                <w:sz w:val="20"/>
                <w:szCs w:val="20"/>
              </w:rPr>
              <w:t xml:space="preserve">v. </w:t>
            </w:r>
            <w:r>
              <w:rPr>
                <w:rFonts w:cs="Times New Roman"/>
                <w:iCs/>
                <w:sz w:val="20"/>
                <w:szCs w:val="20"/>
              </w:rPr>
              <w:t>Alliance Pipeline Ltd.</w:t>
            </w:r>
            <w:r w:rsidRPr="001951EF">
              <w:rPr>
                <w:rFonts w:cs="Times New Roman"/>
                <w:iCs/>
                <w:sz w:val="20"/>
                <w:szCs w:val="20"/>
              </w:rPr>
              <w:t>,</w:t>
            </w:r>
          </w:p>
          <w:p w:rsidR="001951EF" w:rsidRPr="00DD0B49" w:rsidRDefault="001951EF" w:rsidP="001951EF">
            <w:pPr>
              <w:rPr>
                <w:rFonts w:cs="Times New Roman"/>
                <w:sz w:val="20"/>
                <w:szCs w:val="20"/>
                <w:lang w:val="fr-CA"/>
              </w:rPr>
            </w:pPr>
            <w:r w:rsidRPr="00DD0B49">
              <w:rPr>
                <w:rFonts w:cs="Times New Roman"/>
                <w:sz w:val="20"/>
                <w:szCs w:val="20"/>
                <w:lang w:val="fr-CA"/>
              </w:rPr>
              <w:t>201</w:t>
            </w:r>
            <w:r>
              <w:rPr>
                <w:rFonts w:cs="Times New Roman"/>
                <w:sz w:val="20"/>
                <w:szCs w:val="20"/>
                <w:lang w:val="fr-CA"/>
              </w:rPr>
              <w:t>1</w:t>
            </w:r>
            <w:r w:rsidRPr="00DD0B49">
              <w:rPr>
                <w:rFonts w:cs="Times New Roman"/>
                <w:sz w:val="20"/>
                <w:szCs w:val="20"/>
                <w:lang w:val="fr-CA"/>
              </w:rPr>
              <w:t xml:space="preserve"> SCC </w:t>
            </w:r>
            <w:r>
              <w:rPr>
                <w:rFonts w:cs="Times New Roman"/>
                <w:sz w:val="20"/>
                <w:szCs w:val="20"/>
                <w:lang w:val="fr-CA"/>
              </w:rPr>
              <w:t>7</w:t>
            </w:r>
            <w:r w:rsidRPr="00DD0B49">
              <w:rPr>
                <w:rFonts w:cs="Times New Roman"/>
                <w:sz w:val="20"/>
                <w:szCs w:val="20"/>
                <w:lang w:val="fr-CA"/>
              </w:rPr>
              <w:t>, [201</w:t>
            </w:r>
            <w:r>
              <w:rPr>
                <w:rFonts w:cs="Times New Roman"/>
                <w:sz w:val="20"/>
                <w:szCs w:val="20"/>
                <w:lang w:val="fr-CA"/>
              </w:rPr>
              <w:t>1</w:t>
            </w:r>
            <w:r w:rsidRPr="00DD0B49">
              <w:rPr>
                <w:rFonts w:cs="Times New Roman"/>
                <w:sz w:val="20"/>
                <w:szCs w:val="20"/>
                <w:lang w:val="fr-CA"/>
              </w:rPr>
              <w:t xml:space="preserve">] 1 S.C.R. </w:t>
            </w:r>
            <w:r>
              <w:rPr>
                <w:rFonts w:cs="Times New Roman"/>
                <w:sz w:val="20"/>
                <w:szCs w:val="20"/>
                <w:lang w:val="fr-CA"/>
              </w:rPr>
              <w:t>160</w:t>
            </w:r>
          </w:p>
          <w:p w:rsidR="001951EF" w:rsidRPr="00DD0B49" w:rsidRDefault="001951EF" w:rsidP="003B3977">
            <w:pPr>
              <w:keepNext/>
              <w:keepLines/>
              <w:rPr>
                <w:rFonts w:cs="Times New Roman"/>
                <w:bCs/>
                <w:sz w:val="20"/>
                <w:szCs w:val="20"/>
                <w:lang w:val="fr-CA"/>
              </w:rPr>
            </w:pPr>
          </w:p>
          <w:p w:rsidR="00DD0B49" w:rsidRPr="00DD0B49" w:rsidRDefault="00AB3236" w:rsidP="003B3977">
            <w:pPr>
              <w:keepNext/>
              <w:keepLines/>
              <w:rPr>
                <w:rFonts w:cs="Times New Roman"/>
                <w:bCs/>
                <w:sz w:val="20"/>
                <w:szCs w:val="20"/>
                <w:lang w:val="fr-CA"/>
              </w:rPr>
            </w:pPr>
            <w:r w:rsidRPr="00AB3236">
              <w:rPr>
                <w:rFonts w:cs="Times New Roman"/>
                <w:sz w:val="20"/>
                <w:szCs w:val="20"/>
              </w:rPr>
              <w:pict>
                <v:rect id="_x0000_i1084"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c>
          <w:tcPr>
            <w:tcW w:w="840" w:type="dxa"/>
            <w:tcBorders>
              <w:top w:val="nil"/>
              <w:left w:val="nil"/>
              <w:bottom w:val="nil"/>
              <w:right w:val="nil"/>
            </w:tcBorders>
          </w:tcPr>
          <w:p w:rsidR="00DD0B49" w:rsidRPr="00DD0B49" w:rsidRDefault="00DD0B49" w:rsidP="003B3977">
            <w:pPr>
              <w:rPr>
                <w:rFonts w:cs="Times New Roman"/>
                <w:b/>
                <w:bCs/>
                <w:sz w:val="20"/>
                <w:szCs w:val="20"/>
                <w:lang w:val="fr-CA"/>
              </w:rPr>
            </w:pPr>
          </w:p>
        </w:tc>
        <w:tc>
          <w:tcPr>
            <w:tcW w:w="4320" w:type="dxa"/>
            <w:tcBorders>
              <w:top w:val="nil"/>
              <w:left w:val="nil"/>
              <w:bottom w:val="nil"/>
              <w:right w:val="nil"/>
            </w:tcBorders>
          </w:tcPr>
          <w:p w:rsidR="00DD0B49" w:rsidRPr="00DD0B49" w:rsidRDefault="00DD0B49" w:rsidP="003B3977">
            <w:pPr>
              <w:rPr>
                <w:rFonts w:cs="Times New Roman"/>
                <w:b/>
                <w:bCs/>
                <w:sz w:val="20"/>
                <w:szCs w:val="20"/>
                <w:lang w:val="fr-CA"/>
              </w:rPr>
            </w:pPr>
            <w:r w:rsidRPr="00DD0B49">
              <w:rPr>
                <w:rFonts w:cs="Times New Roman"/>
                <w:b/>
                <w:bCs/>
                <w:sz w:val="20"/>
                <w:szCs w:val="20"/>
                <w:lang w:val="fr-CA"/>
              </w:rPr>
              <w:t>Jugements publiés dans [201</w:t>
            </w:r>
            <w:r w:rsidR="00DD098E">
              <w:rPr>
                <w:rFonts w:cs="Times New Roman"/>
                <w:b/>
                <w:bCs/>
                <w:sz w:val="20"/>
                <w:szCs w:val="20"/>
                <w:lang w:val="fr-CA"/>
              </w:rPr>
              <w:t>1</w:t>
            </w:r>
            <w:r w:rsidRPr="00DD0B49">
              <w:rPr>
                <w:rFonts w:cs="Times New Roman"/>
                <w:b/>
                <w:bCs/>
                <w:sz w:val="20"/>
                <w:szCs w:val="20"/>
                <w:lang w:val="fr-CA"/>
              </w:rPr>
              <w:t xml:space="preserve">] 1 R.C.S. Partie </w:t>
            </w:r>
            <w:r w:rsidR="00DD098E">
              <w:rPr>
                <w:rFonts w:cs="Times New Roman"/>
                <w:b/>
                <w:bCs/>
                <w:sz w:val="20"/>
                <w:szCs w:val="20"/>
                <w:lang w:val="fr-CA"/>
              </w:rPr>
              <w:t>1</w:t>
            </w:r>
          </w:p>
          <w:p w:rsidR="00DD0B49" w:rsidRPr="00DD0B49" w:rsidRDefault="00DD0B49" w:rsidP="003B3977">
            <w:pPr>
              <w:rPr>
                <w:rFonts w:cs="Times New Roman"/>
                <w:b/>
                <w:bCs/>
                <w:sz w:val="20"/>
                <w:szCs w:val="20"/>
                <w:lang w:val="fr-CA"/>
              </w:rPr>
            </w:pPr>
          </w:p>
          <w:p w:rsidR="00DD0B49" w:rsidRPr="00DD0B49" w:rsidRDefault="001951EF" w:rsidP="003B3977">
            <w:pPr>
              <w:rPr>
                <w:rFonts w:cs="Times New Roman"/>
                <w:sz w:val="20"/>
                <w:szCs w:val="20"/>
                <w:lang w:val="fr-CA"/>
              </w:rPr>
            </w:pPr>
            <w:r>
              <w:rPr>
                <w:rFonts w:cs="Times New Roman"/>
                <w:sz w:val="20"/>
                <w:szCs w:val="20"/>
                <w:lang w:val="fr-CA"/>
              </w:rPr>
              <w:t>Bou Malhab</w:t>
            </w:r>
            <w:r w:rsidR="00DD0B49" w:rsidRPr="00DD0B49">
              <w:rPr>
                <w:rFonts w:cs="Times New Roman"/>
                <w:sz w:val="20"/>
                <w:szCs w:val="20"/>
                <w:lang w:val="fr-CA"/>
              </w:rPr>
              <w:t xml:space="preserve"> </w:t>
            </w:r>
            <w:r w:rsidR="00DD0B49" w:rsidRPr="00DD0B49">
              <w:rPr>
                <w:rFonts w:cs="Times New Roman"/>
                <w:i/>
                <w:sz w:val="20"/>
                <w:szCs w:val="20"/>
                <w:lang w:val="fr-CA"/>
              </w:rPr>
              <w:t>c.</w:t>
            </w:r>
            <w:r w:rsidR="00DD0B49" w:rsidRPr="00DD0B49">
              <w:rPr>
                <w:rFonts w:cs="Times New Roman"/>
                <w:sz w:val="20"/>
                <w:szCs w:val="20"/>
                <w:lang w:val="fr-CA"/>
              </w:rPr>
              <w:t xml:space="preserve"> </w:t>
            </w:r>
            <w:r>
              <w:rPr>
                <w:rFonts w:cs="Times New Roman"/>
                <w:sz w:val="20"/>
                <w:szCs w:val="20"/>
                <w:lang w:val="fr-CA"/>
              </w:rPr>
              <w:t>Diffusion Métromédia CMR inc.</w:t>
            </w:r>
            <w:r w:rsidR="00DD0B49" w:rsidRPr="00DD0B49">
              <w:rPr>
                <w:rFonts w:cs="Times New Roman"/>
                <w:sz w:val="20"/>
                <w:szCs w:val="20"/>
                <w:lang w:val="fr-CA"/>
              </w:rPr>
              <w:t>,</w:t>
            </w:r>
          </w:p>
          <w:p w:rsidR="00DD0B49" w:rsidRPr="00542AA1" w:rsidRDefault="00DD0B49" w:rsidP="003B3977">
            <w:pPr>
              <w:rPr>
                <w:rFonts w:cs="Times New Roman"/>
                <w:sz w:val="20"/>
                <w:szCs w:val="20"/>
                <w:lang w:val="fr-CA"/>
              </w:rPr>
            </w:pPr>
            <w:r w:rsidRPr="00CE2DA0">
              <w:rPr>
                <w:rFonts w:cs="Times New Roman"/>
                <w:sz w:val="20"/>
                <w:szCs w:val="20"/>
                <w:lang w:val="fr-CA"/>
              </w:rPr>
              <w:t>201</w:t>
            </w:r>
            <w:r w:rsidR="00DD098E" w:rsidRPr="00542AA1">
              <w:rPr>
                <w:rFonts w:cs="Times New Roman"/>
                <w:sz w:val="20"/>
                <w:szCs w:val="20"/>
                <w:lang w:val="fr-CA"/>
              </w:rPr>
              <w:t>1</w:t>
            </w:r>
            <w:r w:rsidRPr="00542AA1">
              <w:rPr>
                <w:rFonts w:cs="Times New Roman"/>
                <w:sz w:val="20"/>
                <w:szCs w:val="20"/>
                <w:lang w:val="fr-CA"/>
              </w:rPr>
              <w:t xml:space="preserve"> CSC </w:t>
            </w:r>
            <w:r w:rsidR="001951EF" w:rsidRPr="00542AA1">
              <w:rPr>
                <w:rFonts w:cs="Times New Roman"/>
                <w:sz w:val="20"/>
                <w:szCs w:val="20"/>
                <w:lang w:val="fr-CA"/>
              </w:rPr>
              <w:t>9</w:t>
            </w:r>
            <w:r w:rsidRPr="00542AA1">
              <w:rPr>
                <w:rFonts w:cs="Times New Roman"/>
                <w:sz w:val="20"/>
                <w:szCs w:val="20"/>
                <w:lang w:val="fr-CA"/>
              </w:rPr>
              <w:t>, [201</w:t>
            </w:r>
            <w:r w:rsidR="00DD098E" w:rsidRPr="00542AA1">
              <w:rPr>
                <w:rFonts w:cs="Times New Roman"/>
                <w:sz w:val="20"/>
                <w:szCs w:val="20"/>
                <w:lang w:val="fr-CA"/>
              </w:rPr>
              <w:t>1</w:t>
            </w:r>
            <w:r w:rsidRPr="00542AA1">
              <w:rPr>
                <w:rFonts w:cs="Times New Roman"/>
                <w:sz w:val="20"/>
                <w:szCs w:val="20"/>
                <w:lang w:val="fr-CA"/>
              </w:rPr>
              <w:t xml:space="preserve">] 1 R.C.S. </w:t>
            </w:r>
            <w:r w:rsidR="001951EF" w:rsidRPr="00542AA1">
              <w:rPr>
                <w:rFonts w:cs="Times New Roman"/>
                <w:sz w:val="20"/>
                <w:szCs w:val="20"/>
                <w:lang w:val="fr-CA"/>
              </w:rPr>
              <w:t>2</w:t>
            </w:r>
            <w:r w:rsidRPr="00542AA1">
              <w:rPr>
                <w:rFonts w:cs="Times New Roman"/>
                <w:sz w:val="20"/>
                <w:szCs w:val="20"/>
                <w:lang w:val="fr-CA"/>
              </w:rPr>
              <w:t>1</w:t>
            </w:r>
            <w:r w:rsidR="001951EF" w:rsidRPr="00542AA1">
              <w:rPr>
                <w:rFonts w:cs="Times New Roman"/>
                <w:sz w:val="20"/>
                <w:szCs w:val="20"/>
                <w:lang w:val="fr-CA"/>
              </w:rPr>
              <w:t>4</w:t>
            </w:r>
          </w:p>
          <w:p w:rsidR="00DD0B49" w:rsidRPr="00542AA1" w:rsidRDefault="00DD0B49" w:rsidP="003B3977">
            <w:pPr>
              <w:rPr>
                <w:rFonts w:cs="Times New Roman"/>
                <w:sz w:val="20"/>
                <w:szCs w:val="20"/>
                <w:lang w:val="fr-CA"/>
              </w:rPr>
            </w:pPr>
          </w:p>
          <w:p w:rsidR="00DD0B49" w:rsidRPr="001951EF" w:rsidRDefault="001951EF" w:rsidP="003B3977">
            <w:pPr>
              <w:rPr>
                <w:rFonts w:cs="Times New Roman"/>
                <w:sz w:val="20"/>
                <w:szCs w:val="20"/>
                <w:lang w:val="fr-CA"/>
              </w:rPr>
            </w:pPr>
            <w:r w:rsidRPr="001951EF">
              <w:rPr>
                <w:rFonts w:cs="Times New Roman"/>
                <w:sz w:val="20"/>
                <w:szCs w:val="20"/>
                <w:lang w:val="fr-CA"/>
              </w:rPr>
              <w:t>Celgene Corp</w:t>
            </w:r>
            <w:r w:rsidR="00DD0B49" w:rsidRPr="001951EF">
              <w:rPr>
                <w:rFonts w:cs="Times New Roman"/>
                <w:sz w:val="20"/>
                <w:szCs w:val="20"/>
                <w:lang w:val="fr-CA"/>
              </w:rPr>
              <w:t xml:space="preserve">. </w:t>
            </w:r>
            <w:r w:rsidR="00DD0B49" w:rsidRPr="001951EF">
              <w:rPr>
                <w:rFonts w:cs="Times New Roman"/>
                <w:i/>
                <w:iCs/>
                <w:sz w:val="20"/>
                <w:szCs w:val="20"/>
                <w:lang w:val="fr-CA"/>
              </w:rPr>
              <w:t>c.</w:t>
            </w:r>
            <w:r w:rsidR="00DD0B49" w:rsidRPr="001951EF">
              <w:rPr>
                <w:rFonts w:cs="Times New Roman"/>
                <w:iCs/>
                <w:sz w:val="20"/>
                <w:szCs w:val="20"/>
                <w:lang w:val="fr-CA"/>
              </w:rPr>
              <w:t xml:space="preserve"> C</w:t>
            </w:r>
            <w:r w:rsidRPr="001951EF">
              <w:rPr>
                <w:rFonts w:cs="Times New Roman"/>
                <w:iCs/>
                <w:sz w:val="20"/>
                <w:szCs w:val="20"/>
                <w:lang w:val="fr-CA"/>
              </w:rPr>
              <w:t>a</w:t>
            </w:r>
            <w:r w:rsidR="00DD0B49" w:rsidRPr="001951EF">
              <w:rPr>
                <w:rFonts w:cs="Times New Roman"/>
                <w:iCs/>
                <w:sz w:val="20"/>
                <w:szCs w:val="20"/>
                <w:lang w:val="fr-CA"/>
              </w:rPr>
              <w:t>n</w:t>
            </w:r>
            <w:r w:rsidRPr="001951EF">
              <w:rPr>
                <w:rFonts w:cs="Times New Roman"/>
                <w:iCs/>
                <w:sz w:val="20"/>
                <w:szCs w:val="20"/>
                <w:lang w:val="fr-CA"/>
              </w:rPr>
              <w:t>ad</w:t>
            </w:r>
            <w:r w:rsidR="00DD0B49" w:rsidRPr="001951EF">
              <w:rPr>
                <w:rFonts w:cs="Times New Roman"/>
                <w:iCs/>
                <w:sz w:val="20"/>
                <w:szCs w:val="20"/>
                <w:lang w:val="fr-CA"/>
              </w:rPr>
              <w:t>a</w:t>
            </w:r>
            <w:r w:rsidRPr="001951EF">
              <w:rPr>
                <w:rFonts w:cs="Times New Roman"/>
                <w:iCs/>
                <w:sz w:val="20"/>
                <w:szCs w:val="20"/>
                <w:lang w:val="fr-CA"/>
              </w:rPr>
              <w:t xml:space="preserve"> (Procureur général)</w:t>
            </w:r>
            <w:r w:rsidR="00DD0B49" w:rsidRPr="001951EF">
              <w:rPr>
                <w:rFonts w:cs="Times New Roman"/>
                <w:sz w:val="20"/>
                <w:szCs w:val="20"/>
                <w:lang w:val="fr-CA"/>
              </w:rPr>
              <w:t>,</w:t>
            </w:r>
          </w:p>
          <w:p w:rsidR="00DD0B49" w:rsidRPr="00DD0B49" w:rsidRDefault="00DD0B49" w:rsidP="003B3977">
            <w:pPr>
              <w:rPr>
                <w:rFonts w:cs="Times New Roman"/>
                <w:sz w:val="20"/>
                <w:szCs w:val="20"/>
              </w:rPr>
            </w:pPr>
            <w:r w:rsidRPr="00DD0B49">
              <w:rPr>
                <w:rFonts w:cs="Times New Roman"/>
                <w:sz w:val="20"/>
                <w:szCs w:val="20"/>
              </w:rPr>
              <w:t>201</w:t>
            </w:r>
            <w:r w:rsidR="00DD098E">
              <w:rPr>
                <w:rFonts w:cs="Times New Roman"/>
                <w:sz w:val="20"/>
                <w:szCs w:val="20"/>
              </w:rPr>
              <w:t>1</w:t>
            </w:r>
            <w:r w:rsidRPr="00DD0B49">
              <w:rPr>
                <w:rFonts w:cs="Times New Roman"/>
                <w:sz w:val="20"/>
                <w:szCs w:val="20"/>
              </w:rPr>
              <w:t xml:space="preserve"> CSC </w:t>
            </w:r>
            <w:r w:rsidR="001951EF">
              <w:rPr>
                <w:rFonts w:cs="Times New Roman"/>
                <w:sz w:val="20"/>
                <w:szCs w:val="20"/>
              </w:rPr>
              <w:t>1</w:t>
            </w:r>
            <w:r w:rsidRPr="00DD0B49">
              <w:rPr>
                <w:rFonts w:cs="Times New Roman"/>
                <w:sz w:val="20"/>
                <w:szCs w:val="20"/>
              </w:rPr>
              <w:t>, [201</w:t>
            </w:r>
            <w:r w:rsidR="00DD098E">
              <w:rPr>
                <w:rFonts w:cs="Times New Roman"/>
                <w:sz w:val="20"/>
                <w:szCs w:val="20"/>
              </w:rPr>
              <w:t>1</w:t>
            </w:r>
            <w:r w:rsidRPr="00DD0B49">
              <w:rPr>
                <w:rFonts w:cs="Times New Roman"/>
                <w:sz w:val="20"/>
                <w:szCs w:val="20"/>
              </w:rPr>
              <w:t xml:space="preserve">] 1 R.C.S. </w:t>
            </w:r>
            <w:r w:rsidR="001951EF">
              <w:rPr>
                <w:rFonts w:cs="Times New Roman"/>
                <w:sz w:val="20"/>
                <w:szCs w:val="20"/>
              </w:rPr>
              <w:t>3</w:t>
            </w:r>
          </w:p>
          <w:p w:rsidR="007E1832" w:rsidRDefault="007E1832" w:rsidP="003B3977">
            <w:pPr>
              <w:rPr>
                <w:rFonts w:cs="Times New Roman"/>
                <w:iCs/>
                <w:sz w:val="20"/>
                <w:szCs w:val="20"/>
              </w:rPr>
            </w:pPr>
          </w:p>
          <w:p w:rsidR="007E1832" w:rsidRDefault="007E1832" w:rsidP="003B3977">
            <w:pPr>
              <w:rPr>
                <w:rFonts w:cs="Times New Roman"/>
                <w:iCs/>
                <w:sz w:val="20"/>
                <w:szCs w:val="20"/>
              </w:rPr>
            </w:pPr>
          </w:p>
          <w:p w:rsidR="00DD0B49" w:rsidRPr="00DD0B49" w:rsidRDefault="00DD0B49" w:rsidP="003B3977">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c.</w:t>
            </w:r>
            <w:r w:rsidRPr="00DD0B49">
              <w:rPr>
                <w:rFonts w:cs="Times New Roman"/>
                <w:iCs/>
                <w:sz w:val="20"/>
                <w:szCs w:val="20"/>
                <w:lang w:val="en-GB"/>
              </w:rPr>
              <w:t xml:space="preserve"> </w:t>
            </w:r>
            <w:r w:rsidR="001951EF">
              <w:rPr>
                <w:rFonts w:cs="Times New Roman"/>
                <w:iCs/>
                <w:sz w:val="20"/>
                <w:szCs w:val="20"/>
                <w:lang w:val="en-GB"/>
              </w:rPr>
              <w:t>Ahmad</w:t>
            </w:r>
            <w:r w:rsidRPr="00DD0B49">
              <w:rPr>
                <w:rFonts w:cs="Times New Roman"/>
                <w:iCs/>
                <w:sz w:val="20"/>
                <w:szCs w:val="20"/>
                <w:lang w:val="en-GB"/>
              </w:rPr>
              <w:t>,</w:t>
            </w:r>
          </w:p>
          <w:p w:rsidR="00DD0B49" w:rsidRPr="00DD0B49" w:rsidRDefault="00DD098E" w:rsidP="003B3977">
            <w:pPr>
              <w:rPr>
                <w:rFonts w:cs="Times New Roman"/>
                <w:sz w:val="20"/>
                <w:szCs w:val="20"/>
                <w:lang w:val="en-GB"/>
              </w:rPr>
            </w:pPr>
            <w:r>
              <w:rPr>
                <w:rFonts w:cs="Times New Roman"/>
                <w:sz w:val="20"/>
                <w:szCs w:val="20"/>
                <w:lang w:val="en-GB"/>
              </w:rPr>
              <w:t>2011</w:t>
            </w:r>
            <w:r w:rsidR="00DD0B49" w:rsidRPr="00DD0B49">
              <w:rPr>
                <w:rFonts w:cs="Times New Roman"/>
                <w:sz w:val="20"/>
                <w:szCs w:val="20"/>
                <w:lang w:val="en-GB"/>
              </w:rPr>
              <w:t xml:space="preserve"> CSC </w:t>
            </w:r>
            <w:r w:rsidR="001951EF">
              <w:rPr>
                <w:rFonts w:cs="Times New Roman"/>
                <w:sz w:val="20"/>
                <w:szCs w:val="20"/>
                <w:lang w:val="en-GB"/>
              </w:rPr>
              <w:t>6</w:t>
            </w:r>
            <w:r w:rsidR="00DD0B49" w:rsidRPr="00DD0B49">
              <w:rPr>
                <w:rFonts w:cs="Times New Roman"/>
                <w:sz w:val="20"/>
                <w:szCs w:val="20"/>
                <w:lang w:val="en-GB"/>
              </w:rPr>
              <w:t>, [201</w:t>
            </w:r>
            <w:r>
              <w:rPr>
                <w:rFonts w:cs="Times New Roman"/>
                <w:sz w:val="20"/>
                <w:szCs w:val="20"/>
                <w:lang w:val="en-GB"/>
              </w:rPr>
              <w:t>1</w:t>
            </w:r>
            <w:r w:rsidR="00DD0B49" w:rsidRPr="00DD0B49">
              <w:rPr>
                <w:rFonts w:cs="Times New Roman"/>
                <w:sz w:val="20"/>
                <w:szCs w:val="20"/>
                <w:lang w:val="en-GB"/>
              </w:rPr>
              <w:t xml:space="preserve">] 1 R.C.S. </w:t>
            </w:r>
            <w:r w:rsidR="001951EF">
              <w:rPr>
                <w:rFonts w:cs="Times New Roman"/>
                <w:sz w:val="20"/>
                <w:szCs w:val="20"/>
                <w:lang w:val="en-GB"/>
              </w:rPr>
              <w:t>110</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1951EF">
              <w:rPr>
                <w:rFonts w:cs="Times New Roman"/>
                <w:sz w:val="20"/>
                <w:szCs w:val="20"/>
                <w:lang w:val="en-GB"/>
              </w:rPr>
              <w:t>Bruce</w:t>
            </w:r>
            <w:r w:rsidRPr="00DD0B49">
              <w:rPr>
                <w:rFonts w:cs="Times New Roman"/>
                <w:sz w:val="20"/>
                <w:szCs w:val="20"/>
                <w:lang w:val="en-GB"/>
              </w:rPr>
              <w:t>,</w:t>
            </w:r>
          </w:p>
          <w:p w:rsidR="00DD0B49" w:rsidRPr="00DD0B49" w:rsidRDefault="00DD098E" w:rsidP="003B3977">
            <w:pPr>
              <w:rPr>
                <w:rFonts w:cs="Times New Roman"/>
                <w:sz w:val="20"/>
                <w:szCs w:val="20"/>
                <w:lang w:val="en-GB"/>
              </w:rPr>
            </w:pPr>
            <w:r>
              <w:rPr>
                <w:rFonts w:cs="Times New Roman"/>
                <w:sz w:val="20"/>
                <w:szCs w:val="20"/>
                <w:lang w:val="en-GB"/>
              </w:rPr>
              <w:t>2011</w:t>
            </w:r>
            <w:r w:rsidR="00DD0B49" w:rsidRPr="00DD0B49">
              <w:rPr>
                <w:rFonts w:cs="Times New Roman"/>
                <w:sz w:val="20"/>
                <w:szCs w:val="20"/>
                <w:lang w:val="en-GB"/>
              </w:rPr>
              <w:t xml:space="preserve"> CSC 4, [201</w:t>
            </w:r>
            <w:r>
              <w:rPr>
                <w:rFonts w:cs="Times New Roman"/>
                <w:sz w:val="20"/>
                <w:szCs w:val="20"/>
                <w:lang w:val="en-GB"/>
              </w:rPr>
              <w:t>1</w:t>
            </w:r>
            <w:r w:rsidR="00DD0B49" w:rsidRPr="00DD0B49">
              <w:rPr>
                <w:rFonts w:cs="Times New Roman"/>
                <w:sz w:val="20"/>
                <w:szCs w:val="20"/>
                <w:lang w:val="en-GB"/>
              </w:rPr>
              <w:t xml:space="preserve">] 1 R.C.S. </w:t>
            </w:r>
            <w:r w:rsidR="001951EF">
              <w:rPr>
                <w:rFonts w:cs="Times New Roman"/>
                <w:sz w:val="20"/>
                <w:szCs w:val="20"/>
                <w:lang w:val="en-GB"/>
              </w:rPr>
              <w:t>76</w:t>
            </w:r>
          </w:p>
          <w:p w:rsidR="00DD0B49" w:rsidRPr="00DD0B49" w:rsidRDefault="00DD0B49" w:rsidP="003B3977">
            <w:pPr>
              <w:rPr>
                <w:rFonts w:cs="Times New Roman"/>
                <w:sz w:val="20"/>
                <w:szCs w:val="20"/>
                <w:lang w:val="en-GB"/>
              </w:rPr>
            </w:pPr>
          </w:p>
          <w:p w:rsidR="00DD0B49" w:rsidRPr="00DD0B49" w:rsidRDefault="00DD0B49" w:rsidP="003B3977">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sidR="001951EF">
              <w:rPr>
                <w:rFonts w:cs="Times New Roman"/>
                <w:sz w:val="20"/>
                <w:szCs w:val="20"/>
                <w:lang w:val="en-GB"/>
              </w:rPr>
              <w:t>Caron</w:t>
            </w:r>
            <w:r w:rsidRPr="00DD0B49">
              <w:rPr>
                <w:rFonts w:cs="Times New Roman"/>
                <w:sz w:val="20"/>
                <w:szCs w:val="20"/>
                <w:lang w:val="en-GB"/>
              </w:rPr>
              <w:t>,</w:t>
            </w:r>
          </w:p>
          <w:p w:rsidR="00DD0B49" w:rsidRPr="00DD0B49" w:rsidRDefault="00DD098E" w:rsidP="003B3977">
            <w:pPr>
              <w:rPr>
                <w:rFonts w:cs="Times New Roman"/>
                <w:sz w:val="20"/>
                <w:szCs w:val="20"/>
              </w:rPr>
            </w:pPr>
            <w:r>
              <w:rPr>
                <w:rFonts w:cs="Times New Roman"/>
                <w:sz w:val="20"/>
                <w:szCs w:val="20"/>
              </w:rPr>
              <w:t>2011</w:t>
            </w:r>
            <w:r w:rsidR="00DD0B49" w:rsidRPr="00DD0B49">
              <w:rPr>
                <w:rFonts w:cs="Times New Roman"/>
                <w:sz w:val="20"/>
                <w:szCs w:val="20"/>
              </w:rPr>
              <w:t xml:space="preserve"> CSC </w:t>
            </w:r>
            <w:r w:rsidR="001951EF">
              <w:rPr>
                <w:rFonts w:cs="Times New Roman"/>
                <w:sz w:val="20"/>
                <w:szCs w:val="20"/>
              </w:rPr>
              <w:t>5</w:t>
            </w:r>
            <w:r w:rsidR="00DD0B49" w:rsidRPr="00DD0B49">
              <w:rPr>
                <w:rFonts w:cs="Times New Roman"/>
                <w:sz w:val="20"/>
                <w:szCs w:val="20"/>
              </w:rPr>
              <w:t>, [201</w:t>
            </w:r>
            <w:r>
              <w:rPr>
                <w:rFonts w:cs="Times New Roman"/>
                <w:sz w:val="20"/>
                <w:szCs w:val="20"/>
              </w:rPr>
              <w:t>1</w:t>
            </w:r>
            <w:r w:rsidR="00DD0B49" w:rsidRPr="00DD0B49">
              <w:rPr>
                <w:rFonts w:cs="Times New Roman"/>
                <w:sz w:val="20"/>
                <w:szCs w:val="20"/>
              </w:rPr>
              <w:t xml:space="preserve">] 1 R.C.S. </w:t>
            </w:r>
            <w:r w:rsidR="001951EF">
              <w:rPr>
                <w:rFonts w:cs="Times New Roman"/>
                <w:sz w:val="20"/>
                <w:szCs w:val="20"/>
              </w:rPr>
              <w:t>7</w:t>
            </w:r>
            <w:r w:rsidR="00DD0B49" w:rsidRPr="00DD0B49">
              <w:rPr>
                <w:rFonts w:cs="Times New Roman"/>
                <w:sz w:val="20"/>
                <w:szCs w:val="20"/>
              </w:rPr>
              <w:t>8</w:t>
            </w:r>
          </w:p>
          <w:p w:rsidR="00DD0B49" w:rsidRDefault="00DD0B49" w:rsidP="003B3977">
            <w:pPr>
              <w:rPr>
                <w:rFonts w:cs="Times New Roman"/>
                <w:sz w:val="20"/>
                <w:szCs w:val="20"/>
              </w:rPr>
            </w:pPr>
          </w:p>
          <w:p w:rsidR="001951EF" w:rsidRPr="00DD0B49" w:rsidRDefault="001951EF" w:rsidP="001951EF">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c</w:t>
            </w:r>
            <w:r w:rsidRPr="00DD0B49">
              <w:rPr>
                <w:rFonts w:cs="Times New Roman"/>
                <w:sz w:val="20"/>
                <w:szCs w:val="20"/>
                <w:lang w:val="en-GB"/>
              </w:rPr>
              <w:t xml:space="preserve">. </w:t>
            </w:r>
            <w:r>
              <w:rPr>
                <w:rFonts w:cs="Times New Roman"/>
                <w:sz w:val="20"/>
                <w:szCs w:val="20"/>
                <w:lang w:val="en-GB"/>
              </w:rPr>
              <w:t>Miljevic</w:t>
            </w:r>
            <w:r w:rsidRPr="00DD0B49">
              <w:rPr>
                <w:rFonts w:cs="Times New Roman"/>
                <w:sz w:val="20"/>
                <w:szCs w:val="20"/>
                <w:lang w:val="en-GB"/>
              </w:rPr>
              <w:t>,</w:t>
            </w:r>
          </w:p>
          <w:p w:rsidR="001951EF" w:rsidRPr="00DD0B49" w:rsidRDefault="001951EF" w:rsidP="001951EF">
            <w:pPr>
              <w:rPr>
                <w:rFonts w:cs="Times New Roman"/>
                <w:sz w:val="20"/>
                <w:szCs w:val="20"/>
              </w:rPr>
            </w:pPr>
            <w:r>
              <w:rPr>
                <w:rFonts w:cs="Times New Roman"/>
                <w:sz w:val="20"/>
                <w:szCs w:val="20"/>
              </w:rPr>
              <w:t>2011</w:t>
            </w:r>
            <w:r w:rsidRPr="00DD0B49">
              <w:rPr>
                <w:rFonts w:cs="Times New Roman"/>
                <w:sz w:val="20"/>
                <w:szCs w:val="20"/>
              </w:rPr>
              <w:t xml:space="preserve"> CSC </w:t>
            </w:r>
            <w:r>
              <w:rPr>
                <w:rFonts w:cs="Times New Roman"/>
                <w:sz w:val="20"/>
                <w:szCs w:val="20"/>
              </w:rPr>
              <w:t>8</w:t>
            </w:r>
            <w:r w:rsidRPr="00DD0B49">
              <w:rPr>
                <w:rFonts w:cs="Times New Roman"/>
                <w:sz w:val="20"/>
                <w:szCs w:val="20"/>
              </w:rPr>
              <w:t>, [201</w:t>
            </w:r>
            <w:r>
              <w:rPr>
                <w:rFonts w:cs="Times New Roman"/>
                <w:sz w:val="20"/>
                <w:szCs w:val="20"/>
              </w:rPr>
              <w:t>1</w:t>
            </w:r>
            <w:r w:rsidRPr="00DD0B49">
              <w:rPr>
                <w:rFonts w:cs="Times New Roman"/>
                <w:sz w:val="20"/>
                <w:szCs w:val="20"/>
              </w:rPr>
              <w:t xml:space="preserve">] 1 R.C.S. </w:t>
            </w:r>
            <w:r>
              <w:rPr>
                <w:rFonts w:cs="Times New Roman"/>
                <w:sz w:val="20"/>
                <w:szCs w:val="20"/>
              </w:rPr>
              <w:t>203</w:t>
            </w:r>
          </w:p>
          <w:p w:rsidR="001951EF" w:rsidRPr="00DD0B49" w:rsidRDefault="001951EF" w:rsidP="003B3977">
            <w:pPr>
              <w:rPr>
                <w:rFonts w:cs="Times New Roman"/>
                <w:sz w:val="20"/>
                <w:szCs w:val="20"/>
              </w:rPr>
            </w:pPr>
          </w:p>
          <w:p w:rsidR="00DD0B49" w:rsidRPr="00DD0B49" w:rsidRDefault="001951EF" w:rsidP="003B3977">
            <w:pPr>
              <w:rPr>
                <w:rFonts w:cs="Times New Roman"/>
                <w:sz w:val="20"/>
                <w:szCs w:val="20"/>
              </w:rPr>
            </w:pPr>
            <w:r>
              <w:rPr>
                <w:rFonts w:cs="Times New Roman"/>
                <w:sz w:val="20"/>
                <w:szCs w:val="20"/>
              </w:rPr>
              <w:t>Smith</w:t>
            </w:r>
            <w:r w:rsidR="00DD0B49" w:rsidRPr="00DD0B49">
              <w:rPr>
                <w:rFonts w:cs="Times New Roman"/>
                <w:sz w:val="20"/>
                <w:szCs w:val="20"/>
              </w:rPr>
              <w:t xml:space="preserve">. </w:t>
            </w:r>
            <w:r w:rsidR="00DD0B49" w:rsidRPr="00DD0B49">
              <w:rPr>
                <w:rFonts w:cs="Times New Roman"/>
                <w:i/>
                <w:iCs/>
                <w:sz w:val="20"/>
                <w:szCs w:val="20"/>
              </w:rPr>
              <w:t>c.</w:t>
            </w:r>
            <w:r w:rsidR="00DD0B49" w:rsidRPr="00DD0B49">
              <w:rPr>
                <w:rFonts w:cs="Times New Roman"/>
                <w:sz w:val="20"/>
                <w:szCs w:val="20"/>
              </w:rPr>
              <w:t xml:space="preserve"> </w:t>
            </w:r>
            <w:r w:rsidR="007E1832">
              <w:rPr>
                <w:rFonts w:cs="Times New Roman"/>
                <w:sz w:val="20"/>
                <w:szCs w:val="20"/>
              </w:rPr>
              <w:t>Allia</w:t>
            </w:r>
            <w:r w:rsidR="00DD0B49" w:rsidRPr="00DD0B49">
              <w:rPr>
                <w:rFonts w:cs="Times New Roman"/>
                <w:sz w:val="20"/>
                <w:szCs w:val="20"/>
              </w:rPr>
              <w:t>n</w:t>
            </w:r>
            <w:r w:rsidR="007E1832">
              <w:rPr>
                <w:rFonts w:cs="Times New Roman"/>
                <w:sz w:val="20"/>
                <w:szCs w:val="20"/>
              </w:rPr>
              <w:t>ce Pipeline Ltd.</w:t>
            </w:r>
            <w:r w:rsidR="00DD0B49" w:rsidRPr="00DD0B49">
              <w:rPr>
                <w:rFonts w:cs="Times New Roman"/>
                <w:sz w:val="20"/>
                <w:szCs w:val="20"/>
              </w:rPr>
              <w:t>,</w:t>
            </w:r>
          </w:p>
          <w:p w:rsidR="00DD0B49" w:rsidRPr="007E1832" w:rsidRDefault="00DD098E" w:rsidP="003B3977">
            <w:pPr>
              <w:rPr>
                <w:rFonts w:cs="Times New Roman"/>
                <w:sz w:val="20"/>
                <w:szCs w:val="20"/>
                <w:lang w:val="fr-CA"/>
              </w:rPr>
            </w:pPr>
            <w:r w:rsidRPr="007E1832">
              <w:rPr>
                <w:rFonts w:cs="Times New Roman"/>
                <w:sz w:val="20"/>
                <w:szCs w:val="20"/>
                <w:lang w:val="fr-CA"/>
              </w:rPr>
              <w:t>2011</w:t>
            </w:r>
            <w:r w:rsidR="00DD0B49" w:rsidRPr="007E1832">
              <w:rPr>
                <w:rFonts w:cs="Times New Roman"/>
                <w:sz w:val="20"/>
                <w:szCs w:val="20"/>
                <w:lang w:val="fr-CA"/>
              </w:rPr>
              <w:t xml:space="preserve"> CSC </w:t>
            </w:r>
            <w:r w:rsidR="007E1832" w:rsidRPr="007E1832">
              <w:rPr>
                <w:rFonts w:cs="Times New Roman"/>
                <w:sz w:val="20"/>
                <w:szCs w:val="20"/>
                <w:lang w:val="fr-CA"/>
              </w:rPr>
              <w:t>7</w:t>
            </w:r>
            <w:r w:rsidR="00DD0B49" w:rsidRPr="007E1832">
              <w:rPr>
                <w:rFonts w:cs="Times New Roman"/>
                <w:sz w:val="20"/>
                <w:szCs w:val="20"/>
                <w:lang w:val="fr-CA"/>
              </w:rPr>
              <w:t>, [201</w:t>
            </w:r>
            <w:r w:rsidRPr="007E1832">
              <w:rPr>
                <w:rFonts w:cs="Times New Roman"/>
                <w:sz w:val="20"/>
                <w:szCs w:val="20"/>
                <w:lang w:val="fr-CA"/>
              </w:rPr>
              <w:t>1</w:t>
            </w:r>
            <w:r w:rsidR="00DD0B49" w:rsidRPr="007E1832">
              <w:rPr>
                <w:rFonts w:cs="Times New Roman"/>
                <w:sz w:val="20"/>
                <w:szCs w:val="20"/>
                <w:lang w:val="fr-CA"/>
              </w:rPr>
              <w:t>] 1 R.C.S. 1</w:t>
            </w:r>
            <w:r w:rsidR="007E1832" w:rsidRPr="007E1832">
              <w:rPr>
                <w:rFonts w:cs="Times New Roman"/>
                <w:sz w:val="20"/>
                <w:szCs w:val="20"/>
                <w:lang w:val="fr-CA"/>
              </w:rPr>
              <w:t>60</w:t>
            </w:r>
          </w:p>
          <w:p w:rsidR="00DD0B49" w:rsidRPr="007E1832" w:rsidRDefault="00DD0B49" w:rsidP="003B3977">
            <w:pPr>
              <w:rPr>
                <w:rFonts w:cs="Times New Roman"/>
                <w:sz w:val="20"/>
                <w:szCs w:val="20"/>
                <w:lang w:val="fr-CA"/>
              </w:rPr>
            </w:pPr>
          </w:p>
          <w:p w:rsidR="00DD0B49" w:rsidRPr="00DD0B49" w:rsidRDefault="007E1832" w:rsidP="003B3977">
            <w:pPr>
              <w:rPr>
                <w:rFonts w:cs="Times New Roman"/>
                <w:sz w:val="20"/>
                <w:szCs w:val="20"/>
                <w:lang w:val="fr-CA"/>
              </w:rPr>
            </w:pPr>
            <w:r>
              <w:rPr>
                <w:rFonts w:cs="Times New Roman"/>
                <w:sz w:val="20"/>
                <w:szCs w:val="20"/>
                <w:lang w:val="fr-CA"/>
              </w:rPr>
              <w:t>Société Radio-Canada</w:t>
            </w:r>
            <w:r w:rsidR="00DD0B49" w:rsidRPr="00DD0B49">
              <w:rPr>
                <w:rFonts w:cs="Times New Roman"/>
                <w:sz w:val="20"/>
                <w:szCs w:val="20"/>
                <w:lang w:val="fr-CA"/>
              </w:rPr>
              <w:t xml:space="preserve"> </w:t>
            </w:r>
            <w:r w:rsidR="00DD0B49" w:rsidRPr="00DD0B49">
              <w:rPr>
                <w:rFonts w:cs="Times New Roman"/>
                <w:i/>
                <w:iCs/>
                <w:sz w:val="20"/>
                <w:szCs w:val="20"/>
                <w:lang w:val="fr-CA"/>
              </w:rPr>
              <w:t xml:space="preserve">c. </w:t>
            </w:r>
            <w:r>
              <w:rPr>
                <w:rFonts w:cs="Times New Roman"/>
                <w:iCs/>
                <w:sz w:val="20"/>
                <w:szCs w:val="20"/>
                <w:lang w:val="fr-CA"/>
              </w:rPr>
              <w:t>Canada (Procureur général)</w:t>
            </w:r>
            <w:r w:rsidR="00DD0B49" w:rsidRPr="00DD0B49">
              <w:rPr>
                <w:rFonts w:cs="Times New Roman"/>
                <w:iCs/>
                <w:sz w:val="20"/>
                <w:szCs w:val="20"/>
                <w:lang w:val="fr-CA"/>
              </w:rPr>
              <w:t>,</w:t>
            </w:r>
          </w:p>
          <w:p w:rsidR="00DD0B49" w:rsidRPr="00DD0B49" w:rsidRDefault="00DD098E" w:rsidP="003B3977">
            <w:pPr>
              <w:rPr>
                <w:rFonts w:cs="Times New Roman"/>
                <w:sz w:val="20"/>
                <w:szCs w:val="20"/>
                <w:lang w:val="fr-CA"/>
              </w:rPr>
            </w:pPr>
            <w:r>
              <w:rPr>
                <w:rFonts w:cs="Times New Roman"/>
                <w:sz w:val="20"/>
                <w:szCs w:val="20"/>
                <w:lang w:val="fr-CA"/>
              </w:rPr>
              <w:t>2011</w:t>
            </w:r>
            <w:r w:rsidR="00DD0B49" w:rsidRPr="00DD0B49">
              <w:rPr>
                <w:rFonts w:cs="Times New Roman"/>
                <w:sz w:val="20"/>
                <w:szCs w:val="20"/>
                <w:lang w:val="fr-CA"/>
              </w:rPr>
              <w:t xml:space="preserve"> CSC </w:t>
            </w:r>
            <w:r w:rsidR="007E1832">
              <w:rPr>
                <w:rFonts w:cs="Times New Roman"/>
                <w:sz w:val="20"/>
                <w:szCs w:val="20"/>
                <w:lang w:val="fr-CA"/>
              </w:rPr>
              <w:t>2</w:t>
            </w:r>
            <w:r w:rsidR="00DD0B49" w:rsidRPr="00DD0B49">
              <w:rPr>
                <w:rFonts w:cs="Times New Roman"/>
                <w:sz w:val="20"/>
                <w:szCs w:val="20"/>
                <w:lang w:val="fr-CA"/>
              </w:rPr>
              <w:t>, [201</w:t>
            </w:r>
            <w:r>
              <w:rPr>
                <w:rFonts w:cs="Times New Roman"/>
                <w:sz w:val="20"/>
                <w:szCs w:val="20"/>
                <w:lang w:val="fr-CA"/>
              </w:rPr>
              <w:t>1</w:t>
            </w:r>
            <w:r w:rsidR="00DD0B49" w:rsidRPr="00DD0B49">
              <w:rPr>
                <w:rFonts w:cs="Times New Roman"/>
                <w:sz w:val="20"/>
                <w:szCs w:val="20"/>
                <w:lang w:val="fr-CA"/>
              </w:rPr>
              <w:t xml:space="preserve">] 1 R.C.S. </w:t>
            </w:r>
            <w:r w:rsidR="007E1832">
              <w:rPr>
                <w:rFonts w:cs="Times New Roman"/>
                <w:sz w:val="20"/>
                <w:szCs w:val="20"/>
                <w:lang w:val="fr-CA"/>
              </w:rPr>
              <w:t>1</w:t>
            </w:r>
            <w:r w:rsidR="00DD0B49" w:rsidRPr="00DD0B49">
              <w:rPr>
                <w:rFonts w:cs="Times New Roman"/>
                <w:sz w:val="20"/>
                <w:szCs w:val="20"/>
                <w:lang w:val="fr-CA"/>
              </w:rPr>
              <w:t>9</w:t>
            </w:r>
          </w:p>
          <w:p w:rsidR="00DD0B49" w:rsidRDefault="00DD0B49" w:rsidP="003B3977">
            <w:pPr>
              <w:keepNext/>
              <w:keepLines/>
              <w:rPr>
                <w:rFonts w:cs="Times New Roman"/>
                <w:bCs/>
                <w:sz w:val="20"/>
                <w:szCs w:val="20"/>
                <w:lang w:val="fr-CA"/>
              </w:rPr>
            </w:pPr>
          </w:p>
          <w:p w:rsidR="007E1832" w:rsidRPr="00DD0B49" w:rsidRDefault="007E1832" w:rsidP="007E1832">
            <w:pPr>
              <w:rPr>
                <w:rFonts w:cs="Times New Roman"/>
                <w:sz w:val="20"/>
                <w:szCs w:val="20"/>
                <w:lang w:val="fr-CA"/>
              </w:rPr>
            </w:pPr>
            <w:r>
              <w:rPr>
                <w:rFonts w:cs="Times New Roman"/>
                <w:sz w:val="20"/>
                <w:szCs w:val="20"/>
                <w:lang w:val="fr-CA"/>
              </w:rPr>
              <w:t>Société Radio-Canada</w:t>
            </w:r>
            <w:r w:rsidRPr="00DD0B49">
              <w:rPr>
                <w:rFonts w:cs="Times New Roman"/>
                <w:sz w:val="20"/>
                <w:szCs w:val="20"/>
                <w:lang w:val="fr-CA"/>
              </w:rPr>
              <w:t xml:space="preserve"> </w:t>
            </w:r>
            <w:r w:rsidRPr="00DD0B49">
              <w:rPr>
                <w:rFonts w:cs="Times New Roman"/>
                <w:i/>
                <w:iCs/>
                <w:sz w:val="20"/>
                <w:szCs w:val="20"/>
                <w:lang w:val="fr-CA"/>
              </w:rPr>
              <w:t xml:space="preserve">c. </w:t>
            </w:r>
            <w:r>
              <w:rPr>
                <w:rFonts w:cs="Times New Roman"/>
                <w:iCs/>
                <w:sz w:val="20"/>
                <w:szCs w:val="20"/>
                <w:lang w:val="fr-CA"/>
              </w:rPr>
              <w:t>La Reine</w:t>
            </w:r>
            <w:r w:rsidRPr="00DD0B49">
              <w:rPr>
                <w:rFonts w:cs="Times New Roman"/>
                <w:iCs/>
                <w:sz w:val="20"/>
                <w:szCs w:val="20"/>
                <w:lang w:val="fr-CA"/>
              </w:rPr>
              <w:t>,</w:t>
            </w:r>
          </w:p>
          <w:p w:rsidR="007E1832" w:rsidRPr="00DD0B49" w:rsidRDefault="007E1832" w:rsidP="007E1832">
            <w:pPr>
              <w:rPr>
                <w:rFonts w:cs="Times New Roman"/>
                <w:sz w:val="20"/>
                <w:szCs w:val="20"/>
                <w:lang w:val="fr-CA"/>
              </w:rPr>
            </w:pPr>
            <w:r>
              <w:rPr>
                <w:rFonts w:cs="Times New Roman"/>
                <w:sz w:val="20"/>
                <w:szCs w:val="20"/>
                <w:lang w:val="fr-CA"/>
              </w:rPr>
              <w:t>2011</w:t>
            </w:r>
            <w:r w:rsidRPr="00DD0B49">
              <w:rPr>
                <w:rFonts w:cs="Times New Roman"/>
                <w:sz w:val="20"/>
                <w:szCs w:val="20"/>
                <w:lang w:val="fr-CA"/>
              </w:rPr>
              <w:t xml:space="preserve"> CSC </w:t>
            </w:r>
            <w:r>
              <w:rPr>
                <w:rFonts w:cs="Times New Roman"/>
                <w:sz w:val="20"/>
                <w:szCs w:val="20"/>
                <w:lang w:val="fr-CA"/>
              </w:rPr>
              <w:t>3</w:t>
            </w:r>
            <w:r w:rsidRPr="00DD0B49">
              <w:rPr>
                <w:rFonts w:cs="Times New Roman"/>
                <w:sz w:val="20"/>
                <w:szCs w:val="20"/>
                <w:lang w:val="fr-CA"/>
              </w:rPr>
              <w:t>, [201</w:t>
            </w:r>
            <w:r>
              <w:rPr>
                <w:rFonts w:cs="Times New Roman"/>
                <w:sz w:val="20"/>
                <w:szCs w:val="20"/>
                <w:lang w:val="fr-CA"/>
              </w:rPr>
              <w:t>1</w:t>
            </w:r>
            <w:r w:rsidRPr="00DD0B49">
              <w:rPr>
                <w:rFonts w:cs="Times New Roman"/>
                <w:sz w:val="20"/>
                <w:szCs w:val="20"/>
                <w:lang w:val="fr-CA"/>
              </w:rPr>
              <w:t xml:space="preserve">] 1 R.C.S. </w:t>
            </w:r>
            <w:r>
              <w:rPr>
                <w:rFonts w:cs="Times New Roman"/>
                <w:sz w:val="20"/>
                <w:szCs w:val="20"/>
                <w:lang w:val="fr-CA"/>
              </w:rPr>
              <w:t>65</w:t>
            </w:r>
          </w:p>
          <w:p w:rsidR="007E1832" w:rsidRPr="00DD0B49" w:rsidRDefault="007E1832" w:rsidP="003B3977">
            <w:pPr>
              <w:keepNext/>
              <w:keepLines/>
              <w:rPr>
                <w:rFonts w:cs="Times New Roman"/>
                <w:bCs/>
                <w:sz w:val="20"/>
                <w:szCs w:val="20"/>
                <w:lang w:val="fr-CA"/>
              </w:rPr>
            </w:pPr>
          </w:p>
          <w:p w:rsidR="00DD0B49" w:rsidRPr="00DD0B49" w:rsidRDefault="00AB3236" w:rsidP="003B3977">
            <w:pPr>
              <w:rPr>
                <w:rFonts w:cs="Times New Roman"/>
                <w:sz w:val="20"/>
                <w:szCs w:val="20"/>
              </w:rPr>
            </w:pPr>
            <w:r w:rsidRPr="00AB3236">
              <w:rPr>
                <w:rFonts w:cs="Times New Roman"/>
                <w:sz w:val="20"/>
                <w:szCs w:val="20"/>
              </w:rPr>
              <w:pict>
                <v:rect id="_x0000_i1085" style="width:129.6pt;height:1pt" o:hrpct="600" o:hralign="center" o:hrstd="t" o:hrnoshade="t" o:hr="t" fillcolor="black [3213]" stroked="f"/>
              </w:pict>
            </w:r>
          </w:p>
          <w:p w:rsidR="00DD0B49" w:rsidRPr="00DD0B49" w:rsidRDefault="00DD0B49" w:rsidP="003B3977">
            <w:pPr>
              <w:keepNext/>
              <w:keepLines/>
              <w:rPr>
                <w:rFonts w:cs="Times New Roman"/>
                <w:bCs/>
                <w:sz w:val="20"/>
                <w:szCs w:val="20"/>
                <w:lang w:val="fr-CA"/>
              </w:rPr>
            </w:pPr>
          </w:p>
        </w:tc>
      </w:tr>
    </w:tbl>
    <w:p w:rsidR="00DD0B49" w:rsidRDefault="00DD0B49" w:rsidP="006B6926">
      <w:pPr>
        <w:rPr>
          <w:sz w:val="20"/>
          <w:szCs w:val="20"/>
          <w:lang w:val="fr-CA"/>
        </w:rPr>
      </w:pPr>
    </w:p>
    <w:p w:rsidR="00DD0B49" w:rsidRDefault="00DD0B49" w:rsidP="006B6926">
      <w:pPr>
        <w:rPr>
          <w:sz w:val="20"/>
          <w:szCs w:val="20"/>
          <w:lang w:val="fr-CA"/>
        </w:rPr>
      </w:pPr>
    </w:p>
    <w:p w:rsidR="00DD0B49" w:rsidRPr="00C50A5C" w:rsidRDefault="00DD0B49" w:rsidP="006B6926">
      <w:pPr>
        <w:rPr>
          <w:sz w:val="20"/>
          <w:szCs w:val="20"/>
          <w:lang w:val="fr-CA"/>
        </w:rPr>
      </w:pPr>
    </w:p>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0"/>
          <w:footerReference w:type="default" r:id="rId41"/>
          <w:headerReference w:type="first" r:id="rId42"/>
          <w:footerReference w:type="first" r:id="rId43"/>
          <w:pgSz w:w="12240" w:h="15840"/>
          <w:pgMar w:top="720" w:right="965" w:bottom="1080" w:left="1656" w:header="720" w:footer="965" w:gutter="0"/>
          <w:cols w:space="720"/>
          <w:titlePg/>
          <w:docGrid w:linePitch="326"/>
        </w:sectPr>
      </w:pPr>
    </w:p>
    <w:p w:rsidR="00924065" w:rsidRPr="00DE5525" w:rsidRDefault="00AB3236"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4"/>
      <w:footerReference w:type="default" r:id="rId4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BE" w:rsidRDefault="001914BE" w:rsidP="00A87207">
      <w:r>
        <w:separator/>
      </w:r>
    </w:p>
  </w:endnote>
  <w:endnote w:type="continuationSeparator" w:id="0">
    <w:p w:rsidR="001914BE" w:rsidRDefault="001914B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pPr>
      <w:pStyle w:val="Footer"/>
      <w:rPr>
        <w:lang w:val="fr-CA"/>
      </w:rPr>
    </w:pPr>
    <w:r w:rsidRPr="00AB3236">
      <w:rPr>
        <w:lang w:val="fr-CA"/>
      </w:rPr>
      <w:pict>
        <v:rect id="_x0000_i1071" style="width:480.95pt;height:1pt" o:hralign="center" o:hrstd="t" o:hrnoshade="t" o:hr="t" fillcolor="black [3213]" stroked="f"/>
      </w:pict>
    </w:r>
  </w:p>
  <w:p w:rsidR="001914BE" w:rsidRDefault="001914BE" w:rsidP="00245129">
    <w:pPr>
      <w:tabs>
        <w:tab w:val="center" w:pos="4680"/>
      </w:tabs>
    </w:pPr>
    <w:r>
      <w:tab/>
    </w:r>
    <w:r w:rsidRPr="0009648D">
      <w:t xml:space="preserve">- </w:t>
    </w:r>
    <w:fldSimple w:instr=" PAGE   \* MERGEFORMAT ">
      <w:r w:rsidR="00613D68">
        <w:rPr>
          <w:noProof/>
        </w:rPr>
        <w:t>1000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14BE"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14BE" w:rsidRDefault="001914B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sidP="00755F22">
    <w:pPr>
      <w:tabs>
        <w:tab w:val="left" w:pos="-1440"/>
        <w:tab w:val="left" w:pos="-720"/>
      </w:tabs>
    </w:pPr>
    <w:r>
      <w:pict>
        <v:rect id="_x0000_i1078" style="width:480.95pt;height:1pt" o:hralign="center" o:hrstd="t" o:hrnoshade="t" o:hr="t" fillcolor="black [3213]" stroked="f"/>
      </w:pict>
    </w:r>
  </w:p>
  <w:p w:rsidR="001914BE" w:rsidRDefault="001914BE" w:rsidP="00EB2B90">
    <w:pPr>
      <w:tabs>
        <w:tab w:val="center" w:pos="4680"/>
      </w:tabs>
    </w:pPr>
    <w:r>
      <w:tab/>
      <w:t xml:space="preserve">- </w:t>
    </w:r>
    <w:fldSimple w:instr=" PAGE   \* MERGEFORMAT ">
      <w:r w:rsidR="00613D68">
        <w:rPr>
          <w:noProof/>
        </w:rPr>
        <w:t>1037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sidP="00EB2B90">
    <w:pPr>
      <w:tabs>
        <w:tab w:val="center" w:pos="4680"/>
      </w:tabs>
    </w:pPr>
    <w:r>
      <w:pict>
        <v:rect id="_x0000_i1079" style="width:480.95pt;height:1pt" o:hralign="center" o:hrstd="t" o:hrnoshade="t" o:hr="t" fillcolor="black [3213]" stroked="f"/>
      </w:pict>
    </w:r>
  </w:p>
  <w:p w:rsidR="001914BE" w:rsidRPr="0031432F" w:rsidRDefault="001914BE" w:rsidP="00EB2B90">
    <w:pPr>
      <w:tabs>
        <w:tab w:val="center" w:pos="4680"/>
      </w:tabs>
    </w:pPr>
    <w:r>
      <w:tab/>
      <w:t xml:space="preserve">- </w:t>
    </w:r>
    <w:fldSimple w:instr=" PAGE   \* MERGEFORMAT ">
      <w:r w:rsidR="00613D68">
        <w:rPr>
          <w:noProof/>
        </w:rPr>
        <w:t>1035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14BE"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14BE" w:rsidRDefault="001914B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sidP="00245129">
    <w:pPr>
      <w:tabs>
        <w:tab w:val="center" w:pos="4740"/>
      </w:tabs>
    </w:pPr>
    <w:r w:rsidRPr="00AB3236">
      <w:rPr>
        <w:lang w:val="fr-CA"/>
      </w:rPr>
      <w:pict>
        <v:rect id="_x0000_i1082" style="width:480.95pt;height:1pt" o:hralign="center" o:hrstd="t" o:hrnoshade="t" o:hr="t" fillcolor="black [3213]" stroked="f"/>
      </w:pict>
    </w:r>
  </w:p>
  <w:p w:rsidR="001914BE" w:rsidRDefault="001914BE" w:rsidP="00096BD9">
    <w:pPr>
      <w:tabs>
        <w:tab w:val="center" w:pos="4680"/>
      </w:tabs>
    </w:pPr>
    <w:r>
      <w:tab/>
      <w:t xml:space="preserve">- </w:t>
    </w:r>
    <w:fldSimple w:instr=" PAGE   \* MERGEFORMAT ">
      <w:r>
        <w:rPr>
          <w:noProof/>
        </w:rPr>
        <w:t>520</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pPr>
      <w:pStyle w:val="Footer"/>
      <w:rPr>
        <w:lang w:val="fr-CA"/>
      </w:rPr>
    </w:pPr>
    <w:r w:rsidRPr="00AB3236">
      <w:rPr>
        <w:lang w:val="fr-CA"/>
      </w:rPr>
      <w:pict>
        <v:rect id="_x0000_i1083" style="width:480.95pt;height:1pt" o:hralign="center" o:hrstd="t" o:hrnoshade="t" o:hr="t" fillcolor="black [3213]" stroked="f"/>
      </w:pict>
    </w:r>
  </w:p>
  <w:p w:rsidR="001914BE" w:rsidRDefault="001914BE" w:rsidP="00096BD9">
    <w:pPr>
      <w:tabs>
        <w:tab w:val="center" w:pos="4680"/>
      </w:tabs>
    </w:pPr>
    <w:r>
      <w:tab/>
      <w:t xml:space="preserve">- </w:t>
    </w:r>
    <w:fldSimple w:instr=" PAGE   \* MERGEFORMAT ">
      <w:r w:rsidR="00613D68">
        <w:rPr>
          <w:noProof/>
        </w:rPr>
        <w:t>1038</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 w:rsidRPr="00AB3236">
      <w:rPr>
        <w:lang w:val="fr-CA"/>
      </w:rPr>
      <w:pict>
        <v:rect id="_x0000_i1086" style="width:480.95pt;height:1pt" o:hralign="center" o:hrstd="t" o:hrnoshade="t" o:hr="t" fillcolor="black [3213]" stroked="f"/>
      </w:pict>
    </w:r>
  </w:p>
  <w:p w:rsidR="001914BE" w:rsidRDefault="001914BE" w:rsidP="006B6926">
    <w:pPr>
      <w:tabs>
        <w:tab w:val="center" w:pos="4680"/>
      </w:tabs>
    </w:pPr>
    <w:r>
      <w:tab/>
      <w:t xml:space="preserve">- </w:t>
    </w:r>
    <w:fldSimple w:instr="PAGE ">
      <w:r>
        <w:rPr>
          <w:noProof/>
        </w:rPr>
        <w:t>540</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sidP="006B6926">
    <w:pPr>
      <w:tabs>
        <w:tab w:val="center" w:pos="4680"/>
      </w:tabs>
      <w:rPr>
        <w:lang w:val="fr-CA"/>
      </w:rPr>
    </w:pPr>
    <w:r w:rsidRPr="00AB3236">
      <w:rPr>
        <w:lang w:val="fr-CA"/>
      </w:rPr>
      <w:pict>
        <v:rect id="_x0000_i1087" style="width:480.95pt;height:1pt" o:hralign="center" o:hrstd="t" o:hrnoshade="t" o:hr="t" fillcolor="black [3213]" stroked="f"/>
      </w:pict>
    </w:r>
  </w:p>
  <w:p w:rsidR="001914BE" w:rsidRDefault="001914BE" w:rsidP="006B6926">
    <w:pPr>
      <w:tabs>
        <w:tab w:val="center" w:pos="4680"/>
      </w:tabs>
    </w:pPr>
    <w:r>
      <w:tab/>
      <w:t xml:space="preserve">- </w:t>
    </w:r>
    <w:fldSimple w:instr="PAGE ">
      <w:r w:rsidR="00613D68">
        <w:rPr>
          <w:noProof/>
        </w:rPr>
        <w:t>1039</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Pr="00924065" w:rsidRDefault="001914BE"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sidP="00A87207">
    <w:pPr>
      <w:pStyle w:val="Footer"/>
    </w:pPr>
    <w:r>
      <w:pict>
        <v:rect id="_x0000_i1027" style="width:480.95pt;height:1pt" o:hralign="center" o:hrstd="t" o:hrnoshade="t" o:hr="t" fillcolor="black [3213]" stroked="f"/>
      </w:pict>
    </w:r>
  </w:p>
  <w:p w:rsidR="001914BE" w:rsidRPr="00B7374B" w:rsidRDefault="001914BE" w:rsidP="00B7374B">
    <w:pPr>
      <w:tabs>
        <w:tab w:val="center" w:pos="4680"/>
      </w:tabs>
      <w:rPr>
        <w:szCs w:val="24"/>
      </w:rPr>
    </w:pPr>
    <w:r w:rsidRPr="00954D22">
      <w:rPr>
        <w:szCs w:val="24"/>
      </w:rPr>
      <w:tab/>
      <w:t xml:space="preserve">- </w:t>
    </w:r>
    <w:r w:rsidR="00AB3236" w:rsidRPr="00954D22">
      <w:rPr>
        <w:szCs w:val="24"/>
      </w:rPr>
      <w:fldChar w:fldCharType="begin"/>
    </w:r>
    <w:r w:rsidRPr="00954D22">
      <w:rPr>
        <w:szCs w:val="24"/>
      </w:rPr>
      <w:instrText xml:space="preserve"> PAGE   \* MERGEFORMAT </w:instrText>
    </w:r>
    <w:r w:rsidR="00AB3236" w:rsidRPr="00954D22">
      <w:rPr>
        <w:szCs w:val="24"/>
      </w:rPr>
      <w:fldChar w:fldCharType="separate"/>
    </w:r>
    <w:r>
      <w:rPr>
        <w:noProof/>
        <w:szCs w:val="24"/>
      </w:rPr>
      <w:t>501</w:t>
    </w:r>
    <w:r w:rsidR="00AB323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sidP="00755F22">
    <w:pPr>
      <w:tabs>
        <w:tab w:val="left" w:pos="-1440"/>
        <w:tab w:val="left" w:pos="-720"/>
      </w:tabs>
    </w:pPr>
    <w:r>
      <w:pict>
        <v:rect id="_x0000_i1028" style="width:480.95pt;height:1pt" o:hralign="center" o:hrstd="t" o:hrnoshade="t" o:hr="t" fillcolor="black [3213]" stroked="f"/>
      </w:pict>
    </w:r>
  </w:p>
  <w:p w:rsidR="001914BE" w:rsidRPr="00954D22" w:rsidRDefault="001914BE" w:rsidP="00B7374B">
    <w:pPr>
      <w:tabs>
        <w:tab w:val="center" w:pos="4680"/>
      </w:tabs>
      <w:rPr>
        <w:szCs w:val="24"/>
      </w:rPr>
    </w:pPr>
    <w:r w:rsidRPr="00954D22">
      <w:rPr>
        <w:szCs w:val="24"/>
      </w:rPr>
      <w:tab/>
      <w:t xml:space="preserve">- </w:t>
    </w:r>
    <w:r w:rsidR="00AB3236">
      <w:rPr>
        <w:szCs w:val="24"/>
      </w:rPr>
      <w:fldChar w:fldCharType="begin"/>
    </w:r>
    <w:r>
      <w:rPr>
        <w:szCs w:val="24"/>
      </w:rPr>
      <w:instrText xml:space="preserve"> PAGE   \* MERGEFORMAT </w:instrText>
    </w:r>
    <w:r w:rsidR="00AB3236">
      <w:rPr>
        <w:szCs w:val="24"/>
      </w:rPr>
      <w:fldChar w:fldCharType="separate"/>
    </w:r>
    <w:r w:rsidR="00613D68">
      <w:rPr>
        <w:noProof/>
        <w:szCs w:val="24"/>
      </w:rPr>
      <w:t>998</w:t>
    </w:r>
    <w:r w:rsidR="00AB3236">
      <w:rPr>
        <w:szCs w:val="24"/>
      </w:rPr>
      <w:fldChar w:fldCharType="end"/>
    </w:r>
    <w:r w:rsidRPr="00954D22">
      <w:rPr>
        <w:szCs w:val="24"/>
      </w:rPr>
      <w:t xml:space="preserve"> -</w:t>
    </w:r>
  </w:p>
  <w:p w:rsidR="001914BE" w:rsidRDefault="001914B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sidP="00A87207">
    <w:pPr>
      <w:pStyle w:val="Footer"/>
    </w:pPr>
    <w:r>
      <w:pict>
        <v:rect id="_x0000_i1030" style="width:480.95pt;height:1pt" o:hralign="center" o:hrstd="t" o:hrnoshade="t" o:hr="t" fillcolor="black [3213]" stroked="f"/>
      </w:pict>
    </w:r>
  </w:p>
  <w:p w:rsidR="001914BE" w:rsidRPr="00B7374B" w:rsidRDefault="001914BE" w:rsidP="00B7374B">
    <w:pPr>
      <w:tabs>
        <w:tab w:val="center" w:pos="4680"/>
      </w:tabs>
      <w:rPr>
        <w:szCs w:val="24"/>
      </w:rPr>
    </w:pPr>
    <w:r w:rsidRPr="00954D22">
      <w:rPr>
        <w:szCs w:val="24"/>
      </w:rPr>
      <w:tab/>
      <w:t xml:space="preserve">- </w:t>
    </w:r>
    <w:r w:rsidR="00AB3236" w:rsidRPr="00954D22">
      <w:rPr>
        <w:szCs w:val="24"/>
      </w:rPr>
      <w:fldChar w:fldCharType="begin"/>
    </w:r>
    <w:r w:rsidRPr="00954D22">
      <w:rPr>
        <w:szCs w:val="24"/>
      </w:rPr>
      <w:instrText xml:space="preserve"> PAGE   \* MERGEFORMAT </w:instrText>
    </w:r>
    <w:r w:rsidR="00AB3236" w:rsidRPr="00954D22">
      <w:rPr>
        <w:szCs w:val="24"/>
      </w:rPr>
      <w:fldChar w:fldCharType="separate"/>
    </w:r>
    <w:r>
      <w:rPr>
        <w:noProof/>
        <w:szCs w:val="24"/>
      </w:rPr>
      <w:t>503</w:t>
    </w:r>
    <w:r w:rsidR="00AB323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1914BE" w:rsidRPr="00954D22" w:rsidRDefault="001914BE" w:rsidP="00B7374B">
    <w:pPr>
      <w:tabs>
        <w:tab w:val="center" w:pos="4680"/>
      </w:tabs>
      <w:rPr>
        <w:szCs w:val="24"/>
      </w:rPr>
    </w:pPr>
    <w:r w:rsidRPr="00954D22">
      <w:rPr>
        <w:szCs w:val="24"/>
      </w:rPr>
      <w:tab/>
      <w:t xml:space="preserve">- </w:t>
    </w:r>
    <w:r w:rsidR="00AB3236" w:rsidRPr="00954D22">
      <w:rPr>
        <w:szCs w:val="24"/>
      </w:rPr>
      <w:fldChar w:fldCharType="begin"/>
    </w:r>
    <w:r w:rsidRPr="00954D22">
      <w:rPr>
        <w:szCs w:val="24"/>
      </w:rPr>
      <w:instrText xml:space="preserve"> PAGE   \* MERGEFORMAT </w:instrText>
    </w:r>
    <w:r w:rsidR="00AB3236" w:rsidRPr="00954D22">
      <w:rPr>
        <w:szCs w:val="24"/>
      </w:rPr>
      <w:fldChar w:fldCharType="separate"/>
    </w:r>
    <w:r w:rsidR="00613D68">
      <w:rPr>
        <w:noProof/>
        <w:szCs w:val="24"/>
      </w:rPr>
      <w:t>999</w:t>
    </w:r>
    <w:r w:rsidR="00AB323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914BE"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14BE" w:rsidRDefault="001914B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AB32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B3236">
      <w:rPr>
        <w:lang w:val="fr-CA"/>
      </w:rPr>
      <w:pict>
        <v:rect id="_x0000_i1070" style="width:480.95pt;height:1pt" o:hralign="center" o:hrstd="t" o:hrnoshade="t" o:hr="t" fillcolor="black [3213]" stroked="f"/>
      </w:pict>
    </w:r>
  </w:p>
  <w:p w:rsidR="001914BE" w:rsidRPr="0009648D" w:rsidRDefault="001914BE" w:rsidP="00ED7E83">
    <w:pPr>
      <w:tabs>
        <w:tab w:val="center" w:pos="4680"/>
      </w:tabs>
    </w:pPr>
    <w:r>
      <w:tab/>
    </w:r>
    <w:r w:rsidRPr="0009648D">
      <w:t xml:space="preserve">- </w:t>
    </w:r>
    <w:fldSimple w:instr=" PAGE   \* MERGEFORMAT ">
      <w:r w:rsidR="00613D68">
        <w:rPr>
          <w:noProof/>
        </w:rPr>
        <w:t>1034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BE" w:rsidRDefault="001914BE" w:rsidP="00A87207">
      <w:r>
        <w:separator/>
      </w:r>
    </w:p>
  </w:footnote>
  <w:footnote w:type="continuationSeparator" w:id="0">
    <w:p w:rsidR="001914BE" w:rsidRDefault="001914B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914BE">
      <w:tc>
        <w:tcPr>
          <w:tcW w:w="4230" w:type="dxa"/>
          <w:tcMar>
            <w:left w:w="0" w:type="dxa"/>
            <w:right w:w="0" w:type="dxa"/>
          </w:tcMar>
        </w:tcPr>
        <w:p w:rsidR="001914BE" w:rsidRDefault="001914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914BE" w:rsidRDefault="001914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914BE" w:rsidRDefault="001914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914BE">
      <w:trPr>
        <w:gridAfter w:val="2"/>
        <w:wAfter w:w="5250" w:type="dxa"/>
      </w:trPr>
      <w:tc>
        <w:tcPr>
          <w:tcW w:w="4230" w:type="dxa"/>
          <w:tcMar>
            <w:left w:w="0" w:type="dxa"/>
            <w:right w:w="0" w:type="dxa"/>
          </w:tcMar>
        </w:tcPr>
        <w:p w:rsidR="001914BE"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914BE"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914BE" w:rsidRPr="00755F22" w:rsidTr="00245129">
      <w:tc>
        <w:tcPr>
          <w:tcW w:w="4230" w:type="dxa"/>
          <w:tcMar>
            <w:left w:w="0" w:type="dxa"/>
            <w:right w:w="0" w:type="dxa"/>
          </w:tcMar>
        </w:tcPr>
        <w:p w:rsidR="001914BE" w:rsidRPr="00755F22" w:rsidRDefault="001914BE" w:rsidP="00831CA9">
          <w:pPr>
            <w:keepNext/>
            <w:keepLines/>
            <w:rPr>
              <w:sz w:val="20"/>
              <w:szCs w:val="20"/>
            </w:rPr>
          </w:pPr>
          <w:r w:rsidRPr="00755F22">
            <w:rPr>
              <w:sz w:val="20"/>
              <w:szCs w:val="20"/>
            </w:rPr>
            <w:t>MOTIONS</w:t>
          </w:r>
        </w:p>
      </w:tc>
      <w:tc>
        <w:tcPr>
          <w:tcW w:w="1170" w:type="dxa"/>
          <w:tcMar>
            <w:left w:w="0" w:type="dxa"/>
            <w:right w:w="0" w:type="dxa"/>
          </w:tcMar>
        </w:tcPr>
        <w:p w:rsidR="001914BE" w:rsidRPr="00755F22" w:rsidRDefault="001914BE" w:rsidP="00831CA9">
          <w:pPr>
            <w:keepLines/>
            <w:jc w:val="center"/>
            <w:rPr>
              <w:sz w:val="20"/>
              <w:szCs w:val="20"/>
            </w:rPr>
          </w:pPr>
        </w:p>
        <w:p w:rsidR="001914BE" w:rsidRPr="00755F22" w:rsidRDefault="001914BE" w:rsidP="00831CA9">
          <w:pPr>
            <w:keepLines/>
            <w:tabs>
              <w:tab w:val="left" w:pos="-1440"/>
              <w:tab w:val="left" w:pos="-720"/>
            </w:tabs>
            <w:jc w:val="center"/>
            <w:rPr>
              <w:sz w:val="20"/>
              <w:szCs w:val="20"/>
            </w:rPr>
          </w:pPr>
        </w:p>
      </w:tc>
      <w:tc>
        <w:tcPr>
          <w:tcW w:w="4080" w:type="dxa"/>
          <w:tcMar>
            <w:left w:w="0" w:type="dxa"/>
            <w:right w:w="0" w:type="dxa"/>
          </w:tcMar>
        </w:tcPr>
        <w:p w:rsidR="001914BE" w:rsidRPr="00BA6468" w:rsidRDefault="001914BE" w:rsidP="00BA6468">
          <w:pPr>
            <w:keepLines/>
            <w:rPr>
              <w:sz w:val="20"/>
              <w:szCs w:val="20"/>
              <w:lang w:val="fr-CA"/>
            </w:rPr>
          </w:pPr>
          <w:r w:rsidRPr="00BA6468">
            <w:rPr>
              <w:sz w:val="20"/>
              <w:szCs w:val="20"/>
              <w:lang w:val="fr-CA"/>
            </w:rPr>
            <w:t>REQUÊTES</w:t>
          </w:r>
        </w:p>
      </w:tc>
    </w:tr>
  </w:tbl>
  <w:p w:rsidR="001914BE" w:rsidRDefault="001914B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914BE" w:rsidRPr="00A77989">
      <w:tc>
        <w:tcPr>
          <w:tcW w:w="4200" w:type="dxa"/>
          <w:tcMar>
            <w:left w:w="0" w:type="dxa"/>
            <w:right w:w="0" w:type="dxa"/>
          </w:tcMar>
        </w:tcPr>
        <w:p w:rsidR="001914BE" w:rsidRDefault="001914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1914BE" w:rsidRDefault="001914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1914BE" w:rsidRPr="004D47AC" w:rsidRDefault="001914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1914BE" w:rsidRPr="004D47AC"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914BE" w:rsidRPr="004D47AC"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914BE" w:rsidRPr="00A77989" w:rsidTr="00245129">
      <w:tc>
        <w:tcPr>
          <w:tcW w:w="4200" w:type="dxa"/>
          <w:tcMar>
            <w:left w:w="0" w:type="dxa"/>
            <w:right w:w="0" w:type="dxa"/>
          </w:tcMar>
        </w:tcPr>
        <w:p w:rsidR="001914BE" w:rsidRPr="00B4740D" w:rsidRDefault="001914BE" w:rsidP="00096BD9">
          <w:pPr>
            <w:rPr>
              <w:sz w:val="20"/>
              <w:szCs w:val="20"/>
            </w:rPr>
          </w:pPr>
          <w:r w:rsidRPr="00B4740D">
            <w:rPr>
              <w:sz w:val="20"/>
              <w:szCs w:val="20"/>
            </w:rPr>
            <w:t>NOTICES OF INTERVENTION FILED SINCE LAST ISSUE</w:t>
          </w:r>
        </w:p>
      </w:tc>
      <w:tc>
        <w:tcPr>
          <w:tcW w:w="1200" w:type="dxa"/>
          <w:tcMar>
            <w:left w:w="0" w:type="dxa"/>
            <w:right w:w="0" w:type="dxa"/>
          </w:tcMar>
        </w:tcPr>
        <w:p w:rsidR="001914BE" w:rsidRPr="00B4740D" w:rsidRDefault="001914BE" w:rsidP="00096BD9">
          <w:pPr>
            <w:jc w:val="center"/>
            <w:rPr>
              <w:sz w:val="20"/>
              <w:szCs w:val="20"/>
            </w:rPr>
          </w:pPr>
        </w:p>
        <w:p w:rsidR="001914BE" w:rsidRPr="00B4740D" w:rsidRDefault="001914BE" w:rsidP="00096BD9">
          <w:pPr>
            <w:jc w:val="center"/>
            <w:rPr>
              <w:sz w:val="20"/>
              <w:szCs w:val="20"/>
            </w:rPr>
          </w:pPr>
        </w:p>
        <w:p w:rsidR="001914BE" w:rsidRPr="00B4740D" w:rsidRDefault="001914BE" w:rsidP="00096BD9">
          <w:pPr>
            <w:jc w:val="center"/>
            <w:rPr>
              <w:sz w:val="20"/>
              <w:szCs w:val="20"/>
            </w:rPr>
          </w:pPr>
        </w:p>
      </w:tc>
      <w:tc>
        <w:tcPr>
          <w:tcW w:w="4080" w:type="dxa"/>
          <w:tcMar>
            <w:left w:w="0" w:type="dxa"/>
            <w:right w:w="0" w:type="dxa"/>
          </w:tcMar>
        </w:tcPr>
        <w:p w:rsidR="001914BE" w:rsidRPr="00B4740D" w:rsidRDefault="001914BE" w:rsidP="00096BD9">
          <w:pPr>
            <w:rPr>
              <w:sz w:val="20"/>
              <w:szCs w:val="20"/>
              <w:lang w:val="fr-CA"/>
            </w:rPr>
          </w:pPr>
          <w:r w:rsidRPr="00B4740D">
            <w:rPr>
              <w:sz w:val="20"/>
              <w:szCs w:val="20"/>
              <w:lang w:val="fr-CA"/>
            </w:rPr>
            <w:t>AVIS D’INTERVENTION DÉPOSÉS DEPUIS LA DERNIÈRE PARUTION</w:t>
          </w:r>
        </w:p>
      </w:tc>
    </w:tr>
  </w:tbl>
  <w:p w:rsidR="001914BE" w:rsidRPr="004D47AC" w:rsidRDefault="001914BE"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1914BE" w:rsidRPr="00A77989" w:rsidTr="00245129">
      <w:tc>
        <w:tcPr>
          <w:tcW w:w="4320" w:type="dxa"/>
        </w:tcPr>
        <w:p w:rsidR="001914BE" w:rsidRPr="006B6926" w:rsidRDefault="001914BE" w:rsidP="006B6926">
          <w:pPr>
            <w:keepNext/>
            <w:keepLines/>
            <w:rPr>
              <w:bCs/>
              <w:sz w:val="20"/>
              <w:szCs w:val="20"/>
              <w:lang w:val="en-GB"/>
            </w:rPr>
          </w:pPr>
          <w:r w:rsidRPr="006B6926">
            <w:rPr>
              <w:bCs/>
              <w:sz w:val="20"/>
              <w:szCs w:val="20"/>
              <w:lang w:val="en-GB"/>
            </w:rPr>
            <w:t>SUPREME COURT REPORTS</w:t>
          </w:r>
        </w:p>
      </w:tc>
      <w:tc>
        <w:tcPr>
          <w:tcW w:w="840" w:type="dxa"/>
        </w:tcPr>
        <w:p w:rsidR="001914BE" w:rsidRDefault="001914BE" w:rsidP="006B6926">
          <w:pPr>
            <w:jc w:val="center"/>
            <w:rPr>
              <w:bCs/>
              <w:sz w:val="20"/>
              <w:szCs w:val="20"/>
              <w:lang w:val="en-GB"/>
            </w:rPr>
          </w:pPr>
        </w:p>
        <w:p w:rsidR="001914BE" w:rsidRPr="006B6926" w:rsidRDefault="001914BE" w:rsidP="006B6926">
          <w:pPr>
            <w:jc w:val="center"/>
            <w:rPr>
              <w:bCs/>
              <w:sz w:val="20"/>
              <w:szCs w:val="20"/>
              <w:lang w:val="en-GB"/>
            </w:rPr>
          </w:pPr>
        </w:p>
      </w:tc>
      <w:tc>
        <w:tcPr>
          <w:tcW w:w="4320" w:type="dxa"/>
        </w:tcPr>
        <w:p w:rsidR="001914BE" w:rsidRPr="006B6926" w:rsidRDefault="001914BE" w:rsidP="006B6926">
          <w:pPr>
            <w:keepNext/>
            <w:keepLines/>
            <w:rPr>
              <w:bCs/>
              <w:sz w:val="20"/>
              <w:szCs w:val="20"/>
              <w:lang w:val="fr-CA"/>
            </w:rPr>
          </w:pPr>
          <w:r w:rsidRPr="006B6926">
            <w:rPr>
              <w:bCs/>
              <w:sz w:val="20"/>
              <w:szCs w:val="20"/>
              <w:lang w:val="fr-CA"/>
            </w:rPr>
            <w:t>RECUEIL DES ARRÊTS DE LA COUR SUPRÊME</w:t>
          </w:r>
        </w:p>
      </w:tc>
    </w:tr>
  </w:tbl>
  <w:p w:rsidR="001914BE" w:rsidRPr="000924F7" w:rsidRDefault="001914BE">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914BE" w:rsidRPr="0044776A" w:rsidTr="00245129">
      <w:tc>
        <w:tcPr>
          <w:tcW w:w="4290" w:type="dxa"/>
          <w:tcMar>
            <w:left w:w="0" w:type="dxa"/>
            <w:right w:w="0" w:type="dxa"/>
          </w:tcMar>
        </w:tcPr>
        <w:p w:rsidR="001914BE" w:rsidRPr="0044776A" w:rsidRDefault="001914B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914BE" w:rsidRPr="0044776A" w:rsidRDefault="001914BE" w:rsidP="002E2327">
          <w:pPr>
            <w:keepNext/>
            <w:keepLines/>
            <w:tabs>
              <w:tab w:val="left" w:pos="-1440"/>
              <w:tab w:val="left" w:pos="-720"/>
            </w:tabs>
            <w:jc w:val="center"/>
            <w:rPr>
              <w:sz w:val="20"/>
              <w:szCs w:val="20"/>
            </w:rPr>
          </w:pPr>
        </w:p>
        <w:p w:rsidR="001914BE" w:rsidRPr="0044776A" w:rsidRDefault="001914BE" w:rsidP="002E2327">
          <w:pPr>
            <w:keepNext/>
            <w:keepLines/>
            <w:tabs>
              <w:tab w:val="left" w:pos="-1440"/>
              <w:tab w:val="left" w:pos="-720"/>
            </w:tabs>
            <w:jc w:val="center"/>
            <w:rPr>
              <w:sz w:val="20"/>
              <w:szCs w:val="20"/>
            </w:rPr>
          </w:pPr>
        </w:p>
        <w:p w:rsidR="001914BE" w:rsidRPr="0044776A" w:rsidRDefault="001914BE" w:rsidP="002E2327">
          <w:pPr>
            <w:keepNext/>
            <w:keepLines/>
            <w:tabs>
              <w:tab w:val="left" w:pos="-1440"/>
              <w:tab w:val="left" w:pos="-720"/>
            </w:tabs>
            <w:jc w:val="center"/>
            <w:rPr>
              <w:sz w:val="20"/>
              <w:szCs w:val="20"/>
            </w:rPr>
          </w:pPr>
        </w:p>
      </w:tc>
      <w:tc>
        <w:tcPr>
          <w:tcW w:w="4320" w:type="dxa"/>
          <w:tcMar>
            <w:left w:w="0" w:type="dxa"/>
            <w:right w:w="0" w:type="dxa"/>
          </w:tcMar>
        </w:tcPr>
        <w:p w:rsidR="001914BE" w:rsidRPr="0044776A" w:rsidRDefault="001914BE" w:rsidP="002E2327">
          <w:pPr>
            <w:keepLines/>
            <w:rPr>
              <w:sz w:val="20"/>
              <w:szCs w:val="20"/>
              <w:lang w:val="fr-CA"/>
            </w:rPr>
          </w:pPr>
          <w:r w:rsidRPr="0044776A">
            <w:rPr>
              <w:sz w:val="20"/>
              <w:szCs w:val="20"/>
              <w:lang w:val="fr-CA"/>
            </w:rPr>
            <w:t>DEMANDES D'AUTORISATION D'APPEL DÉPOSÉES</w:t>
          </w:r>
        </w:p>
      </w:tc>
    </w:tr>
  </w:tbl>
  <w:p w:rsidR="001914BE" w:rsidRDefault="001914B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914BE" w:rsidRPr="00A77989" w:rsidTr="00245129">
      <w:tc>
        <w:tcPr>
          <w:tcW w:w="4200" w:type="dxa"/>
          <w:tcMar>
            <w:left w:w="0" w:type="dxa"/>
            <w:right w:w="0" w:type="dxa"/>
          </w:tcMar>
        </w:tcPr>
        <w:p w:rsidR="001914BE" w:rsidRPr="0044776A" w:rsidRDefault="001914BE" w:rsidP="0044776A">
          <w:pPr>
            <w:keepNext/>
            <w:keepLines/>
            <w:widowControl w:val="0"/>
            <w:rPr>
              <w:sz w:val="20"/>
              <w:szCs w:val="20"/>
            </w:rPr>
          </w:pPr>
          <w:r>
            <w:rPr>
              <w:sz w:val="20"/>
              <w:szCs w:val="20"/>
            </w:rPr>
            <w:t>APPLICATIONS FOR LEAVE</w:t>
          </w:r>
        </w:p>
        <w:p w:rsidR="001914BE" w:rsidRPr="0044776A" w:rsidRDefault="001914B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914BE" w:rsidRPr="0044776A" w:rsidRDefault="001914BE" w:rsidP="0044776A">
          <w:pPr>
            <w:keepNext/>
            <w:keepLines/>
            <w:widowControl w:val="0"/>
            <w:jc w:val="center"/>
            <w:rPr>
              <w:sz w:val="20"/>
              <w:szCs w:val="20"/>
            </w:rPr>
          </w:pPr>
        </w:p>
        <w:p w:rsidR="001914BE" w:rsidRPr="0044776A" w:rsidRDefault="001914BE" w:rsidP="0044776A">
          <w:pPr>
            <w:keepNext/>
            <w:keepLines/>
            <w:widowControl w:val="0"/>
            <w:jc w:val="center"/>
            <w:rPr>
              <w:sz w:val="20"/>
              <w:szCs w:val="20"/>
            </w:rPr>
          </w:pPr>
        </w:p>
        <w:p w:rsidR="001914BE" w:rsidRPr="0044776A" w:rsidRDefault="001914BE" w:rsidP="0044776A">
          <w:pPr>
            <w:keepNext/>
            <w:keepLines/>
            <w:widowControl w:val="0"/>
            <w:jc w:val="center"/>
            <w:rPr>
              <w:sz w:val="20"/>
              <w:szCs w:val="20"/>
            </w:rPr>
          </w:pPr>
        </w:p>
      </w:tc>
      <w:tc>
        <w:tcPr>
          <w:tcW w:w="4080" w:type="dxa"/>
          <w:tcMar>
            <w:left w:w="0" w:type="dxa"/>
            <w:right w:w="0" w:type="dxa"/>
          </w:tcMar>
        </w:tcPr>
        <w:p w:rsidR="001914BE" w:rsidRPr="0044776A" w:rsidRDefault="001914BE" w:rsidP="0044776A">
          <w:pPr>
            <w:keepLines/>
            <w:widowControl w:val="0"/>
            <w:rPr>
              <w:sz w:val="20"/>
              <w:szCs w:val="20"/>
              <w:lang w:val="fr-CA"/>
            </w:rPr>
          </w:pPr>
          <w:r w:rsidRPr="0044776A">
            <w:rPr>
              <w:sz w:val="20"/>
              <w:szCs w:val="20"/>
              <w:lang w:val="fr-CA"/>
            </w:rPr>
            <w:t>DEMANDES SOUMISES À LA COUR DEPUIS LA DERNIÈRE PARUTION</w:t>
          </w:r>
        </w:p>
        <w:p w:rsidR="001914BE" w:rsidRPr="0044776A" w:rsidRDefault="001914BE" w:rsidP="0044776A">
          <w:pPr>
            <w:widowControl w:val="0"/>
            <w:rPr>
              <w:sz w:val="20"/>
              <w:szCs w:val="20"/>
              <w:lang w:val="fr-CA"/>
            </w:rPr>
          </w:pPr>
        </w:p>
      </w:tc>
    </w:tr>
  </w:tbl>
  <w:p w:rsidR="001914BE" w:rsidRPr="002E2327" w:rsidRDefault="001914B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4BE" w:rsidRDefault="001914B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914BE" w:rsidRPr="00A77989">
      <w:tc>
        <w:tcPr>
          <w:tcW w:w="4200" w:type="dxa"/>
          <w:tcMar>
            <w:left w:w="0" w:type="dxa"/>
            <w:right w:w="0" w:type="dxa"/>
          </w:tcMar>
        </w:tcPr>
        <w:p w:rsidR="001914BE" w:rsidRDefault="001914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914BE" w:rsidRDefault="001914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914BE" w:rsidRDefault="001914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914BE" w:rsidRPr="00FF6BA5" w:rsidRDefault="001914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914BE" w:rsidRPr="00FF6BA5"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914BE" w:rsidRPr="00FF6BA5"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914BE" w:rsidRPr="00FF6BA5" w:rsidRDefault="0019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914BE" w:rsidRPr="00A77989" w:rsidTr="00245129">
      <w:tc>
        <w:tcPr>
          <w:tcW w:w="4200" w:type="dxa"/>
          <w:tcMar>
            <w:left w:w="0" w:type="dxa"/>
            <w:right w:w="0" w:type="dxa"/>
          </w:tcMar>
        </w:tcPr>
        <w:p w:rsidR="001914BE" w:rsidRPr="00755F22" w:rsidRDefault="001914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914BE" w:rsidRPr="00755F22" w:rsidRDefault="001914B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914BE" w:rsidRPr="00755F22" w:rsidRDefault="001914B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914BE" w:rsidRPr="00755F22" w:rsidRDefault="001914B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914BE" w:rsidRPr="00755F22" w:rsidRDefault="001914B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914BE" w:rsidRPr="00755F22" w:rsidRDefault="001914B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914BE" w:rsidRPr="00FF6BA5" w:rsidRDefault="001914B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efaultTabStop w:val="720"/>
  <w:drawingGridHorizontalSpacing w:val="120"/>
  <w:displayHorizontalDrawingGridEvery w:val="2"/>
  <w:characterSpacingControl w:val="doNotCompress"/>
  <w:hdrShapeDefaults>
    <o:shapedefaults v:ext="edit" spidmax="19469"/>
  </w:hdrShapeDefaults>
  <w:footnotePr>
    <w:footnote w:id="-1"/>
    <w:footnote w:id="0"/>
  </w:footnotePr>
  <w:endnotePr>
    <w:endnote w:id="-1"/>
    <w:endnote w:id="0"/>
  </w:endnotePr>
  <w:compat/>
  <w:rsids>
    <w:rsidRoot w:val="009C628D"/>
    <w:rsid w:val="00011242"/>
    <w:rsid w:val="0001637C"/>
    <w:rsid w:val="0003223B"/>
    <w:rsid w:val="000327B2"/>
    <w:rsid w:val="00096BD9"/>
    <w:rsid w:val="000A0F5F"/>
    <w:rsid w:val="000A53DF"/>
    <w:rsid w:val="000B3C9A"/>
    <w:rsid w:val="000B40A2"/>
    <w:rsid w:val="000C0ACD"/>
    <w:rsid w:val="00102926"/>
    <w:rsid w:val="0010587F"/>
    <w:rsid w:val="00111C6B"/>
    <w:rsid w:val="0013369E"/>
    <w:rsid w:val="00164E6D"/>
    <w:rsid w:val="001914BE"/>
    <w:rsid w:val="00193B19"/>
    <w:rsid w:val="001951EF"/>
    <w:rsid w:val="001B5C23"/>
    <w:rsid w:val="001D0D5F"/>
    <w:rsid w:val="001D6B8C"/>
    <w:rsid w:val="001F1F83"/>
    <w:rsid w:val="002021A9"/>
    <w:rsid w:val="002139A7"/>
    <w:rsid w:val="00215F7C"/>
    <w:rsid w:val="0022323B"/>
    <w:rsid w:val="002259C1"/>
    <w:rsid w:val="002301F3"/>
    <w:rsid w:val="00240F54"/>
    <w:rsid w:val="002410B8"/>
    <w:rsid w:val="00242AEE"/>
    <w:rsid w:val="00245129"/>
    <w:rsid w:val="00245879"/>
    <w:rsid w:val="00266933"/>
    <w:rsid w:val="00267FD5"/>
    <w:rsid w:val="00277D5E"/>
    <w:rsid w:val="002868D0"/>
    <w:rsid w:val="002B516C"/>
    <w:rsid w:val="002D72EB"/>
    <w:rsid w:val="002E2327"/>
    <w:rsid w:val="002E3583"/>
    <w:rsid w:val="002E5576"/>
    <w:rsid w:val="002F0EB9"/>
    <w:rsid w:val="00314AC4"/>
    <w:rsid w:val="00327B7F"/>
    <w:rsid w:val="00331B52"/>
    <w:rsid w:val="003359D3"/>
    <w:rsid w:val="00341A0B"/>
    <w:rsid w:val="00345978"/>
    <w:rsid w:val="00355967"/>
    <w:rsid w:val="00382C47"/>
    <w:rsid w:val="00384384"/>
    <w:rsid w:val="00396EBF"/>
    <w:rsid w:val="003B3977"/>
    <w:rsid w:val="00432989"/>
    <w:rsid w:val="00440E24"/>
    <w:rsid w:val="0044776A"/>
    <w:rsid w:val="00457501"/>
    <w:rsid w:val="00460AFC"/>
    <w:rsid w:val="00472067"/>
    <w:rsid w:val="0047471F"/>
    <w:rsid w:val="004B048F"/>
    <w:rsid w:val="004B66B4"/>
    <w:rsid w:val="004B78B6"/>
    <w:rsid w:val="004C1AAC"/>
    <w:rsid w:val="004F090E"/>
    <w:rsid w:val="00527CC7"/>
    <w:rsid w:val="005306BC"/>
    <w:rsid w:val="00542AA1"/>
    <w:rsid w:val="005465D8"/>
    <w:rsid w:val="00571CA4"/>
    <w:rsid w:val="00577F5A"/>
    <w:rsid w:val="00582136"/>
    <w:rsid w:val="005C6840"/>
    <w:rsid w:val="005E01E7"/>
    <w:rsid w:val="005E0F5A"/>
    <w:rsid w:val="005F263E"/>
    <w:rsid w:val="00600252"/>
    <w:rsid w:val="00612A40"/>
    <w:rsid w:val="00613D68"/>
    <w:rsid w:val="00675479"/>
    <w:rsid w:val="00675706"/>
    <w:rsid w:val="00697C62"/>
    <w:rsid w:val="006A329B"/>
    <w:rsid w:val="006A3657"/>
    <w:rsid w:val="006A7EB8"/>
    <w:rsid w:val="006B0DE1"/>
    <w:rsid w:val="006B6926"/>
    <w:rsid w:val="006C3F47"/>
    <w:rsid w:val="006C5F7A"/>
    <w:rsid w:val="006E06AF"/>
    <w:rsid w:val="006F350F"/>
    <w:rsid w:val="006F3A5B"/>
    <w:rsid w:val="00732DB7"/>
    <w:rsid w:val="00755F22"/>
    <w:rsid w:val="007609C7"/>
    <w:rsid w:val="00766E4A"/>
    <w:rsid w:val="00773B60"/>
    <w:rsid w:val="007820CE"/>
    <w:rsid w:val="00782AE4"/>
    <w:rsid w:val="0079724F"/>
    <w:rsid w:val="007A3EAE"/>
    <w:rsid w:val="007C04FC"/>
    <w:rsid w:val="007D3E0F"/>
    <w:rsid w:val="007E1832"/>
    <w:rsid w:val="007F387B"/>
    <w:rsid w:val="008018FA"/>
    <w:rsid w:val="00802863"/>
    <w:rsid w:val="00815B3C"/>
    <w:rsid w:val="00827414"/>
    <w:rsid w:val="0082783A"/>
    <w:rsid w:val="00831CA9"/>
    <w:rsid w:val="00841F91"/>
    <w:rsid w:val="00850E1F"/>
    <w:rsid w:val="0085476B"/>
    <w:rsid w:val="00873054"/>
    <w:rsid w:val="008813F0"/>
    <w:rsid w:val="00890FEB"/>
    <w:rsid w:val="008D292F"/>
    <w:rsid w:val="008E03DC"/>
    <w:rsid w:val="00910A90"/>
    <w:rsid w:val="009134E8"/>
    <w:rsid w:val="009160C7"/>
    <w:rsid w:val="00924065"/>
    <w:rsid w:val="00930D68"/>
    <w:rsid w:val="00932DB4"/>
    <w:rsid w:val="009370B0"/>
    <w:rsid w:val="009374D9"/>
    <w:rsid w:val="00946242"/>
    <w:rsid w:val="0095096B"/>
    <w:rsid w:val="00955D11"/>
    <w:rsid w:val="00956E1A"/>
    <w:rsid w:val="0095731C"/>
    <w:rsid w:val="0096172D"/>
    <w:rsid w:val="00970CD3"/>
    <w:rsid w:val="009723FA"/>
    <w:rsid w:val="00984546"/>
    <w:rsid w:val="00996510"/>
    <w:rsid w:val="009A0058"/>
    <w:rsid w:val="009C2160"/>
    <w:rsid w:val="009C37FF"/>
    <w:rsid w:val="009C628D"/>
    <w:rsid w:val="009C7281"/>
    <w:rsid w:val="009D1F15"/>
    <w:rsid w:val="009D555E"/>
    <w:rsid w:val="009F5557"/>
    <w:rsid w:val="00A0355E"/>
    <w:rsid w:val="00A375D1"/>
    <w:rsid w:val="00A51D10"/>
    <w:rsid w:val="00A52A83"/>
    <w:rsid w:val="00A73773"/>
    <w:rsid w:val="00A77989"/>
    <w:rsid w:val="00A87207"/>
    <w:rsid w:val="00A935AA"/>
    <w:rsid w:val="00AB2201"/>
    <w:rsid w:val="00AB3236"/>
    <w:rsid w:val="00AF1715"/>
    <w:rsid w:val="00AF3904"/>
    <w:rsid w:val="00B010C0"/>
    <w:rsid w:val="00B10D9D"/>
    <w:rsid w:val="00B34AD9"/>
    <w:rsid w:val="00B4256C"/>
    <w:rsid w:val="00B46ACF"/>
    <w:rsid w:val="00B4740D"/>
    <w:rsid w:val="00B61629"/>
    <w:rsid w:val="00B7374B"/>
    <w:rsid w:val="00B90DC0"/>
    <w:rsid w:val="00BA116A"/>
    <w:rsid w:val="00BA5582"/>
    <w:rsid w:val="00BA6468"/>
    <w:rsid w:val="00BA6730"/>
    <w:rsid w:val="00BB6BCD"/>
    <w:rsid w:val="00BB73FA"/>
    <w:rsid w:val="00BD06DA"/>
    <w:rsid w:val="00BD4217"/>
    <w:rsid w:val="00BE06F7"/>
    <w:rsid w:val="00BE450E"/>
    <w:rsid w:val="00BE6384"/>
    <w:rsid w:val="00BF25F3"/>
    <w:rsid w:val="00C1697B"/>
    <w:rsid w:val="00C4696B"/>
    <w:rsid w:val="00C50A5C"/>
    <w:rsid w:val="00C50FDF"/>
    <w:rsid w:val="00C6196D"/>
    <w:rsid w:val="00C73E1B"/>
    <w:rsid w:val="00C759B4"/>
    <w:rsid w:val="00C77713"/>
    <w:rsid w:val="00C93C8A"/>
    <w:rsid w:val="00CB43D5"/>
    <w:rsid w:val="00CC4D84"/>
    <w:rsid w:val="00CE2DA0"/>
    <w:rsid w:val="00D4743F"/>
    <w:rsid w:val="00D64901"/>
    <w:rsid w:val="00D71C6A"/>
    <w:rsid w:val="00D76BDF"/>
    <w:rsid w:val="00D8406A"/>
    <w:rsid w:val="00D862C1"/>
    <w:rsid w:val="00D93B50"/>
    <w:rsid w:val="00D94670"/>
    <w:rsid w:val="00D950D6"/>
    <w:rsid w:val="00DA06FB"/>
    <w:rsid w:val="00DA46F6"/>
    <w:rsid w:val="00DD098E"/>
    <w:rsid w:val="00DD0B49"/>
    <w:rsid w:val="00DE086E"/>
    <w:rsid w:val="00E05044"/>
    <w:rsid w:val="00E06DFA"/>
    <w:rsid w:val="00E13F5C"/>
    <w:rsid w:val="00E356C7"/>
    <w:rsid w:val="00E64FA7"/>
    <w:rsid w:val="00E770CB"/>
    <w:rsid w:val="00E940EB"/>
    <w:rsid w:val="00EB2B90"/>
    <w:rsid w:val="00EB40CC"/>
    <w:rsid w:val="00ED7E83"/>
    <w:rsid w:val="00EF4B63"/>
    <w:rsid w:val="00EF7968"/>
    <w:rsid w:val="00F0068D"/>
    <w:rsid w:val="00F0576D"/>
    <w:rsid w:val="00F15EA8"/>
    <w:rsid w:val="00F16C8D"/>
    <w:rsid w:val="00F20181"/>
    <w:rsid w:val="00F26C61"/>
    <w:rsid w:val="00F33CCE"/>
    <w:rsid w:val="00F40249"/>
    <w:rsid w:val="00F526C8"/>
    <w:rsid w:val="00F67ABC"/>
    <w:rsid w:val="00F9518C"/>
    <w:rsid w:val="00F96661"/>
    <w:rsid w:val="00FA316E"/>
    <w:rsid w:val="00FA59EF"/>
    <w:rsid w:val="00FB19A2"/>
    <w:rsid w:val="00FE43CC"/>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socParty">
    <w:name w:val="SCC.Lsoc.Party"/>
    <w:basedOn w:val="Normal"/>
    <w:next w:val="Normal"/>
    <w:link w:val="SCCLsocPartyChar"/>
    <w:uiPriority w:val="99"/>
    <w:rsid w:val="005E01E7"/>
    <w:pPr>
      <w:jc w:val="center"/>
    </w:pPr>
    <w:rPr>
      <w:rFonts w:eastAsia="Calibri" w:cs="Times New Roman"/>
      <w:lang w:val="fr-CA"/>
    </w:rPr>
  </w:style>
  <w:style w:type="character" w:customStyle="1" w:styleId="SCCLsocPartyChar">
    <w:name w:val="SCC.Lsoc.Party Char"/>
    <w:basedOn w:val="DefaultParagraphFont"/>
    <w:link w:val="SCCLsocParty"/>
    <w:uiPriority w:val="99"/>
    <w:rsid w:val="005E01E7"/>
    <w:rPr>
      <w:rFonts w:eastAsia="Calibri" w:cs="Times New Roman"/>
      <w:lang w:val="fr-CA"/>
    </w:rPr>
  </w:style>
  <w:style w:type="paragraph" w:customStyle="1" w:styleId="SCCFileNumber">
    <w:name w:val="SCC.FileNumber"/>
    <w:basedOn w:val="Normal"/>
    <w:next w:val="Normal"/>
    <w:link w:val="SCCFileNumberChar"/>
    <w:rsid w:val="005E01E7"/>
    <w:pPr>
      <w:jc w:val="both"/>
    </w:pPr>
    <w:rPr>
      <w:rFonts w:eastAsia="Calibri" w:cs="Times New Roman"/>
      <w:b/>
    </w:rPr>
  </w:style>
  <w:style w:type="character" w:customStyle="1" w:styleId="SCCFileNumberChar">
    <w:name w:val="SCC.FileNumber Char"/>
    <w:basedOn w:val="DefaultParagraphFont"/>
    <w:link w:val="SCCFileNumber"/>
    <w:rsid w:val="005E01E7"/>
    <w:rPr>
      <w:rFonts w:eastAsia="Calibri" w:cs="Times New Roman"/>
      <w:b/>
      <w:lang w:val="en-CA"/>
    </w:rPr>
  </w:style>
  <w:style w:type="paragraph" w:customStyle="1" w:styleId="SCCLsoc">
    <w:name w:val="SCC.Lsoc"/>
    <w:basedOn w:val="Normal"/>
    <w:next w:val="Normal"/>
    <w:link w:val="SCCLsocChar"/>
    <w:rsid w:val="0095731C"/>
    <w:pPr>
      <w:jc w:val="center"/>
    </w:pPr>
    <w:rPr>
      <w:b/>
      <w:szCs w:val="24"/>
      <w:u w:val="single"/>
      <w:lang w:val="fr-CA"/>
    </w:rPr>
  </w:style>
  <w:style w:type="character" w:customStyle="1" w:styleId="SCCLsocChar">
    <w:name w:val="SCC.Lsoc Char"/>
    <w:basedOn w:val="DefaultParagraphFont"/>
    <w:link w:val="SCCLsoc"/>
    <w:rsid w:val="0095731C"/>
    <w:rPr>
      <w:b/>
      <w:szCs w:val="24"/>
      <w:u w:val="single"/>
      <w:lang w:val="fr-CA"/>
    </w:rPr>
  </w:style>
  <w:style w:type="paragraph" w:customStyle="1" w:styleId="SCCCoram">
    <w:name w:val="SCC.Coram"/>
    <w:basedOn w:val="Normal"/>
    <w:next w:val="Normal"/>
    <w:link w:val="SCCCoramChar"/>
    <w:rsid w:val="0095731C"/>
    <w:pPr>
      <w:jc w:val="center"/>
    </w:pPr>
    <w:rPr>
      <w:szCs w:val="24"/>
      <w:u w:val="single"/>
      <w:lang w:val="fr-CA"/>
    </w:rPr>
  </w:style>
  <w:style w:type="character" w:customStyle="1" w:styleId="SCCCoramChar">
    <w:name w:val="SCC.Coram Char"/>
    <w:basedOn w:val="DefaultParagraphFont"/>
    <w:link w:val="SCCCoram"/>
    <w:rsid w:val="0095731C"/>
    <w:rPr>
      <w:szCs w:val="24"/>
      <w:u w:val="single"/>
      <w:lang w:val="fr-CA"/>
    </w:rPr>
  </w:style>
  <w:style w:type="paragraph" w:customStyle="1" w:styleId="SCCShortJudgment">
    <w:name w:val="SCC.ShortJudgment"/>
    <w:basedOn w:val="Normal"/>
    <w:qFormat/>
    <w:rsid w:val="0095731C"/>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17561</Words>
  <Characters>100098</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2011-07-04T19:26:00Z</dcterms:created>
  <dcterms:modified xsi:type="dcterms:W3CDTF">2011-07-04T19:26:00Z</dcterms:modified>
</cp:coreProperties>
</file>