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03CF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03CF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3CF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F03CF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3CF9" w:rsidTr="002E5576">
        <w:tc>
          <w:tcPr>
            <w:tcW w:w="4518" w:type="dxa"/>
          </w:tcPr>
          <w:p w:rsidR="00BF25F3" w:rsidRPr="002E2327" w:rsidRDefault="00EE120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E120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E65268" w:rsidP="00F0068D">
      <w:pPr>
        <w:pBdr>
          <w:bottom w:val="single" w:sz="6" w:space="1" w:color="auto"/>
        </w:pBdr>
        <w:tabs>
          <w:tab w:val="center" w:pos="4680"/>
          <w:tab w:val="right" w:pos="9360"/>
        </w:tabs>
        <w:rPr>
          <w:lang w:val="fr-CA"/>
        </w:rPr>
      </w:pPr>
      <w:r>
        <w:rPr>
          <w:lang w:val="fr-CA"/>
        </w:rPr>
        <w:t xml:space="preserve">July </w:t>
      </w:r>
      <w:r w:rsidR="003359D3">
        <w:rPr>
          <w:lang w:val="fr-CA"/>
        </w:rPr>
        <w:t>1</w:t>
      </w:r>
      <w:r>
        <w:rPr>
          <w:lang w:val="fr-CA"/>
        </w:rPr>
        <w:t>5</w:t>
      </w:r>
      <w:r w:rsidR="00440E24" w:rsidRPr="00675479">
        <w:rPr>
          <w:lang w:val="fr-CA"/>
        </w:rPr>
        <w:t>, 201</w:t>
      </w:r>
      <w:r w:rsidR="003359D3">
        <w:rPr>
          <w:lang w:val="fr-CA"/>
        </w:rPr>
        <w:t>1</w:t>
      </w:r>
      <w:r w:rsidR="00F0068D" w:rsidRPr="00675479">
        <w:rPr>
          <w:lang w:val="fr-CA"/>
        </w:rPr>
        <w:tab/>
        <w:t>1</w:t>
      </w:r>
      <w:r>
        <w:rPr>
          <w:lang w:val="fr-CA"/>
        </w:rPr>
        <w:t>063</w:t>
      </w:r>
      <w:r w:rsidR="00F0068D" w:rsidRPr="00675479">
        <w:rPr>
          <w:lang w:val="fr-CA"/>
        </w:rPr>
        <w:t xml:space="preserve"> - </w:t>
      </w:r>
      <w:r w:rsidR="00B71F88">
        <w:rPr>
          <w:lang w:val="fr-CA"/>
        </w:rPr>
        <w:t>1104</w:t>
      </w:r>
      <w:r w:rsidR="00440E24" w:rsidRPr="00675479">
        <w:rPr>
          <w:lang w:val="fr-CA"/>
        </w:rPr>
        <w:tab/>
      </w:r>
      <w:r w:rsidR="00440E24" w:rsidRPr="002E2327">
        <w:rPr>
          <w:lang w:val="fr-CA"/>
        </w:rPr>
        <w:t xml:space="preserve">Le </w:t>
      </w:r>
      <w:r w:rsidR="003359D3">
        <w:rPr>
          <w:lang w:val="fr-CA"/>
        </w:rPr>
        <w:t>1</w:t>
      </w:r>
      <w:r>
        <w:rPr>
          <w:lang w:val="fr-CA"/>
        </w:rPr>
        <w:t>5 juillet</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6F6CB9">
            <w:pPr>
              <w:tabs>
                <w:tab w:val="right" w:pos="9360"/>
              </w:tabs>
              <w:rPr>
                <w:rFonts w:cs="Times New Roman"/>
                <w:sz w:val="20"/>
                <w:szCs w:val="20"/>
              </w:rPr>
            </w:pPr>
          </w:p>
        </w:tc>
        <w:tc>
          <w:tcPr>
            <w:tcW w:w="1980" w:type="dxa"/>
          </w:tcPr>
          <w:p w:rsidR="0095096B" w:rsidRPr="002E2327" w:rsidRDefault="006473DC" w:rsidP="0095096B">
            <w:pPr>
              <w:jc w:val="center"/>
              <w:rPr>
                <w:rFonts w:cs="Times New Roman"/>
                <w:sz w:val="20"/>
                <w:szCs w:val="20"/>
              </w:rPr>
            </w:pPr>
            <w:r>
              <w:rPr>
                <w:rFonts w:cs="Times New Roman"/>
                <w:sz w:val="20"/>
                <w:szCs w:val="20"/>
              </w:rPr>
              <w:t>1063</w:t>
            </w:r>
            <w:r w:rsidR="00EE1200" w:rsidRPr="002E2327">
              <w:rPr>
                <w:rFonts w:cs="Times New Roman"/>
                <w:sz w:val="20"/>
                <w:szCs w:val="20"/>
              </w:rPr>
              <w:fldChar w:fldCharType="begin"/>
            </w:r>
            <w:r w:rsidR="0095096B" w:rsidRPr="002E2327">
              <w:rPr>
                <w:rFonts w:cs="Times New Roman"/>
                <w:sz w:val="20"/>
                <w:szCs w:val="20"/>
              </w:rPr>
              <w:instrText xml:space="preserve"> SEQ CHAPTER \h \r 1</w:instrText>
            </w:r>
            <w:r w:rsidR="00EE1200"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D27B5" w:rsidP="0095096B">
            <w:pPr>
              <w:jc w:val="center"/>
              <w:rPr>
                <w:rFonts w:cs="Times New Roman"/>
                <w:sz w:val="20"/>
                <w:szCs w:val="20"/>
              </w:rPr>
            </w:pPr>
            <w:r>
              <w:rPr>
                <w:rFonts w:cs="Times New Roman"/>
                <w:sz w:val="20"/>
                <w:szCs w:val="20"/>
              </w:rPr>
              <w:t>1064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D27B5" w:rsidP="0095096B">
            <w:pPr>
              <w:jc w:val="center"/>
              <w:rPr>
                <w:rFonts w:cs="Times New Roman"/>
                <w:sz w:val="20"/>
                <w:szCs w:val="20"/>
              </w:rPr>
            </w:pPr>
            <w:r>
              <w:rPr>
                <w:rFonts w:cs="Times New Roman"/>
                <w:sz w:val="20"/>
                <w:szCs w:val="20"/>
              </w:rPr>
              <w:t xml:space="preserve">1065 </w:t>
            </w:r>
            <w:r w:rsidR="0095096B" w:rsidRPr="002E2327">
              <w:rPr>
                <w:rFonts w:cs="Times New Roman"/>
                <w:sz w:val="20"/>
                <w:szCs w:val="20"/>
              </w:rPr>
              <w:t>-</w:t>
            </w:r>
            <w:r w:rsidR="00ED7A77">
              <w:rPr>
                <w:rFonts w:cs="Times New Roman"/>
                <w:sz w:val="20"/>
                <w:szCs w:val="20"/>
              </w:rPr>
              <w:t xml:space="preserve"> 1096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D7A77" w:rsidP="0095096B">
            <w:pPr>
              <w:jc w:val="center"/>
              <w:rPr>
                <w:rFonts w:cs="Times New Roman"/>
                <w:sz w:val="20"/>
                <w:szCs w:val="20"/>
              </w:rPr>
            </w:pPr>
            <w:r>
              <w:rPr>
                <w:rFonts w:cs="Times New Roman"/>
                <w:sz w:val="20"/>
                <w:szCs w:val="20"/>
              </w:rPr>
              <w:t>1097</w:t>
            </w:r>
          </w:p>
          <w:p w:rsidR="0095096B" w:rsidRDefault="0095096B" w:rsidP="0095096B">
            <w:pPr>
              <w:jc w:val="center"/>
              <w:rPr>
                <w:rFonts w:cs="Times New Roman"/>
                <w:sz w:val="20"/>
                <w:szCs w:val="20"/>
              </w:rPr>
            </w:pPr>
          </w:p>
          <w:p w:rsidR="00AD27B5" w:rsidRPr="002E2327" w:rsidRDefault="00AD27B5" w:rsidP="0095096B">
            <w:pPr>
              <w:jc w:val="center"/>
              <w:rPr>
                <w:rFonts w:cs="Times New Roman"/>
                <w:sz w:val="20"/>
                <w:szCs w:val="20"/>
              </w:rPr>
            </w:pPr>
          </w:p>
          <w:p w:rsidR="0095096B" w:rsidRPr="002E2327" w:rsidRDefault="00ED7A77" w:rsidP="0095096B">
            <w:pPr>
              <w:jc w:val="center"/>
              <w:rPr>
                <w:rFonts w:cs="Times New Roman"/>
                <w:sz w:val="20"/>
                <w:szCs w:val="20"/>
              </w:rPr>
            </w:pPr>
            <w:r>
              <w:rPr>
                <w:rFonts w:cs="Times New Roman"/>
                <w:sz w:val="20"/>
                <w:szCs w:val="20"/>
              </w:rPr>
              <w:t xml:space="preserve">1098 </w:t>
            </w:r>
            <w:r w:rsidR="0095096B" w:rsidRPr="002E2327">
              <w:rPr>
                <w:rFonts w:cs="Times New Roman"/>
                <w:sz w:val="20"/>
                <w:szCs w:val="20"/>
              </w:rPr>
              <w:t>-</w:t>
            </w:r>
            <w:r>
              <w:rPr>
                <w:rFonts w:cs="Times New Roman"/>
                <w:sz w:val="20"/>
                <w:szCs w:val="20"/>
              </w:rPr>
              <w:t xml:space="preserve"> </w:t>
            </w:r>
            <w:r w:rsidR="00B71F88">
              <w:rPr>
                <w:rFonts w:cs="Times New Roman"/>
                <w:sz w:val="20"/>
                <w:szCs w:val="20"/>
              </w:rPr>
              <w:t>1104</w:t>
            </w:r>
          </w:p>
          <w:p w:rsidR="00A87207" w:rsidRPr="002E2327" w:rsidRDefault="00A87207" w:rsidP="006F6CB9">
            <w:pPr>
              <w:jc w:val="center"/>
              <w:rPr>
                <w:rFonts w:cs="Times New Roman"/>
                <w:sz w:val="20"/>
                <w:szCs w:val="20"/>
              </w:rPr>
            </w:pPr>
          </w:p>
        </w:tc>
        <w:tc>
          <w:tcPr>
            <w:tcW w:w="3888" w:type="dxa"/>
          </w:tcPr>
          <w:p w:rsidR="0095096B" w:rsidRPr="002E2327" w:rsidRDefault="00EE120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F6CB9">
            <w:pPr>
              <w:rPr>
                <w:rFonts w:cs="Times New Roman"/>
                <w:sz w:val="20"/>
                <w:szCs w:val="20"/>
                <w:lang w:val="fr-CA"/>
              </w:rPr>
            </w:pPr>
          </w:p>
        </w:tc>
      </w:tr>
    </w:tbl>
    <w:p w:rsidR="0095096B" w:rsidRDefault="0095096B" w:rsidP="0095096B">
      <w:pPr>
        <w:tabs>
          <w:tab w:val="right" w:pos="9360"/>
        </w:tabs>
      </w:pPr>
    </w:p>
    <w:p w:rsidR="006F6CB9" w:rsidRDefault="006F6CB9" w:rsidP="0095096B">
      <w:pPr>
        <w:tabs>
          <w:tab w:val="right" w:pos="9360"/>
        </w:tabs>
      </w:pPr>
    </w:p>
    <w:p w:rsidR="006F6CB9" w:rsidRDefault="006F6CB9" w:rsidP="0095096B">
      <w:pPr>
        <w:tabs>
          <w:tab w:val="right" w:pos="9360"/>
        </w:tabs>
      </w:pPr>
    </w:p>
    <w:p w:rsidR="006F6CB9" w:rsidRDefault="006F6CB9" w:rsidP="0095096B">
      <w:pPr>
        <w:tabs>
          <w:tab w:val="right" w:pos="9360"/>
        </w:tabs>
      </w:pPr>
    </w:p>
    <w:p w:rsidR="006F6CB9" w:rsidRDefault="006F6CB9" w:rsidP="0095096B">
      <w:pPr>
        <w:tabs>
          <w:tab w:val="right" w:pos="9360"/>
        </w:tabs>
      </w:pPr>
    </w:p>
    <w:p w:rsidR="00A37B9C" w:rsidRDefault="00A37B9C" w:rsidP="0095096B">
      <w:pPr>
        <w:tabs>
          <w:tab w:val="right" w:pos="9360"/>
        </w:tabs>
      </w:pPr>
    </w:p>
    <w:tbl>
      <w:tblPr>
        <w:tblStyle w:val="TableGrid"/>
        <w:tblW w:w="0" w:type="auto"/>
        <w:tblLook w:val="04A0"/>
      </w:tblPr>
      <w:tblGrid>
        <w:gridCol w:w="9576"/>
      </w:tblGrid>
      <w:tr w:rsidR="0079724F" w:rsidRPr="00F03CF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422BC7" w:rsidRPr="00A935AA" w:rsidTr="003B3977">
        <w:tc>
          <w:tcPr>
            <w:tcW w:w="4320" w:type="dxa"/>
            <w:shd w:val="clear" w:color="auto" w:fill="auto"/>
          </w:tcPr>
          <w:p w:rsidR="00422BC7" w:rsidRPr="00A37B9C" w:rsidRDefault="00422BC7" w:rsidP="00A37B9C">
            <w:pPr>
              <w:rPr>
                <w:b/>
                <w:sz w:val="20"/>
                <w:szCs w:val="20"/>
                <w:lang w:val="fr-CA"/>
              </w:rPr>
            </w:pPr>
            <w:r w:rsidRPr="00A37B9C">
              <w:rPr>
                <w:b/>
                <w:sz w:val="20"/>
                <w:szCs w:val="20"/>
                <w:lang w:val="fr-CA"/>
              </w:rPr>
              <w:t>Sun Indalex Finance, LLC</w:t>
            </w:r>
          </w:p>
          <w:p w:rsidR="00422BC7" w:rsidRPr="00A37B9C" w:rsidRDefault="00422BC7" w:rsidP="00A37B9C">
            <w:pPr>
              <w:tabs>
                <w:tab w:val="left" w:pos="-1440"/>
                <w:tab w:val="left" w:pos="-720"/>
              </w:tabs>
              <w:rPr>
                <w:sz w:val="20"/>
                <w:szCs w:val="20"/>
                <w:lang w:val="fr-CA"/>
              </w:rPr>
            </w:pPr>
            <w:r w:rsidRPr="00A37B9C">
              <w:rPr>
                <w:sz w:val="20"/>
                <w:szCs w:val="20"/>
                <w:lang w:val="fr-CA"/>
              </w:rPr>
              <w:tab/>
              <w:t>Benjamin Zarnett</w:t>
            </w:r>
          </w:p>
          <w:p w:rsidR="00422BC7" w:rsidRPr="00A37B9C" w:rsidRDefault="00422BC7" w:rsidP="00A37B9C">
            <w:pPr>
              <w:tabs>
                <w:tab w:val="left" w:pos="-1440"/>
                <w:tab w:val="left" w:pos="-720"/>
              </w:tabs>
              <w:rPr>
                <w:sz w:val="20"/>
                <w:szCs w:val="20"/>
              </w:rPr>
            </w:pPr>
            <w:r w:rsidRPr="00A37B9C">
              <w:rPr>
                <w:sz w:val="20"/>
                <w:szCs w:val="20"/>
                <w:lang w:val="fr-CA"/>
              </w:rPr>
              <w:tab/>
            </w:r>
            <w:r w:rsidRPr="00A37B9C">
              <w:rPr>
                <w:sz w:val="20"/>
                <w:szCs w:val="20"/>
              </w:rPr>
              <w:t>Goodmans LLP</w:t>
            </w:r>
          </w:p>
          <w:p w:rsidR="00422BC7" w:rsidRPr="00A37B9C" w:rsidRDefault="00422BC7" w:rsidP="00A37B9C">
            <w:pPr>
              <w:tabs>
                <w:tab w:val="left" w:pos="-1440"/>
                <w:tab w:val="left" w:pos="-720"/>
              </w:tabs>
              <w:rPr>
                <w:sz w:val="20"/>
                <w:szCs w:val="20"/>
              </w:rPr>
            </w:pPr>
          </w:p>
          <w:p w:rsidR="00422BC7" w:rsidRPr="00A935AA" w:rsidRDefault="00422BC7" w:rsidP="00A37B9C">
            <w:pPr>
              <w:tabs>
                <w:tab w:val="left" w:pos="-1440"/>
                <w:tab w:val="left" w:pos="-720"/>
              </w:tabs>
              <w:rPr>
                <w:sz w:val="20"/>
                <w:szCs w:val="20"/>
              </w:rPr>
            </w:pPr>
            <w:r w:rsidRPr="00A37B9C">
              <w:rPr>
                <w:sz w:val="20"/>
                <w:szCs w:val="20"/>
              </w:rPr>
              <w:tab/>
            </w:r>
            <w:r w:rsidRPr="00A935AA">
              <w:rPr>
                <w:sz w:val="20"/>
                <w:szCs w:val="20"/>
              </w:rPr>
              <w:t>v. (3</w:t>
            </w:r>
            <w:r>
              <w:rPr>
                <w:sz w:val="20"/>
                <w:szCs w:val="20"/>
              </w:rPr>
              <w:t>4308</w:t>
            </w:r>
            <w:r w:rsidRPr="00A935AA">
              <w:rPr>
                <w:sz w:val="20"/>
                <w:szCs w:val="20"/>
              </w:rPr>
              <w:t>)</w:t>
            </w:r>
          </w:p>
          <w:p w:rsidR="00422BC7" w:rsidRPr="00A935AA" w:rsidRDefault="00422BC7" w:rsidP="00A37B9C">
            <w:pPr>
              <w:tabs>
                <w:tab w:val="left" w:pos="-1440"/>
                <w:tab w:val="left" w:pos="-720"/>
              </w:tabs>
              <w:rPr>
                <w:sz w:val="20"/>
                <w:szCs w:val="20"/>
              </w:rPr>
            </w:pPr>
          </w:p>
          <w:p w:rsidR="00422BC7" w:rsidRPr="00A935AA" w:rsidRDefault="00422BC7" w:rsidP="00A37B9C">
            <w:pPr>
              <w:tabs>
                <w:tab w:val="left" w:pos="-1440"/>
                <w:tab w:val="left" w:pos="-720"/>
              </w:tabs>
              <w:rPr>
                <w:b/>
                <w:sz w:val="20"/>
                <w:szCs w:val="20"/>
              </w:rPr>
            </w:pPr>
            <w:r>
              <w:rPr>
                <w:b/>
                <w:sz w:val="20"/>
                <w:szCs w:val="20"/>
              </w:rPr>
              <w:t xml:space="preserve">United Steelworkers et al. </w:t>
            </w:r>
            <w:r w:rsidRPr="00A935AA">
              <w:rPr>
                <w:b/>
                <w:sz w:val="20"/>
                <w:szCs w:val="20"/>
              </w:rPr>
              <w:t>(</w:t>
            </w:r>
            <w:r>
              <w:rPr>
                <w:b/>
                <w:sz w:val="20"/>
                <w:szCs w:val="20"/>
              </w:rPr>
              <w:t>Ont.</w:t>
            </w:r>
            <w:r w:rsidRPr="00A935AA">
              <w:rPr>
                <w:b/>
                <w:sz w:val="20"/>
                <w:szCs w:val="20"/>
              </w:rPr>
              <w:t>)</w:t>
            </w:r>
          </w:p>
          <w:p w:rsidR="00422BC7" w:rsidRPr="00A935AA" w:rsidRDefault="00422BC7" w:rsidP="00A37B9C">
            <w:pPr>
              <w:tabs>
                <w:tab w:val="left" w:pos="-1440"/>
                <w:tab w:val="left" w:pos="-720"/>
              </w:tabs>
              <w:rPr>
                <w:sz w:val="20"/>
                <w:szCs w:val="20"/>
              </w:rPr>
            </w:pPr>
            <w:r w:rsidRPr="00A935AA">
              <w:rPr>
                <w:sz w:val="20"/>
                <w:szCs w:val="20"/>
              </w:rPr>
              <w:tab/>
            </w:r>
            <w:r>
              <w:rPr>
                <w:sz w:val="20"/>
                <w:szCs w:val="20"/>
              </w:rPr>
              <w:t>Darrel</w:t>
            </w:r>
            <w:r w:rsidR="00492F44">
              <w:rPr>
                <w:sz w:val="20"/>
                <w:szCs w:val="20"/>
              </w:rPr>
              <w:t>l</w:t>
            </w:r>
            <w:r>
              <w:rPr>
                <w:sz w:val="20"/>
                <w:szCs w:val="20"/>
              </w:rPr>
              <w:t xml:space="preserve"> L. Brown</w:t>
            </w:r>
          </w:p>
          <w:p w:rsidR="00422BC7" w:rsidRPr="00A935AA" w:rsidRDefault="00422BC7" w:rsidP="00A37B9C">
            <w:pPr>
              <w:tabs>
                <w:tab w:val="left" w:pos="-1440"/>
                <w:tab w:val="left" w:pos="-720"/>
              </w:tabs>
              <w:rPr>
                <w:sz w:val="20"/>
                <w:szCs w:val="20"/>
              </w:rPr>
            </w:pPr>
            <w:r w:rsidRPr="00A935AA">
              <w:rPr>
                <w:sz w:val="20"/>
                <w:szCs w:val="20"/>
              </w:rPr>
              <w:tab/>
            </w:r>
            <w:r>
              <w:rPr>
                <w:sz w:val="20"/>
                <w:szCs w:val="20"/>
              </w:rPr>
              <w:t>Sack Goldblatt Mitchell LLP</w:t>
            </w:r>
          </w:p>
          <w:p w:rsidR="00422BC7" w:rsidRPr="00A935AA" w:rsidRDefault="00422BC7" w:rsidP="00A37B9C">
            <w:pPr>
              <w:tabs>
                <w:tab w:val="left" w:pos="-1440"/>
                <w:tab w:val="left" w:pos="-720"/>
              </w:tabs>
              <w:rPr>
                <w:sz w:val="20"/>
                <w:szCs w:val="20"/>
              </w:rPr>
            </w:pPr>
          </w:p>
          <w:p w:rsidR="00422BC7" w:rsidRDefault="00422BC7" w:rsidP="00A37B9C">
            <w:pPr>
              <w:rPr>
                <w:sz w:val="20"/>
                <w:szCs w:val="20"/>
              </w:rPr>
            </w:pPr>
            <w:r>
              <w:rPr>
                <w:sz w:val="20"/>
                <w:szCs w:val="20"/>
              </w:rPr>
              <w:t>and between</w:t>
            </w:r>
          </w:p>
          <w:p w:rsidR="00422BC7" w:rsidRDefault="00422BC7" w:rsidP="00A37B9C">
            <w:pPr>
              <w:rPr>
                <w:sz w:val="20"/>
                <w:szCs w:val="20"/>
              </w:rPr>
            </w:pPr>
          </w:p>
          <w:p w:rsidR="00422BC7" w:rsidRPr="00C9287E" w:rsidRDefault="00422BC7" w:rsidP="00422BC7">
            <w:pPr>
              <w:tabs>
                <w:tab w:val="left" w:pos="-1440"/>
                <w:tab w:val="left" w:pos="-720"/>
              </w:tabs>
              <w:rPr>
                <w:sz w:val="20"/>
                <w:szCs w:val="20"/>
              </w:rPr>
            </w:pPr>
            <w:r w:rsidRPr="00C9287E">
              <w:rPr>
                <w:b/>
                <w:sz w:val="20"/>
                <w:szCs w:val="20"/>
              </w:rPr>
              <w:t>George L. Miller et al.</w:t>
            </w:r>
          </w:p>
        </w:tc>
        <w:tc>
          <w:tcPr>
            <w:tcW w:w="1181" w:type="dxa"/>
            <w:shd w:val="clear" w:color="auto" w:fill="auto"/>
          </w:tcPr>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p w:rsidR="00422BC7" w:rsidRPr="00C9287E" w:rsidRDefault="00422BC7" w:rsidP="00242AEE">
            <w:pPr>
              <w:jc w:val="center"/>
              <w:rPr>
                <w:sz w:val="20"/>
                <w:szCs w:val="20"/>
              </w:rPr>
            </w:pPr>
          </w:p>
        </w:tc>
        <w:tc>
          <w:tcPr>
            <w:tcW w:w="4320" w:type="dxa"/>
            <w:shd w:val="clear" w:color="auto" w:fill="auto"/>
          </w:tcPr>
          <w:p w:rsidR="00422BC7" w:rsidRDefault="00422BC7" w:rsidP="00253894">
            <w:pPr>
              <w:rPr>
                <w:b/>
                <w:sz w:val="20"/>
                <w:szCs w:val="20"/>
              </w:rPr>
            </w:pPr>
            <w:r w:rsidRPr="00422BC7">
              <w:rPr>
                <w:b/>
                <w:sz w:val="20"/>
                <w:szCs w:val="20"/>
              </w:rPr>
              <w:t>Truehope Nutritional Support Limited et al.</w:t>
            </w:r>
          </w:p>
          <w:p w:rsidR="00422BC7" w:rsidRPr="00A935AA" w:rsidRDefault="00422BC7" w:rsidP="00253894">
            <w:pPr>
              <w:tabs>
                <w:tab w:val="left" w:pos="-1440"/>
                <w:tab w:val="left" w:pos="-720"/>
              </w:tabs>
              <w:rPr>
                <w:sz w:val="20"/>
                <w:szCs w:val="20"/>
              </w:rPr>
            </w:pPr>
            <w:r>
              <w:rPr>
                <w:sz w:val="20"/>
                <w:szCs w:val="20"/>
              </w:rPr>
              <w:tab/>
              <w:t>Jason B. Gratl</w:t>
            </w:r>
          </w:p>
          <w:p w:rsidR="00422BC7" w:rsidRPr="00A935AA" w:rsidRDefault="00422BC7" w:rsidP="00253894">
            <w:pPr>
              <w:tabs>
                <w:tab w:val="left" w:pos="-1440"/>
                <w:tab w:val="left" w:pos="-720"/>
              </w:tabs>
              <w:rPr>
                <w:sz w:val="20"/>
                <w:szCs w:val="20"/>
              </w:rPr>
            </w:pPr>
            <w:r w:rsidRPr="00A935AA">
              <w:rPr>
                <w:sz w:val="20"/>
                <w:szCs w:val="20"/>
              </w:rPr>
              <w:tab/>
            </w:r>
            <w:r>
              <w:rPr>
                <w:sz w:val="20"/>
                <w:szCs w:val="20"/>
              </w:rPr>
              <w:t>Gratl &amp; Company</w:t>
            </w:r>
          </w:p>
          <w:p w:rsidR="00422BC7" w:rsidRPr="00A935AA" w:rsidRDefault="00422BC7" w:rsidP="00253894">
            <w:pPr>
              <w:tabs>
                <w:tab w:val="left" w:pos="-1440"/>
                <w:tab w:val="left" w:pos="-720"/>
              </w:tabs>
              <w:rPr>
                <w:sz w:val="20"/>
                <w:szCs w:val="20"/>
              </w:rPr>
            </w:pPr>
          </w:p>
          <w:p w:rsidR="00422BC7" w:rsidRPr="00A935AA" w:rsidRDefault="00422BC7" w:rsidP="00253894">
            <w:pPr>
              <w:tabs>
                <w:tab w:val="left" w:pos="-1440"/>
                <w:tab w:val="left" w:pos="-720"/>
              </w:tabs>
              <w:rPr>
                <w:sz w:val="20"/>
                <w:szCs w:val="20"/>
              </w:rPr>
            </w:pPr>
            <w:r w:rsidRPr="00A935AA">
              <w:rPr>
                <w:sz w:val="20"/>
                <w:szCs w:val="20"/>
              </w:rPr>
              <w:tab/>
              <w:t>v. (3</w:t>
            </w:r>
            <w:r>
              <w:rPr>
                <w:sz w:val="20"/>
                <w:szCs w:val="20"/>
              </w:rPr>
              <w:t>4278</w:t>
            </w:r>
            <w:r w:rsidRPr="00A935AA">
              <w:rPr>
                <w:sz w:val="20"/>
                <w:szCs w:val="20"/>
              </w:rPr>
              <w:t>)</w:t>
            </w:r>
          </w:p>
          <w:p w:rsidR="00422BC7" w:rsidRDefault="00422BC7" w:rsidP="00253894">
            <w:pPr>
              <w:rPr>
                <w:sz w:val="20"/>
                <w:szCs w:val="20"/>
              </w:rPr>
            </w:pPr>
          </w:p>
          <w:p w:rsidR="00422BC7" w:rsidRPr="00A935AA" w:rsidRDefault="00422BC7" w:rsidP="00253894">
            <w:pPr>
              <w:tabs>
                <w:tab w:val="left" w:pos="-1440"/>
                <w:tab w:val="left" w:pos="-720"/>
              </w:tabs>
              <w:rPr>
                <w:b/>
                <w:sz w:val="20"/>
                <w:szCs w:val="20"/>
              </w:rPr>
            </w:pPr>
            <w:r>
              <w:rPr>
                <w:b/>
                <w:sz w:val="20"/>
                <w:szCs w:val="20"/>
              </w:rPr>
              <w:t xml:space="preserve">Attorney General of Canada et al. </w:t>
            </w:r>
            <w:r w:rsidRPr="00A935AA">
              <w:rPr>
                <w:b/>
                <w:sz w:val="20"/>
                <w:szCs w:val="20"/>
              </w:rPr>
              <w:t>(</w:t>
            </w:r>
            <w:r>
              <w:rPr>
                <w:b/>
                <w:sz w:val="20"/>
                <w:szCs w:val="20"/>
              </w:rPr>
              <w:t>F</w:t>
            </w:r>
            <w:r w:rsidRPr="00A935AA">
              <w:rPr>
                <w:b/>
                <w:sz w:val="20"/>
                <w:szCs w:val="20"/>
              </w:rPr>
              <w:t>.C.)</w:t>
            </w:r>
          </w:p>
          <w:p w:rsidR="00422BC7" w:rsidRPr="00A935AA" w:rsidRDefault="00422BC7" w:rsidP="00253894">
            <w:pPr>
              <w:tabs>
                <w:tab w:val="left" w:pos="-1440"/>
                <w:tab w:val="left" w:pos="-720"/>
              </w:tabs>
              <w:rPr>
                <w:sz w:val="20"/>
                <w:szCs w:val="20"/>
              </w:rPr>
            </w:pPr>
            <w:r w:rsidRPr="00A935AA">
              <w:rPr>
                <w:sz w:val="20"/>
                <w:szCs w:val="20"/>
              </w:rPr>
              <w:tab/>
            </w:r>
            <w:r>
              <w:rPr>
                <w:sz w:val="20"/>
                <w:szCs w:val="20"/>
              </w:rPr>
              <w:t>Brenda Kaminski</w:t>
            </w:r>
          </w:p>
          <w:p w:rsidR="00422BC7" w:rsidRPr="00A935AA" w:rsidRDefault="00422BC7" w:rsidP="00253894">
            <w:pPr>
              <w:tabs>
                <w:tab w:val="left" w:pos="-1440"/>
                <w:tab w:val="left" w:pos="-720"/>
              </w:tabs>
              <w:rPr>
                <w:sz w:val="20"/>
                <w:szCs w:val="20"/>
              </w:rPr>
            </w:pPr>
            <w:r w:rsidRPr="00A935AA">
              <w:rPr>
                <w:sz w:val="20"/>
                <w:szCs w:val="20"/>
              </w:rPr>
              <w:tab/>
            </w:r>
            <w:r>
              <w:rPr>
                <w:sz w:val="20"/>
                <w:szCs w:val="20"/>
              </w:rPr>
              <w:t>A.G. of Canada</w:t>
            </w:r>
          </w:p>
          <w:p w:rsidR="00422BC7" w:rsidRPr="00A935AA" w:rsidRDefault="00422BC7" w:rsidP="00253894">
            <w:pPr>
              <w:tabs>
                <w:tab w:val="left" w:pos="-1440"/>
                <w:tab w:val="left" w:pos="-720"/>
              </w:tabs>
              <w:rPr>
                <w:sz w:val="20"/>
                <w:szCs w:val="20"/>
              </w:rPr>
            </w:pPr>
          </w:p>
          <w:p w:rsidR="00422BC7" w:rsidRPr="00A935AA" w:rsidRDefault="00422BC7" w:rsidP="00253894">
            <w:pPr>
              <w:rPr>
                <w:sz w:val="20"/>
                <w:szCs w:val="20"/>
              </w:rPr>
            </w:pPr>
            <w:r w:rsidRPr="00A935AA">
              <w:rPr>
                <w:sz w:val="20"/>
                <w:szCs w:val="20"/>
              </w:rPr>
              <w:t>FILING DATE: 2</w:t>
            </w:r>
            <w:r>
              <w:rPr>
                <w:sz w:val="20"/>
                <w:szCs w:val="20"/>
              </w:rPr>
              <w:t>4</w:t>
            </w:r>
            <w:r w:rsidRPr="00A935AA">
              <w:rPr>
                <w:sz w:val="20"/>
                <w:szCs w:val="20"/>
              </w:rPr>
              <w:t>.0</w:t>
            </w:r>
            <w:r>
              <w:rPr>
                <w:sz w:val="20"/>
                <w:szCs w:val="20"/>
              </w:rPr>
              <w:t>5</w:t>
            </w:r>
            <w:r w:rsidRPr="00A935AA">
              <w:rPr>
                <w:sz w:val="20"/>
                <w:szCs w:val="20"/>
              </w:rPr>
              <w:t>.201</w:t>
            </w:r>
            <w:r>
              <w:rPr>
                <w:sz w:val="20"/>
                <w:szCs w:val="20"/>
              </w:rPr>
              <w:t>1</w:t>
            </w:r>
          </w:p>
          <w:p w:rsidR="00422BC7" w:rsidRPr="00422BC7" w:rsidRDefault="00EE1200" w:rsidP="00253894">
            <w:pPr>
              <w:rPr>
                <w:sz w:val="20"/>
                <w:szCs w:val="20"/>
              </w:rPr>
            </w:pPr>
            <w:r w:rsidRPr="00EE1200">
              <w:rPr>
                <w:sz w:val="20"/>
                <w:szCs w:val="20"/>
                <w:lang w:val="fr-CA"/>
              </w:rPr>
              <w:pict>
                <v:rect id="_x0000_i1025" style="width:108pt;height:1pt" o:hrpct="0" o:hralign="center" o:hrstd="t" o:hrnoshade="t" o:hr="t" fillcolor="black [3213]" stroked="f"/>
              </w:pict>
            </w:r>
          </w:p>
        </w:tc>
      </w:tr>
      <w:tr w:rsidR="00422BC7" w:rsidRPr="00A37B9C" w:rsidTr="003B3977">
        <w:tc>
          <w:tcPr>
            <w:tcW w:w="4320" w:type="dxa"/>
            <w:shd w:val="clear" w:color="auto" w:fill="auto"/>
          </w:tcPr>
          <w:p w:rsidR="00422BC7" w:rsidRPr="00A37B9C" w:rsidRDefault="00422BC7" w:rsidP="00A37B9C">
            <w:pPr>
              <w:tabs>
                <w:tab w:val="left" w:pos="-1440"/>
                <w:tab w:val="left" w:pos="-720"/>
              </w:tabs>
              <w:rPr>
                <w:sz w:val="20"/>
                <w:szCs w:val="20"/>
                <w:lang w:val="fr-CA"/>
              </w:rPr>
            </w:pPr>
            <w:r w:rsidRPr="00A37B9C">
              <w:rPr>
                <w:sz w:val="20"/>
                <w:szCs w:val="20"/>
                <w:lang w:val="fr-CA"/>
              </w:rPr>
              <w:tab/>
            </w:r>
            <w:r>
              <w:rPr>
                <w:sz w:val="20"/>
                <w:szCs w:val="20"/>
                <w:lang w:val="fr-CA"/>
              </w:rPr>
              <w:t>Harvey Chaiton</w:t>
            </w:r>
          </w:p>
          <w:p w:rsidR="00422BC7" w:rsidRPr="00A37B9C" w:rsidRDefault="00422BC7" w:rsidP="00A37B9C">
            <w:pPr>
              <w:tabs>
                <w:tab w:val="left" w:pos="-1440"/>
                <w:tab w:val="left" w:pos="-720"/>
              </w:tabs>
              <w:rPr>
                <w:sz w:val="20"/>
                <w:szCs w:val="20"/>
                <w:lang w:val="fr-CA"/>
              </w:rPr>
            </w:pPr>
            <w:r w:rsidRPr="00A37B9C">
              <w:rPr>
                <w:sz w:val="20"/>
                <w:szCs w:val="20"/>
                <w:lang w:val="fr-CA"/>
              </w:rPr>
              <w:tab/>
            </w:r>
            <w:r>
              <w:rPr>
                <w:sz w:val="20"/>
                <w:szCs w:val="20"/>
                <w:lang w:val="fr-CA"/>
              </w:rPr>
              <w:t>Chaitons LLP</w:t>
            </w:r>
          </w:p>
          <w:p w:rsidR="00422BC7" w:rsidRPr="00A37B9C" w:rsidRDefault="00422BC7" w:rsidP="00A37B9C">
            <w:pPr>
              <w:tabs>
                <w:tab w:val="left" w:pos="-1440"/>
                <w:tab w:val="left" w:pos="-720"/>
              </w:tabs>
              <w:rPr>
                <w:sz w:val="20"/>
                <w:szCs w:val="20"/>
                <w:lang w:val="fr-CA"/>
              </w:rPr>
            </w:pPr>
          </w:p>
          <w:p w:rsidR="00422BC7" w:rsidRPr="00A37B9C" w:rsidRDefault="00422BC7" w:rsidP="00A37B9C">
            <w:pPr>
              <w:tabs>
                <w:tab w:val="left" w:pos="-1440"/>
                <w:tab w:val="left" w:pos="-720"/>
              </w:tabs>
              <w:rPr>
                <w:sz w:val="20"/>
                <w:szCs w:val="20"/>
                <w:lang w:val="fr-CA"/>
              </w:rPr>
            </w:pPr>
            <w:r w:rsidRPr="00A37B9C">
              <w:rPr>
                <w:sz w:val="20"/>
                <w:szCs w:val="20"/>
                <w:lang w:val="fr-CA"/>
              </w:rPr>
              <w:tab/>
              <w:t>v. (34308)</w:t>
            </w:r>
          </w:p>
          <w:p w:rsidR="00422BC7" w:rsidRPr="00A37B9C" w:rsidRDefault="00422BC7" w:rsidP="00A37B9C">
            <w:pPr>
              <w:tabs>
                <w:tab w:val="left" w:pos="-1440"/>
                <w:tab w:val="left" w:pos="-720"/>
              </w:tabs>
              <w:rPr>
                <w:sz w:val="20"/>
                <w:szCs w:val="20"/>
                <w:lang w:val="fr-CA"/>
              </w:rPr>
            </w:pPr>
          </w:p>
          <w:p w:rsidR="00422BC7" w:rsidRPr="00422BC7" w:rsidRDefault="00422BC7" w:rsidP="00A37B9C">
            <w:pPr>
              <w:tabs>
                <w:tab w:val="left" w:pos="-1440"/>
                <w:tab w:val="left" w:pos="-720"/>
              </w:tabs>
              <w:rPr>
                <w:b/>
                <w:sz w:val="20"/>
                <w:szCs w:val="20"/>
              </w:rPr>
            </w:pPr>
            <w:r w:rsidRPr="00A37B9C">
              <w:rPr>
                <w:b/>
                <w:sz w:val="20"/>
                <w:szCs w:val="20"/>
                <w:lang w:val="fr-CA"/>
              </w:rPr>
              <w:t>Sun Indalex Finance, LLC et al.</w:t>
            </w:r>
            <w:r>
              <w:rPr>
                <w:b/>
                <w:sz w:val="20"/>
                <w:szCs w:val="20"/>
                <w:lang w:val="fr-CA"/>
              </w:rPr>
              <w:t xml:space="preserve"> </w:t>
            </w:r>
            <w:r w:rsidRPr="00422BC7">
              <w:rPr>
                <w:b/>
                <w:sz w:val="20"/>
                <w:szCs w:val="20"/>
              </w:rPr>
              <w:t>(Ont.)</w:t>
            </w:r>
          </w:p>
          <w:p w:rsidR="00422BC7" w:rsidRPr="00422BC7" w:rsidRDefault="00422BC7" w:rsidP="00A37B9C">
            <w:pPr>
              <w:tabs>
                <w:tab w:val="left" w:pos="-1440"/>
                <w:tab w:val="left" w:pos="-720"/>
              </w:tabs>
              <w:rPr>
                <w:sz w:val="20"/>
                <w:szCs w:val="20"/>
              </w:rPr>
            </w:pPr>
            <w:r w:rsidRPr="00422BC7">
              <w:rPr>
                <w:sz w:val="20"/>
                <w:szCs w:val="20"/>
              </w:rPr>
              <w:tab/>
              <w:t>Benjamin Zarnett</w:t>
            </w:r>
          </w:p>
          <w:p w:rsidR="00422BC7" w:rsidRPr="00422BC7" w:rsidRDefault="00422BC7" w:rsidP="00A37B9C">
            <w:pPr>
              <w:tabs>
                <w:tab w:val="left" w:pos="-1440"/>
                <w:tab w:val="left" w:pos="-720"/>
              </w:tabs>
              <w:rPr>
                <w:sz w:val="20"/>
                <w:szCs w:val="20"/>
              </w:rPr>
            </w:pPr>
            <w:r w:rsidRPr="00422BC7">
              <w:rPr>
                <w:sz w:val="20"/>
                <w:szCs w:val="20"/>
              </w:rPr>
              <w:tab/>
            </w:r>
            <w:r w:rsidRPr="00A37B9C">
              <w:rPr>
                <w:sz w:val="20"/>
                <w:szCs w:val="20"/>
              </w:rPr>
              <w:t>Goodmans LLP</w:t>
            </w:r>
          </w:p>
          <w:p w:rsidR="00422BC7" w:rsidRPr="00422BC7" w:rsidRDefault="00422BC7" w:rsidP="00A37B9C">
            <w:pPr>
              <w:tabs>
                <w:tab w:val="left" w:pos="-1440"/>
                <w:tab w:val="left" w:pos="-720"/>
              </w:tabs>
              <w:rPr>
                <w:sz w:val="20"/>
                <w:szCs w:val="20"/>
              </w:rPr>
            </w:pPr>
          </w:p>
          <w:p w:rsidR="00422BC7" w:rsidRDefault="00422BC7" w:rsidP="00A37B9C">
            <w:pPr>
              <w:rPr>
                <w:sz w:val="20"/>
                <w:szCs w:val="20"/>
              </w:rPr>
            </w:pPr>
            <w:r>
              <w:rPr>
                <w:sz w:val="20"/>
                <w:szCs w:val="20"/>
              </w:rPr>
              <w:t>and between</w:t>
            </w:r>
          </w:p>
          <w:p w:rsidR="00422BC7" w:rsidRDefault="00422BC7" w:rsidP="00A37B9C">
            <w:pPr>
              <w:rPr>
                <w:sz w:val="20"/>
                <w:szCs w:val="20"/>
              </w:rPr>
            </w:pPr>
          </w:p>
          <w:p w:rsidR="00422BC7" w:rsidRPr="00C9287E" w:rsidRDefault="00422BC7" w:rsidP="00422BC7">
            <w:pPr>
              <w:rPr>
                <w:b/>
                <w:sz w:val="20"/>
                <w:szCs w:val="20"/>
              </w:rPr>
            </w:pPr>
            <w:r w:rsidRPr="00C9287E">
              <w:rPr>
                <w:b/>
                <w:sz w:val="20"/>
                <w:szCs w:val="20"/>
              </w:rPr>
              <w:t xml:space="preserve">FTI Consulting Canada ULC et al. </w:t>
            </w:r>
          </w:p>
          <w:p w:rsidR="00422BC7" w:rsidRPr="00422BC7" w:rsidRDefault="00422BC7" w:rsidP="00422BC7">
            <w:pPr>
              <w:rPr>
                <w:sz w:val="20"/>
                <w:szCs w:val="20"/>
              </w:rPr>
            </w:pPr>
            <w:r w:rsidRPr="00C9287E">
              <w:rPr>
                <w:sz w:val="20"/>
                <w:szCs w:val="20"/>
              </w:rPr>
              <w:tab/>
            </w:r>
            <w:r w:rsidRPr="00422BC7">
              <w:rPr>
                <w:sz w:val="20"/>
                <w:szCs w:val="20"/>
              </w:rPr>
              <w:t>Ashley John Taylor</w:t>
            </w:r>
          </w:p>
        </w:tc>
        <w:tc>
          <w:tcPr>
            <w:tcW w:w="1181" w:type="dxa"/>
            <w:shd w:val="clear" w:color="auto" w:fill="auto"/>
          </w:tcPr>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p w:rsidR="00422BC7" w:rsidRPr="00422BC7" w:rsidRDefault="00422BC7" w:rsidP="00242AEE">
            <w:pPr>
              <w:jc w:val="center"/>
              <w:rPr>
                <w:sz w:val="20"/>
                <w:szCs w:val="20"/>
              </w:rPr>
            </w:pPr>
          </w:p>
        </w:tc>
        <w:tc>
          <w:tcPr>
            <w:tcW w:w="4320" w:type="dxa"/>
            <w:shd w:val="clear" w:color="auto" w:fill="auto"/>
          </w:tcPr>
          <w:p w:rsidR="00422BC7" w:rsidRPr="00A935AA" w:rsidRDefault="00422BC7" w:rsidP="00253894">
            <w:pPr>
              <w:keepNext/>
              <w:keepLines/>
              <w:tabs>
                <w:tab w:val="left" w:pos="-1440"/>
                <w:tab w:val="left" w:pos="-720"/>
              </w:tabs>
              <w:rPr>
                <w:b/>
                <w:sz w:val="20"/>
                <w:szCs w:val="20"/>
              </w:rPr>
            </w:pPr>
            <w:r>
              <w:rPr>
                <w:b/>
                <w:sz w:val="20"/>
                <w:szCs w:val="20"/>
              </w:rPr>
              <w:t>Her Majesty the Queen</w:t>
            </w:r>
          </w:p>
          <w:p w:rsidR="00422BC7" w:rsidRPr="00A935AA" w:rsidRDefault="00422BC7" w:rsidP="00253894">
            <w:pPr>
              <w:keepNext/>
              <w:keepLines/>
              <w:tabs>
                <w:tab w:val="left" w:pos="-1440"/>
                <w:tab w:val="left" w:pos="-720"/>
              </w:tabs>
              <w:rPr>
                <w:sz w:val="20"/>
                <w:szCs w:val="20"/>
              </w:rPr>
            </w:pPr>
            <w:r w:rsidRPr="00A935AA">
              <w:rPr>
                <w:sz w:val="20"/>
                <w:szCs w:val="20"/>
              </w:rPr>
              <w:tab/>
            </w:r>
            <w:r>
              <w:rPr>
                <w:sz w:val="20"/>
                <w:szCs w:val="20"/>
              </w:rPr>
              <w:t>William D. Delaney</w:t>
            </w:r>
          </w:p>
          <w:p w:rsidR="00422BC7" w:rsidRPr="00A935AA" w:rsidRDefault="00422BC7" w:rsidP="00253894">
            <w:pPr>
              <w:keepNext/>
              <w:keepLines/>
              <w:tabs>
                <w:tab w:val="left" w:pos="-1440"/>
                <w:tab w:val="left" w:pos="-720"/>
              </w:tabs>
              <w:rPr>
                <w:sz w:val="20"/>
                <w:szCs w:val="20"/>
              </w:rPr>
            </w:pPr>
            <w:r w:rsidRPr="00A935AA">
              <w:rPr>
                <w:sz w:val="20"/>
                <w:szCs w:val="20"/>
              </w:rPr>
              <w:tab/>
            </w:r>
            <w:r>
              <w:rPr>
                <w:sz w:val="20"/>
                <w:szCs w:val="20"/>
              </w:rPr>
              <w:t xml:space="preserve">Public Prosecution Service of Nova </w:t>
            </w:r>
            <w:r>
              <w:rPr>
                <w:sz w:val="20"/>
                <w:szCs w:val="20"/>
              </w:rPr>
              <w:tab/>
              <w:t>Scotia</w:t>
            </w:r>
          </w:p>
          <w:p w:rsidR="00422BC7" w:rsidRPr="00A935AA" w:rsidRDefault="00422BC7" w:rsidP="00253894">
            <w:pPr>
              <w:keepNext/>
              <w:keepLines/>
              <w:tabs>
                <w:tab w:val="left" w:pos="-1440"/>
                <w:tab w:val="left" w:pos="-720"/>
              </w:tabs>
              <w:rPr>
                <w:sz w:val="20"/>
                <w:szCs w:val="20"/>
              </w:rPr>
            </w:pPr>
          </w:p>
          <w:p w:rsidR="00422BC7" w:rsidRPr="00A37B9C" w:rsidRDefault="00422BC7" w:rsidP="00253894">
            <w:pPr>
              <w:keepNext/>
              <w:keepLines/>
              <w:tabs>
                <w:tab w:val="left" w:pos="-1440"/>
                <w:tab w:val="left" w:pos="-720"/>
              </w:tabs>
              <w:rPr>
                <w:sz w:val="20"/>
                <w:szCs w:val="20"/>
              </w:rPr>
            </w:pPr>
            <w:r w:rsidRPr="00A935AA">
              <w:rPr>
                <w:sz w:val="20"/>
                <w:szCs w:val="20"/>
              </w:rPr>
              <w:tab/>
            </w:r>
            <w:r w:rsidRPr="00A37B9C">
              <w:rPr>
                <w:sz w:val="20"/>
                <w:szCs w:val="20"/>
              </w:rPr>
              <w:t>v. (34</w:t>
            </w:r>
            <w:r>
              <w:rPr>
                <w:sz w:val="20"/>
                <w:szCs w:val="20"/>
              </w:rPr>
              <w:t>272</w:t>
            </w:r>
            <w:r w:rsidRPr="00A37B9C">
              <w:rPr>
                <w:sz w:val="20"/>
                <w:szCs w:val="20"/>
              </w:rPr>
              <w:t>)</w:t>
            </w:r>
          </w:p>
          <w:p w:rsidR="00422BC7" w:rsidRPr="00A37B9C" w:rsidRDefault="00422BC7" w:rsidP="00253894">
            <w:pPr>
              <w:keepNext/>
              <w:keepLines/>
              <w:tabs>
                <w:tab w:val="left" w:pos="-1440"/>
                <w:tab w:val="left" w:pos="-720"/>
              </w:tabs>
              <w:rPr>
                <w:sz w:val="20"/>
                <w:szCs w:val="20"/>
              </w:rPr>
            </w:pPr>
          </w:p>
          <w:p w:rsidR="00422BC7" w:rsidRPr="00A37B9C" w:rsidRDefault="00422BC7" w:rsidP="00253894">
            <w:pPr>
              <w:keepNext/>
              <w:keepLines/>
              <w:tabs>
                <w:tab w:val="left" w:pos="-1440"/>
                <w:tab w:val="left" w:pos="-720"/>
              </w:tabs>
              <w:rPr>
                <w:b/>
                <w:sz w:val="20"/>
                <w:szCs w:val="20"/>
              </w:rPr>
            </w:pPr>
            <w:r>
              <w:rPr>
                <w:b/>
                <w:sz w:val="20"/>
                <w:szCs w:val="20"/>
              </w:rPr>
              <w:t xml:space="preserve">N.P.R. </w:t>
            </w:r>
            <w:r w:rsidRPr="00A37B9C">
              <w:rPr>
                <w:b/>
                <w:sz w:val="20"/>
                <w:szCs w:val="20"/>
              </w:rPr>
              <w:t>(</w:t>
            </w:r>
            <w:r>
              <w:rPr>
                <w:b/>
                <w:sz w:val="20"/>
                <w:szCs w:val="20"/>
              </w:rPr>
              <w:t>F</w:t>
            </w:r>
            <w:r w:rsidRPr="00A37B9C">
              <w:rPr>
                <w:b/>
                <w:sz w:val="20"/>
                <w:szCs w:val="20"/>
              </w:rPr>
              <w:t>.</w:t>
            </w:r>
            <w:r>
              <w:rPr>
                <w:b/>
                <w:sz w:val="20"/>
                <w:szCs w:val="20"/>
              </w:rPr>
              <w:t>C.</w:t>
            </w:r>
            <w:r w:rsidRPr="00A37B9C">
              <w:rPr>
                <w:b/>
                <w:sz w:val="20"/>
                <w:szCs w:val="20"/>
              </w:rPr>
              <w:t>)</w:t>
            </w:r>
          </w:p>
          <w:p w:rsidR="00422BC7" w:rsidRPr="00A37B9C" w:rsidRDefault="00422BC7" w:rsidP="00253894">
            <w:pPr>
              <w:keepNext/>
              <w:keepLines/>
              <w:tabs>
                <w:tab w:val="left" w:pos="-1440"/>
                <w:tab w:val="left" w:pos="-720"/>
              </w:tabs>
              <w:rPr>
                <w:sz w:val="20"/>
                <w:szCs w:val="20"/>
              </w:rPr>
            </w:pPr>
            <w:r w:rsidRPr="00A37B9C">
              <w:rPr>
                <w:sz w:val="20"/>
                <w:szCs w:val="20"/>
              </w:rPr>
              <w:tab/>
            </w:r>
            <w:r>
              <w:rPr>
                <w:sz w:val="20"/>
                <w:szCs w:val="20"/>
              </w:rPr>
              <w:t>Joel E. Pink</w:t>
            </w:r>
          </w:p>
          <w:p w:rsidR="00422BC7" w:rsidRPr="00A37B9C" w:rsidRDefault="00422BC7" w:rsidP="00253894">
            <w:pPr>
              <w:keepNext/>
              <w:keepLines/>
              <w:tabs>
                <w:tab w:val="left" w:pos="-1440"/>
                <w:tab w:val="left" w:pos="-720"/>
              </w:tabs>
              <w:rPr>
                <w:sz w:val="20"/>
                <w:szCs w:val="20"/>
              </w:rPr>
            </w:pPr>
            <w:r w:rsidRPr="00A37B9C">
              <w:rPr>
                <w:sz w:val="20"/>
                <w:szCs w:val="20"/>
              </w:rPr>
              <w:tab/>
            </w:r>
            <w:r>
              <w:rPr>
                <w:sz w:val="20"/>
                <w:szCs w:val="20"/>
              </w:rPr>
              <w:t>Joel E. Pink Law Inc.</w:t>
            </w:r>
          </w:p>
          <w:p w:rsidR="00422BC7" w:rsidRPr="00A37B9C" w:rsidRDefault="00422BC7" w:rsidP="00253894">
            <w:pPr>
              <w:keepNext/>
              <w:keepLines/>
              <w:tabs>
                <w:tab w:val="left" w:pos="-1440"/>
                <w:tab w:val="left" w:pos="-720"/>
              </w:tabs>
              <w:rPr>
                <w:sz w:val="20"/>
                <w:szCs w:val="20"/>
              </w:rPr>
            </w:pPr>
          </w:p>
          <w:p w:rsidR="00422BC7" w:rsidRPr="00A935AA" w:rsidRDefault="00422BC7" w:rsidP="00253894">
            <w:pPr>
              <w:rPr>
                <w:sz w:val="20"/>
                <w:szCs w:val="20"/>
              </w:rPr>
            </w:pPr>
            <w:r w:rsidRPr="00A935AA">
              <w:rPr>
                <w:sz w:val="20"/>
                <w:szCs w:val="20"/>
              </w:rPr>
              <w:t>FILING DATE: 2</w:t>
            </w:r>
            <w:r>
              <w:rPr>
                <w:sz w:val="20"/>
                <w:szCs w:val="20"/>
              </w:rPr>
              <w:t>6</w:t>
            </w:r>
            <w:r w:rsidRPr="00A935AA">
              <w:rPr>
                <w:sz w:val="20"/>
                <w:szCs w:val="20"/>
              </w:rPr>
              <w:t>.0</w:t>
            </w:r>
            <w:r>
              <w:rPr>
                <w:sz w:val="20"/>
                <w:szCs w:val="20"/>
              </w:rPr>
              <w:t>5</w:t>
            </w:r>
            <w:r w:rsidRPr="00A935AA">
              <w:rPr>
                <w:sz w:val="20"/>
                <w:szCs w:val="20"/>
              </w:rPr>
              <w:t>.201</w:t>
            </w:r>
            <w:r>
              <w:rPr>
                <w:sz w:val="20"/>
                <w:szCs w:val="20"/>
              </w:rPr>
              <w:t>1</w:t>
            </w:r>
            <w:r w:rsidR="00EE1200" w:rsidRPr="00EE1200">
              <w:rPr>
                <w:sz w:val="20"/>
                <w:szCs w:val="20"/>
                <w:lang w:val="fr-CA"/>
              </w:rPr>
              <w:pict>
                <v:rect id="_x0000_i1026" style="width:108pt;height:1pt" o:hrpct="0" o:hralign="center" o:hrstd="t" o:hrnoshade="t" o:hr="t" fillcolor="black [3213]" stroked="f"/>
              </w:pict>
            </w:r>
          </w:p>
        </w:tc>
      </w:tr>
      <w:tr w:rsidR="00A37B9C" w:rsidRPr="00A935AA" w:rsidTr="003B3977">
        <w:trPr>
          <w:cantSplit/>
        </w:trPr>
        <w:tc>
          <w:tcPr>
            <w:tcW w:w="4320" w:type="dxa"/>
            <w:shd w:val="clear" w:color="auto" w:fill="auto"/>
          </w:tcPr>
          <w:p w:rsidR="00A37B9C" w:rsidRPr="00422BC7" w:rsidRDefault="00A37B9C" w:rsidP="00A37B9C">
            <w:pPr>
              <w:tabs>
                <w:tab w:val="left" w:pos="-1440"/>
                <w:tab w:val="left" w:pos="-720"/>
              </w:tabs>
              <w:rPr>
                <w:sz w:val="20"/>
                <w:szCs w:val="20"/>
              </w:rPr>
            </w:pPr>
            <w:r w:rsidRPr="00422BC7">
              <w:rPr>
                <w:sz w:val="20"/>
                <w:szCs w:val="20"/>
              </w:rPr>
              <w:tab/>
            </w:r>
            <w:r w:rsidR="00422BC7" w:rsidRPr="00422BC7">
              <w:rPr>
                <w:sz w:val="20"/>
                <w:szCs w:val="20"/>
              </w:rPr>
              <w:t>Stikeman Elliott LLP</w:t>
            </w:r>
          </w:p>
          <w:p w:rsidR="00A37B9C" w:rsidRPr="00422BC7" w:rsidRDefault="00A37B9C" w:rsidP="00A37B9C">
            <w:pPr>
              <w:tabs>
                <w:tab w:val="left" w:pos="-1440"/>
                <w:tab w:val="left" w:pos="-720"/>
              </w:tabs>
              <w:rPr>
                <w:sz w:val="20"/>
                <w:szCs w:val="20"/>
              </w:rPr>
            </w:pPr>
          </w:p>
          <w:p w:rsidR="00A37B9C" w:rsidRPr="00422BC7" w:rsidRDefault="00A37B9C" w:rsidP="00A37B9C">
            <w:pPr>
              <w:tabs>
                <w:tab w:val="left" w:pos="-1440"/>
                <w:tab w:val="left" w:pos="-720"/>
              </w:tabs>
              <w:rPr>
                <w:sz w:val="20"/>
                <w:szCs w:val="20"/>
              </w:rPr>
            </w:pPr>
            <w:r w:rsidRPr="00422BC7">
              <w:rPr>
                <w:sz w:val="20"/>
                <w:szCs w:val="20"/>
              </w:rPr>
              <w:tab/>
              <w:t>v. (34</w:t>
            </w:r>
            <w:r w:rsidR="00422BC7" w:rsidRPr="00422BC7">
              <w:rPr>
                <w:sz w:val="20"/>
                <w:szCs w:val="20"/>
              </w:rPr>
              <w:t>308</w:t>
            </w:r>
            <w:r w:rsidRPr="00422BC7">
              <w:rPr>
                <w:sz w:val="20"/>
                <w:szCs w:val="20"/>
              </w:rPr>
              <w:t>)</w:t>
            </w:r>
          </w:p>
          <w:p w:rsidR="00A37B9C" w:rsidRPr="00422BC7" w:rsidRDefault="00A37B9C" w:rsidP="00A37B9C">
            <w:pPr>
              <w:tabs>
                <w:tab w:val="left" w:pos="-1440"/>
                <w:tab w:val="left" w:pos="-720"/>
              </w:tabs>
              <w:rPr>
                <w:sz w:val="20"/>
                <w:szCs w:val="20"/>
              </w:rPr>
            </w:pPr>
          </w:p>
          <w:p w:rsidR="00A37B9C" w:rsidRPr="00C9287E" w:rsidRDefault="00422BC7" w:rsidP="00A37B9C">
            <w:pPr>
              <w:tabs>
                <w:tab w:val="left" w:pos="-1440"/>
                <w:tab w:val="left" w:pos="-720"/>
              </w:tabs>
              <w:rPr>
                <w:b/>
                <w:sz w:val="20"/>
                <w:szCs w:val="20"/>
              </w:rPr>
            </w:pPr>
            <w:r w:rsidRPr="00C9287E">
              <w:rPr>
                <w:b/>
                <w:sz w:val="20"/>
                <w:szCs w:val="20"/>
              </w:rPr>
              <w:t xml:space="preserve">Keith Carruthers et al. </w:t>
            </w:r>
            <w:r w:rsidR="00A37B9C" w:rsidRPr="00C9287E">
              <w:rPr>
                <w:b/>
                <w:sz w:val="20"/>
                <w:szCs w:val="20"/>
              </w:rPr>
              <w:t>(</w:t>
            </w:r>
            <w:r w:rsidRPr="00C9287E">
              <w:rPr>
                <w:b/>
                <w:sz w:val="20"/>
                <w:szCs w:val="20"/>
              </w:rPr>
              <w:t>Ont</w:t>
            </w:r>
            <w:r w:rsidR="00A37B9C" w:rsidRPr="00C9287E">
              <w:rPr>
                <w:b/>
                <w:sz w:val="20"/>
                <w:szCs w:val="20"/>
              </w:rPr>
              <w:t>.)</w:t>
            </w:r>
          </w:p>
          <w:p w:rsidR="00A37B9C" w:rsidRPr="00C9287E" w:rsidRDefault="00A37B9C" w:rsidP="00A37B9C">
            <w:pPr>
              <w:tabs>
                <w:tab w:val="left" w:pos="-1440"/>
                <w:tab w:val="left" w:pos="-720"/>
              </w:tabs>
              <w:rPr>
                <w:sz w:val="20"/>
                <w:szCs w:val="20"/>
              </w:rPr>
            </w:pPr>
            <w:r w:rsidRPr="00C9287E">
              <w:rPr>
                <w:sz w:val="20"/>
                <w:szCs w:val="20"/>
              </w:rPr>
              <w:tab/>
            </w:r>
            <w:r w:rsidR="00422BC7" w:rsidRPr="00C9287E">
              <w:rPr>
                <w:sz w:val="20"/>
                <w:szCs w:val="20"/>
              </w:rPr>
              <w:t>Andrew J. Hatnay</w:t>
            </w:r>
          </w:p>
          <w:p w:rsidR="00A37B9C" w:rsidRPr="00C9287E" w:rsidRDefault="00A37B9C" w:rsidP="00A37B9C">
            <w:pPr>
              <w:tabs>
                <w:tab w:val="left" w:pos="-1440"/>
                <w:tab w:val="left" w:pos="-720"/>
              </w:tabs>
              <w:rPr>
                <w:sz w:val="20"/>
                <w:szCs w:val="20"/>
              </w:rPr>
            </w:pPr>
            <w:r w:rsidRPr="00C9287E">
              <w:rPr>
                <w:sz w:val="20"/>
                <w:szCs w:val="20"/>
              </w:rPr>
              <w:tab/>
            </w:r>
            <w:r w:rsidR="00422BC7" w:rsidRPr="00C9287E">
              <w:rPr>
                <w:sz w:val="20"/>
                <w:szCs w:val="20"/>
              </w:rPr>
              <w:t>Koskie Minsky LLP</w:t>
            </w:r>
          </w:p>
          <w:p w:rsidR="00A37B9C" w:rsidRPr="00C9287E" w:rsidRDefault="00A37B9C" w:rsidP="00A37B9C">
            <w:pPr>
              <w:tabs>
                <w:tab w:val="left" w:pos="-1440"/>
                <w:tab w:val="left" w:pos="-720"/>
              </w:tabs>
              <w:rPr>
                <w:sz w:val="20"/>
                <w:szCs w:val="20"/>
              </w:rPr>
            </w:pPr>
          </w:p>
          <w:p w:rsidR="00422BC7" w:rsidRPr="00A935AA" w:rsidRDefault="00422BC7" w:rsidP="00422BC7">
            <w:pPr>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6</w:t>
            </w:r>
            <w:r w:rsidRPr="00A935AA">
              <w:rPr>
                <w:sz w:val="20"/>
                <w:szCs w:val="20"/>
              </w:rPr>
              <w:t>.201</w:t>
            </w:r>
            <w:r>
              <w:rPr>
                <w:sz w:val="20"/>
                <w:szCs w:val="20"/>
              </w:rPr>
              <w:t>1</w:t>
            </w:r>
          </w:p>
          <w:p w:rsidR="00A37B9C" w:rsidRPr="00422BC7" w:rsidRDefault="00EE1200" w:rsidP="00A37B9C">
            <w:pPr>
              <w:rPr>
                <w:sz w:val="20"/>
                <w:szCs w:val="20"/>
              </w:rPr>
            </w:pPr>
            <w:r w:rsidRPr="00EE1200">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p w:rsidR="00A37B9C" w:rsidRPr="00422BC7" w:rsidRDefault="00A37B9C" w:rsidP="00242AEE">
            <w:pPr>
              <w:jc w:val="center"/>
              <w:rPr>
                <w:sz w:val="20"/>
                <w:szCs w:val="20"/>
              </w:rPr>
            </w:pPr>
          </w:p>
        </w:tc>
        <w:tc>
          <w:tcPr>
            <w:tcW w:w="4320" w:type="dxa"/>
            <w:shd w:val="clear" w:color="auto" w:fill="auto"/>
          </w:tcPr>
          <w:p w:rsidR="00253894" w:rsidRDefault="00253894" w:rsidP="00A37B9C">
            <w:pPr>
              <w:keepNext/>
              <w:keepLines/>
              <w:tabs>
                <w:tab w:val="left" w:pos="-1440"/>
                <w:tab w:val="left" w:pos="-720"/>
              </w:tabs>
              <w:rPr>
                <w:b/>
                <w:sz w:val="20"/>
                <w:szCs w:val="20"/>
              </w:rPr>
            </w:pPr>
          </w:p>
          <w:p w:rsidR="00A37B9C" w:rsidRPr="00C9287E" w:rsidRDefault="00253894" w:rsidP="00A37B9C">
            <w:pPr>
              <w:keepNext/>
              <w:keepLines/>
              <w:tabs>
                <w:tab w:val="left" w:pos="-1440"/>
                <w:tab w:val="left" w:pos="-720"/>
              </w:tabs>
              <w:rPr>
                <w:b/>
                <w:sz w:val="20"/>
                <w:szCs w:val="20"/>
                <w:lang w:val="fr-CA"/>
              </w:rPr>
            </w:pPr>
            <w:r w:rsidRPr="00C9287E">
              <w:rPr>
                <w:b/>
                <w:sz w:val="20"/>
                <w:szCs w:val="20"/>
                <w:lang w:val="fr-CA"/>
              </w:rPr>
              <w:t>Alain Painchaud</w:t>
            </w:r>
          </w:p>
          <w:p w:rsidR="00A37B9C" w:rsidRPr="00C9287E" w:rsidRDefault="00A37B9C" w:rsidP="00A37B9C">
            <w:pPr>
              <w:keepNext/>
              <w:keepLines/>
              <w:tabs>
                <w:tab w:val="left" w:pos="-1440"/>
                <w:tab w:val="left" w:pos="-720"/>
              </w:tabs>
              <w:rPr>
                <w:sz w:val="20"/>
                <w:szCs w:val="20"/>
                <w:lang w:val="fr-CA"/>
              </w:rPr>
            </w:pPr>
            <w:r w:rsidRPr="00C9287E">
              <w:rPr>
                <w:sz w:val="20"/>
                <w:szCs w:val="20"/>
                <w:lang w:val="fr-CA"/>
              </w:rPr>
              <w:tab/>
            </w:r>
            <w:r w:rsidR="00253894" w:rsidRPr="00C9287E">
              <w:rPr>
                <w:sz w:val="20"/>
                <w:szCs w:val="20"/>
                <w:lang w:val="fr-CA"/>
              </w:rPr>
              <w:t>Alain Painchaud</w:t>
            </w:r>
          </w:p>
          <w:p w:rsidR="00A37B9C" w:rsidRPr="00C9287E" w:rsidRDefault="00A37B9C" w:rsidP="00A37B9C">
            <w:pPr>
              <w:keepNext/>
              <w:keepLines/>
              <w:tabs>
                <w:tab w:val="left" w:pos="-1440"/>
                <w:tab w:val="left" w:pos="-720"/>
              </w:tabs>
              <w:rPr>
                <w:sz w:val="20"/>
                <w:szCs w:val="20"/>
                <w:lang w:val="fr-CA"/>
              </w:rPr>
            </w:pPr>
          </w:p>
          <w:p w:rsidR="00A37B9C" w:rsidRPr="00C9287E" w:rsidRDefault="00A37B9C" w:rsidP="00A37B9C">
            <w:pPr>
              <w:keepNext/>
              <w:keepLines/>
              <w:tabs>
                <w:tab w:val="left" w:pos="-1440"/>
                <w:tab w:val="left" w:pos="-720"/>
              </w:tabs>
              <w:rPr>
                <w:sz w:val="20"/>
                <w:szCs w:val="20"/>
                <w:lang w:val="fr-CA"/>
              </w:rPr>
            </w:pPr>
            <w:r w:rsidRPr="00C9287E">
              <w:rPr>
                <w:sz w:val="20"/>
                <w:szCs w:val="20"/>
                <w:lang w:val="fr-CA"/>
              </w:rPr>
              <w:tab/>
            </w:r>
            <w:r w:rsidR="00253894" w:rsidRPr="00C9287E">
              <w:rPr>
                <w:sz w:val="20"/>
                <w:szCs w:val="20"/>
                <w:lang w:val="fr-CA"/>
              </w:rPr>
              <w:t>c</w:t>
            </w:r>
            <w:r w:rsidRPr="00C9287E">
              <w:rPr>
                <w:sz w:val="20"/>
                <w:szCs w:val="20"/>
                <w:lang w:val="fr-CA"/>
              </w:rPr>
              <w:t>. (34</w:t>
            </w:r>
            <w:r w:rsidR="00253894" w:rsidRPr="00C9287E">
              <w:rPr>
                <w:sz w:val="20"/>
                <w:szCs w:val="20"/>
                <w:lang w:val="fr-CA"/>
              </w:rPr>
              <w:t>320</w:t>
            </w:r>
            <w:r w:rsidRPr="00C9287E">
              <w:rPr>
                <w:sz w:val="20"/>
                <w:szCs w:val="20"/>
                <w:lang w:val="fr-CA"/>
              </w:rPr>
              <w:t>)</w:t>
            </w:r>
          </w:p>
          <w:p w:rsidR="00A37B9C" w:rsidRPr="00C9287E" w:rsidRDefault="00A37B9C" w:rsidP="00A37B9C">
            <w:pPr>
              <w:keepNext/>
              <w:keepLines/>
              <w:tabs>
                <w:tab w:val="left" w:pos="-1440"/>
                <w:tab w:val="left" w:pos="-720"/>
              </w:tabs>
              <w:rPr>
                <w:sz w:val="20"/>
                <w:szCs w:val="20"/>
                <w:lang w:val="fr-CA"/>
              </w:rPr>
            </w:pPr>
          </w:p>
          <w:p w:rsidR="00A37B9C" w:rsidRPr="00253894" w:rsidRDefault="00253894" w:rsidP="00A37B9C">
            <w:pPr>
              <w:keepNext/>
              <w:keepLines/>
              <w:tabs>
                <w:tab w:val="left" w:pos="-1440"/>
                <w:tab w:val="left" w:pos="-720"/>
              </w:tabs>
              <w:rPr>
                <w:b/>
                <w:sz w:val="20"/>
                <w:szCs w:val="20"/>
                <w:lang w:val="fr-CA"/>
              </w:rPr>
            </w:pPr>
            <w:r w:rsidRPr="00253894">
              <w:rPr>
                <w:b/>
                <w:sz w:val="20"/>
                <w:szCs w:val="20"/>
                <w:lang w:val="fr-CA"/>
              </w:rPr>
              <w:t xml:space="preserve">Usinage M.D. </w:t>
            </w:r>
            <w:r w:rsidR="00C27D6C">
              <w:rPr>
                <w:b/>
                <w:sz w:val="20"/>
                <w:szCs w:val="20"/>
                <w:lang w:val="fr-CA"/>
              </w:rPr>
              <w:t>(</w:t>
            </w:r>
            <w:r w:rsidRPr="00253894">
              <w:rPr>
                <w:b/>
                <w:sz w:val="20"/>
                <w:szCs w:val="20"/>
                <w:lang w:val="fr-CA"/>
              </w:rPr>
              <w:t>2006</w:t>
            </w:r>
            <w:r w:rsidR="00C27D6C">
              <w:rPr>
                <w:b/>
                <w:sz w:val="20"/>
                <w:szCs w:val="20"/>
                <w:lang w:val="fr-CA"/>
              </w:rPr>
              <w:t>)</w:t>
            </w:r>
            <w:r w:rsidRPr="00253894">
              <w:rPr>
                <w:b/>
                <w:sz w:val="20"/>
                <w:szCs w:val="20"/>
                <w:lang w:val="fr-CA"/>
              </w:rPr>
              <w:t xml:space="preserve"> Inc., Michel Duchaine et Daniel Duchaine et autre </w:t>
            </w:r>
            <w:r w:rsidR="00A37B9C" w:rsidRPr="00253894">
              <w:rPr>
                <w:b/>
                <w:sz w:val="20"/>
                <w:szCs w:val="20"/>
                <w:lang w:val="fr-CA"/>
              </w:rPr>
              <w:t>(</w:t>
            </w:r>
            <w:r w:rsidRPr="00253894">
              <w:rPr>
                <w:b/>
                <w:sz w:val="20"/>
                <w:szCs w:val="20"/>
                <w:lang w:val="fr-CA"/>
              </w:rPr>
              <w:t>Qc</w:t>
            </w:r>
            <w:r w:rsidR="00A37B9C" w:rsidRPr="00253894">
              <w:rPr>
                <w:b/>
                <w:sz w:val="20"/>
                <w:szCs w:val="20"/>
                <w:lang w:val="fr-CA"/>
              </w:rPr>
              <w:t>)</w:t>
            </w:r>
          </w:p>
          <w:p w:rsidR="00A37B9C" w:rsidRPr="00253894" w:rsidRDefault="00A37B9C" w:rsidP="00A37B9C">
            <w:pPr>
              <w:keepNext/>
              <w:keepLines/>
              <w:tabs>
                <w:tab w:val="left" w:pos="-1440"/>
                <w:tab w:val="left" w:pos="-720"/>
              </w:tabs>
              <w:rPr>
                <w:sz w:val="20"/>
                <w:szCs w:val="20"/>
                <w:lang w:val="fr-CA"/>
              </w:rPr>
            </w:pPr>
            <w:r w:rsidRPr="00253894">
              <w:rPr>
                <w:sz w:val="20"/>
                <w:szCs w:val="20"/>
                <w:lang w:val="fr-CA"/>
              </w:rPr>
              <w:tab/>
            </w:r>
            <w:r w:rsidR="003040DA">
              <w:rPr>
                <w:sz w:val="20"/>
                <w:szCs w:val="20"/>
                <w:lang w:val="fr-CA"/>
              </w:rPr>
              <w:t>Fernand Moisan</w:t>
            </w:r>
          </w:p>
          <w:p w:rsidR="00A37B9C" w:rsidRPr="00253894" w:rsidRDefault="00A37B9C" w:rsidP="00A37B9C">
            <w:pPr>
              <w:keepNext/>
              <w:keepLines/>
              <w:tabs>
                <w:tab w:val="left" w:pos="-1440"/>
                <w:tab w:val="left" w:pos="-720"/>
              </w:tabs>
              <w:rPr>
                <w:sz w:val="20"/>
                <w:szCs w:val="20"/>
                <w:lang w:val="fr-CA"/>
              </w:rPr>
            </w:pPr>
            <w:r w:rsidRPr="00253894">
              <w:rPr>
                <w:sz w:val="20"/>
                <w:szCs w:val="20"/>
                <w:lang w:val="fr-CA"/>
              </w:rPr>
              <w:tab/>
            </w:r>
            <w:r w:rsidR="003040DA">
              <w:rPr>
                <w:sz w:val="20"/>
                <w:szCs w:val="20"/>
                <w:lang w:val="fr-CA"/>
              </w:rPr>
              <w:t>Barakatt, Harvey</w:t>
            </w:r>
          </w:p>
          <w:p w:rsidR="00A37B9C" w:rsidRPr="00253894" w:rsidRDefault="00A37B9C" w:rsidP="00A37B9C">
            <w:pPr>
              <w:keepNext/>
              <w:keepLines/>
              <w:tabs>
                <w:tab w:val="left" w:pos="-1440"/>
                <w:tab w:val="left" w:pos="-720"/>
              </w:tabs>
              <w:rPr>
                <w:sz w:val="20"/>
                <w:szCs w:val="20"/>
                <w:lang w:val="fr-CA"/>
              </w:rPr>
            </w:pPr>
          </w:p>
          <w:p w:rsidR="00A37B9C" w:rsidRPr="00A935AA" w:rsidRDefault="00A37B9C" w:rsidP="003040DA">
            <w:pPr>
              <w:rPr>
                <w:sz w:val="20"/>
                <w:szCs w:val="20"/>
              </w:rPr>
            </w:pPr>
            <w:r w:rsidRPr="00A935AA">
              <w:rPr>
                <w:sz w:val="20"/>
                <w:szCs w:val="20"/>
              </w:rPr>
              <w:t>DATE</w:t>
            </w:r>
            <w:r w:rsidR="003040DA">
              <w:rPr>
                <w:sz w:val="20"/>
                <w:szCs w:val="20"/>
              </w:rPr>
              <w:t xml:space="preserve"> DE PRODUCTION </w:t>
            </w:r>
            <w:r w:rsidRPr="00A935AA">
              <w:rPr>
                <w:sz w:val="20"/>
                <w:szCs w:val="20"/>
              </w:rPr>
              <w:t xml:space="preserve">: </w:t>
            </w:r>
            <w:r w:rsidR="003040DA">
              <w:rPr>
                <w:sz w:val="20"/>
                <w:szCs w:val="20"/>
              </w:rPr>
              <w:t>06</w:t>
            </w:r>
            <w:r w:rsidRPr="00A935AA">
              <w:rPr>
                <w:sz w:val="20"/>
                <w:szCs w:val="20"/>
              </w:rPr>
              <w:t>.0</w:t>
            </w:r>
            <w:r w:rsidR="003040DA">
              <w:rPr>
                <w:sz w:val="20"/>
                <w:szCs w:val="20"/>
              </w:rPr>
              <w:t>6</w:t>
            </w:r>
            <w:r w:rsidRPr="00A935AA">
              <w:rPr>
                <w:sz w:val="20"/>
                <w:szCs w:val="20"/>
              </w:rPr>
              <w:t>.201</w:t>
            </w:r>
            <w:r>
              <w:rPr>
                <w:sz w:val="20"/>
                <w:szCs w:val="20"/>
              </w:rPr>
              <w:t>1</w:t>
            </w:r>
            <w:r w:rsidR="00EE1200" w:rsidRPr="00EE1200">
              <w:rPr>
                <w:sz w:val="20"/>
                <w:szCs w:val="20"/>
                <w:lang w:val="fr-CA"/>
              </w:rPr>
              <w:pict>
                <v:rect id="_x0000_i1028"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65268">
          <w:headerReference w:type="default" r:id="rId14"/>
          <w:footerReference w:type="default" r:id="rId15"/>
          <w:headerReference w:type="first" r:id="rId16"/>
          <w:footerReference w:type="first" r:id="rId17"/>
          <w:pgSz w:w="12240" w:h="15840"/>
          <w:pgMar w:top="720" w:right="965" w:bottom="1080" w:left="1656" w:header="706" w:footer="706" w:gutter="0"/>
          <w:pgNumType w:start="106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F03CF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C9287E">
              <w:rPr>
                <w:b/>
                <w:szCs w:val="24"/>
                <w:lang w:val="fr-CA"/>
              </w:rPr>
              <w:t xml:space="preserve">DEMANDES SOUMISES </w:t>
            </w:r>
            <w:r w:rsidRPr="001D0D5F">
              <w:rPr>
                <w:b/>
                <w:szCs w:val="24"/>
                <w:lang w:val="fr-CA"/>
              </w:rPr>
              <w:t>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5E28FA" w:rsidP="003359D3">
      <w:pPr>
        <w:widowControl w:val="0"/>
        <w:rPr>
          <w:b/>
          <w:sz w:val="20"/>
          <w:szCs w:val="20"/>
        </w:rPr>
      </w:pPr>
      <w:r>
        <w:rPr>
          <w:b/>
          <w:sz w:val="20"/>
          <w:szCs w:val="20"/>
        </w:rPr>
        <w:t>JULY</w:t>
      </w:r>
      <w:r w:rsidR="003359D3" w:rsidRPr="00C50A5C">
        <w:rPr>
          <w:b/>
          <w:sz w:val="20"/>
          <w:szCs w:val="20"/>
        </w:rPr>
        <w:t xml:space="preserve"> </w:t>
      </w:r>
      <w:r w:rsidR="003359D3">
        <w:rPr>
          <w:b/>
          <w:sz w:val="20"/>
          <w:szCs w:val="20"/>
        </w:rPr>
        <w:t>11</w:t>
      </w:r>
      <w:r w:rsidR="003359D3" w:rsidRPr="00C50A5C">
        <w:rPr>
          <w:b/>
          <w:sz w:val="20"/>
          <w:szCs w:val="20"/>
        </w:rPr>
        <w:t>, 201</w:t>
      </w:r>
      <w:r w:rsidR="003359D3">
        <w:rPr>
          <w:b/>
          <w:sz w:val="20"/>
          <w:szCs w:val="20"/>
        </w:rPr>
        <w:t>1</w:t>
      </w:r>
      <w:r w:rsidR="003359D3" w:rsidRPr="00C50A5C">
        <w:rPr>
          <w:b/>
          <w:sz w:val="20"/>
          <w:szCs w:val="20"/>
        </w:rPr>
        <w:t xml:space="preserve"> / LE </w:t>
      </w:r>
      <w:r w:rsidR="003359D3">
        <w:rPr>
          <w:b/>
          <w:sz w:val="20"/>
          <w:szCs w:val="20"/>
        </w:rPr>
        <w:t>11</w:t>
      </w:r>
      <w:r w:rsidR="003359D3" w:rsidRPr="00C50A5C">
        <w:rPr>
          <w:b/>
          <w:sz w:val="20"/>
          <w:szCs w:val="20"/>
        </w:rPr>
        <w:t xml:space="preserve"> </w:t>
      </w:r>
      <w:r>
        <w:rPr>
          <w:b/>
          <w:sz w:val="20"/>
          <w:szCs w:val="20"/>
        </w:rPr>
        <w:t>JU</w:t>
      </w:r>
      <w:r w:rsidR="003359D3" w:rsidRPr="00C50A5C">
        <w:rPr>
          <w:b/>
          <w:sz w:val="20"/>
          <w:szCs w:val="20"/>
        </w:rPr>
        <w:t>I</w:t>
      </w:r>
      <w:r w:rsidR="003359D3">
        <w:rPr>
          <w:b/>
          <w:sz w:val="20"/>
          <w:szCs w:val="20"/>
        </w:rPr>
        <w:t>L</w:t>
      </w:r>
      <w:r>
        <w:rPr>
          <w:b/>
          <w:sz w:val="20"/>
          <w:szCs w:val="20"/>
        </w:rPr>
        <w:t>LET</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3359D3" w:rsidRPr="00C9287E" w:rsidRDefault="00C9287E" w:rsidP="003359D3">
      <w:pPr>
        <w:pStyle w:val="ListParagraph"/>
        <w:widowControl w:val="0"/>
        <w:numPr>
          <w:ilvl w:val="0"/>
          <w:numId w:val="1"/>
        </w:numPr>
        <w:ind w:hanging="720"/>
        <w:jc w:val="both"/>
        <w:rPr>
          <w:sz w:val="20"/>
          <w:szCs w:val="20"/>
          <w:lang w:val="fr-CA"/>
        </w:rPr>
      </w:pPr>
      <w:r w:rsidRPr="00C9287E">
        <w:rPr>
          <w:i/>
          <w:sz w:val="20"/>
          <w:szCs w:val="20"/>
          <w:lang w:val="fr-CA"/>
        </w:rPr>
        <w:t>Daniel Dusseault c. Sa Majesté la Reine</w:t>
      </w:r>
      <w:r w:rsidRPr="00C9287E">
        <w:rPr>
          <w:sz w:val="20"/>
          <w:szCs w:val="20"/>
          <w:lang w:val="fr-CA"/>
        </w:rPr>
        <w:t xml:space="preserve"> (Qc) (Crim</w:t>
      </w:r>
      <w:r w:rsidR="00E846C0">
        <w:rPr>
          <w:sz w:val="20"/>
          <w:szCs w:val="20"/>
          <w:lang w:val="fr-CA"/>
        </w:rPr>
        <w:t>.</w:t>
      </w:r>
      <w:r w:rsidR="00303DBE">
        <w:rPr>
          <w:sz w:val="20"/>
          <w:szCs w:val="20"/>
          <w:lang w:val="fr-CA"/>
        </w:rPr>
        <w:t>z</w:t>
      </w:r>
      <w:r w:rsidRPr="00C9287E">
        <w:rPr>
          <w:sz w:val="20"/>
          <w:szCs w:val="20"/>
          <w:lang w:val="fr-CA"/>
        </w:rPr>
        <w:t>) (Autorisation)</w:t>
      </w:r>
      <w:r>
        <w:rPr>
          <w:sz w:val="20"/>
          <w:szCs w:val="20"/>
          <w:lang w:val="fr-CA"/>
        </w:rPr>
        <w:t xml:space="preserve"> </w:t>
      </w:r>
      <w:r w:rsidR="003359D3" w:rsidRPr="00C9287E">
        <w:rPr>
          <w:sz w:val="20"/>
          <w:szCs w:val="20"/>
          <w:lang w:val="fr-CA"/>
        </w:rPr>
        <w:t>(341</w:t>
      </w:r>
      <w:r w:rsidRPr="00C9287E">
        <w:rPr>
          <w:sz w:val="20"/>
          <w:szCs w:val="20"/>
          <w:lang w:val="fr-CA"/>
        </w:rPr>
        <w:t>57</w:t>
      </w:r>
      <w:r w:rsidR="003359D3" w:rsidRPr="00C9287E">
        <w:rPr>
          <w:sz w:val="20"/>
          <w:szCs w:val="20"/>
          <w:lang w:val="fr-CA"/>
        </w:rPr>
        <w:t>)</w:t>
      </w:r>
    </w:p>
    <w:p w:rsidR="003359D3" w:rsidRPr="00C9287E" w:rsidRDefault="003359D3" w:rsidP="003359D3">
      <w:pPr>
        <w:widowControl w:val="0"/>
        <w:jc w:val="both"/>
        <w:rPr>
          <w:sz w:val="20"/>
          <w:szCs w:val="20"/>
          <w:lang w:val="fr-CA"/>
        </w:rPr>
      </w:pPr>
    </w:p>
    <w:p w:rsidR="003359D3" w:rsidRPr="00C9287E" w:rsidRDefault="00C9287E" w:rsidP="003359D3">
      <w:pPr>
        <w:pStyle w:val="ListParagraph"/>
        <w:widowControl w:val="0"/>
        <w:numPr>
          <w:ilvl w:val="0"/>
          <w:numId w:val="1"/>
        </w:numPr>
        <w:ind w:hanging="720"/>
        <w:jc w:val="both"/>
        <w:rPr>
          <w:sz w:val="20"/>
          <w:szCs w:val="20"/>
        </w:rPr>
      </w:pPr>
      <w:r w:rsidRPr="00C9287E">
        <w:rPr>
          <w:i/>
          <w:sz w:val="20"/>
          <w:szCs w:val="20"/>
        </w:rPr>
        <w:t>Professor Starson v. Mark Pearce</w:t>
      </w:r>
      <w:r w:rsidRPr="00C9287E">
        <w:rPr>
          <w:sz w:val="20"/>
          <w:szCs w:val="20"/>
        </w:rPr>
        <w:t xml:space="preserve"> (Ont.) (Civil) (By Leave) </w:t>
      </w:r>
      <w:r w:rsidR="003359D3" w:rsidRPr="00C9287E">
        <w:rPr>
          <w:sz w:val="20"/>
          <w:szCs w:val="20"/>
        </w:rPr>
        <w:t>(3416</w:t>
      </w:r>
      <w:r>
        <w:rPr>
          <w:sz w:val="20"/>
          <w:szCs w:val="20"/>
        </w:rPr>
        <w:t>7</w:t>
      </w:r>
      <w:r w:rsidR="003359D3" w:rsidRPr="00C9287E">
        <w:rPr>
          <w:sz w:val="20"/>
          <w:szCs w:val="20"/>
        </w:rPr>
        <w:t>)</w:t>
      </w:r>
    </w:p>
    <w:p w:rsidR="003359D3" w:rsidRPr="00C9287E" w:rsidRDefault="003359D3" w:rsidP="003359D3">
      <w:pPr>
        <w:widowControl w:val="0"/>
        <w:jc w:val="both"/>
        <w:rPr>
          <w:sz w:val="20"/>
          <w:szCs w:val="20"/>
        </w:rPr>
      </w:pPr>
    </w:p>
    <w:p w:rsidR="00C9287E" w:rsidRPr="00C9287E" w:rsidRDefault="00C9287E" w:rsidP="003359D3">
      <w:pPr>
        <w:widowControl w:val="0"/>
        <w:jc w:val="both"/>
        <w:rPr>
          <w:sz w:val="20"/>
          <w:szCs w:val="20"/>
        </w:rPr>
      </w:pPr>
    </w:p>
    <w:p w:rsidR="00C9287E" w:rsidRPr="00C50A5C" w:rsidRDefault="00C9287E" w:rsidP="00C9287E">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C9287E" w:rsidRPr="00C50A5C" w:rsidRDefault="00C9287E" w:rsidP="00C9287E">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C9287E" w:rsidRPr="000D3B6E" w:rsidRDefault="00C9287E" w:rsidP="003359D3">
      <w:pPr>
        <w:widowControl w:val="0"/>
        <w:jc w:val="both"/>
        <w:rPr>
          <w:sz w:val="20"/>
          <w:szCs w:val="20"/>
          <w:lang w:val="fr-CA"/>
        </w:rPr>
      </w:pPr>
    </w:p>
    <w:p w:rsidR="003359D3" w:rsidRPr="00C50A5C" w:rsidRDefault="00C9287E" w:rsidP="003359D3">
      <w:pPr>
        <w:pStyle w:val="ListParagraph"/>
        <w:widowControl w:val="0"/>
        <w:numPr>
          <w:ilvl w:val="0"/>
          <w:numId w:val="1"/>
        </w:numPr>
        <w:ind w:hanging="720"/>
        <w:jc w:val="both"/>
        <w:rPr>
          <w:sz w:val="20"/>
          <w:szCs w:val="20"/>
        </w:rPr>
      </w:pPr>
      <w:r w:rsidRPr="00C9287E">
        <w:rPr>
          <w:i/>
          <w:sz w:val="20"/>
          <w:szCs w:val="20"/>
        </w:rPr>
        <w:t>Osprey Marine Ltd. v. Workers' Compensation Board et al.</w:t>
      </w:r>
      <w:r w:rsidRPr="00C9287E">
        <w:rPr>
          <w:sz w:val="20"/>
          <w:szCs w:val="20"/>
        </w:rPr>
        <w:t xml:space="preserve"> (B.C.) (Civil) (By Leave)</w:t>
      </w:r>
      <w:r w:rsidRPr="00C50A5C">
        <w:rPr>
          <w:sz w:val="20"/>
          <w:szCs w:val="20"/>
        </w:rPr>
        <w:t xml:space="preserve"> </w:t>
      </w:r>
      <w:r w:rsidR="003359D3" w:rsidRPr="00C50A5C">
        <w:rPr>
          <w:sz w:val="20"/>
          <w:szCs w:val="20"/>
        </w:rPr>
        <w:t>(3</w:t>
      </w:r>
      <w:r w:rsidR="003359D3">
        <w:rPr>
          <w:sz w:val="20"/>
          <w:szCs w:val="20"/>
        </w:rPr>
        <w:t>4</w:t>
      </w:r>
      <w:r w:rsidR="003359D3" w:rsidRPr="00C50A5C">
        <w:rPr>
          <w:sz w:val="20"/>
          <w:szCs w:val="20"/>
        </w:rPr>
        <w:t>1</w:t>
      </w:r>
      <w:r>
        <w:rPr>
          <w:sz w:val="20"/>
          <w:szCs w:val="20"/>
        </w:rPr>
        <w:t>78</w:t>
      </w:r>
      <w:r w:rsidR="003359D3" w:rsidRPr="00C50A5C">
        <w:rPr>
          <w:sz w:val="20"/>
          <w:szCs w:val="20"/>
        </w:rPr>
        <w:t>)</w:t>
      </w:r>
    </w:p>
    <w:p w:rsidR="003359D3" w:rsidRPr="00C50A5C" w:rsidRDefault="003359D3" w:rsidP="003359D3">
      <w:pPr>
        <w:widowControl w:val="0"/>
        <w:rPr>
          <w:sz w:val="20"/>
          <w:szCs w:val="20"/>
        </w:rPr>
      </w:pPr>
    </w:p>
    <w:p w:rsidR="003359D3" w:rsidRPr="00C50A5C" w:rsidRDefault="00C9287E" w:rsidP="003359D3">
      <w:pPr>
        <w:pStyle w:val="ListParagraph"/>
        <w:widowControl w:val="0"/>
        <w:numPr>
          <w:ilvl w:val="0"/>
          <w:numId w:val="1"/>
        </w:numPr>
        <w:ind w:hanging="720"/>
        <w:jc w:val="both"/>
        <w:rPr>
          <w:sz w:val="20"/>
          <w:szCs w:val="20"/>
        </w:rPr>
      </w:pPr>
      <w:r w:rsidRPr="00B948B0">
        <w:rPr>
          <w:i/>
          <w:sz w:val="20"/>
          <w:szCs w:val="20"/>
        </w:rPr>
        <w:t xml:space="preserve">Jim Pattison Enterprises Ltd. et al. </w:t>
      </w:r>
      <w:r w:rsidR="00B948B0" w:rsidRPr="00B948B0">
        <w:rPr>
          <w:i/>
          <w:sz w:val="20"/>
          <w:szCs w:val="20"/>
        </w:rPr>
        <w:t>v. Workers' Compensation Board of British Columbia et al.</w:t>
      </w:r>
      <w:r w:rsidR="00B948B0" w:rsidRPr="00C9287E">
        <w:rPr>
          <w:sz w:val="20"/>
          <w:szCs w:val="20"/>
        </w:rPr>
        <w:t xml:space="preserve"> </w:t>
      </w:r>
      <w:r w:rsidRPr="00C9287E">
        <w:rPr>
          <w:sz w:val="20"/>
          <w:szCs w:val="20"/>
        </w:rPr>
        <w:t>(B.C.) (Civil) (By Leave)</w:t>
      </w:r>
      <w:r w:rsidRPr="00C50A5C">
        <w:rPr>
          <w:sz w:val="20"/>
          <w:szCs w:val="20"/>
        </w:rPr>
        <w:t xml:space="preserve"> </w:t>
      </w:r>
      <w:r w:rsidR="003359D3" w:rsidRPr="00C50A5C">
        <w:rPr>
          <w:sz w:val="20"/>
          <w:szCs w:val="20"/>
        </w:rPr>
        <w:t>(3</w:t>
      </w:r>
      <w:r w:rsidR="003359D3">
        <w:rPr>
          <w:sz w:val="20"/>
          <w:szCs w:val="20"/>
        </w:rPr>
        <w:t>4</w:t>
      </w:r>
      <w:r>
        <w:rPr>
          <w:sz w:val="20"/>
          <w:szCs w:val="20"/>
        </w:rPr>
        <w:t>182</w:t>
      </w:r>
      <w:r w:rsidR="003359D3" w:rsidRPr="00C50A5C">
        <w:rPr>
          <w:sz w:val="20"/>
          <w:szCs w:val="20"/>
        </w:rPr>
        <w:t>)</w:t>
      </w:r>
    </w:p>
    <w:p w:rsidR="003359D3" w:rsidRDefault="003359D3" w:rsidP="003359D3">
      <w:pPr>
        <w:widowControl w:val="0"/>
        <w:jc w:val="both"/>
        <w:rPr>
          <w:sz w:val="20"/>
          <w:szCs w:val="20"/>
        </w:rPr>
      </w:pPr>
    </w:p>
    <w:p w:rsidR="003359D3" w:rsidRDefault="003359D3" w:rsidP="003359D3">
      <w:pPr>
        <w:widowControl w:val="0"/>
        <w:jc w:val="both"/>
        <w:rPr>
          <w:sz w:val="20"/>
          <w:szCs w:val="20"/>
        </w:rPr>
      </w:pPr>
    </w:p>
    <w:p w:rsidR="00C9287E" w:rsidRPr="00C50A5C" w:rsidRDefault="00C9287E" w:rsidP="00C9287E">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C9287E" w:rsidRPr="00C50A5C" w:rsidRDefault="00C9287E" w:rsidP="00C9287E">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3359D3" w:rsidRPr="00760A3F" w:rsidRDefault="003359D3" w:rsidP="003359D3">
      <w:pPr>
        <w:widowControl w:val="0"/>
        <w:jc w:val="both"/>
        <w:rPr>
          <w:sz w:val="20"/>
          <w:szCs w:val="20"/>
          <w:lang w:val="fr-CA"/>
        </w:rPr>
      </w:pPr>
    </w:p>
    <w:p w:rsidR="003359D3" w:rsidRPr="00C50A5C" w:rsidRDefault="00B948B0" w:rsidP="003359D3">
      <w:pPr>
        <w:pStyle w:val="ListParagraph"/>
        <w:widowControl w:val="0"/>
        <w:numPr>
          <w:ilvl w:val="0"/>
          <w:numId w:val="1"/>
        </w:numPr>
        <w:ind w:hanging="720"/>
        <w:jc w:val="both"/>
        <w:rPr>
          <w:sz w:val="20"/>
          <w:szCs w:val="20"/>
        </w:rPr>
      </w:pPr>
      <w:r w:rsidRPr="00B948B0">
        <w:rPr>
          <w:i/>
          <w:sz w:val="20"/>
          <w:szCs w:val="20"/>
          <w:lang w:val="fr-CA"/>
        </w:rPr>
        <w:t>Soumaine Dehkissia v. Serge Kaliaguine</w:t>
      </w:r>
      <w:r w:rsidRPr="00B948B0">
        <w:rPr>
          <w:sz w:val="20"/>
          <w:szCs w:val="20"/>
          <w:lang w:val="fr-CA"/>
        </w:rPr>
        <w:t xml:space="preserve"> (Que.) </w:t>
      </w:r>
      <w:r w:rsidRPr="00C9287E">
        <w:rPr>
          <w:sz w:val="20"/>
          <w:szCs w:val="20"/>
        </w:rPr>
        <w:t>(Civil) (By Leave)</w:t>
      </w:r>
      <w:r w:rsidRPr="00C50A5C">
        <w:rPr>
          <w:sz w:val="20"/>
          <w:szCs w:val="20"/>
        </w:rPr>
        <w:t xml:space="preserve"> </w:t>
      </w:r>
      <w:r w:rsidR="003359D3" w:rsidRPr="00C50A5C">
        <w:rPr>
          <w:sz w:val="20"/>
          <w:szCs w:val="20"/>
        </w:rPr>
        <w:t>(34</w:t>
      </w:r>
      <w:r w:rsidR="003359D3">
        <w:rPr>
          <w:sz w:val="20"/>
          <w:szCs w:val="20"/>
        </w:rPr>
        <w:t>1</w:t>
      </w:r>
      <w:r w:rsidR="00C9287E">
        <w:rPr>
          <w:sz w:val="20"/>
          <w:szCs w:val="20"/>
        </w:rPr>
        <w:t>69</w:t>
      </w:r>
      <w:r w:rsidR="003359D3" w:rsidRPr="00C50A5C">
        <w:rPr>
          <w:sz w:val="20"/>
          <w:szCs w:val="20"/>
        </w:rPr>
        <w:t>)</w:t>
      </w:r>
    </w:p>
    <w:p w:rsidR="003359D3" w:rsidRPr="00C50A5C" w:rsidRDefault="003359D3" w:rsidP="003359D3">
      <w:pPr>
        <w:widowControl w:val="0"/>
        <w:rPr>
          <w:sz w:val="20"/>
          <w:szCs w:val="20"/>
        </w:rPr>
      </w:pPr>
    </w:p>
    <w:p w:rsidR="003359D3" w:rsidRPr="00B948B0" w:rsidRDefault="00B948B0" w:rsidP="003359D3">
      <w:pPr>
        <w:pStyle w:val="ListParagraph"/>
        <w:widowControl w:val="0"/>
        <w:numPr>
          <w:ilvl w:val="0"/>
          <w:numId w:val="1"/>
        </w:numPr>
        <w:ind w:hanging="720"/>
        <w:jc w:val="both"/>
        <w:rPr>
          <w:sz w:val="20"/>
          <w:szCs w:val="20"/>
          <w:lang w:val="fr-CA"/>
        </w:rPr>
      </w:pPr>
      <w:r w:rsidRPr="00B948B0">
        <w:rPr>
          <w:i/>
          <w:sz w:val="20"/>
          <w:szCs w:val="20"/>
          <w:lang w:val="fr-CA"/>
        </w:rPr>
        <w:t xml:space="preserve">Boris Osadchuk c. Financière Banque Nationale Inc. et autre </w:t>
      </w:r>
      <w:r w:rsidRPr="00C9287E">
        <w:rPr>
          <w:sz w:val="20"/>
          <w:szCs w:val="20"/>
          <w:lang w:val="fr-CA"/>
        </w:rPr>
        <w:t>(Qc) (Civile) (Autorisation)</w:t>
      </w:r>
      <w:r w:rsidRPr="00B948B0">
        <w:rPr>
          <w:sz w:val="20"/>
          <w:szCs w:val="20"/>
          <w:lang w:val="fr-CA"/>
        </w:rPr>
        <w:t xml:space="preserve"> </w:t>
      </w:r>
      <w:r w:rsidR="003359D3" w:rsidRPr="00B948B0">
        <w:rPr>
          <w:sz w:val="20"/>
          <w:szCs w:val="20"/>
          <w:lang w:val="fr-CA"/>
        </w:rPr>
        <w:t>(34</w:t>
      </w:r>
      <w:r w:rsidR="00C9287E" w:rsidRPr="00B948B0">
        <w:rPr>
          <w:sz w:val="20"/>
          <w:szCs w:val="20"/>
          <w:lang w:val="fr-CA"/>
        </w:rPr>
        <w:t>159</w:t>
      </w:r>
      <w:r w:rsidR="003359D3" w:rsidRPr="00B948B0">
        <w:rPr>
          <w:sz w:val="20"/>
          <w:szCs w:val="20"/>
          <w:lang w:val="fr-CA"/>
        </w:rPr>
        <w:t>)</w:t>
      </w:r>
    </w:p>
    <w:p w:rsidR="003359D3" w:rsidRDefault="003359D3" w:rsidP="00C9287E">
      <w:pPr>
        <w:pStyle w:val="ListParagraph"/>
        <w:widowControl w:val="0"/>
        <w:ind w:left="0"/>
        <w:jc w:val="both"/>
        <w:rPr>
          <w:sz w:val="20"/>
          <w:szCs w:val="20"/>
          <w:lang w:val="fr-CA"/>
        </w:rPr>
      </w:pPr>
    </w:p>
    <w:p w:rsidR="002E2327" w:rsidRPr="00C50A5C" w:rsidRDefault="00EE1200" w:rsidP="002E2327">
      <w:pPr>
        <w:widowControl w:val="0"/>
        <w:rPr>
          <w:sz w:val="20"/>
          <w:szCs w:val="20"/>
        </w:rPr>
      </w:pPr>
      <w:r w:rsidRPr="00EE1200">
        <w:rPr>
          <w:sz w:val="20"/>
          <w:szCs w:val="20"/>
        </w:rPr>
        <w:pict>
          <v:rect id="_x0000_i1031"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F03CF9"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D73FFD" w:rsidP="008D292F">
      <w:pPr>
        <w:rPr>
          <w:b/>
          <w:sz w:val="20"/>
          <w:szCs w:val="20"/>
        </w:rPr>
      </w:pPr>
      <w:r>
        <w:rPr>
          <w:b/>
          <w:sz w:val="20"/>
          <w:szCs w:val="20"/>
        </w:rPr>
        <w:t>JULY</w:t>
      </w:r>
      <w:r w:rsidR="008D292F" w:rsidRPr="00C50A5C">
        <w:rPr>
          <w:b/>
          <w:sz w:val="20"/>
          <w:szCs w:val="20"/>
        </w:rPr>
        <w:t xml:space="preserve"> </w:t>
      </w:r>
      <w:r>
        <w:rPr>
          <w:b/>
          <w:sz w:val="20"/>
          <w:szCs w:val="20"/>
        </w:rPr>
        <w:t>14</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14</w:t>
      </w:r>
      <w:r w:rsidR="008D292F" w:rsidRPr="00C50A5C">
        <w:rPr>
          <w:b/>
          <w:sz w:val="20"/>
          <w:szCs w:val="20"/>
        </w:rPr>
        <w:t xml:space="preserve"> </w:t>
      </w:r>
      <w:r>
        <w:rPr>
          <w:b/>
          <w:sz w:val="20"/>
          <w:szCs w:val="20"/>
        </w:rPr>
        <w:t>JUI</w:t>
      </w:r>
      <w:r w:rsidR="008D292F" w:rsidRPr="00C50A5C">
        <w:rPr>
          <w:b/>
          <w:sz w:val="20"/>
          <w:szCs w:val="20"/>
        </w:rPr>
        <w:t>L</w:t>
      </w:r>
      <w:r>
        <w:rPr>
          <w:b/>
          <w:sz w:val="20"/>
          <w:szCs w:val="20"/>
        </w:rPr>
        <w:t>LET</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55F1" w:rsidRPr="00832ECA" w:rsidTr="000E699C">
        <w:trPr>
          <w:cantSplit/>
        </w:trPr>
        <w:tc>
          <w:tcPr>
            <w:tcW w:w="1458" w:type="dxa"/>
          </w:tcPr>
          <w:p w:rsidR="007855F1" w:rsidRPr="00832ECA" w:rsidRDefault="007855F1" w:rsidP="000E699C">
            <w:pPr>
              <w:rPr>
                <w:rFonts w:cs="Times New Roman"/>
                <w:sz w:val="20"/>
                <w:szCs w:val="20"/>
              </w:rPr>
            </w:pPr>
            <w:r w:rsidRPr="00832ECA">
              <w:rPr>
                <w:rStyle w:val="SCCFileNumberChar"/>
                <w:rFonts w:cs="Times New Roman"/>
                <w:sz w:val="20"/>
                <w:szCs w:val="20"/>
              </w:rPr>
              <w:t>34084</w:t>
            </w:r>
          </w:p>
          <w:p w:rsidR="007855F1" w:rsidRPr="00832ECA" w:rsidRDefault="007855F1" w:rsidP="000E699C">
            <w:pPr>
              <w:rPr>
                <w:rFonts w:cs="Times New Roman"/>
                <w:b/>
                <w:sz w:val="20"/>
                <w:szCs w:val="20"/>
                <w:lang w:val="fr-CA"/>
              </w:rPr>
            </w:pPr>
          </w:p>
        </w:tc>
        <w:tc>
          <w:tcPr>
            <w:tcW w:w="8118" w:type="dxa"/>
          </w:tcPr>
          <w:p w:rsidR="007855F1" w:rsidRPr="00832ECA" w:rsidRDefault="007855F1" w:rsidP="007855F1">
            <w:pPr>
              <w:jc w:val="both"/>
              <w:rPr>
                <w:rFonts w:cs="Times New Roman"/>
                <w:sz w:val="20"/>
                <w:szCs w:val="20"/>
              </w:rPr>
            </w:pPr>
            <w:r w:rsidRPr="00832ECA">
              <w:rPr>
                <w:rStyle w:val="SCCLsocChar"/>
                <w:rFonts w:cs="Times New Roman"/>
                <w:sz w:val="20"/>
                <w:szCs w:val="20"/>
                <w:lang w:val="en-CA"/>
              </w:rPr>
              <w:t>Apotex Inc. v. Minister of Health, Attorney General of Canada</w:t>
            </w:r>
            <w:r>
              <w:rPr>
                <w:rStyle w:val="SCCLsocChar"/>
                <w:rFonts w:cs="Times New Roman"/>
                <w:sz w:val="20"/>
                <w:szCs w:val="20"/>
                <w:lang w:val="en-CA"/>
              </w:rPr>
              <w:t xml:space="preserve"> and</w:t>
            </w:r>
            <w:r w:rsidRPr="00832ECA">
              <w:rPr>
                <w:rStyle w:val="SCCLsocChar"/>
                <w:rFonts w:cs="Times New Roman"/>
                <w:sz w:val="20"/>
                <w:szCs w:val="20"/>
                <w:lang w:val="en-CA"/>
              </w:rPr>
              <w:t xml:space="preserve"> Eli Lilly Canada Inc.</w:t>
            </w:r>
            <w:r w:rsidRPr="00832ECA">
              <w:rPr>
                <w:rFonts w:cs="Times New Roman"/>
                <w:sz w:val="20"/>
                <w:szCs w:val="20"/>
              </w:rPr>
              <w:t xml:space="preserve"> (F</w:t>
            </w:r>
            <w:r>
              <w:rPr>
                <w:rFonts w:cs="Times New Roman"/>
                <w:sz w:val="20"/>
                <w:szCs w:val="20"/>
              </w:rPr>
              <w:t>.</w:t>
            </w:r>
            <w:r w:rsidRPr="00832ECA">
              <w:rPr>
                <w:rFonts w:cs="Times New Roman"/>
                <w:sz w:val="20"/>
                <w:szCs w:val="20"/>
              </w:rPr>
              <w:t>C</w:t>
            </w:r>
            <w:r>
              <w:rPr>
                <w:rFonts w:cs="Times New Roman"/>
                <w:sz w:val="20"/>
                <w:szCs w:val="20"/>
              </w:rPr>
              <w:t>.</w:t>
            </w:r>
            <w:r w:rsidRPr="00832ECA">
              <w:rPr>
                <w:rFonts w:cs="Times New Roman"/>
                <w:sz w:val="20"/>
                <w:szCs w:val="20"/>
              </w:rPr>
              <w:t>) (Civil) (By Leave)</w:t>
            </w:r>
          </w:p>
          <w:p w:rsidR="007855F1" w:rsidRPr="00832ECA" w:rsidRDefault="007855F1" w:rsidP="000E699C">
            <w:pPr>
              <w:rPr>
                <w:rFonts w:cs="Times New Roman"/>
                <w:sz w:val="20"/>
                <w:szCs w:val="20"/>
              </w:rPr>
            </w:pPr>
          </w:p>
        </w:tc>
      </w:tr>
      <w:tr w:rsidR="007855F1" w:rsidRPr="00832ECA" w:rsidTr="000E699C">
        <w:trPr>
          <w:cantSplit/>
        </w:trPr>
        <w:tc>
          <w:tcPr>
            <w:tcW w:w="1458" w:type="dxa"/>
          </w:tcPr>
          <w:p w:rsidR="007855F1" w:rsidRPr="00832ECA" w:rsidRDefault="007855F1" w:rsidP="000E699C">
            <w:pPr>
              <w:rPr>
                <w:rFonts w:cs="Times New Roman"/>
                <w:sz w:val="20"/>
                <w:szCs w:val="20"/>
              </w:rPr>
            </w:pPr>
            <w:r w:rsidRPr="00832ECA">
              <w:rPr>
                <w:rFonts w:cs="Times New Roman"/>
                <w:sz w:val="20"/>
                <w:szCs w:val="20"/>
              </w:rPr>
              <w:t>Coram :</w:t>
            </w:r>
          </w:p>
        </w:tc>
        <w:tc>
          <w:tcPr>
            <w:tcW w:w="8118" w:type="dxa"/>
          </w:tcPr>
          <w:p w:rsidR="007855F1" w:rsidRPr="00832ECA" w:rsidRDefault="007855F1" w:rsidP="000E699C">
            <w:pPr>
              <w:rPr>
                <w:rFonts w:cs="Times New Roman"/>
                <w:sz w:val="20"/>
                <w:szCs w:val="20"/>
              </w:rPr>
            </w:pPr>
            <w:r w:rsidRPr="00832ECA">
              <w:rPr>
                <w:rStyle w:val="SCCCoramChar"/>
                <w:rFonts w:cs="Times New Roman"/>
                <w:sz w:val="20"/>
                <w:szCs w:val="20"/>
                <w:lang w:val="en-CA"/>
              </w:rPr>
              <w:t>McLachlin C.J. and Deschamps and Charron JJ.</w:t>
            </w:r>
          </w:p>
          <w:p w:rsidR="007855F1" w:rsidRPr="00832ECA" w:rsidRDefault="007855F1" w:rsidP="000E699C">
            <w:pPr>
              <w:rPr>
                <w:rFonts w:cs="Times New Roman"/>
                <w:sz w:val="20"/>
                <w:szCs w:val="20"/>
                <w:u w:val="single"/>
              </w:rPr>
            </w:pPr>
          </w:p>
        </w:tc>
      </w:tr>
      <w:tr w:rsidR="007855F1" w:rsidRPr="00F03CF9" w:rsidTr="000E699C">
        <w:trPr>
          <w:cantSplit/>
        </w:trPr>
        <w:tc>
          <w:tcPr>
            <w:tcW w:w="9576" w:type="dxa"/>
            <w:gridSpan w:val="2"/>
          </w:tcPr>
          <w:p w:rsidR="007855F1" w:rsidRPr="00832ECA" w:rsidRDefault="007855F1" w:rsidP="000E699C">
            <w:pPr>
              <w:pStyle w:val="SCCShortJudgment"/>
              <w:rPr>
                <w:rFonts w:cs="Times New Roman"/>
                <w:szCs w:val="20"/>
              </w:rPr>
            </w:pPr>
            <w:r w:rsidRPr="00832ECA">
              <w:rPr>
                <w:rFonts w:cs="Times New Roman"/>
                <w:szCs w:val="20"/>
              </w:rPr>
              <w:t>The application for leave to appeal from the judgment of the Federal Court of Appeal, Number A-352-09, 2010 FCA 334, dated December 9, 2010, is dismissed with costs to the respondents Minister of Health and Attorney General of Canada.</w:t>
            </w:r>
          </w:p>
          <w:p w:rsidR="007855F1" w:rsidRPr="00832ECA" w:rsidRDefault="007855F1" w:rsidP="000E699C">
            <w:pPr>
              <w:pStyle w:val="SCCShortJudgment"/>
              <w:ind w:firstLine="0"/>
              <w:rPr>
                <w:rFonts w:cs="Times New Roman"/>
                <w:szCs w:val="20"/>
              </w:rPr>
            </w:pPr>
          </w:p>
          <w:p w:rsidR="007855F1" w:rsidRPr="00832ECA" w:rsidRDefault="007855F1" w:rsidP="000E699C">
            <w:pPr>
              <w:pStyle w:val="SCCShortJudgment"/>
              <w:rPr>
                <w:rFonts w:cs="Times New Roman"/>
                <w:szCs w:val="20"/>
                <w:lang w:val="fr-CA"/>
              </w:rPr>
            </w:pPr>
            <w:r w:rsidRPr="00832ECA">
              <w:rPr>
                <w:rFonts w:cs="Times New Roman"/>
                <w:szCs w:val="20"/>
                <w:lang w:val="fr-CA"/>
              </w:rPr>
              <w:t>La demande d’autorisation d’appel de l’arrêt de la Cour d’appel fédérale, numéro A-352-09, 2010 CAF 334, daté du 9 décembre 2010, est rejetée avec dépens en faveur des intimés Ministre de la Santé et Procureur général du Canada.</w:t>
            </w:r>
          </w:p>
        </w:tc>
      </w:tr>
    </w:tbl>
    <w:p w:rsidR="007855F1" w:rsidRPr="007855F1" w:rsidRDefault="007855F1" w:rsidP="008D292F">
      <w:pPr>
        <w:rPr>
          <w:sz w:val="20"/>
          <w:szCs w:val="20"/>
          <w:lang w:val="fr-CA"/>
        </w:rPr>
      </w:pPr>
    </w:p>
    <w:p w:rsidR="00D73FFD" w:rsidRDefault="00D73FFD" w:rsidP="008D292F">
      <w:pPr>
        <w:rPr>
          <w:sz w:val="20"/>
          <w:szCs w:val="20"/>
        </w:rPr>
      </w:pPr>
      <w:r>
        <w:rPr>
          <w:sz w:val="20"/>
          <w:szCs w:val="20"/>
          <w:u w:val="single"/>
        </w:rPr>
        <w:t>CASE SUMMARY</w:t>
      </w:r>
    </w:p>
    <w:p w:rsidR="00D73FFD" w:rsidRDefault="00D73FFD" w:rsidP="008D292F">
      <w:pPr>
        <w:rPr>
          <w:sz w:val="20"/>
          <w:szCs w:val="20"/>
        </w:rPr>
      </w:pPr>
    </w:p>
    <w:tbl>
      <w:tblPr>
        <w:tblW w:w="4952" w:type="pct"/>
        <w:tblLayout w:type="fixed"/>
        <w:tblCellMar>
          <w:left w:w="0" w:type="dxa"/>
          <w:bottom w:w="99" w:type="dxa"/>
          <w:right w:w="0" w:type="dxa"/>
        </w:tblCellMar>
        <w:tblLook w:val="04A0"/>
      </w:tblPr>
      <w:tblGrid>
        <w:gridCol w:w="4717"/>
        <w:gridCol w:w="370"/>
        <w:gridCol w:w="4440"/>
      </w:tblGrid>
      <w:tr w:rsidR="00C215B7" w:rsidRPr="00FA6366" w:rsidTr="0079343E">
        <w:tc>
          <w:tcPr>
            <w:tcW w:w="5000" w:type="pct"/>
            <w:gridSpan w:val="3"/>
          </w:tcPr>
          <w:p w:rsidR="00C215B7" w:rsidRPr="00FA6366" w:rsidRDefault="00C215B7" w:rsidP="0079343E">
            <w:pPr>
              <w:jc w:val="both"/>
              <w:rPr>
                <w:rFonts w:eastAsia="Calibri"/>
                <w:sz w:val="20"/>
              </w:rPr>
            </w:pPr>
            <w:r w:rsidRPr="00FA6366">
              <w:rPr>
                <w:rFonts w:eastAsia="Calibri"/>
                <w:sz w:val="20"/>
              </w:rPr>
              <w:t xml:space="preserve">Constitutional law ― Division of powers ― Health law ― Drugs ― Federal powers under </w:t>
            </w:r>
            <w:r w:rsidRPr="00FA6366">
              <w:rPr>
                <w:rFonts w:eastAsia="Calibri"/>
                <w:i/>
                <w:sz w:val="20"/>
              </w:rPr>
              <w:t>Constitution Act, 1867</w:t>
            </w:r>
            <w:r w:rsidRPr="00FA6366">
              <w:rPr>
                <w:rFonts w:eastAsia="Calibri"/>
                <w:sz w:val="20"/>
              </w:rPr>
              <w:t xml:space="preserve"> ― Criminal law  ― Trade and Commerce ― In characterizing one or impugned provisions in an otherwise unchallenged statute or regulation, to what extent can the legislative “context” inform the process of determining the pith and substance of those provisions ― Whether the federal criminal power should be expanded to include subject matter that does not itself have a traditional “criminal” purpose if it is construed to have an “ultimate” purpose that could benefit Canadians ― Whether the legal principles governing the limits of delegated legislation should be adjusted to allow the delegate to enact regulations that go beyond what the actual terms of the enabling statute require ― </w:t>
            </w:r>
            <w:r w:rsidRPr="00FA6366">
              <w:rPr>
                <w:rFonts w:eastAsia="Calibri"/>
                <w:i/>
                <w:sz w:val="20"/>
              </w:rPr>
              <w:t>Food and Drugs Act</w:t>
            </w:r>
            <w:r w:rsidRPr="00FA6366">
              <w:rPr>
                <w:rFonts w:eastAsia="Calibri"/>
                <w:sz w:val="20"/>
              </w:rPr>
              <w:t>, R.S.C. 1985, c. F</w:t>
            </w:r>
            <w:r w:rsidRPr="00FA6366">
              <w:rPr>
                <w:rFonts w:eastAsia="Calibri"/>
                <w:sz w:val="20"/>
              </w:rPr>
              <w:noBreakHyphen/>
              <w:t xml:space="preserve">25 ― </w:t>
            </w:r>
            <w:r w:rsidRPr="00FA6366">
              <w:rPr>
                <w:rFonts w:eastAsia="Calibri"/>
                <w:i/>
                <w:sz w:val="20"/>
              </w:rPr>
              <w:t>Data Protection Regulation</w:t>
            </w:r>
            <w:r w:rsidRPr="00FA6366">
              <w:rPr>
                <w:rFonts w:eastAsia="Calibri"/>
                <w:sz w:val="20"/>
              </w:rPr>
              <w:t xml:space="preserve"> of the </w:t>
            </w:r>
            <w:r w:rsidRPr="00FA6366">
              <w:rPr>
                <w:rFonts w:eastAsia="Calibri"/>
                <w:i/>
                <w:sz w:val="20"/>
              </w:rPr>
              <w:t>Regulations Respecting Food and Drug</w:t>
            </w:r>
            <w:r w:rsidRPr="00FA6366">
              <w:rPr>
                <w:rFonts w:eastAsia="Calibri"/>
                <w:sz w:val="20"/>
              </w:rPr>
              <w:t>, C.R.C., c. 870.</w:t>
            </w:r>
          </w:p>
          <w:p w:rsidR="00C215B7" w:rsidRPr="00FA6366" w:rsidRDefault="00C215B7" w:rsidP="0079343E">
            <w:pPr>
              <w:jc w:val="both"/>
              <w:rPr>
                <w:rFonts w:eastAsia="Calibri"/>
                <w:sz w:val="20"/>
              </w:rPr>
            </w:pPr>
          </w:p>
        </w:tc>
      </w:tr>
      <w:tr w:rsidR="00C215B7" w:rsidRPr="00FA6366" w:rsidTr="0079343E">
        <w:tc>
          <w:tcPr>
            <w:tcW w:w="5000" w:type="pct"/>
            <w:gridSpan w:val="3"/>
          </w:tcPr>
          <w:p w:rsidR="00C215B7" w:rsidRPr="00FA6366" w:rsidRDefault="00C215B7" w:rsidP="0079343E">
            <w:pPr>
              <w:jc w:val="both"/>
              <w:rPr>
                <w:rFonts w:eastAsia="Calibri"/>
                <w:sz w:val="20"/>
              </w:rPr>
            </w:pPr>
            <w:r w:rsidRPr="00FA6366">
              <w:rPr>
                <w:rFonts w:eastAsia="Calibri"/>
                <w:sz w:val="20"/>
              </w:rPr>
              <w:t xml:space="preserve">The applicant, Apotex Inc. sought a declaration in the Federal Court that s. 30(3) of the </w:t>
            </w:r>
            <w:r w:rsidRPr="00FA6366">
              <w:rPr>
                <w:rFonts w:eastAsia="Calibri"/>
                <w:i/>
                <w:sz w:val="20"/>
              </w:rPr>
              <w:t>Food and Drugs Act</w:t>
            </w:r>
            <w:r w:rsidRPr="00FA6366">
              <w:rPr>
                <w:rFonts w:eastAsia="Calibri"/>
                <w:sz w:val="20"/>
              </w:rPr>
              <w:t>, R.S.C. 1985, c. F</w:t>
            </w:r>
            <w:r w:rsidRPr="00FA6366">
              <w:rPr>
                <w:rFonts w:eastAsia="Calibri"/>
                <w:sz w:val="20"/>
              </w:rPr>
              <w:noBreakHyphen/>
              <w:t xml:space="preserve">25 (“FDA”) and s. C.08.004.1 — the </w:t>
            </w:r>
            <w:r w:rsidRPr="00FA6366">
              <w:rPr>
                <w:rFonts w:eastAsia="Calibri"/>
                <w:i/>
                <w:sz w:val="20"/>
              </w:rPr>
              <w:t xml:space="preserve">Data Protection Regulation </w:t>
            </w:r>
            <w:r w:rsidRPr="00FA6366">
              <w:rPr>
                <w:rFonts w:eastAsia="Calibri"/>
                <w:sz w:val="20"/>
              </w:rPr>
              <w:t xml:space="preserve">(“DPR”) of the </w:t>
            </w:r>
            <w:r w:rsidRPr="00FA6366">
              <w:rPr>
                <w:rFonts w:eastAsia="Calibri"/>
                <w:i/>
                <w:sz w:val="20"/>
              </w:rPr>
              <w:t>Regulations Respecting Food and Drug</w:t>
            </w:r>
            <w:r w:rsidRPr="00FA6366">
              <w:rPr>
                <w:rFonts w:eastAsia="Calibri"/>
                <w:sz w:val="20"/>
              </w:rPr>
              <w:t xml:space="preserve">, C.R.C. c. 870, were </w:t>
            </w:r>
            <w:r w:rsidRPr="00FA6366">
              <w:rPr>
                <w:rFonts w:eastAsia="Calibri"/>
                <w:i/>
                <w:sz w:val="20"/>
              </w:rPr>
              <w:t xml:space="preserve">ultra vires </w:t>
            </w:r>
            <w:r w:rsidRPr="00FA6366">
              <w:rPr>
                <w:rFonts w:eastAsia="Calibri"/>
                <w:sz w:val="20"/>
              </w:rPr>
              <w:t xml:space="preserve"> and without legal force and effect.  </w:t>
            </w:r>
          </w:p>
          <w:p w:rsidR="00C215B7" w:rsidRPr="00FA6366" w:rsidRDefault="00C215B7" w:rsidP="0079343E">
            <w:pPr>
              <w:jc w:val="both"/>
              <w:rPr>
                <w:rFonts w:eastAsia="Calibri"/>
                <w:sz w:val="20"/>
              </w:rPr>
            </w:pPr>
          </w:p>
          <w:p w:rsidR="00C215B7" w:rsidRPr="00FA6366" w:rsidRDefault="00C215B7" w:rsidP="0079343E">
            <w:pPr>
              <w:jc w:val="both"/>
              <w:rPr>
                <w:rFonts w:eastAsia="Calibri"/>
                <w:sz w:val="20"/>
              </w:rPr>
            </w:pPr>
            <w:r w:rsidRPr="00FA6366">
              <w:rPr>
                <w:rFonts w:eastAsia="Calibri"/>
                <w:sz w:val="20"/>
              </w:rPr>
              <w:t xml:space="preserve">The Federal Court dismissed the application declaring s. 30(3) of the FDA and the DPR </w:t>
            </w:r>
            <w:r w:rsidRPr="00FA6366">
              <w:rPr>
                <w:rFonts w:eastAsia="Calibri"/>
                <w:i/>
                <w:sz w:val="20"/>
              </w:rPr>
              <w:t>intra vires</w:t>
            </w:r>
            <w:r w:rsidRPr="00FA6366">
              <w:rPr>
                <w:rFonts w:eastAsia="Calibri"/>
                <w:sz w:val="20"/>
              </w:rPr>
              <w:t xml:space="preserve"> as a valid exercise of the federal constitutional power under the regulation of trade and commerce, as per s. 91(2) of the </w:t>
            </w:r>
            <w:r w:rsidRPr="00FA6366">
              <w:rPr>
                <w:rFonts w:eastAsia="Calibri"/>
                <w:i/>
                <w:sz w:val="20"/>
              </w:rPr>
              <w:t>Constitution Act, 1867</w:t>
            </w:r>
            <w:r w:rsidRPr="00FA6366">
              <w:rPr>
                <w:rFonts w:eastAsia="Calibri"/>
                <w:sz w:val="20"/>
              </w:rPr>
              <w:t xml:space="preserve">.  It found the DPR was not </w:t>
            </w:r>
            <w:r w:rsidRPr="00FA6366">
              <w:rPr>
                <w:rFonts w:eastAsia="Calibri"/>
                <w:i/>
                <w:sz w:val="20"/>
              </w:rPr>
              <w:t>intra vires</w:t>
            </w:r>
            <w:r w:rsidRPr="00FA6366">
              <w:rPr>
                <w:rFonts w:eastAsia="Calibri"/>
                <w:sz w:val="20"/>
              </w:rPr>
              <w:t xml:space="preserve"> by reason of s. 91(27), the criminal law power.  The Federal Court of Appeal dismissed the appeal concluding the DPR constitutes a valid exercise of the federal criminal law under s. 91(27).  They found it unnecessary to consider whether the DPR falls under the federal regulation of trade and commerce powers.</w:t>
            </w:r>
          </w:p>
          <w:p w:rsidR="00C215B7" w:rsidRPr="00FA6366" w:rsidRDefault="00C215B7" w:rsidP="0079343E">
            <w:pPr>
              <w:jc w:val="both"/>
              <w:rPr>
                <w:rFonts w:eastAsia="Calibri"/>
                <w:sz w:val="20"/>
              </w:rPr>
            </w:pPr>
          </w:p>
        </w:tc>
      </w:tr>
      <w:tr w:rsidR="00C215B7" w:rsidRPr="00FA6366" w:rsidTr="0079343E">
        <w:tc>
          <w:tcPr>
            <w:tcW w:w="2476" w:type="pct"/>
          </w:tcPr>
          <w:p w:rsidR="00C215B7" w:rsidRPr="00FA6366" w:rsidRDefault="00C215B7" w:rsidP="0079343E">
            <w:pPr>
              <w:jc w:val="both"/>
              <w:rPr>
                <w:rFonts w:eastAsia="Calibri"/>
                <w:sz w:val="20"/>
              </w:rPr>
            </w:pPr>
            <w:r w:rsidRPr="00FA6366">
              <w:rPr>
                <w:rFonts w:eastAsia="Calibri"/>
                <w:sz w:val="20"/>
              </w:rPr>
              <w:t>July 17, 2009</w:t>
            </w:r>
          </w:p>
          <w:p w:rsidR="00C215B7" w:rsidRPr="00FA6366" w:rsidRDefault="00C215B7" w:rsidP="0079343E">
            <w:pPr>
              <w:jc w:val="both"/>
              <w:rPr>
                <w:rFonts w:eastAsia="Calibri"/>
                <w:sz w:val="20"/>
              </w:rPr>
            </w:pPr>
            <w:r w:rsidRPr="00FA6366">
              <w:rPr>
                <w:rFonts w:eastAsia="Calibri"/>
                <w:sz w:val="20"/>
              </w:rPr>
              <w:t>Federal Court</w:t>
            </w:r>
          </w:p>
          <w:p w:rsidR="00C215B7" w:rsidRPr="00FA6366" w:rsidRDefault="00C215B7" w:rsidP="0079343E">
            <w:pPr>
              <w:jc w:val="both"/>
              <w:rPr>
                <w:rFonts w:eastAsia="Calibri"/>
                <w:sz w:val="20"/>
              </w:rPr>
            </w:pPr>
            <w:r w:rsidRPr="00FA6366">
              <w:rPr>
                <w:rFonts w:eastAsia="Calibri"/>
                <w:sz w:val="20"/>
              </w:rPr>
              <w:t>(Mandamin J.)</w:t>
            </w:r>
          </w:p>
          <w:p w:rsidR="00C215B7" w:rsidRPr="00FA6366" w:rsidRDefault="00C215B7" w:rsidP="0079343E">
            <w:pPr>
              <w:jc w:val="both"/>
              <w:rPr>
                <w:rFonts w:eastAsia="Calibri"/>
                <w:sz w:val="20"/>
              </w:rPr>
            </w:pPr>
          </w:p>
        </w:tc>
        <w:tc>
          <w:tcPr>
            <w:tcW w:w="194" w:type="pct"/>
          </w:tcPr>
          <w:p w:rsidR="00C215B7" w:rsidRPr="00FA6366" w:rsidRDefault="00C215B7" w:rsidP="0079343E">
            <w:pPr>
              <w:jc w:val="both"/>
              <w:rPr>
                <w:rFonts w:eastAsia="Calibri"/>
                <w:sz w:val="20"/>
              </w:rPr>
            </w:pPr>
          </w:p>
        </w:tc>
        <w:tc>
          <w:tcPr>
            <w:tcW w:w="2330" w:type="pct"/>
          </w:tcPr>
          <w:p w:rsidR="00C215B7" w:rsidRPr="00FA6366" w:rsidRDefault="00C215B7" w:rsidP="0079343E">
            <w:pPr>
              <w:jc w:val="both"/>
              <w:rPr>
                <w:rFonts w:eastAsia="Calibri"/>
                <w:sz w:val="20"/>
              </w:rPr>
            </w:pPr>
            <w:r w:rsidRPr="00FA6366">
              <w:rPr>
                <w:rFonts w:eastAsia="Calibri"/>
                <w:sz w:val="20"/>
              </w:rPr>
              <w:t xml:space="preserve">DPR declared to be </w:t>
            </w:r>
            <w:r w:rsidRPr="00FA6366">
              <w:rPr>
                <w:rFonts w:eastAsia="Calibri"/>
                <w:i/>
                <w:sz w:val="20"/>
              </w:rPr>
              <w:t>intra vires</w:t>
            </w:r>
            <w:r w:rsidRPr="00FA6366">
              <w:rPr>
                <w:rFonts w:eastAsia="Calibri"/>
                <w:sz w:val="20"/>
              </w:rPr>
              <w:t xml:space="preserve"> the federal Parliament; applications for judicial review dismissed</w:t>
            </w:r>
          </w:p>
          <w:p w:rsidR="00C215B7" w:rsidRPr="00FA6366" w:rsidRDefault="00C215B7" w:rsidP="0079343E">
            <w:pPr>
              <w:jc w:val="both"/>
              <w:rPr>
                <w:rFonts w:eastAsia="Calibri"/>
                <w:sz w:val="20"/>
              </w:rPr>
            </w:pPr>
          </w:p>
        </w:tc>
      </w:tr>
      <w:tr w:rsidR="00C215B7" w:rsidRPr="00FA6366" w:rsidTr="0079343E">
        <w:tc>
          <w:tcPr>
            <w:tcW w:w="2476" w:type="pct"/>
          </w:tcPr>
          <w:p w:rsidR="00C215B7" w:rsidRPr="00FA6366" w:rsidRDefault="00C215B7" w:rsidP="0079343E">
            <w:pPr>
              <w:jc w:val="both"/>
              <w:rPr>
                <w:rFonts w:eastAsia="Calibri"/>
                <w:sz w:val="20"/>
              </w:rPr>
            </w:pPr>
            <w:r w:rsidRPr="00FA6366">
              <w:rPr>
                <w:rFonts w:eastAsia="Calibri"/>
                <w:sz w:val="20"/>
              </w:rPr>
              <w:t>December 9, 2010</w:t>
            </w:r>
          </w:p>
          <w:p w:rsidR="00C215B7" w:rsidRPr="00FA6366" w:rsidRDefault="00C215B7" w:rsidP="0079343E">
            <w:pPr>
              <w:jc w:val="both"/>
              <w:rPr>
                <w:rFonts w:eastAsia="Calibri"/>
                <w:sz w:val="20"/>
              </w:rPr>
            </w:pPr>
            <w:r w:rsidRPr="00FA6366">
              <w:rPr>
                <w:rFonts w:eastAsia="Calibri"/>
                <w:sz w:val="20"/>
              </w:rPr>
              <w:t>Federal Court of Appeal</w:t>
            </w:r>
          </w:p>
          <w:p w:rsidR="00C215B7" w:rsidRPr="00FA6366" w:rsidRDefault="00C215B7" w:rsidP="0079343E">
            <w:pPr>
              <w:jc w:val="both"/>
              <w:rPr>
                <w:rFonts w:eastAsia="Calibri"/>
                <w:sz w:val="20"/>
              </w:rPr>
            </w:pPr>
            <w:r w:rsidRPr="00FA6366">
              <w:rPr>
                <w:rFonts w:eastAsia="Calibri"/>
                <w:sz w:val="20"/>
              </w:rPr>
              <w:t>(Nadon, Sharlow and Layden</w:t>
            </w:r>
            <w:r w:rsidRPr="00FA6366">
              <w:rPr>
                <w:rFonts w:eastAsia="Calibri"/>
                <w:sz w:val="20"/>
              </w:rPr>
              <w:noBreakHyphen/>
              <w:t>Stevenson JJ.A.)</w:t>
            </w:r>
          </w:p>
          <w:p w:rsidR="00C215B7" w:rsidRPr="00FA6366" w:rsidRDefault="00C215B7" w:rsidP="0079343E">
            <w:pPr>
              <w:jc w:val="both"/>
              <w:rPr>
                <w:rFonts w:eastAsia="Calibri"/>
                <w:sz w:val="20"/>
              </w:rPr>
            </w:pPr>
          </w:p>
        </w:tc>
        <w:tc>
          <w:tcPr>
            <w:tcW w:w="194" w:type="pct"/>
          </w:tcPr>
          <w:p w:rsidR="00C215B7" w:rsidRPr="00FA6366" w:rsidRDefault="00C215B7" w:rsidP="0079343E">
            <w:pPr>
              <w:jc w:val="both"/>
              <w:rPr>
                <w:rFonts w:eastAsia="Calibri"/>
                <w:sz w:val="20"/>
              </w:rPr>
            </w:pPr>
          </w:p>
        </w:tc>
        <w:tc>
          <w:tcPr>
            <w:tcW w:w="2330" w:type="pct"/>
          </w:tcPr>
          <w:p w:rsidR="00C215B7" w:rsidRPr="00FA6366" w:rsidRDefault="00C215B7" w:rsidP="0079343E">
            <w:pPr>
              <w:jc w:val="both"/>
              <w:rPr>
                <w:rFonts w:eastAsia="Calibri"/>
                <w:sz w:val="20"/>
              </w:rPr>
            </w:pPr>
            <w:r w:rsidRPr="00FA6366">
              <w:rPr>
                <w:rFonts w:eastAsia="Calibri"/>
                <w:sz w:val="20"/>
              </w:rPr>
              <w:t xml:space="preserve">Appeal dismissed </w:t>
            </w:r>
          </w:p>
          <w:p w:rsidR="00C215B7" w:rsidRPr="00FA6366" w:rsidRDefault="00C215B7" w:rsidP="0079343E">
            <w:pPr>
              <w:jc w:val="both"/>
              <w:rPr>
                <w:rFonts w:eastAsia="Calibri"/>
                <w:sz w:val="20"/>
              </w:rPr>
            </w:pPr>
          </w:p>
        </w:tc>
      </w:tr>
    </w:tbl>
    <w:p w:rsidR="007855F1" w:rsidRDefault="007855F1"/>
    <w:p w:rsidR="007855F1" w:rsidRDefault="007855F1">
      <w:r>
        <w:br w:type="page"/>
      </w:r>
    </w:p>
    <w:tbl>
      <w:tblPr>
        <w:tblW w:w="4952" w:type="pct"/>
        <w:tblLayout w:type="fixed"/>
        <w:tblCellMar>
          <w:left w:w="0" w:type="dxa"/>
          <w:bottom w:w="99" w:type="dxa"/>
          <w:right w:w="0" w:type="dxa"/>
        </w:tblCellMar>
        <w:tblLook w:val="04A0"/>
      </w:tblPr>
      <w:tblGrid>
        <w:gridCol w:w="4717"/>
        <w:gridCol w:w="370"/>
        <w:gridCol w:w="4440"/>
      </w:tblGrid>
      <w:tr w:rsidR="00C215B7" w:rsidRPr="00FA6366" w:rsidTr="007855F1">
        <w:trPr>
          <w:cantSplit/>
        </w:trPr>
        <w:tc>
          <w:tcPr>
            <w:tcW w:w="2476" w:type="pct"/>
          </w:tcPr>
          <w:p w:rsidR="00C215B7" w:rsidRPr="00FA6366" w:rsidRDefault="00C215B7" w:rsidP="0079343E">
            <w:pPr>
              <w:jc w:val="both"/>
              <w:rPr>
                <w:rFonts w:eastAsia="Calibri"/>
                <w:sz w:val="20"/>
              </w:rPr>
            </w:pPr>
            <w:r w:rsidRPr="00FA6366">
              <w:rPr>
                <w:rFonts w:eastAsia="Calibri"/>
                <w:sz w:val="20"/>
              </w:rPr>
              <w:lastRenderedPageBreak/>
              <w:t>February 7, 2011</w:t>
            </w:r>
          </w:p>
          <w:p w:rsidR="00C215B7" w:rsidRPr="00FA6366" w:rsidRDefault="00C215B7" w:rsidP="0079343E">
            <w:pPr>
              <w:jc w:val="both"/>
              <w:rPr>
                <w:rFonts w:eastAsia="Calibri"/>
                <w:sz w:val="20"/>
              </w:rPr>
            </w:pPr>
            <w:r w:rsidRPr="00FA6366">
              <w:rPr>
                <w:rFonts w:eastAsia="Calibri"/>
                <w:sz w:val="20"/>
              </w:rPr>
              <w:t>Supreme Court of Canada</w:t>
            </w:r>
          </w:p>
        </w:tc>
        <w:tc>
          <w:tcPr>
            <w:tcW w:w="194" w:type="pct"/>
          </w:tcPr>
          <w:p w:rsidR="00C215B7" w:rsidRPr="00FA6366" w:rsidRDefault="00C215B7" w:rsidP="0079343E">
            <w:pPr>
              <w:jc w:val="both"/>
              <w:rPr>
                <w:rFonts w:eastAsia="Calibri"/>
                <w:sz w:val="20"/>
              </w:rPr>
            </w:pPr>
          </w:p>
        </w:tc>
        <w:tc>
          <w:tcPr>
            <w:tcW w:w="2330" w:type="pct"/>
          </w:tcPr>
          <w:p w:rsidR="00C215B7" w:rsidRPr="00FA6366" w:rsidRDefault="00C215B7" w:rsidP="0079343E">
            <w:pPr>
              <w:jc w:val="both"/>
              <w:rPr>
                <w:rFonts w:eastAsia="Calibri"/>
                <w:sz w:val="20"/>
              </w:rPr>
            </w:pPr>
            <w:r w:rsidRPr="00FA6366">
              <w:rPr>
                <w:rFonts w:eastAsia="Calibri"/>
                <w:sz w:val="20"/>
              </w:rPr>
              <w:t>Application for leave to appeal filed</w:t>
            </w:r>
          </w:p>
          <w:p w:rsidR="00C215B7" w:rsidRPr="00FA6366" w:rsidRDefault="00C215B7" w:rsidP="0079343E">
            <w:pPr>
              <w:jc w:val="both"/>
              <w:rPr>
                <w:rFonts w:eastAsia="Calibri"/>
                <w:sz w:val="20"/>
              </w:rPr>
            </w:pPr>
          </w:p>
        </w:tc>
      </w:tr>
    </w:tbl>
    <w:p w:rsidR="00D73FFD" w:rsidRDefault="00D73FFD" w:rsidP="008D292F">
      <w:pPr>
        <w:rPr>
          <w:sz w:val="20"/>
          <w:szCs w:val="20"/>
        </w:rPr>
      </w:pPr>
    </w:p>
    <w:p w:rsidR="00D73FFD" w:rsidRPr="00D73FFD" w:rsidRDefault="00EE1200" w:rsidP="008D292F">
      <w:pPr>
        <w:rPr>
          <w:sz w:val="20"/>
          <w:szCs w:val="20"/>
        </w:rPr>
      </w:pPr>
      <w:r w:rsidRPr="00EE1200">
        <w:rPr>
          <w:sz w:val="20"/>
          <w:szCs w:val="20"/>
          <w:lang w:val="fr-CA"/>
        </w:rPr>
        <w:pict>
          <v:rect id="_x0000_i1034" style="width:2in;height:1pt" o:hrpct="0" o:hralign="center" o:hrstd="t" o:hrnoshade="t" o:hr="t" fillcolor="black [3213]" stroked="f"/>
        </w:pict>
      </w:r>
    </w:p>
    <w:p w:rsidR="00D73FFD" w:rsidRDefault="00D73FFD" w:rsidP="008D292F">
      <w:pPr>
        <w:rPr>
          <w:sz w:val="20"/>
          <w:szCs w:val="20"/>
        </w:rPr>
      </w:pPr>
    </w:p>
    <w:p w:rsidR="00D73FFD" w:rsidRPr="00D73FFD" w:rsidRDefault="00D73FFD" w:rsidP="008D292F">
      <w:pPr>
        <w:rPr>
          <w:sz w:val="20"/>
          <w:szCs w:val="20"/>
        </w:rPr>
      </w:pPr>
      <w:r>
        <w:rPr>
          <w:sz w:val="20"/>
          <w:szCs w:val="20"/>
          <w:u w:val="single"/>
        </w:rPr>
        <w:t>RÉSUMÉ DE L’AFFAIRE</w:t>
      </w:r>
    </w:p>
    <w:p w:rsidR="00D73FFD" w:rsidRDefault="00D73FFD" w:rsidP="008D292F">
      <w:pPr>
        <w:rPr>
          <w:sz w:val="20"/>
          <w:szCs w:val="20"/>
        </w:rPr>
      </w:pPr>
    </w:p>
    <w:tbl>
      <w:tblPr>
        <w:tblW w:w="4952" w:type="pct"/>
        <w:tblLayout w:type="fixed"/>
        <w:tblCellMar>
          <w:left w:w="0" w:type="dxa"/>
          <w:bottom w:w="99" w:type="dxa"/>
          <w:right w:w="0" w:type="dxa"/>
        </w:tblCellMar>
        <w:tblLook w:val="04A0"/>
      </w:tblPr>
      <w:tblGrid>
        <w:gridCol w:w="4717"/>
        <w:gridCol w:w="370"/>
        <w:gridCol w:w="4440"/>
      </w:tblGrid>
      <w:tr w:rsidR="00C215B7" w:rsidRPr="00F03CF9" w:rsidTr="0079343E">
        <w:tc>
          <w:tcPr>
            <w:tcW w:w="5000" w:type="pct"/>
            <w:gridSpan w:val="3"/>
          </w:tcPr>
          <w:p w:rsidR="00C215B7" w:rsidRPr="00FA6366" w:rsidRDefault="00C215B7" w:rsidP="0079343E">
            <w:pPr>
              <w:jc w:val="both"/>
              <w:rPr>
                <w:rFonts w:eastAsia="Calibri"/>
                <w:sz w:val="20"/>
                <w:lang w:val="af-ZA"/>
              </w:rPr>
            </w:pPr>
            <w:r w:rsidRPr="00FA6366">
              <w:rPr>
                <w:rFonts w:eastAsia="Calibri"/>
                <w:sz w:val="20"/>
                <w:lang w:val="af-ZA"/>
              </w:rPr>
              <w:t xml:space="preserve">Droit constitutionnel ― Partage des pouvoirs ― Droit de la santé ― Médicaments ― Pouvoirs accordés au gouvernement fédéral par la </w:t>
            </w:r>
            <w:r w:rsidRPr="00FA6366">
              <w:rPr>
                <w:rFonts w:eastAsia="Calibri"/>
                <w:i/>
                <w:iCs/>
                <w:sz w:val="20"/>
                <w:lang w:val="af-ZA"/>
              </w:rPr>
              <w:t>Loi constitutionnelle de 186</w:t>
            </w:r>
            <w:r w:rsidRPr="00FA6366">
              <w:rPr>
                <w:rFonts w:eastAsia="Calibri"/>
                <w:i/>
                <w:sz w:val="20"/>
                <w:lang w:val="af-ZA"/>
              </w:rPr>
              <w:t>7</w:t>
            </w:r>
            <w:r w:rsidRPr="00FA6366">
              <w:rPr>
                <w:rFonts w:eastAsia="Calibri"/>
                <w:sz w:val="20"/>
                <w:lang w:val="af-ZA"/>
              </w:rPr>
              <w:t xml:space="preserve"> ― Droit criminel ― Échanges et commerce ― Lorsque l’on détermine le caractère véritable de l’une ou plusieurs dispositions contestées d’une loi ou d’un règlement qui autrement n’est pas contesté, dans quelle mesure le contexte législatif guide</w:t>
            </w:r>
            <w:r w:rsidRPr="00FA6366">
              <w:rPr>
                <w:rFonts w:eastAsia="Calibri"/>
                <w:sz w:val="20"/>
                <w:lang w:val="af-ZA"/>
              </w:rPr>
              <w:noBreakHyphen/>
              <w:t>t</w:t>
            </w:r>
            <w:r w:rsidRPr="00FA6366">
              <w:rPr>
                <w:rFonts w:eastAsia="Calibri"/>
                <w:sz w:val="20"/>
                <w:lang w:val="af-ZA"/>
              </w:rPr>
              <w:noBreakHyphen/>
              <w:t>il le processus de détermination du caractère véritable de cette ou ces dispositions? ― La compétence fédérale en matière de droit criminel devrait</w:t>
            </w:r>
            <w:r w:rsidRPr="00FA6366">
              <w:rPr>
                <w:rFonts w:eastAsia="Calibri"/>
                <w:sz w:val="20"/>
                <w:lang w:val="af-ZA"/>
              </w:rPr>
              <w:noBreakHyphen/>
              <w:t>elle être élargie afin d’englober un cadre réglementaire qui n’a pas en soi un objet « criminel » traditionnel s’il est interprété comme ayant un objet « ultime » qui avantage les Canadiens? ― Les principes juridiques régissant les limites de la législation par pouvoir délégué devraient</w:t>
            </w:r>
            <w:r w:rsidRPr="00FA6366">
              <w:rPr>
                <w:rFonts w:eastAsia="Calibri"/>
                <w:sz w:val="20"/>
                <w:lang w:val="af-ZA"/>
              </w:rPr>
              <w:noBreakHyphen/>
              <w:t xml:space="preserve">ils être affinés afin de permettre au délégué d’édicter des règlements qui outrepassent ce qui est prévu par le libellé de la loi habilitante? ― </w:t>
            </w:r>
            <w:r w:rsidRPr="00FA6366">
              <w:rPr>
                <w:rFonts w:eastAsia="Calibri"/>
                <w:i/>
                <w:sz w:val="20"/>
                <w:lang w:val="af-ZA"/>
              </w:rPr>
              <w:t>Loi sur les aliments et drogues</w:t>
            </w:r>
            <w:r w:rsidRPr="00FA6366">
              <w:rPr>
                <w:rFonts w:eastAsia="Calibri"/>
                <w:sz w:val="20"/>
                <w:lang w:val="af-ZA"/>
              </w:rPr>
              <w:t>, L.R.C. 1985, ch. F</w:t>
            </w:r>
            <w:r w:rsidRPr="00FA6366">
              <w:rPr>
                <w:rFonts w:eastAsia="Calibri"/>
                <w:sz w:val="20"/>
                <w:lang w:val="af-ZA"/>
              </w:rPr>
              <w:noBreakHyphen/>
              <w:t xml:space="preserve">25 ― </w:t>
            </w:r>
            <w:r w:rsidRPr="00FA6366">
              <w:rPr>
                <w:rFonts w:eastAsia="Calibri"/>
                <w:i/>
                <w:sz w:val="20"/>
                <w:lang w:val="af-ZA"/>
              </w:rPr>
              <w:t>Règlement sur la protection des données</w:t>
            </w:r>
            <w:r w:rsidRPr="00FA6366">
              <w:rPr>
                <w:rFonts w:eastAsia="Calibri"/>
                <w:sz w:val="20"/>
                <w:lang w:val="af-ZA"/>
              </w:rPr>
              <w:t xml:space="preserve"> du </w:t>
            </w:r>
            <w:r w:rsidRPr="00FA6366">
              <w:rPr>
                <w:rFonts w:eastAsia="Calibri"/>
                <w:i/>
                <w:sz w:val="20"/>
                <w:lang w:val="af-ZA"/>
              </w:rPr>
              <w:t>Règlement sur les aliments et drogues</w:t>
            </w:r>
            <w:r w:rsidRPr="00FA6366">
              <w:rPr>
                <w:rFonts w:eastAsia="Calibri"/>
                <w:sz w:val="20"/>
                <w:lang w:val="af-ZA"/>
              </w:rPr>
              <w:t>, C.R.C. ch. 870.</w:t>
            </w:r>
          </w:p>
          <w:p w:rsidR="00C215B7" w:rsidRPr="00FA6366" w:rsidRDefault="00C215B7" w:rsidP="0079343E">
            <w:pPr>
              <w:jc w:val="both"/>
              <w:rPr>
                <w:rFonts w:eastAsia="Calibri"/>
                <w:sz w:val="20"/>
                <w:lang w:val="af-ZA"/>
              </w:rPr>
            </w:pPr>
          </w:p>
        </w:tc>
      </w:tr>
      <w:tr w:rsidR="00C215B7" w:rsidRPr="00F03CF9" w:rsidTr="0079343E">
        <w:tc>
          <w:tcPr>
            <w:tcW w:w="5000" w:type="pct"/>
            <w:gridSpan w:val="3"/>
          </w:tcPr>
          <w:p w:rsidR="00C215B7" w:rsidRPr="00FA6366" w:rsidRDefault="00C215B7" w:rsidP="0079343E">
            <w:pPr>
              <w:jc w:val="both"/>
              <w:rPr>
                <w:rFonts w:eastAsia="Calibri"/>
                <w:sz w:val="20"/>
                <w:lang w:val="af-ZA"/>
              </w:rPr>
            </w:pPr>
            <w:r w:rsidRPr="00FA6366">
              <w:rPr>
                <w:rFonts w:eastAsia="Calibri"/>
                <w:sz w:val="20"/>
                <w:lang w:val="af-ZA"/>
              </w:rPr>
              <w:t xml:space="preserve">La demanderesse, Apotex Inc., a demandé à la Cour fédérale de rendre un jugement déclarant que le par. 30(3) de la </w:t>
            </w:r>
            <w:r w:rsidRPr="00FA6366">
              <w:rPr>
                <w:rFonts w:eastAsia="Calibri"/>
                <w:i/>
                <w:sz w:val="20"/>
                <w:lang w:val="af-ZA"/>
              </w:rPr>
              <w:t>Loi sur les aliments et drogues</w:t>
            </w:r>
            <w:r w:rsidRPr="00FA6366">
              <w:rPr>
                <w:rFonts w:eastAsia="Calibri"/>
                <w:sz w:val="20"/>
                <w:lang w:val="af-ZA"/>
              </w:rPr>
              <w:t>, L.R.C. 1985, ch. F</w:t>
            </w:r>
            <w:r w:rsidRPr="00FA6366">
              <w:rPr>
                <w:rFonts w:eastAsia="Calibri"/>
                <w:sz w:val="20"/>
                <w:lang w:val="af-ZA"/>
              </w:rPr>
              <w:noBreakHyphen/>
              <w:t xml:space="preserve">25 (« la LAD ») et l’art. C.08.004.1 — le </w:t>
            </w:r>
            <w:r w:rsidRPr="00FA6366">
              <w:rPr>
                <w:rFonts w:eastAsia="Calibri"/>
                <w:i/>
                <w:sz w:val="20"/>
                <w:lang w:val="af-ZA"/>
              </w:rPr>
              <w:t xml:space="preserve">Règlement sur la protection des données </w:t>
            </w:r>
            <w:r w:rsidRPr="00FA6366">
              <w:rPr>
                <w:rFonts w:eastAsia="Calibri"/>
                <w:sz w:val="20"/>
                <w:lang w:val="af-ZA"/>
              </w:rPr>
              <w:t xml:space="preserve">(« le RPD ») du </w:t>
            </w:r>
            <w:r w:rsidRPr="00FA6366">
              <w:rPr>
                <w:rFonts w:eastAsia="Calibri"/>
                <w:i/>
                <w:sz w:val="20"/>
                <w:lang w:val="af-ZA"/>
              </w:rPr>
              <w:t>Règlement sur les aliments et drogues</w:t>
            </w:r>
            <w:r w:rsidRPr="00FA6366">
              <w:rPr>
                <w:rFonts w:eastAsia="Calibri"/>
                <w:sz w:val="20"/>
                <w:lang w:val="af-ZA"/>
              </w:rPr>
              <w:t xml:space="preserve">, C.R.C. ch. 870 — sont invalides et sans effet juridique.  </w:t>
            </w:r>
          </w:p>
          <w:p w:rsidR="00C215B7" w:rsidRPr="00FA6366" w:rsidRDefault="00C215B7" w:rsidP="0079343E">
            <w:pPr>
              <w:jc w:val="both"/>
              <w:rPr>
                <w:rFonts w:eastAsia="Calibri"/>
                <w:sz w:val="20"/>
                <w:lang w:val="af-ZA"/>
              </w:rPr>
            </w:pPr>
          </w:p>
          <w:p w:rsidR="00C215B7" w:rsidRPr="00FA6366" w:rsidRDefault="00C215B7" w:rsidP="0079343E">
            <w:pPr>
              <w:jc w:val="both"/>
              <w:rPr>
                <w:rFonts w:eastAsia="Calibri"/>
                <w:sz w:val="20"/>
                <w:lang w:val="af-ZA"/>
              </w:rPr>
            </w:pPr>
            <w:r w:rsidRPr="00FA6366">
              <w:rPr>
                <w:rFonts w:eastAsia="Calibri"/>
                <w:sz w:val="20"/>
                <w:lang w:val="af-ZA"/>
              </w:rPr>
              <w:t>La Cour fédérale a rejeté la demande en déclarant que le par. 30(3) de la LAD et le RPD étaient dans les limites de la compétence du gouvernement fédéral car ils constituent un exercice valide de la compétence constitutionnelle fédérale en matière de réglementation des échanges et du commerce prévue au par. </w:t>
            </w:r>
            <w:hyperlink r:id="rId22" w:anchor="art91" w:history="1">
              <w:r w:rsidRPr="00FA6366">
                <w:rPr>
                  <w:rFonts w:eastAsia="Calibri"/>
                  <w:sz w:val="20"/>
                  <w:lang w:val="af-ZA"/>
                </w:rPr>
                <w:t>91(2)</w:t>
              </w:r>
            </w:hyperlink>
            <w:r w:rsidRPr="00FA6366">
              <w:rPr>
                <w:rFonts w:eastAsia="Calibri"/>
                <w:sz w:val="20"/>
                <w:lang w:val="af-ZA"/>
              </w:rPr>
              <w:t xml:space="preserve"> de la </w:t>
            </w:r>
            <w:r w:rsidRPr="00FA6366">
              <w:rPr>
                <w:rFonts w:eastAsia="Calibri"/>
                <w:i/>
                <w:iCs/>
                <w:sz w:val="20"/>
                <w:lang w:val="af-ZA"/>
              </w:rPr>
              <w:t>Loi constitutionnelle de 1867</w:t>
            </w:r>
            <w:r w:rsidRPr="00FA6366">
              <w:rPr>
                <w:rFonts w:eastAsia="Calibri"/>
                <w:sz w:val="20"/>
                <w:lang w:val="af-ZA"/>
              </w:rPr>
              <w:t xml:space="preserve">.  Elle a conclu que le RPD n’était pas valide au titre de la compétence fédérale en matière de droit criminel prévue au par. 91(27).  La Cour d’appel fédérale a rejeté l’appel en concluant que le RPD constituait </w:t>
            </w:r>
            <w:r w:rsidRPr="00FA6366">
              <w:rPr>
                <w:rFonts w:eastAsia="Calibri"/>
                <w:color w:val="000000"/>
                <w:sz w:val="20"/>
                <w:lang w:val="af-ZA"/>
              </w:rPr>
              <w:t>un exercice valide de la compétence fédérale en matière de droit criminel prévue au par. 91(27)</w:t>
            </w:r>
            <w:r w:rsidRPr="00FA6366">
              <w:rPr>
                <w:rFonts w:eastAsia="Calibri"/>
                <w:sz w:val="20"/>
                <w:lang w:val="af-ZA"/>
              </w:rPr>
              <w:t>.  Elle a conclu qu’il n’était pas nécessaire de se demander si le RPD était</w:t>
            </w:r>
            <w:bookmarkStart w:id="1" w:name="_GoBack"/>
            <w:bookmarkEnd w:id="1"/>
            <w:r w:rsidRPr="00FA6366">
              <w:rPr>
                <w:rFonts w:eastAsia="Calibri"/>
                <w:sz w:val="20"/>
                <w:lang w:val="af-ZA"/>
              </w:rPr>
              <w:t xml:space="preserve"> visé par la compétence constitutionnelle fédérale en matière de réglementation des échanges et du commerce.</w:t>
            </w:r>
          </w:p>
          <w:p w:rsidR="00C215B7" w:rsidRPr="00FA6366" w:rsidRDefault="00C215B7" w:rsidP="0079343E">
            <w:pPr>
              <w:jc w:val="both"/>
              <w:rPr>
                <w:rFonts w:eastAsia="Calibri"/>
                <w:sz w:val="20"/>
                <w:lang w:val="af-ZA"/>
              </w:rPr>
            </w:pPr>
          </w:p>
        </w:tc>
      </w:tr>
      <w:tr w:rsidR="00C215B7" w:rsidRPr="00F03CF9" w:rsidTr="0079343E">
        <w:tc>
          <w:tcPr>
            <w:tcW w:w="2476" w:type="pct"/>
          </w:tcPr>
          <w:p w:rsidR="00C215B7" w:rsidRPr="00FA6366" w:rsidRDefault="00C215B7" w:rsidP="0079343E">
            <w:pPr>
              <w:jc w:val="both"/>
              <w:rPr>
                <w:rFonts w:eastAsia="Calibri"/>
                <w:sz w:val="20"/>
                <w:lang w:val="af-ZA"/>
              </w:rPr>
            </w:pPr>
            <w:r w:rsidRPr="00FA6366">
              <w:rPr>
                <w:rFonts w:eastAsia="Calibri"/>
                <w:sz w:val="20"/>
                <w:lang w:val="af-ZA"/>
              </w:rPr>
              <w:t>17 juillet 2009</w:t>
            </w:r>
          </w:p>
          <w:p w:rsidR="00C215B7" w:rsidRPr="00FA6366" w:rsidRDefault="00C215B7" w:rsidP="0079343E">
            <w:pPr>
              <w:jc w:val="both"/>
              <w:rPr>
                <w:rFonts w:eastAsia="Calibri"/>
                <w:sz w:val="20"/>
                <w:lang w:val="af-ZA"/>
              </w:rPr>
            </w:pPr>
            <w:r w:rsidRPr="00FA6366">
              <w:rPr>
                <w:rFonts w:eastAsia="Calibri"/>
                <w:sz w:val="20"/>
                <w:lang w:val="af-ZA"/>
              </w:rPr>
              <w:t>Cour fédérale</w:t>
            </w:r>
          </w:p>
          <w:p w:rsidR="00C215B7" w:rsidRPr="00FA6366" w:rsidRDefault="00C215B7" w:rsidP="0079343E">
            <w:pPr>
              <w:jc w:val="both"/>
              <w:rPr>
                <w:rFonts w:eastAsia="Calibri"/>
                <w:sz w:val="20"/>
                <w:lang w:val="af-ZA"/>
              </w:rPr>
            </w:pPr>
            <w:r w:rsidRPr="00FA6366">
              <w:rPr>
                <w:rFonts w:eastAsia="Calibri"/>
                <w:sz w:val="20"/>
                <w:lang w:val="af-ZA"/>
              </w:rPr>
              <w:t>(Juge Mandamin)</w:t>
            </w:r>
          </w:p>
          <w:p w:rsidR="00C215B7" w:rsidRPr="00FA6366" w:rsidRDefault="00C215B7" w:rsidP="0079343E">
            <w:pPr>
              <w:jc w:val="both"/>
              <w:rPr>
                <w:rFonts w:eastAsia="Calibri"/>
                <w:sz w:val="20"/>
                <w:lang w:val="af-ZA"/>
              </w:rPr>
            </w:pPr>
          </w:p>
        </w:tc>
        <w:tc>
          <w:tcPr>
            <w:tcW w:w="194" w:type="pct"/>
          </w:tcPr>
          <w:p w:rsidR="00C215B7" w:rsidRPr="00FA6366" w:rsidRDefault="00C215B7" w:rsidP="0079343E">
            <w:pPr>
              <w:jc w:val="both"/>
              <w:rPr>
                <w:rFonts w:eastAsia="Calibri"/>
                <w:sz w:val="20"/>
                <w:lang w:val="af-ZA"/>
              </w:rPr>
            </w:pPr>
          </w:p>
        </w:tc>
        <w:tc>
          <w:tcPr>
            <w:tcW w:w="2330" w:type="pct"/>
          </w:tcPr>
          <w:p w:rsidR="00C215B7" w:rsidRPr="00FA6366" w:rsidRDefault="00C215B7" w:rsidP="0079343E">
            <w:pPr>
              <w:jc w:val="both"/>
              <w:rPr>
                <w:rFonts w:eastAsia="Calibri"/>
                <w:sz w:val="20"/>
                <w:lang w:val="af-ZA"/>
              </w:rPr>
            </w:pPr>
            <w:r w:rsidRPr="00FA6366">
              <w:rPr>
                <w:rFonts w:eastAsia="Calibri"/>
                <w:sz w:val="20"/>
                <w:lang w:val="af-ZA"/>
              </w:rPr>
              <w:t>RPD déclaré valide au titre de la compétence fédérale; demandes de contrôle judiciaire rejetées</w:t>
            </w:r>
          </w:p>
          <w:p w:rsidR="00C215B7" w:rsidRPr="00FA6366" w:rsidRDefault="00C215B7" w:rsidP="0079343E">
            <w:pPr>
              <w:jc w:val="both"/>
              <w:rPr>
                <w:rFonts w:eastAsia="Calibri"/>
                <w:sz w:val="20"/>
                <w:lang w:val="af-ZA"/>
              </w:rPr>
            </w:pPr>
          </w:p>
        </w:tc>
      </w:tr>
      <w:tr w:rsidR="00C215B7" w:rsidRPr="00FA6366" w:rsidTr="0079343E">
        <w:tc>
          <w:tcPr>
            <w:tcW w:w="2476" w:type="pct"/>
          </w:tcPr>
          <w:p w:rsidR="00C215B7" w:rsidRPr="00FA6366" w:rsidRDefault="00C215B7" w:rsidP="0079343E">
            <w:pPr>
              <w:jc w:val="both"/>
              <w:rPr>
                <w:rFonts w:eastAsia="Calibri"/>
                <w:sz w:val="20"/>
                <w:lang w:val="af-ZA"/>
              </w:rPr>
            </w:pPr>
            <w:r w:rsidRPr="00FA6366">
              <w:rPr>
                <w:rFonts w:eastAsia="Calibri"/>
                <w:sz w:val="20"/>
                <w:lang w:val="af-ZA"/>
              </w:rPr>
              <w:t>9 décembre 2010</w:t>
            </w:r>
          </w:p>
          <w:p w:rsidR="00C215B7" w:rsidRPr="00FA6366" w:rsidRDefault="00C215B7" w:rsidP="0079343E">
            <w:pPr>
              <w:jc w:val="both"/>
              <w:rPr>
                <w:rFonts w:eastAsia="Calibri"/>
                <w:sz w:val="20"/>
                <w:lang w:val="af-ZA"/>
              </w:rPr>
            </w:pPr>
            <w:r w:rsidRPr="00FA6366">
              <w:rPr>
                <w:rFonts w:eastAsia="Calibri"/>
                <w:sz w:val="20"/>
                <w:lang w:val="af-ZA"/>
              </w:rPr>
              <w:t>Cour d’appel fédérale</w:t>
            </w:r>
          </w:p>
          <w:p w:rsidR="00C215B7" w:rsidRPr="00FA6366" w:rsidRDefault="00C215B7" w:rsidP="0079343E">
            <w:pPr>
              <w:jc w:val="both"/>
              <w:rPr>
                <w:rFonts w:eastAsia="Calibri"/>
                <w:sz w:val="20"/>
                <w:lang w:val="af-ZA"/>
              </w:rPr>
            </w:pPr>
            <w:r w:rsidRPr="00FA6366">
              <w:rPr>
                <w:rFonts w:eastAsia="Calibri"/>
                <w:sz w:val="20"/>
                <w:lang w:val="af-ZA"/>
              </w:rPr>
              <w:t>(Juges Nadon, Sharlow et Layden</w:t>
            </w:r>
            <w:r w:rsidRPr="00FA6366">
              <w:rPr>
                <w:rFonts w:eastAsia="Calibri"/>
                <w:sz w:val="20"/>
                <w:lang w:val="af-ZA"/>
              </w:rPr>
              <w:noBreakHyphen/>
              <w:t>Stevenson)</w:t>
            </w:r>
          </w:p>
          <w:p w:rsidR="00C215B7" w:rsidRPr="00FA6366" w:rsidRDefault="00C215B7" w:rsidP="0079343E">
            <w:pPr>
              <w:jc w:val="both"/>
              <w:rPr>
                <w:rFonts w:eastAsia="Calibri"/>
                <w:sz w:val="20"/>
                <w:lang w:val="af-ZA"/>
              </w:rPr>
            </w:pPr>
          </w:p>
        </w:tc>
        <w:tc>
          <w:tcPr>
            <w:tcW w:w="194" w:type="pct"/>
          </w:tcPr>
          <w:p w:rsidR="00C215B7" w:rsidRPr="00FA6366" w:rsidRDefault="00C215B7" w:rsidP="0079343E">
            <w:pPr>
              <w:jc w:val="both"/>
              <w:rPr>
                <w:rFonts w:eastAsia="Calibri"/>
                <w:sz w:val="20"/>
                <w:lang w:val="af-ZA"/>
              </w:rPr>
            </w:pPr>
          </w:p>
        </w:tc>
        <w:tc>
          <w:tcPr>
            <w:tcW w:w="2330" w:type="pct"/>
          </w:tcPr>
          <w:p w:rsidR="00C215B7" w:rsidRPr="00FA6366" w:rsidRDefault="00C215B7" w:rsidP="0079343E">
            <w:pPr>
              <w:jc w:val="both"/>
              <w:rPr>
                <w:rFonts w:eastAsia="Calibri"/>
                <w:sz w:val="20"/>
                <w:lang w:val="af-ZA"/>
              </w:rPr>
            </w:pPr>
            <w:r w:rsidRPr="00FA6366">
              <w:rPr>
                <w:rFonts w:eastAsia="Calibri"/>
                <w:sz w:val="20"/>
                <w:lang w:val="af-ZA"/>
              </w:rPr>
              <w:t xml:space="preserve">Appel rejeté </w:t>
            </w:r>
          </w:p>
          <w:p w:rsidR="00C215B7" w:rsidRPr="00FA6366" w:rsidRDefault="00C215B7" w:rsidP="0079343E">
            <w:pPr>
              <w:jc w:val="both"/>
              <w:rPr>
                <w:rFonts w:eastAsia="Calibri"/>
                <w:sz w:val="20"/>
                <w:lang w:val="af-ZA"/>
              </w:rPr>
            </w:pPr>
          </w:p>
        </w:tc>
      </w:tr>
      <w:tr w:rsidR="00C215B7" w:rsidRPr="00FA6366" w:rsidTr="0079343E">
        <w:tc>
          <w:tcPr>
            <w:tcW w:w="2476" w:type="pct"/>
          </w:tcPr>
          <w:p w:rsidR="00C215B7" w:rsidRPr="00FA6366" w:rsidRDefault="00C215B7" w:rsidP="0079343E">
            <w:pPr>
              <w:jc w:val="both"/>
              <w:rPr>
                <w:rFonts w:eastAsia="Calibri"/>
                <w:sz w:val="20"/>
                <w:lang w:val="af-ZA"/>
              </w:rPr>
            </w:pPr>
            <w:r w:rsidRPr="00FA6366">
              <w:rPr>
                <w:rFonts w:eastAsia="Calibri"/>
                <w:sz w:val="20"/>
                <w:lang w:val="af-ZA"/>
              </w:rPr>
              <w:t>7 février 2011</w:t>
            </w:r>
          </w:p>
          <w:p w:rsidR="00C215B7" w:rsidRPr="00FA6366" w:rsidRDefault="00C215B7" w:rsidP="0079343E">
            <w:pPr>
              <w:jc w:val="both"/>
              <w:rPr>
                <w:rFonts w:eastAsia="Calibri"/>
                <w:sz w:val="20"/>
                <w:lang w:val="af-ZA"/>
              </w:rPr>
            </w:pPr>
            <w:r w:rsidRPr="00FA6366">
              <w:rPr>
                <w:rFonts w:eastAsia="Calibri"/>
                <w:sz w:val="20"/>
                <w:lang w:val="af-ZA"/>
              </w:rPr>
              <w:t>Cour suprême du Canada</w:t>
            </w:r>
          </w:p>
        </w:tc>
        <w:tc>
          <w:tcPr>
            <w:tcW w:w="194" w:type="pct"/>
          </w:tcPr>
          <w:p w:rsidR="00C215B7" w:rsidRPr="00FA6366" w:rsidRDefault="00C215B7" w:rsidP="0079343E">
            <w:pPr>
              <w:jc w:val="both"/>
              <w:rPr>
                <w:rFonts w:eastAsia="Calibri"/>
                <w:sz w:val="20"/>
                <w:lang w:val="af-ZA"/>
              </w:rPr>
            </w:pPr>
          </w:p>
        </w:tc>
        <w:tc>
          <w:tcPr>
            <w:tcW w:w="2330" w:type="pct"/>
          </w:tcPr>
          <w:p w:rsidR="00C215B7" w:rsidRPr="00FA6366" w:rsidRDefault="00C215B7" w:rsidP="0079343E">
            <w:pPr>
              <w:jc w:val="both"/>
              <w:rPr>
                <w:rFonts w:eastAsia="Calibri"/>
                <w:sz w:val="20"/>
                <w:lang w:val="af-ZA"/>
              </w:rPr>
            </w:pPr>
            <w:r w:rsidRPr="00FA6366">
              <w:rPr>
                <w:rFonts w:eastAsia="Calibri"/>
                <w:sz w:val="20"/>
                <w:lang w:val="af-ZA"/>
              </w:rPr>
              <w:t>Demande d’autorisation d’appel déposée</w:t>
            </w:r>
          </w:p>
          <w:p w:rsidR="00C215B7" w:rsidRPr="00FA6366" w:rsidRDefault="00C215B7" w:rsidP="0079343E">
            <w:pPr>
              <w:jc w:val="both"/>
              <w:rPr>
                <w:rFonts w:eastAsia="Calibri"/>
                <w:sz w:val="20"/>
                <w:lang w:val="af-ZA"/>
              </w:rPr>
            </w:pPr>
          </w:p>
        </w:tc>
      </w:tr>
    </w:tbl>
    <w:p w:rsidR="00D73FFD" w:rsidRDefault="00D73FFD" w:rsidP="008D292F">
      <w:pPr>
        <w:rPr>
          <w:sz w:val="20"/>
          <w:szCs w:val="20"/>
        </w:rPr>
      </w:pPr>
    </w:p>
    <w:p w:rsidR="00D73FFD" w:rsidRDefault="00EE1200" w:rsidP="008D292F">
      <w:pPr>
        <w:rPr>
          <w:sz w:val="20"/>
          <w:szCs w:val="20"/>
          <w:lang w:val="fr-CA"/>
        </w:rPr>
      </w:pPr>
      <w:r w:rsidRPr="00EE1200">
        <w:rPr>
          <w:sz w:val="20"/>
          <w:szCs w:val="20"/>
          <w:lang w:val="fr-CA"/>
        </w:rPr>
        <w:pict>
          <v:rect id="_x0000_i1035" style="width:2in;height:1pt" o:hrpct="0" o:hralign="center" o:hrstd="t" o:hrnoshade="t" o:hr="t" fillcolor="black [3213]" stroked="f"/>
        </w:pict>
      </w:r>
    </w:p>
    <w:p w:rsidR="00D73FFD" w:rsidRDefault="00D73FFD"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55F1" w:rsidRPr="00832ECA" w:rsidTr="000E699C">
        <w:trPr>
          <w:cantSplit/>
        </w:trPr>
        <w:tc>
          <w:tcPr>
            <w:tcW w:w="1458" w:type="dxa"/>
          </w:tcPr>
          <w:p w:rsidR="007855F1" w:rsidRPr="00832ECA" w:rsidRDefault="007855F1" w:rsidP="000E699C">
            <w:pPr>
              <w:rPr>
                <w:rFonts w:cs="Times New Roman"/>
                <w:sz w:val="20"/>
                <w:szCs w:val="20"/>
              </w:rPr>
            </w:pPr>
            <w:r w:rsidRPr="00832ECA">
              <w:rPr>
                <w:rStyle w:val="SCCFileNumberChar"/>
                <w:rFonts w:cs="Times New Roman"/>
                <w:sz w:val="20"/>
                <w:szCs w:val="20"/>
              </w:rPr>
              <w:t>34085</w:t>
            </w:r>
          </w:p>
          <w:p w:rsidR="007855F1" w:rsidRPr="00832ECA" w:rsidRDefault="007855F1" w:rsidP="000E699C">
            <w:pPr>
              <w:rPr>
                <w:rFonts w:cs="Times New Roman"/>
                <w:b/>
                <w:sz w:val="20"/>
                <w:szCs w:val="20"/>
                <w:lang w:val="fr-CA"/>
              </w:rPr>
            </w:pPr>
          </w:p>
        </w:tc>
        <w:tc>
          <w:tcPr>
            <w:tcW w:w="8118" w:type="dxa"/>
          </w:tcPr>
          <w:p w:rsidR="007855F1" w:rsidRPr="00832ECA" w:rsidRDefault="007855F1" w:rsidP="007855F1">
            <w:pPr>
              <w:jc w:val="both"/>
              <w:rPr>
                <w:rFonts w:cs="Times New Roman"/>
                <w:sz w:val="20"/>
                <w:szCs w:val="20"/>
              </w:rPr>
            </w:pPr>
            <w:r w:rsidRPr="00832ECA">
              <w:rPr>
                <w:rStyle w:val="SCCLsocChar"/>
                <w:rFonts w:cs="Times New Roman"/>
                <w:sz w:val="20"/>
                <w:szCs w:val="20"/>
                <w:lang w:val="en-CA"/>
              </w:rPr>
              <w:t>Canadian Generic Pharmaceutical Association v. Attorney General of Canada, Minister of Health</w:t>
            </w:r>
            <w:r>
              <w:rPr>
                <w:rStyle w:val="SCCLsocChar"/>
                <w:rFonts w:cs="Times New Roman"/>
                <w:sz w:val="20"/>
                <w:szCs w:val="20"/>
                <w:lang w:val="en-CA"/>
              </w:rPr>
              <w:t xml:space="preserve"> and</w:t>
            </w:r>
            <w:r w:rsidRPr="00832ECA">
              <w:rPr>
                <w:rStyle w:val="SCCLsocChar"/>
                <w:rFonts w:cs="Times New Roman"/>
                <w:sz w:val="20"/>
                <w:szCs w:val="20"/>
                <w:lang w:val="en-CA"/>
              </w:rPr>
              <w:t xml:space="preserve"> Canada</w:t>
            </w:r>
            <w:r>
              <w:rPr>
                <w:rStyle w:val="SCCLsocChar"/>
                <w:rFonts w:cs="Times New Roman"/>
                <w:sz w:val="20"/>
                <w:szCs w:val="20"/>
                <w:lang w:val="en-CA"/>
              </w:rPr>
              <w:t>’</w:t>
            </w:r>
            <w:r w:rsidRPr="00832ECA">
              <w:rPr>
                <w:rStyle w:val="SCCLsocChar"/>
                <w:rFonts w:cs="Times New Roman"/>
                <w:sz w:val="20"/>
                <w:szCs w:val="20"/>
                <w:lang w:val="en-CA"/>
              </w:rPr>
              <w:t>s Research-Based Pharmaceutical Companies</w:t>
            </w:r>
            <w:r w:rsidRPr="00832ECA">
              <w:rPr>
                <w:rFonts w:cs="Times New Roman"/>
                <w:sz w:val="20"/>
                <w:szCs w:val="20"/>
              </w:rPr>
              <w:t xml:space="preserve"> (F</w:t>
            </w:r>
            <w:r>
              <w:rPr>
                <w:rFonts w:cs="Times New Roman"/>
                <w:sz w:val="20"/>
                <w:szCs w:val="20"/>
              </w:rPr>
              <w:t>.</w:t>
            </w:r>
            <w:r w:rsidRPr="00832ECA">
              <w:rPr>
                <w:rFonts w:cs="Times New Roman"/>
                <w:sz w:val="20"/>
                <w:szCs w:val="20"/>
              </w:rPr>
              <w:t>C</w:t>
            </w:r>
            <w:r>
              <w:rPr>
                <w:rFonts w:cs="Times New Roman"/>
                <w:sz w:val="20"/>
                <w:szCs w:val="20"/>
              </w:rPr>
              <w:t>.</w:t>
            </w:r>
            <w:r w:rsidRPr="00832ECA">
              <w:rPr>
                <w:rFonts w:cs="Times New Roman"/>
                <w:sz w:val="20"/>
                <w:szCs w:val="20"/>
              </w:rPr>
              <w:t>) (Civil) (By Leave)</w:t>
            </w:r>
          </w:p>
          <w:p w:rsidR="007855F1" w:rsidRPr="00832ECA" w:rsidRDefault="007855F1" w:rsidP="000E699C">
            <w:pPr>
              <w:rPr>
                <w:rFonts w:cs="Times New Roman"/>
                <w:sz w:val="20"/>
                <w:szCs w:val="20"/>
              </w:rPr>
            </w:pPr>
          </w:p>
        </w:tc>
      </w:tr>
      <w:tr w:rsidR="007855F1" w:rsidRPr="00832ECA" w:rsidTr="000E699C">
        <w:trPr>
          <w:cantSplit/>
        </w:trPr>
        <w:tc>
          <w:tcPr>
            <w:tcW w:w="1458" w:type="dxa"/>
          </w:tcPr>
          <w:p w:rsidR="007855F1" w:rsidRPr="00832ECA" w:rsidRDefault="007855F1" w:rsidP="000E699C">
            <w:pPr>
              <w:rPr>
                <w:rFonts w:cs="Times New Roman"/>
                <w:sz w:val="20"/>
                <w:szCs w:val="20"/>
              </w:rPr>
            </w:pPr>
            <w:r w:rsidRPr="00832ECA">
              <w:rPr>
                <w:rFonts w:cs="Times New Roman"/>
                <w:sz w:val="20"/>
                <w:szCs w:val="20"/>
              </w:rPr>
              <w:t>Coram :</w:t>
            </w:r>
          </w:p>
        </w:tc>
        <w:tc>
          <w:tcPr>
            <w:tcW w:w="8118" w:type="dxa"/>
          </w:tcPr>
          <w:p w:rsidR="007855F1" w:rsidRPr="00832ECA" w:rsidRDefault="007855F1" w:rsidP="000E699C">
            <w:pPr>
              <w:rPr>
                <w:rFonts w:cs="Times New Roman"/>
                <w:sz w:val="20"/>
                <w:szCs w:val="20"/>
              </w:rPr>
            </w:pPr>
            <w:r w:rsidRPr="00832ECA">
              <w:rPr>
                <w:rStyle w:val="SCCCoramChar"/>
                <w:rFonts w:cs="Times New Roman"/>
                <w:sz w:val="20"/>
                <w:szCs w:val="20"/>
                <w:lang w:val="en-CA"/>
              </w:rPr>
              <w:t>McLachlin C.J. and Deschamps and Charron JJ.</w:t>
            </w:r>
          </w:p>
          <w:p w:rsidR="007855F1" w:rsidRPr="00832ECA" w:rsidRDefault="007855F1" w:rsidP="000E699C">
            <w:pPr>
              <w:rPr>
                <w:rFonts w:cs="Times New Roman"/>
                <w:sz w:val="20"/>
                <w:szCs w:val="20"/>
                <w:u w:val="single"/>
              </w:rPr>
            </w:pPr>
          </w:p>
        </w:tc>
      </w:tr>
      <w:tr w:rsidR="007855F1" w:rsidRPr="00F03CF9" w:rsidTr="000E699C">
        <w:trPr>
          <w:cantSplit/>
        </w:trPr>
        <w:tc>
          <w:tcPr>
            <w:tcW w:w="9576" w:type="dxa"/>
            <w:gridSpan w:val="2"/>
          </w:tcPr>
          <w:p w:rsidR="007855F1" w:rsidRPr="00832ECA" w:rsidRDefault="007855F1" w:rsidP="000E699C">
            <w:pPr>
              <w:pStyle w:val="SCCShortJudgment"/>
              <w:rPr>
                <w:rFonts w:cs="Times New Roman"/>
                <w:szCs w:val="20"/>
              </w:rPr>
            </w:pPr>
            <w:r w:rsidRPr="00832ECA">
              <w:rPr>
                <w:rFonts w:cs="Times New Roman"/>
                <w:szCs w:val="20"/>
              </w:rPr>
              <w:lastRenderedPageBreak/>
              <w:t>The application for leave to appeal from the judgment of the Federal Court of Appeal, Number A-360-09, 2010 FCA 334, dated December 9, 2010, is dismissed with costs.</w:t>
            </w:r>
          </w:p>
          <w:p w:rsidR="007855F1" w:rsidRPr="00832ECA" w:rsidRDefault="007855F1" w:rsidP="000E699C">
            <w:pPr>
              <w:pStyle w:val="SCCShortJudgment"/>
              <w:ind w:firstLine="0"/>
              <w:rPr>
                <w:rFonts w:cs="Times New Roman"/>
                <w:szCs w:val="20"/>
              </w:rPr>
            </w:pPr>
          </w:p>
          <w:p w:rsidR="007855F1" w:rsidRPr="00832ECA" w:rsidRDefault="007855F1" w:rsidP="000E699C">
            <w:pPr>
              <w:pStyle w:val="SCCShortJudgment"/>
              <w:rPr>
                <w:rFonts w:cs="Times New Roman"/>
                <w:szCs w:val="20"/>
                <w:lang w:val="fr-CA"/>
              </w:rPr>
            </w:pPr>
            <w:r w:rsidRPr="00832ECA">
              <w:rPr>
                <w:rFonts w:cs="Times New Roman"/>
                <w:szCs w:val="20"/>
                <w:lang w:val="fr-CA"/>
              </w:rPr>
              <w:t>La demande d’autorisation d’appel de l’arrêt de la Cour d’appel fédérale, numéro A-360-09, 2010 CAF 334, daté du 9 décembre 2010, est rejetée avec dépens.</w:t>
            </w:r>
          </w:p>
        </w:tc>
      </w:tr>
    </w:tbl>
    <w:p w:rsidR="007855F1" w:rsidRPr="007855F1" w:rsidRDefault="007855F1"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C215B7" w:rsidRPr="00FA6366" w:rsidTr="0079343E">
        <w:tc>
          <w:tcPr>
            <w:tcW w:w="5000" w:type="pct"/>
            <w:gridSpan w:val="3"/>
          </w:tcPr>
          <w:p w:rsidR="00C215B7" w:rsidRPr="00FA6366" w:rsidRDefault="00C215B7" w:rsidP="0079343E">
            <w:pPr>
              <w:jc w:val="both"/>
              <w:rPr>
                <w:rFonts w:eastAsia="Calibri"/>
                <w:sz w:val="20"/>
              </w:rPr>
            </w:pPr>
            <w:r w:rsidRPr="00FA6366">
              <w:rPr>
                <w:rFonts w:eastAsia="Calibri"/>
                <w:sz w:val="20"/>
              </w:rPr>
              <w:t xml:space="preserve">Constitutional law ― Division of powers ― Health law ― Drugs ― Federal powers under </w:t>
            </w:r>
            <w:r w:rsidRPr="00FA6366">
              <w:rPr>
                <w:rFonts w:eastAsia="Calibri"/>
                <w:i/>
                <w:sz w:val="20"/>
              </w:rPr>
              <w:t>Constitution Act, 1867</w:t>
            </w:r>
            <w:r w:rsidRPr="00FA6366">
              <w:rPr>
                <w:rFonts w:eastAsia="Calibri"/>
                <w:sz w:val="20"/>
              </w:rPr>
              <w:t xml:space="preserve"> ― Criminal law ― Trade and Commerce ― What is the scope of Parliament’s </w:t>
            </w:r>
            <w:r w:rsidRPr="00FA6366">
              <w:rPr>
                <w:rFonts w:eastAsia="Calibri"/>
                <w:i/>
                <w:sz w:val="20"/>
              </w:rPr>
              <w:t>criminal law</w:t>
            </w:r>
            <w:r w:rsidRPr="00FA6366">
              <w:rPr>
                <w:rFonts w:eastAsia="Calibri"/>
                <w:sz w:val="20"/>
              </w:rPr>
              <w:t xml:space="preserve"> power in s. 91(27) of the </w:t>
            </w:r>
            <w:r w:rsidRPr="00FA6366">
              <w:rPr>
                <w:rFonts w:eastAsia="Calibri"/>
                <w:i/>
                <w:sz w:val="20"/>
              </w:rPr>
              <w:t>Constitution Act, 1867</w:t>
            </w:r>
            <w:r w:rsidRPr="00FA6366">
              <w:rPr>
                <w:rFonts w:eastAsia="Calibri"/>
                <w:sz w:val="20"/>
              </w:rPr>
              <w:t xml:space="preserve"> ― How should the “pith and substance’’ analysis be performed for an impugned provision within a larger scheme ― How should the “ancillary powers doctrine’’ be applied ― What is the scope of Parliament’s trade and commerce power in s. 91(2) of the </w:t>
            </w:r>
            <w:r w:rsidRPr="00FA6366">
              <w:rPr>
                <w:rFonts w:eastAsia="Calibri"/>
                <w:i/>
                <w:sz w:val="20"/>
              </w:rPr>
              <w:t>Constitution Act, 1867</w:t>
            </w:r>
            <w:r w:rsidRPr="00FA6366">
              <w:rPr>
                <w:rFonts w:eastAsia="Calibri"/>
                <w:sz w:val="20"/>
              </w:rPr>
              <w:t xml:space="preserve"> ― What is the scope of the Governor in Council’s (the “GIC’’) regulation</w:t>
            </w:r>
            <w:r w:rsidRPr="00FA6366">
              <w:rPr>
                <w:rFonts w:eastAsia="Calibri"/>
                <w:sz w:val="20"/>
              </w:rPr>
              <w:noBreakHyphen/>
              <w:t xml:space="preserve">making authority ― </w:t>
            </w:r>
            <w:r w:rsidRPr="00FA6366">
              <w:rPr>
                <w:rFonts w:eastAsia="Calibri"/>
                <w:i/>
                <w:sz w:val="20"/>
              </w:rPr>
              <w:t>Food and Drugs Act</w:t>
            </w:r>
            <w:r w:rsidRPr="00FA6366">
              <w:rPr>
                <w:rFonts w:eastAsia="Calibri"/>
                <w:sz w:val="20"/>
              </w:rPr>
              <w:t>, R.S.C. 1985, c. F</w:t>
            </w:r>
            <w:r w:rsidRPr="00FA6366">
              <w:rPr>
                <w:rFonts w:eastAsia="Calibri"/>
                <w:sz w:val="20"/>
              </w:rPr>
              <w:noBreakHyphen/>
              <w:t xml:space="preserve">25 ― </w:t>
            </w:r>
            <w:r w:rsidRPr="00FA6366">
              <w:rPr>
                <w:rFonts w:eastAsia="Calibri"/>
                <w:i/>
                <w:sz w:val="20"/>
              </w:rPr>
              <w:t>Data Protection Regulation</w:t>
            </w:r>
            <w:r w:rsidRPr="00FA6366">
              <w:rPr>
                <w:rFonts w:eastAsia="Calibri"/>
                <w:sz w:val="20"/>
              </w:rPr>
              <w:t xml:space="preserve"> of the </w:t>
            </w:r>
            <w:r w:rsidRPr="00FA6366">
              <w:rPr>
                <w:rFonts w:eastAsia="Calibri"/>
                <w:i/>
                <w:sz w:val="20"/>
              </w:rPr>
              <w:t>Regulations Respecting Food and Drug</w:t>
            </w:r>
            <w:r w:rsidRPr="00FA6366">
              <w:rPr>
                <w:rFonts w:eastAsia="Calibri"/>
                <w:sz w:val="20"/>
              </w:rPr>
              <w:t>, C.R.C., c. 870.</w:t>
            </w:r>
          </w:p>
          <w:p w:rsidR="00C215B7" w:rsidRPr="00FA6366" w:rsidRDefault="00C215B7" w:rsidP="0079343E">
            <w:pPr>
              <w:jc w:val="both"/>
              <w:rPr>
                <w:rFonts w:eastAsia="Calibri"/>
                <w:sz w:val="20"/>
              </w:rPr>
            </w:pPr>
          </w:p>
        </w:tc>
      </w:tr>
      <w:tr w:rsidR="00C215B7" w:rsidRPr="00FA6366" w:rsidTr="0079343E">
        <w:tc>
          <w:tcPr>
            <w:tcW w:w="5000" w:type="pct"/>
            <w:gridSpan w:val="3"/>
          </w:tcPr>
          <w:p w:rsidR="00C215B7" w:rsidRPr="00FA6366" w:rsidRDefault="00C215B7" w:rsidP="0079343E">
            <w:pPr>
              <w:jc w:val="both"/>
              <w:rPr>
                <w:rFonts w:eastAsia="Calibri"/>
                <w:sz w:val="20"/>
              </w:rPr>
            </w:pPr>
            <w:r w:rsidRPr="00FA6366">
              <w:rPr>
                <w:rFonts w:eastAsia="Calibri"/>
                <w:sz w:val="20"/>
              </w:rPr>
              <w:t xml:space="preserve">The applicant, the Canadian Generic Pharmaceutical Association (“CGPA”) sought a declaration in the Federal Court that s. 30(3) of the </w:t>
            </w:r>
            <w:r w:rsidRPr="00FA6366">
              <w:rPr>
                <w:rFonts w:eastAsia="Calibri"/>
                <w:i/>
                <w:sz w:val="20"/>
              </w:rPr>
              <w:t>Food and Drugs Act</w:t>
            </w:r>
            <w:r w:rsidRPr="00FA6366">
              <w:rPr>
                <w:rFonts w:eastAsia="Calibri"/>
                <w:sz w:val="20"/>
              </w:rPr>
              <w:t>, R.S.C. 1985, c. F</w:t>
            </w:r>
            <w:r w:rsidRPr="00FA6366">
              <w:rPr>
                <w:rFonts w:eastAsia="Calibri"/>
                <w:sz w:val="20"/>
              </w:rPr>
              <w:noBreakHyphen/>
              <w:t xml:space="preserve">25 (“FDA”) and s. C.08.004.1 — the </w:t>
            </w:r>
            <w:r w:rsidRPr="00FA6366">
              <w:rPr>
                <w:rFonts w:eastAsia="Calibri"/>
                <w:i/>
                <w:sz w:val="20"/>
              </w:rPr>
              <w:t xml:space="preserve">Data Protection Regulation </w:t>
            </w:r>
            <w:r w:rsidRPr="00FA6366">
              <w:rPr>
                <w:rFonts w:eastAsia="Calibri"/>
                <w:sz w:val="20"/>
              </w:rPr>
              <w:t xml:space="preserve">(“DPR”) of the </w:t>
            </w:r>
            <w:r w:rsidRPr="00FA6366">
              <w:rPr>
                <w:rFonts w:eastAsia="Calibri"/>
                <w:i/>
                <w:sz w:val="20"/>
              </w:rPr>
              <w:t>Regulations Respecting Food and Drug</w:t>
            </w:r>
            <w:r w:rsidRPr="00FA6366">
              <w:rPr>
                <w:rFonts w:eastAsia="Calibri"/>
                <w:sz w:val="20"/>
              </w:rPr>
              <w:t xml:space="preserve">, C.R.C. c. 870, were </w:t>
            </w:r>
            <w:r w:rsidRPr="00FA6366">
              <w:rPr>
                <w:rFonts w:eastAsia="Calibri"/>
                <w:i/>
                <w:sz w:val="20"/>
              </w:rPr>
              <w:t xml:space="preserve">ultra vires </w:t>
            </w:r>
            <w:r w:rsidRPr="00FA6366">
              <w:rPr>
                <w:rFonts w:eastAsia="Calibri"/>
                <w:sz w:val="20"/>
              </w:rPr>
              <w:t xml:space="preserve"> and without legal force and effect.</w:t>
            </w:r>
          </w:p>
          <w:p w:rsidR="00C215B7" w:rsidRPr="00FA6366" w:rsidRDefault="00C215B7" w:rsidP="0079343E">
            <w:pPr>
              <w:jc w:val="both"/>
              <w:rPr>
                <w:rFonts w:eastAsia="Calibri"/>
                <w:sz w:val="20"/>
              </w:rPr>
            </w:pPr>
          </w:p>
          <w:p w:rsidR="00C215B7" w:rsidRPr="00FA6366" w:rsidRDefault="00C215B7" w:rsidP="0079343E">
            <w:pPr>
              <w:jc w:val="both"/>
              <w:rPr>
                <w:rFonts w:eastAsia="Calibri"/>
                <w:sz w:val="20"/>
              </w:rPr>
            </w:pPr>
            <w:r w:rsidRPr="00FA6366">
              <w:rPr>
                <w:rFonts w:eastAsia="Calibri"/>
                <w:sz w:val="20"/>
              </w:rPr>
              <w:t xml:space="preserve">The Federal Court dismissed the application declaring s. 30(3) of the FDA and the DPR </w:t>
            </w:r>
            <w:r w:rsidRPr="00FA6366">
              <w:rPr>
                <w:rFonts w:eastAsia="Calibri"/>
                <w:i/>
                <w:sz w:val="20"/>
              </w:rPr>
              <w:t>intra vires</w:t>
            </w:r>
            <w:r w:rsidRPr="00FA6366">
              <w:rPr>
                <w:rFonts w:eastAsia="Calibri"/>
                <w:sz w:val="20"/>
              </w:rPr>
              <w:t xml:space="preserve"> as a valid exercise of the federal constitutional power under the regulation of trade and commerce, as per s. 91(2) of the </w:t>
            </w:r>
            <w:r w:rsidRPr="00FA6366">
              <w:rPr>
                <w:rFonts w:eastAsia="Calibri"/>
                <w:i/>
                <w:sz w:val="20"/>
              </w:rPr>
              <w:t>Constitution Act, 1867</w:t>
            </w:r>
            <w:r w:rsidRPr="00FA6366">
              <w:rPr>
                <w:rFonts w:eastAsia="Calibri"/>
                <w:sz w:val="20"/>
              </w:rPr>
              <w:t xml:space="preserve">.  It found the DPR was not </w:t>
            </w:r>
            <w:r w:rsidRPr="00FA6366">
              <w:rPr>
                <w:rFonts w:eastAsia="Calibri"/>
                <w:i/>
                <w:sz w:val="20"/>
              </w:rPr>
              <w:t>intra vires</w:t>
            </w:r>
            <w:r w:rsidRPr="00FA6366">
              <w:rPr>
                <w:rFonts w:eastAsia="Calibri"/>
                <w:sz w:val="20"/>
              </w:rPr>
              <w:t xml:space="preserve"> by reason of s. 91(27), the criminal law power.  The Federal Court of Appeal dismissed the appeal concluding the DPR constitutes a valid exercise of the federal criminal law under s. 91(27).  They found it unnecessary to consider whether the DPR falls under the federal regulation of trade and commerce powers.</w:t>
            </w:r>
          </w:p>
          <w:p w:rsidR="00C215B7" w:rsidRPr="00FA6366" w:rsidRDefault="00C215B7" w:rsidP="0079343E">
            <w:pPr>
              <w:jc w:val="both"/>
              <w:rPr>
                <w:rFonts w:eastAsia="Calibri"/>
                <w:sz w:val="20"/>
              </w:rPr>
            </w:pPr>
          </w:p>
        </w:tc>
      </w:tr>
      <w:tr w:rsidR="00C215B7" w:rsidRPr="00FA6366" w:rsidTr="0079343E">
        <w:tc>
          <w:tcPr>
            <w:tcW w:w="2524" w:type="pct"/>
          </w:tcPr>
          <w:p w:rsidR="00C215B7" w:rsidRPr="00FA6366" w:rsidRDefault="00C215B7" w:rsidP="0079343E">
            <w:pPr>
              <w:jc w:val="both"/>
              <w:rPr>
                <w:rFonts w:eastAsia="Calibri"/>
                <w:sz w:val="20"/>
              </w:rPr>
            </w:pPr>
            <w:r w:rsidRPr="00FA6366">
              <w:rPr>
                <w:rFonts w:eastAsia="Calibri"/>
                <w:sz w:val="20"/>
              </w:rPr>
              <w:t>July 17, 2009</w:t>
            </w:r>
          </w:p>
          <w:p w:rsidR="00C215B7" w:rsidRPr="00FA6366" w:rsidRDefault="00C215B7" w:rsidP="0079343E">
            <w:pPr>
              <w:jc w:val="both"/>
              <w:rPr>
                <w:rFonts w:eastAsia="Calibri"/>
                <w:sz w:val="20"/>
              </w:rPr>
            </w:pPr>
            <w:r w:rsidRPr="00FA6366">
              <w:rPr>
                <w:rFonts w:eastAsia="Calibri"/>
                <w:sz w:val="20"/>
              </w:rPr>
              <w:t>Federal Court</w:t>
            </w:r>
          </w:p>
          <w:p w:rsidR="00C215B7" w:rsidRPr="00FA6366" w:rsidRDefault="00C215B7" w:rsidP="0079343E">
            <w:pPr>
              <w:jc w:val="both"/>
              <w:rPr>
                <w:rFonts w:eastAsia="Calibri"/>
                <w:sz w:val="20"/>
              </w:rPr>
            </w:pPr>
            <w:r w:rsidRPr="00FA6366">
              <w:rPr>
                <w:rFonts w:eastAsia="Calibri"/>
                <w:sz w:val="20"/>
              </w:rPr>
              <w:t>(Mandamin J.)</w:t>
            </w:r>
          </w:p>
          <w:p w:rsidR="00C215B7" w:rsidRPr="00FA6366" w:rsidRDefault="00C215B7" w:rsidP="0079343E">
            <w:pPr>
              <w:jc w:val="both"/>
              <w:rPr>
                <w:rFonts w:eastAsia="Calibri"/>
                <w:sz w:val="20"/>
              </w:rPr>
            </w:pPr>
          </w:p>
        </w:tc>
        <w:tc>
          <w:tcPr>
            <w:tcW w:w="146" w:type="pct"/>
          </w:tcPr>
          <w:p w:rsidR="00C215B7" w:rsidRPr="00FA6366" w:rsidRDefault="00C215B7" w:rsidP="0079343E">
            <w:pPr>
              <w:jc w:val="both"/>
              <w:rPr>
                <w:rFonts w:eastAsia="Calibri"/>
                <w:sz w:val="20"/>
              </w:rPr>
            </w:pPr>
          </w:p>
        </w:tc>
        <w:tc>
          <w:tcPr>
            <w:tcW w:w="2330" w:type="pct"/>
          </w:tcPr>
          <w:p w:rsidR="00C215B7" w:rsidRPr="00FA6366" w:rsidRDefault="00C215B7" w:rsidP="0079343E">
            <w:pPr>
              <w:jc w:val="both"/>
              <w:rPr>
                <w:rFonts w:eastAsia="Calibri"/>
                <w:sz w:val="20"/>
              </w:rPr>
            </w:pPr>
            <w:r w:rsidRPr="00FA6366">
              <w:rPr>
                <w:rFonts w:eastAsia="Calibri"/>
                <w:sz w:val="20"/>
              </w:rPr>
              <w:t xml:space="preserve">DPR declared to be </w:t>
            </w:r>
            <w:r w:rsidRPr="00FA6366">
              <w:rPr>
                <w:rFonts w:eastAsia="Calibri"/>
                <w:i/>
                <w:sz w:val="20"/>
              </w:rPr>
              <w:t>intra vires</w:t>
            </w:r>
            <w:r w:rsidRPr="00FA6366">
              <w:rPr>
                <w:rFonts w:eastAsia="Calibri"/>
                <w:sz w:val="20"/>
              </w:rPr>
              <w:t xml:space="preserve"> the federal Parliament; applications for judicial review dismissed</w:t>
            </w:r>
          </w:p>
          <w:p w:rsidR="00C215B7" w:rsidRPr="00FA6366" w:rsidRDefault="00C215B7" w:rsidP="0079343E">
            <w:pPr>
              <w:jc w:val="both"/>
              <w:rPr>
                <w:rFonts w:eastAsia="Calibri"/>
                <w:sz w:val="20"/>
              </w:rPr>
            </w:pPr>
          </w:p>
        </w:tc>
      </w:tr>
      <w:tr w:rsidR="00C215B7" w:rsidRPr="00FA6366" w:rsidTr="0079343E">
        <w:tc>
          <w:tcPr>
            <w:tcW w:w="2524" w:type="pct"/>
          </w:tcPr>
          <w:p w:rsidR="00C215B7" w:rsidRPr="00FA6366" w:rsidRDefault="00C215B7" w:rsidP="0079343E">
            <w:pPr>
              <w:jc w:val="both"/>
              <w:rPr>
                <w:rFonts w:eastAsia="Calibri"/>
                <w:sz w:val="20"/>
              </w:rPr>
            </w:pPr>
            <w:r w:rsidRPr="00FA6366">
              <w:rPr>
                <w:rFonts w:eastAsia="Calibri"/>
                <w:sz w:val="20"/>
              </w:rPr>
              <w:t>December 9, 2010</w:t>
            </w:r>
          </w:p>
          <w:p w:rsidR="00C215B7" w:rsidRPr="00FA6366" w:rsidRDefault="00C215B7" w:rsidP="0079343E">
            <w:pPr>
              <w:jc w:val="both"/>
              <w:rPr>
                <w:rFonts w:eastAsia="Calibri"/>
                <w:sz w:val="20"/>
              </w:rPr>
            </w:pPr>
            <w:r w:rsidRPr="00FA6366">
              <w:rPr>
                <w:rFonts w:eastAsia="Calibri"/>
                <w:sz w:val="20"/>
              </w:rPr>
              <w:t>Federal Court of Appeal</w:t>
            </w:r>
          </w:p>
          <w:p w:rsidR="00C215B7" w:rsidRPr="00FA6366" w:rsidRDefault="00C215B7" w:rsidP="0079343E">
            <w:pPr>
              <w:jc w:val="both"/>
              <w:rPr>
                <w:rFonts w:eastAsia="Calibri"/>
                <w:sz w:val="20"/>
              </w:rPr>
            </w:pPr>
            <w:r w:rsidRPr="00FA6366">
              <w:rPr>
                <w:rFonts w:eastAsia="Calibri"/>
                <w:sz w:val="20"/>
              </w:rPr>
              <w:t>(Nadon, Sharlow and Layden</w:t>
            </w:r>
            <w:r w:rsidRPr="00FA6366">
              <w:rPr>
                <w:rFonts w:eastAsia="Calibri"/>
                <w:sz w:val="20"/>
              </w:rPr>
              <w:noBreakHyphen/>
              <w:t>Stevenson JJ.A.)</w:t>
            </w:r>
          </w:p>
          <w:p w:rsidR="00C215B7" w:rsidRPr="00FA6366" w:rsidRDefault="00C215B7" w:rsidP="0079343E">
            <w:pPr>
              <w:jc w:val="both"/>
              <w:rPr>
                <w:rFonts w:eastAsia="Calibri"/>
                <w:sz w:val="20"/>
              </w:rPr>
            </w:pPr>
          </w:p>
        </w:tc>
        <w:tc>
          <w:tcPr>
            <w:tcW w:w="146" w:type="pct"/>
          </w:tcPr>
          <w:p w:rsidR="00C215B7" w:rsidRPr="00FA6366" w:rsidRDefault="00C215B7" w:rsidP="0079343E">
            <w:pPr>
              <w:jc w:val="both"/>
              <w:rPr>
                <w:rFonts w:eastAsia="Calibri"/>
                <w:sz w:val="20"/>
              </w:rPr>
            </w:pPr>
          </w:p>
        </w:tc>
        <w:tc>
          <w:tcPr>
            <w:tcW w:w="2330" w:type="pct"/>
          </w:tcPr>
          <w:p w:rsidR="00C215B7" w:rsidRPr="00FA6366" w:rsidRDefault="00C215B7" w:rsidP="0079343E">
            <w:pPr>
              <w:jc w:val="both"/>
              <w:rPr>
                <w:rFonts w:eastAsia="Calibri"/>
                <w:sz w:val="20"/>
              </w:rPr>
            </w:pPr>
            <w:r w:rsidRPr="00FA6366">
              <w:rPr>
                <w:rFonts w:eastAsia="Calibri"/>
                <w:sz w:val="20"/>
              </w:rPr>
              <w:t xml:space="preserve">Appeal dismissed </w:t>
            </w:r>
          </w:p>
          <w:p w:rsidR="00C215B7" w:rsidRPr="00FA6366" w:rsidRDefault="00C215B7" w:rsidP="0079343E">
            <w:pPr>
              <w:jc w:val="both"/>
              <w:rPr>
                <w:rFonts w:eastAsia="Calibri"/>
                <w:sz w:val="20"/>
              </w:rPr>
            </w:pPr>
          </w:p>
        </w:tc>
      </w:tr>
      <w:tr w:rsidR="00C215B7" w:rsidRPr="00FA6366" w:rsidTr="0079343E">
        <w:tc>
          <w:tcPr>
            <w:tcW w:w="2524" w:type="pct"/>
          </w:tcPr>
          <w:p w:rsidR="00C215B7" w:rsidRPr="00FA6366" w:rsidRDefault="00C215B7" w:rsidP="0079343E">
            <w:pPr>
              <w:jc w:val="both"/>
              <w:rPr>
                <w:rFonts w:eastAsia="Calibri"/>
                <w:sz w:val="20"/>
              </w:rPr>
            </w:pPr>
            <w:r w:rsidRPr="00FA6366">
              <w:rPr>
                <w:rFonts w:eastAsia="Calibri"/>
                <w:sz w:val="20"/>
              </w:rPr>
              <w:t>February 7, 2011</w:t>
            </w:r>
          </w:p>
          <w:p w:rsidR="00C215B7" w:rsidRPr="00FA6366" w:rsidRDefault="00C215B7" w:rsidP="0079343E">
            <w:pPr>
              <w:jc w:val="both"/>
              <w:rPr>
                <w:rFonts w:eastAsia="Calibri"/>
                <w:sz w:val="20"/>
              </w:rPr>
            </w:pPr>
            <w:r w:rsidRPr="00FA6366">
              <w:rPr>
                <w:rFonts w:eastAsia="Calibri"/>
                <w:sz w:val="20"/>
              </w:rPr>
              <w:t>Supreme Court of Canada</w:t>
            </w:r>
          </w:p>
        </w:tc>
        <w:tc>
          <w:tcPr>
            <w:tcW w:w="146" w:type="pct"/>
          </w:tcPr>
          <w:p w:rsidR="00C215B7" w:rsidRPr="00FA6366" w:rsidRDefault="00C215B7" w:rsidP="0079343E">
            <w:pPr>
              <w:jc w:val="both"/>
              <w:rPr>
                <w:rFonts w:eastAsia="Calibri"/>
                <w:sz w:val="20"/>
              </w:rPr>
            </w:pPr>
          </w:p>
        </w:tc>
        <w:tc>
          <w:tcPr>
            <w:tcW w:w="2330" w:type="pct"/>
          </w:tcPr>
          <w:p w:rsidR="00C215B7" w:rsidRPr="00FA6366" w:rsidRDefault="00C215B7" w:rsidP="0079343E">
            <w:pPr>
              <w:jc w:val="both"/>
              <w:rPr>
                <w:rFonts w:eastAsia="Calibri"/>
                <w:sz w:val="20"/>
              </w:rPr>
            </w:pPr>
            <w:r w:rsidRPr="00FA6366">
              <w:rPr>
                <w:rFonts w:eastAsia="Calibri"/>
                <w:sz w:val="20"/>
              </w:rPr>
              <w:t>Application for leave to appeal filed</w:t>
            </w:r>
          </w:p>
          <w:p w:rsidR="00C215B7" w:rsidRPr="00FA6366" w:rsidRDefault="00C215B7" w:rsidP="0079343E">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36"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C215B7" w:rsidRPr="00F03CF9" w:rsidTr="0079343E">
        <w:tc>
          <w:tcPr>
            <w:tcW w:w="5000" w:type="pct"/>
            <w:gridSpan w:val="3"/>
          </w:tcPr>
          <w:p w:rsidR="00C215B7" w:rsidRPr="00FA6366" w:rsidRDefault="00C215B7" w:rsidP="0079343E">
            <w:pPr>
              <w:jc w:val="both"/>
              <w:rPr>
                <w:rFonts w:eastAsia="Calibri"/>
                <w:sz w:val="20"/>
                <w:lang w:val="fr-CA"/>
              </w:rPr>
            </w:pPr>
            <w:r w:rsidRPr="00FA6366">
              <w:rPr>
                <w:rFonts w:eastAsia="Calibri"/>
                <w:sz w:val="20"/>
                <w:lang w:val="fr-CA"/>
              </w:rPr>
              <w:t xml:space="preserve">Droit constitutionnel ― Partage des pouvoirs ― Droit de la santé ― Médicaments ― Pouvoirs accordés au gouvernement fédéral par la </w:t>
            </w:r>
            <w:r w:rsidRPr="00FA6366">
              <w:rPr>
                <w:rFonts w:eastAsia="Calibri"/>
                <w:i/>
                <w:iCs/>
                <w:sz w:val="20"/>
                <w:lang w:val="fr-CA"/>
              </w:rPr>
              <w:t>Loi constitutionnelle de 186</w:t>
            </w:r>
            <w:r w:rsidRPr="00FA6366">
              <w:rPr>
                <w:rFonts w:eastAsia="Calibri"/>
                <w:i/>
                <w:sz w:val="20"/>
                <w:lang w:val="fr-CA"/>
              </w:rPr>
              <w:t>7</w:t>
            </w:r>
            <w:r w:rsidRPr="00FA6366">
              <w:rPr>
                <w:rFonts w:eastAsia="Calibri"/>
                <w:sz w:val="20"/>
                <w:lang w:val="fr-CA"/>
              </w:rPr>
              <w:t xml:space="preserve"> ― Droit criminel ― Échanges et commerce ― Quelle est la portée du pouvoir du Parlement en matière de droit criminel prévu au par 91(27)? ― Comment l’analyse relative au « caractère véritable » d’une disposition contestée faisant partie d’un système global doit-elle être effectuée? ― Comment la « doctrine des pouvoirs accessoires » doit-elle être appliquée? ― Quelle est la portée du pouvoir du Parlement en matière d’échanges et de commerce prévu au par. </w:t>
            </w:r>
            <w:hyperlink r:id="rId23" w:anchor="art91" w:history="1">
              <w:r w:rsidRPr="00FA6366">
                <w:rPr>
                  <w:rFonts w:eastAsia="Calibri"/>
                  <w:sz w:val="20"/>
                  <w:lang w:val="fr-CA"/>
                </w:rPr>
                <w:t>91(2)</w:t>
              </w:r>
            </w:hyperlink>
            <w:r w:rsidRPr="00FA6366">
              <w:rPr>
                <w:rFonts w:eastAsia="Calibri"/>
                <w:sz w:val="20"/>
                <w:lang w:val="fr-CA"/>
              </w:rPr>
              <w:t xml:space="preserve"> de la </w:t>
            </w:r>
            <w:r w:rsidRPr="00FA6366">
              <w:rPr>
                <w:rFonts w:eastAsia="Calibri"/>
                <w:i/>
                <w:iCs/>
                <w:sz w:val="20"/>
                <w:lang w:val="fr-CA"/>
              </w:rPr>
              <w:t>Loi constitutionnelle de 1867</w:t>
            </w:r>
            <w:r w:rsidRPr="00FA6366">
              <w:rPr>
                <w:rFonts w:eastAsia="Calibri"/>
                <w:iCs/>
                <w:sz w:val="20"/>
                <w:lang w:val="fr-CA"/>
              </w:rPr>
              <w:t>?</w:t>
            </w:r>
            <w:r w:rsidRPr="00FA6366">
              <w:rPr>
                <w:rFonts w:eastAsia="Calibri"/>
                <w:sz w:val="20"/>
                <w:lang w:val="fr-CA"/>
              </w:rPr>
              <w:t xml:space="preserve"> ― Quelle est la portée du pouvoir de réglementation du gouverneur en conseil (« le GEC »)? ― </w:t>
            </w:r>
            <w:r w:rsidRPr="00FA6366">
              <w:rPr>
                <w:rFonts w:eastAsia="Calibri"/>
                <w:i/>
                <w:sz w:val="20"/>
                <w:lang w:val="fr-CA"/>
              </w:rPr>
              <w:t>Loi sur les aliments et drogues</w:t>
            </w:r>
            <w:r w:rsidRPr="00FA6366">
              <w:rPr>
                <w:rFonts w:eastAsia="Calibri"/>
                <w:sz w:val="20"/>
                <w:lang w:val="fr-CA"/>
              </w:rPr>
              <w:t xml:space="preserve">, L.R.C. 1985, ch. F-25 ― </w:t>
            </w:r>
            <w:r w:rsidRPr="00FA6366">
              <w:rPr>
                <w:rFonts w:eastAsia="Calibri"/>
                <w:i/>
                <w:sz w:val="20"/>
                <w:lang w:val="fr-CA"/>
              </w:rPr>
              <w:t xml:space="preserve">Règlement sur la protection des données </w:t>
            </w:r>
            <w:r w:rsidRPr="00FA6366">
              <w:rPr>
                <w:rFonts w:eastAsia="Calibri"/>
                <w:sz w:val="20"/>
                <w:lang w:val="fr-CA"/>
              </w:rPr>
              <w:t xml:space="preserve">(« le RPD ») du </w:t>
            </w:r>
            <w:r w:rsidRPr="00FA6366">
              <w:rPr>
                <w:rFonts w:eastAsia="Calibri"/>
                <w:i/>
                <w:sz w:val="20"/>
                <w:lang w:val="fr-CA"/>
              </w:rPr>
              <w:t xml:space="preserve">Règlement sur les aliments et </w:t>
            </w:r>
            <w:r w:rsidRPr="00FA6366">
              <w:rPr>
                <w:rFonts w:eastAsia="Calibri"/>
                <w:i/>
                <w:sz w:val="20"/>
                <w:lang w:val="fr-CA"/>
              </w:rPr>
              <w:lastRenderedPageBreak/>
              <w:t>drogues</w:t>
            </w:r>
            <w:r w:rsidRPr="00FA6366">
              <w:rPr>
                <w:rFonts w:eastAsia="Calibri"/>
                <w:sz w:val="20"/>
                <w:lang w:val="fr-CA"/>
              </w:rPr>
              <w:t>, C.R.C. ch. 870.</w:t>
            </w:r>
          </w:p>
        </w:tc>
      </w:tr>
      <w:tr w:rsidR="00C215B7" w:rsidRPr="00F03CF9" w:rsidTr="0079343E">
        <w:tc>
          <w:tcPr>
            <w:tcW w:w="5000" w:type="pct"/>
            <w:gridSpan w:val="3"/>
          </w:tcPr>
          <w:p w:rsidR="00C215B7" w:rsidRPr="00FA6366" w:rsidRDefault="00C215B7" w:rsidP="0079343E">
            <w:pPr>
              <w:jc w:val="both"/>
              <w:rPr>
                <w:rFonts w:eastAsia="Calibri"/>
                <w:sz w:val="20"/>
                <w:lang w:val="fr-CA"/>
              </w:rPr>
            </w:pPr>
            <w:r w:rsidRPr="00FA6366">
              <w:rPr>
                <w:rFonts w:eastAsia="Calibri"/>
                <w:sz w:val="20"/>
                <w:lang w:val="fr-CA"/>
              </w:rPr>
              <w:lastRenderedPageBreak/>
              <w:t xml:space="preserve">La demanderesse, l’Association canadienne du médicament générique (« l’ACMG »), a demandé à la Cour fédérale de rendre un jugement déclarant que le par. 30(3) de la </w:t>
            </w:r>
            <w:r w:rsidRPr="00FA6366">
              <w:rPr>
                <w:rFonts w:eastAsia="Calibri"/>
                <w:i/>
                <w:sz w:val="20"/>
                <w:lang w:val="fr-CA"/>
              </w:rPr>
              <w:t>Loi sur les aliments et drogues</w:t>
            </w:r>
            <w:r w:rsidRPr="00FA6366">
              <w:rPr>
                <w:rFonts w:eastAsia="Calibri"/>
                <w:sz w:val="20"/>
                <w:lang w:val="fr-CA"/>
              </w:rPr>
              <w:t xml:space="preserve">, L.R.C. 1985, ch. F-25 (« la LAD ») et l’art. C.08.004.1 — le </w:t>
            </w:r>
            <w:r w:rsidRPr="00FA6366">
              <w:rPr>
                <w:rFonts w:eastAsia="Calibri"/>
                <w:i/>
                <w:sz w:val="20"/>
                <w:lang w:val="fr-CA"/>
              </w:rPr>
              <w:t xml:space="preserve">Règlement sur la protection des données </w:t>
            </w:r>
            <w:r w:rsidRPr="00FA6366">
              <w:rPr>
                <w:rFonts w:eastAsia="Calibri"/>
                <w:sz w:val="20"/>
                <w:lang w:val="fr-CA"/>
              </w:rPr>
              <w:t xml:space="preserve">(« le RPD ») du </w:t>
            </w:r>
            <w:r w:rsidRPr="00FA6366">
              <w:rPr>
                <w:rFonts w:eastAsia="Calibri"/>
                <w:i/>
                <w:sz w:val="20"/>
                <w:lang w:val="fr-CA"/>
              </w:rPr>
              <w:t>Règlement sur les aliments et drogues</w:t>
            </w:r>
            <w:r w:rsidRPr="00FA6366">
              <w:rPr>
                <w:rFonts w:eastAsia="Calibri"/>
                <w:sz w:val="20"/>
                <w:lang w:val="fr-CA"/>
              </w:rPr>
              <w:t xml:space="preserve">, C.R.C. ch.  870 — étaient invalides et sans effet juridique.  </w:t>
            </w:r>
          </w:p>
          <w:p w:rsidR="00C215B7" w:rsidRPr="00FA6366" w:rsidRDefault="00C215B7" w:rsidP="0079343E">
            <w:pPr>
              <w:jc w:val="both"/>
              <w:rPr>
                <w:rFonts w:eastAsia="Calibri"/>
                <w:sz w:val="20"/>
                <w:lang w:val="fr-CA"/>
              </w:rPr>
            </w:pPr>
          </w:p>
          <w:p w:rsidR="00C215B7" w:rsidRPr="00FA6366" w:rsidRDefault="00C215B7" w:rsidP="0079343E">
            <w:pPr>
              <w:jc w:val="both"/>
              <w:rPr>
                <w:rFonts w:eastAsia="Calibri"/>
                <w:sz w:val="20"/>
                <w:lang w:val="fr-CA"/>
              </w:rPr>
            </w:pPr>
            <w:r w:rsidRPr="00FA6366">
              <w:rPr>
                <w:rFonts w:eastAsia="Calibri"/>
                <w:sz w:val="20"/>
                <w:lang w:val="fr-CA"/>
              </w:rPr>
              <w:t>La Cour fédérale a rejeté la demande en déclarant que le par. 30(3) de la LAD et le RPD étaient dans les limites de la compétence du gouvernement fédéral car ils constituent un exercice valide de la compétence constitutionnelle fédérale en matière de réglementation des échanges et du commerce prévue au par. </w:t>
            </w:r>
            <w:hyperlink r:id="rId24" w:anchor="art91" w:history="1">
              <w:r w:rsidRPr="00FA6366">
                <w:rPr>
                  <w:rFonts w:eastAsia="Calibri"/>
                  <w:sz w:val="20"/>
                  <w:lang w:val="fr-CA"/>
                </w:rPr>
                <w:t>91(2)</w:t>
              </w:r>
            </w:hyperlink>
            <w:r w:rsidRPr="00FA6366">
              <w:rPr>
                <w:rFonts w:eastAsia="Calibri"/>
                <w:sz w:val="20"/>
                <w:lang w:val="fr-CA"/>
              </w:rPr>
              <w:t xml:space="preserve"> de la </w:t>
            </w:r>
            <w:r w:rsidRPr="00FA6366">
              <w:rPr>
                <w:rFonts w:eastAsia="Calibri"/>
                <w:i/>
                <w:iCs/>
                <w:sz w:val="20"/>
                <w:lang w:val="fr-CA"/>
              </w:rPr>
              <w:t>Loi constitutionnelle de 1867</w:t>
            </w:r>
            <w:r w:rsidRPr="00FA6366">
              <w:rPr>
                <w:rFonts w:eastAsia="Calibri"/>
                <w:sz w:val="20"/>
                <w:lang w:val="fr-CA"/>
              </w:rPr>
              <w:t xml:space="preserve">.  Elle a conclu que le RPD n’était pas valide au titre de la compétence fédérale en matière de droit criminel prévue au par. 91(27).  La Cour d’appel fédérale a rejeté l’appel en concluant que le RPD constituait </w:t>
            </w:r>
            <w:r w:rsidRPr="00FA6366">
              <w:rPr>
                <w:rFonts w:eastAsia="Calibri"/>
                <w:color w:val="000000"/>
                <w:sz w:val="20"/>
                <w:lang w:val="fr-CA"/>
              </w:rPr>
              <w:t>un exercice valide de la compétence fédérale en matière de droit criminel que prévoit le par. 91(27)</w:t>
            </w:r>
            <w:r w:rsidRPr="00FA6366">
              <w:rPr>
                <w:rFonts w:eastAsia="Calibri"/>
                <w:sz w:val="20"/>
                <w:lang w:val="fr-CA"/>
              </w:rPr>
              <w:t>.  Elle a conclu qu’il n’était pas nécessaire de se demander si le RPD était visé par la compétence constitutionnelle fédérale en matière de réglementation des échanges et du commerce.</w:t>
            </w:r>
          </w:p>
          <w:p w:rsidR="00C215B7" w:rsidRPr="00FA6366" w:rsidRDefault="00C215B7" w:rsidP="0079343E">
            <w:pPr>
              <w:jc w:val="both"/>
              <w:rPr>
                <w:rFonts w:eastAsia="Calibri"/>
                <w:sz w:val="20"/>
                <w:lang w:val="fr-CA"/>
              </w:rPr>
            </w:pPr>
          </w:p>
        </w:tc>
      </w:tr>
      <w:tr w:rsidR="00C215B7" w:rsidRPr="00F03CF9" w:rsidTr="0079343E">
        <w:tc>
          <w:tcPr>
            <w:tcW w:w="2524" w:type="pct"/>
          </w:tcPr>
          <w:p w:rsidR="00C215B7" w:rsidRPr="00FA6366" w:rsidRDefault="00C215B7" w:rsidP="0079343E">
            <w:pPr>
              <w:jc w:val="both"/>
              <w:rPr>
                <w:rFonts w:eastAsia="Calibri"/>
                <w:sz w:val="20"/>
                <w:lang w:val="fr-CA"/>
              </w:rPr>
            </w:pPr>
            <w:r w:rsidRPr="00FA6366">
              <w:rPr>
                <w:rFonts w:eastAsia="Calibri"/>
                <w:sz w:val="20"/>
                <w:lang w:val="fr-CA"/>
              </w:rPr>
              <w:t>17 juillet 2009</w:t>
            </w:r>
          </w:p>
          <w:p w:rsidR="00C215B7" w:rsidRPr="00FA6366" w:rsidRDefault="00C215B7" w:rsidP="0079343E">
            <w:pPr>
              <w:jc w:val="both"/>
              <w:rPr>
                <w:rFonts w:eastAsia="Calibri"/>
                <w:sz w:val="20"/>
                <w:lang w:val="fr-CA"/>
              </w:rPr>
            </w:pPr>
            <w:r w:rsidRPr="00FA6366">
              <w:rPr>
                <w:rFonts w:eastAsia="Calibri"/>
                <w:sz w:val="20"/>
                <w:lang w:val="fr-CA"/>
              </w:rPr>
              <w:t>Cour fédérale</w:t>
            </w:r>
          </w:p>
          <w:p w:rsidR="00C215B7" w:rsidRPr="00FA6366" w:rsidRDefault="00C215B7" w:rsidP="0079343E">
            <w:pPr>
              <w:jc w:val="both"/>
              <w:rPr>
                <w:rFonts w:eastAsia="Calibri"/>
                <w:sz w:val="20"/>
                <w:lang w:val="fr-CA"/>
              </w:rPr>
            </w:pPr>
            <w:r w:rsidRPr="00FA6366">
              <w:rPr>
                <w:rFonts w:eastAsia="Calibri"/>
                <w:sz w:val="20"/>
                <w:lang w:val="fr-CA"/>
              </w:rPr>
              <w:t>(Juge Mandamin)</w:t>
            </w:r>
          </w:p>
          <w:p w:rsidR="00C215B7" w:rsidRPr="00FA6366" w:rsidRDefault="00C215B7" w:rsidP="0079343E">
            <w:pPr>
              <w:jc w:val="both"/>
              <w:rPr>
                <w:rFonts w:eastAsia="Calibri"/>
                <w:sz w:val="20"/>
                <w:lang w:val="fr-CA"/>
              </w:rPr>
            </w:pPr>
          </w:p>
        </w:tc>
        <w:tc>
          <w:tcPr>
            <w:tcW w:w="146" w:type="pct"/>
          </w:tcPr>
          <w:p w:rsidR="00C215B7" w:rsidRPr="00FA6366" w:rsidRDefault="00C215B7" w:rsidP="0079343E">
            <w:pPr>
              <w:jc w:val="both"/>
              <w:rPr>
                <w:rFonts w:eastAsia="Calibri"/>
                <w:sz w:val="20"/>
                <w:lang w:val="fr-CA"/>
              </w:rPr>
            </w:pPr>
          </w:p>
        </w:tc>
        <w:tc>
          <w:tcPr>
            <w:tcW w:w="2330" w:type="pct"/>
          </w:tcPr>
          <w:p w:rsidR="00C215B7" w:rsidRPr="00FA6366" w:rsidRDefault="00C215B7" w:rsidP="0079343E">
            <w:pPr>
              <w:jc w:val="both"/>
              <w:rPr>
                <w:rFonts w:eastAsia="Calibri"/>
                <w:sz w:val="20"/>
                <w:lang w:val="fr-CA"/>
              </w:rPr>
            </w:pPr>
            <w:r w:rsidRPr="00FA6366">
              <w:rPr>
                <w:rFonts w:eastAsia="Calibri"/>
                <w:sz w:val="20"/>
                <w:lang w:val="fr-CA"/>
              </w:rPr>
              <w:t>RPD déclaré valide au titre de la compétence fédérale; demandes de contrôle judiciaire rejetées</w:t>
            </w:r>
          </w:p>
          <w:p w:rsidR="00C215B7" w:rsidRPr="00FA6366" w:rsidRDefault="00C215B7" w:rsidP="0079343E">
            <w:pPr>
              <w:jc w:val="both"/>
              <w:rPr>
                <w:rFonts w:eastAsia="Calibri"/>
                <w:sz w:val="20"/>
                <w:lang w:val="fr-CA"/>
              </w:rPr>
            </w:pPr>
          </w:p>
        </w:tc>
      </w:tr>
      <w:tr w:rsidR="00C215B7" w:rsidRPr="00FA6366" w:rsidTr="0079343E">
        <w:tc>
          <w:tcPr>
            <w:tcW w:w="2524" w:type="pct"/>
          </w:tcPr>
          <w:p w:rsidR="00C215B7" w:rsidRPr="00FA6366" w:rsidRDefault="00C215B7" w:rsidP="0079343E">
            <w:pPr>
              <w:jc w:val="both"/>
              <w:rPr>
                <w:rFonts w:eastAsia="Calibri"/>
                <w:sz w:val="20"/>
                <w:lang w:val="fr-CA"/>
              </w:rPr>
            </w:pPr>
            <w:r w:rsidRPr="00FA6366">
              <w:rPr>
                <w:rFonts w:eastAsia="Calibri"/>
                <w:sz w:val="20"/>
                <w:lang w:val="fr-CA"/>
              </w:rPr>
              <w:t>9 décembre 2010</w:t>
            </w:r>
          </w:p>
          <w:p w:rsidR="00C215B7" w:rsidRPr="00FA6366" w:rsidRDefault="00C215B7" w:rsidP="0079343E">
            <w:pPr>
              <w:jc w:val="both"/>
              <w:rPr>
                <w:rFonts w:eastAsia="Calibri"/>
                <w:sz w:val="20"/>
                <w:lang w:val="fr-CA"/>
              </w:rPr>
            </w:pPr>
            <w:r w:rsidRPr="00FA6366">
              <w:rPr>
                <w:rFonts w:eastAsia="Calibri"/>
                <w:sz w:val="20"/>
                <w:lang w:val="fr-CA"/>
              </w:rPr>
              <w:t>Cour d’appel fédérale</w:t>
            </w:r>
          </w:p>
          <w:p w:rsidR="00C215B7" w:rsidRPr="00FA6366" w:rsidRDefault="00C215B7" w:rsidP="0079343E">
            <w:pPr>
              <w:jc w:val="both"/>
              <w:rPr>
                <w:rFonts w:eastAsia="Calibri"/>
                <w:sz w:val="20"/>
                <w:lang w:val="fr-CA"/>
              </w:rPr>
            </w:pPr>
            <w:r w:rsidRPr="00FA6366">
              <w:rPr>
                <w:rFonts w:eastAsia="Calibri"/>
                <w:sz w:val="20"/>
                <w:lang w:val="fr-CA"/>
              </w:rPr>
              <w:t>(Juges Nadon, Sharlow et Layden-Stevenson)</w:t>
            </w:r>
          </w:p>
          <w:p w:rsidR="00C215B7" w:rsidRPr="00FA6366" w:rsidRDefault="00C215B7" w:rsidP="0079343E">
            <w:pPr>
              <w:jc w:val="both"/>
              <w:rPr>
                <w:rFonts w:eastAsia="Calibri"/>
                <w:sz w:val="20"/>
                <w:lang w:val="fr-CA"/>
              </w:rPr>
            </w:pPr>
          </w:p>
        </w:tc>
        <w:tc>
          <w:tcPr>
            <w:tcW w:w="146" w:type="pct"/>
          </w:tcPr>
          <w:p w:rsidR="00C215B7" w:rsidRPr="00FA6366" w:rsidRDefault="00C215B7" w:rsidP="0079343E">
            <w:pPr>
              <w:jc w:val="both"/>
              <w:rPr>
                <w:rFonts w:eastAsia="Calibri"/>
                <w:sz w:val="20"/>
                <w:lang w:val="fr-CA"/>
              </w:rPr>
            </w:pPr>
          </w:p>
        </w:tc>
        <w:tc>
          <w:tcPr>
            <w:tcW w:w="2330" w:type="pct"/>
          </w:tcPr>
          <w:p w:rsidR="00C215B7" w:rsidRPr="00FA6366" w:rsidRDefault="00C215B7" w:rsidP="0079343E">
            <w:pPr>
              <w:jc w:val="both"/>
              <w:rPr>
                <w:rFonts w:eastAsia="Calibri"/>
                <w:sz w:val="20"/>
                <w:lang w:val="fr-CA"/>
              </w:rPr>
            </w:pPr>
            <w:r w:rsidRPr="00FA6366">
              <w:rPr>
                <w:rFonts w:eastAsia="Calibri"/>
                <w:sz w:val="20"/>
                <w:lang w:val="fr-CA"/>
              </w:rPr>
              <w:t xml:space="preserve">Appel rejeté </w:t>
            </w:r>
          </w:p>
          <w:p w:rsidR="00C215B7" w:rsidRPr="00FA6366" w:rsidRDefault="00C215B7" w:rsidP="0079343E">
            <w:pPr>
              <w:jc w:val="both"/>
              <w:rPr>
                <w:rFonts w:eastAsia="Calibri"/>
                <w:sz w:val="20"/>
                <w:lang w:val="fr-CA"/>
              </w:rPr>
            </w:pPr>
          </w:p>
        </w:tc>
      </w:tr>
      <w:tr w:rsidR="00C215B7" w:rsidRPr="00FA6366" w:rsidTr="0079343E">
        <w:tc>
          <w:tcPr>
            <w:tcW w:w="2524" w:type="pct"/>
          </w:tcPr>
          <w:p w:rsidR="00C215B7" w:rsidRPr="00FA6366" w:rsidRDefault="00C215B7" w:rsidP="0079343E">
            <w:pPr>
              <w:jc w:val="both"/>
              <w:rPr>
                <w:rFonts w:eastAsia="Calibri"/>
                <w:sz w:val="20"/>
                <w:lang w:val="fr-CA"/>
              </w:rPr>
            </w:pPr>
            <w:r w:rsidRPr="00FA6366">
              <w:rPr>
                <w:rFonts w:eastAsia="Calibri"/>
                <w:sz w:val="20"/>
                <w:lang w:val="fr-CA"/>
              </w:rPr>
              <w:t>7 février 2011</w:t>
            </w:r>
          </w:p>
          <w:p w:rsidR="00C215B7" w:rsidRPr="00FA6366" w:rsidRDefault="00C215B7" w:rsidP="0079343E">
            <w:pPr>
              <w:jc w:val="both"/>
              <w:rPr>
                <w:rFonts w:eastAsia="Calibri"/>
                <w:sz w:val="20"/>
                <w:lang w:val="fr-CA"/>
              </w:rPr>
            </w:pPr>
            <w:r w:rsidRPr="00FA6366">
              <w:rPr>
                <w:rFonts w:eastAsia="Calibri"/>
                <w:sz w:val="20"/>
                <w:lang w:val="fr-CA"/>
              </w:rPr>
              <w:t>Cour suprême du Canada</w:t>
            </w:r>
          </w:p>
        </w:tc>
        <w:tc>
          <w:tcPr>
            <w:tcW w:w="146" w:type="pct"/>
          </w:tcPr>
          <w:p w:rsidR="00C215B7" w:rsidRPr="00FA6366" w:rsidRDefault="00C215B7" w:rsidP="0079343E">
            <w:pPr>
              <w:jc w:val="both"/>
              <w:rPr>
                <w:rFonts w:eastAsia="Calibri"/>
                <w:sz w:val="20"/>
                <w:lang w:val="fr-CA"/>
              </w:rPr>
            </w:pPr>
          </w:p>
        </w:tc>
        <w:tc>
          <w:tcPr>
            <w:tcW w:w="2330" w:type="pct"/>
          </w:tcPr>
          <w:p w:rsidR="00C215B7" w:rsidRPr="00FA6366" w:rsidRDefault="00C215B7" w:rsidP="0079343E">
            <w:pPr>
              <w:jc w:val="both"/>
              <w:rPr>
                <w:rFonts w:eastAsia="Calibri"/>
                <w:sz w:val="20"/>
                <w:lang w:val="fr-CA"/>
              </w:rPr>
            </w:pPr>
            <w:r w:rsidRPr="00FA6366">
              <w:rPr>
                <w:rFonts w:eastAsia="Calibri"/>
                <w:sz w:val="20"/>
                <w:lang w:val="fr-CA"/>
              </w:rPr>
              <w:t>Demande d’autorisation d’appel déposée</w:t>
            </w:r>
          </w:p>
          <w:p w:rsidR="00C215B7" w:rsidRPr="00FA6366" w:rsidRDefault="00C215B7" w:rsidP="0079343E">
            <w:pPr>
              <w:jc w:val="both"/>
              <w:rPr>
                <w:rFonts w:eastAsia="Calibri"/>
                <w:sz w:val="20"/>
                <w:lang w:val="fr-CA"/>
              </w:rPr>
            </w:pP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37"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61A65" w:rsidRPr="00832ECA" w:rsidTr="000E699C">
        <w:trPr>
          <w:cantSplit/>
        </w:trPr>
        <w:tc>
          <w:tcPr>
            <w:tcW w:w="1458" w:type="dxa"/>
          </w:tcPr>
          <w:p w:rsidR="00D61A65" w:rsidRPr="00832ECA" w:rsidRDefault="00D61A65" w:rsidP="000E699C">
            <w:pPr>
              <w:rPr>
                <w:rFonts w:cs="Times New Roman"/>
                <w:sz w:val="20"/>
                <w:szCs w:val="20"/>
              </w:rPr>
            </w:pPr>
            <w:r w:rsidRPr="00832ECA">
              <w:rPr>
                <w:rStyle w:val="SCCFileNumberChar"/>
                <w:rFonts w:cs="Times New Roman"/>
                <w:sz w:val="20"/>
                <w:szCs w:val="20"/>
              </w:rPr>
              <w:t>34093</w:t>
            </w:r>
          </w:p>
          <w:p w:rsidR="00D61A65" w:rsidRPr="00832ECA" w:rsidRDefault="00D61A65" w:rsidP="000E699C">
            <w:pPr>
              <w:rPr>
                <w:rFonts w:cs="Times New Roman"/>
                <w:b/>
                <w:sz w:val="20"/>
                <w:szCs w:val="20"/>
                <w:lang w:val="fr-CA"/>
              </w:rPr>
            </w:pPr>
          </w:p>
        </w:tc>
        <w:tc>
          <w:tcPr>
            <w:tcW w:w="8118" w:type="dxa"/>
          </w:tcPr>
          <w:p w:rsidR="00D61A65" w:rsidRPr="00832ECA" w:rsidRDefault="00D61A65" w:rsidP="00D61A65">
            <w:pPr>
              <w:jc w:val="both"/>
              <w:rPr>
                <w:rFonts w:cs="Times New Roman"/>
                <w:sz w:val="20"/>
                <w:szCs w:val="20"/>
              </w:rPr>
            </w:pPr>
            <w:r w:rsidRPr="00832ECA">
              <w:rPr>
                <w:rStyle w:val="SCCLsocChar"/>
                <w:rFonts w:cs="Times New Roman"/>
                <w:sz w:val="20"/>
                <w:szCs w:val="20"/>
                <w:lang w:val="en-CA"/>
              </w:rPr>
              <w:t>Ural Direk, Kemal Direkoglu and Elif Direkoglu by their Litigation guardian Ural Direk</w:t>
            </w:r>
            <w:r>
              <w:rPr>
                <w:rStyle w:val="SCCLsocChar"/>
                <w:rFonts w:cs="Times New Roman"/>
                <w:sz w:val="20"/>
                <w:szCs w:val="20"/>
                <w:lang w:val="en-CA"/>
              </w:rPr>
              <w:t xml:space="preserve"> and</w:t>
            </w:r>
            <w:r w:rsidRPr="00832ECA">
              <w:rPr>
                <w:rStyle w:val="SCCLsocChar"/>
                <w:rFonts w:cs="Times New Roman"/>
                <w:sz w:val="20"/>
                <w:szCs w:val="20"/>
                <w:lang w:val="en-CA"/>
              </w:rPr>
              <w:t xml:space="preserve"> Ertug Direk v. Argiris &amp; Associates, Barristers, Solicitors</w:t>
            </w:r>
            <w:r>
              <w:rPr>
                <w:rStyle w:val="SCCLsocChar"/>
                <w:rFonts w:cs="Times New Roman"/>
                <w:sz w:val="20"/>
                <w:szCs w:val="20"/>
                <w:lang w:val="en-CA"/>
              </w:rPr>
              <w:t xml:space="preserve"> and</w:t>
            </w:r>
            <w:r w:rsidRPr="00832ECA">
              <w:rPr>
                <w:rStyle w:val="SCCLsocChar"/>
                <w:rFonts w:cs="Times New Roman"/>
                <w:sz w:val="20"/>
                <w:szCs w:val="20"/>
                <w:lang w:val="en-CA"/>
              </w:rPr>
              <w:t xml:space="preserve"> Notaries, Futerman and Futerman, Barristers and Solicitors, Martin Jurjans, Barrister and Solicitor</w:t>
            </w:r>
            <w:r>
              <w:rPr>
                <w:rStyle w:val="SCCLsocChar"/>
                <w:rFonts w:cs="Times New Roman"/>
                <w:sz w:val="20"/>
                <w:szCs w:val="20"/>
                <w:lang w:val="en-CA"/>
              </w:rPr>
              <w:t xml:space="preserve"> and</w:t>
            </w:r>
            <w:r w:rsidRPr="00832ECA">
              <w:rPr>
                <w:rStyle w:val="SCCLsocChar"/>
                <w:rFonts w:cs="Times New Roman"/>
                <w:sz w:val="20"/>
                <w:szCs w:val="20"/>
                <w:lang w:val="en-CA"/>
              </w:rPr>
              <w:t xml:space="preserve"> Iler, Campbell, Barristers and Solicitors</w:t>
            </w:r>
            <w:r w:rsidRPr="00832ECA">
              <w:rPr>
                <w:rFonts w:cs="Times New Roman"/>
                <w:sz w:val="20"/>
                <w:szCs w:val="20"/>
              </w:rPr>
              <w:t xml:space="preserve"> (Ont.) (Civil) (By Leave)</w:t>
            </w:r>
          </w:p>
          <w:p w:rsidR="00D61A65" w:rsidRPr="00832ECA" w:rsidRDefault="00D61A65" w:rsidP="000E699C">
            <w:pPr>
              <w:rPr>
                <w:rFonts w:cs="Times New Roman"/>
                <w:sz w:val="20"/>
                <w:szCs w:val="20"/>
              </w:rPr>
            </w:pPr>
          </w:p>
        </w:tc>
      </w:tr>
      <w:tr w:rsidR="00D61A65" w:rsidRPr="00832ECA" w:rsidTr="000E699C">
        <w:trPr>
          <w:cantSplit/>
        </w:trPr>
        <w:tc>
          <w:tcPr>
            <w:tcW w:w="1458" w:type="dxa"/>
          </w:tcPr>
          <w:p w:rsidR="00D61A65" w:rsidRPr="00832ECA" w:rsidRDefault="00D61A65" w:rsidP="000E699C">
            <w:pPr>
              <w:rPr>
                <w:rFonts w:cs="Times New Roman"/>
                <w:sz w:val="20"/>
                <w:szCs w:val="20"/>
              </w:rPr>
            </w:pPr>
            <w:r w:rsidRPr="00832ECA">
              <w:rPr>
                <w:rFonts w:cs="Times New Roman"/>
                <w:sz w:val="20"/>
                <w:szCs w:val="20"/>
              </w:rPr>
              <w:t>Coram :</w:t>
            </w:r>
          </w:p>
        </w:tc>
        <w:tc>
          <w:tcPr>
            <w:tcW w:w="8118" w:type="dxa"/>
          </w:tcPr>
          <w:p w:rsidR="00D61A65" w:rsidRPr="00832ECA" w:rsidRDefault="00D61A65" w:rsidP="000E699C">
            <w:pPr>
              <w:rPr>
                <w:rFonts w:cs="Times New Roman"/>
                <w:sz w:val="20"/>
                <w:szCs w:val="20"/>
              </w:rPr>
            </w:pPr>
            <w:r w:rsidRPr="00832ECA">
              <w:rPr>
                <w:rStyle w:val="SCCCoramChar"/>
                <w:rFonts w:cs="Times New Roman"/>
                <w:sz w:val="20"/>
                <w:szCs w:val="20"/>
                <w:lang w:val="en-CA"/>
              </w:rPr>
              <w:t>McLachlin C.J. and Deschamps and Charron JJ.</w:t>
            </w:r>
          </w:p>
          <w:p w:rsidR="00D61A65" w:rsidRPr="00832ECA" w:rsidRDefault="00D61A65" w:rsidP="000E699C">
            <w:pPr>
              <w:rPr>
                <w:rFonts w:cs="Times New Roman"/>
                <w:sz w:val="20"/>
                <w:szCs w:val="20"/>
                <w:u w:val="single"/>
              </w:rPr>
            </w:pPr>
          </w:p>
        </w:tc>
      </w:tr>
      <w:tr w:rsidR="00D61A65" w:rsidRPr="00F03CF9" w:rsidTr="000E699C">
        <w:trPr>
          <w:cantSplit/>
        </w:trPr>
        <w:tc>
          <w:tcPr>
            <w:tcW w:w="9576" w:type="dxa"/>
            <w:gridSpan w:val="2"/>
          </w:tcPr>
          <w:p w:rsidR="00D61A65" w:rsidRPr="00832ECA" w:rsidRDefault="00D61A65" w:rsidP="000E699C">
            <w:pPr>
              <w:pStyle w:val="SCCShortJudgment"/>
              <w:rPr>
                <w:rFonts w:cs="Times New Roman"/>
                <w:szCs w:val="20"/>
              </w:rPr>
            </w:pPr>
            <w:r w:rsidRPr="00832ECA">
              <w:rPr>
                <w:rFonts w:cs="Times New Roman"/>
                <w:szCs w:val="20"/>
              </w:rPr>
              <w:t>The applicants’ motion for an extension of time to serve and file the first application for leave to appeal is granted.  The respondents’ motion for an extension of time to serve and file a joint response is granted. All other ancillary motions are dismissed.  The application for leave to appeal from the judgment of the Court of Appeal for Ontario, Number M39027, dated November 16, 2010, is dismissed with costs.</w:t>
            </w:r>
          </w:p>
          <w:p w:rsidR="00D61A65" w:rsidRPr="00832ECA" w:rsidRDefault="00D61A65" w:rsidP="000E699C">
            <w:pPr>
              <w:pStyle w:val="SCCShortJudgment"/>
              <w:ind w:firstLine="0"/>
              <w:rPr>
                <w:rFonts w:cs="Times New Roman"/>
                <w:szCs w:val="20"/>
              </w:rPr>
            </w:pPr>
          </w:p>
          <w:p w:rsidR="00D61A65" w:rsidRPr="00832ECA" w:rsidRDefault="00D61A65" w:rsidP="000E699C">
            <w:pPr>
              <w:pStyle w:val="SCCShortJudgment"/>
              <w:rPr>
                <w:rFonts w:cs="Times New Roman"/>
                <w:szCs w:val="20"/>
                <w:lang w:val="fr-CA"/>
              </w:rPr>
            </w:pPr>
            <w:r w:rsidRPr="00832ECA">
              <w:rPr>
                <w:rFonts w:cs="Times New Roman"/>
                <w:szCs w:val="20"/>
                <w:lang w:val="fr-CA"/>
              </w:rPr>
              <w:t>La requête des demandeurs en prorogation du délai de signification et de dépôt de la première demande d’autorisation d’appel est accordée.  La requête des intimés pour déposer une réponse conjointe est accordée.  Toutes autres requêtes accessoires sont rejetées.  La demande d’autorisation d’appel de l’arrêt de la Cour d’appel de l’Ontario, numéro M39027, daté du 16 novembre 2010, est rejetée avec dépens.</w:t>
            </w:r>
          </w:p>
        </w:tc>
      </w:tr>
    </w:tbl>
    <w:p w:rsidR="00D61A65" w:rsidRPr="00D61A65" w:rsidRDefault="00D61A65"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C0F79" w:rsidRPr="00FA6366" w:rsidTr="0079343E">
        <w:tc>
          <w:tcPr>
            <w:tcW w:w="5000" w:type="pct"/>
            <w:gridSpan w:val="3"/>
          </w:tcPr>
          <w:p w:rsidR="00BC0F79" w:rsidRPr="00FA6366" w:rsidRDefault="00BC0F79" w:rsidP="0079343E">
            <w:pPr>
              <w:jc w:val="both"/>
              <w:rPr>
                <w:rFonts w:eastAsia="Calibri"/>
                <w:sz w:val="20"/>
              </w:rPr>
            </w:pPr>
            <w:r w:rsidRPr="00FA6366">
              <w:rPr>
                <w:rFonts w:eastAsia="Calibri"/>
                <w:sz w:val="20"/>
              </w:rPr>
              <w:t xml:space="preserve">Civil procedure — Motions — Whether the Court of Appeal erred in refusing to interfere with order dismissing motions for delay.  </w:t>
            </w:r>
          </w:p>
          <w:p w:rsidR="00BC0F79" w:rsidRPr="00FA6366" w:rsidRDefault="00BC0F79" w:rsidP="0079343E">
            <w:pPr>
              <w:jc w:val="both"/>
              <w:rPr>
                <w:rFonts w:eastAsia="Calibri"/>
                <w:sz w:val="20"/>
              </w:rPr>
            </w:pPr>
          </w:p>
          <w:p w:rsidR="00BC0F79" w:rsidRPr="00FA6366" w:rsidRDefault="00BC0F79" w:rsidP="0079343E">
            <w:pPr>
              <w:jc w:val="both"/>
              <w:rPr>
                <w:rFonts w:eastAsia="Calibri"/>
                <w:sz w:val="20"/>
              </w:rPr>
            </w:pPr>
            <w:r w:rsidRPr="00FA6366">
              <w:rPr>
                <w:rFonts w:eastAsia="Calibri"/>
                <w:sz w:val="20"/>
              </w:rPr>
              <w:lastRenderedPageBreak/>
              <w:t>The Applicant, Ural Direk, was injured in a motor vehicle collision in 1988 and sued the driver of the other car.  The case was tried before a jury in 1996.  The jury found for Mr. Direk, but Mr. Direk pursued all available appeals without success, on the issue of quantum of assessed damages.  In the instant action, which was commenced in 2000, Mr. Direk and some of his family members sue some of Mr. Direk’s former lawyers for negligence in their representation of him in the personal injury action.  The Applicants also assert a conspiracy of the justice system against him and his family, which includes judges, lawyers and court staff.  In the course of the litigation the Applicants brought many motions, including two which were dismissed for delay by the Registrar of the Ontario Court of Appeal on December 22, 2009.  The Applicants then brought a motion to a single judge of the Court of Appeal to set aside the orders of the Registrar, as well as a motion for monetary compensation.  The Respondents brought a cross</w:t>
            </w:r>
            <w:r w:rsidRPr="00FA6366">
              <w:rPr>
                <w:rFonts w:eastAsia="Calibri"/>
                <w:sz w:val="20"/>
              </w:rPr>
              <w:noBreakHyphen/>
              <w:t>motion to quash the Applicants’ motions.</w:t>
            </w:r>
          </w:p>
          <w:p w:rsidR="00BC0F79" w:rsidRPr="00FA6366" w:rsidRDefault="00BC0F79" w:rsidP="0079343E">
            <w:pPr>
              <w:jc w:val="both"/>
              <w:rPr>
                <w:rFonts w:eastAsia="Calibri"/>
                <w:sz w:val="20"/>
              </w:rPr>
            </w:pPr>
          </w:p>
          <w:p w:rsidR="00BC0F79" w:rsidRPr="00FA6366" w:rsidRDefault="00BC0F79" w:rsidP="0079343E">
            <w:pPr>
              <w:jc w:val="both"/>
              <w:rPr>
                <w:rFonts w:eastAsia="Calibri"/>
                <w:sz w:val="20"/>
              </w:rPr>
            </w:pPr>
            <w:r w:rsidRPr="00FA6366">
              <w:rPr>
                <w:rFonts w:eastAsia="Calibri"/>
                <w:sz w:val="20"/>
              </w:rPr>
              <w:t>Juriansz J.A. dismissed the motions to set aside the orders of the Registrar, finding that the underlying issues were moot.  He granted the cross</w:t>
            </w:r>
            <w:r w:rsidRPr="00FA6366">
              <w:rPr>
                <w:rFonts w:eastAsia="Calibri"/>
                <w:sz w:val="20"/>
              </w:rPr>
              <w:noBreakHyphen/>
              <w:t>motion, quashing the claim for monetary compensation for lack of jurisdiction.  A panel of the Court of Appeal dismissed the Applicants’ motion to vary the order of Juriansz J.A.</w:t>
            </w:r>
          </w:p>
          <w:p w:rsidR="00BC0F79" w:rsidRPr="00FA6366" w:rsidRDefault="00BC0F79" w:rsidP="0079343E">
            <w:pPr>
              <w:jc w:val="both"/>
              <w:rPr>
                <w:rFonts w:eastAsia="Calibri"/>
                <w:sz w:val="20"/>
              </w:rPr>
            </w:pP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lastRenderedPageBreak/>
              <w:t>July 16, 2010</w:t>
            </w:r>
          </w:p>
          <w:p w:rsidR="00BC0F79" w:rsidRPr="00FA6366" w:rsidRDefault="00BC0F79" w:rsidP="0079343E">
            <w:pPr>
              <w:jc w:val="both"/>
              <w:rPr>
                <w:rFonts w:eastAsia="Calibri"/>
                <w:sz w:val="20"/>
              </w:rPr>
            </w:pPr>
            <w:r w:rsidRPr="00FA6366">
              <w:rPr>
                <w:rFonts w:eastAsia="Calibri"/>
                <w:sz w:val="20"/>
              </w:rPr>
              <w:t>Court of Appeal for Ontario</w:t>
            </w:r>
          </w:p>
          <w:p w:rsidR="00BC0F79" w:rsidRPr="00FA6366" w:rsidRDefault="00BC0F79" w:rsidP="0079343E">
            <w:pPr>
              <w:jc w:val="both"/>
              <w:rPr>
                <w:rFonts w:eastAsia="Calibri"/>
                <w:sz w:val="20"/>
              </w:rPr>
            </w:pPr>
            <w:r w:rsidRPr="00FA6366">
              <w:rPr>
                <w:rFonts w:eastAsia="Calibri"/>
                <w:sz w:val="20"/>
              </w:rPr>
              <w:t>(Juriansz J.A.)</w:t>
            </w:r>
          </w:p>
          <w:p w:rsidR="00BC0F79" w:rsidRPr="00FA6366" w:rsidRDefault="00BC0F79" w:rsidP="0079343E">
            <w:pPr>
              <w:jc w:val="both"/>
              <w:rPr>
                <w:rFonts w:eastAsia="Calibri"/>
                <w:sz w:val="20"/>
              </w:rPr>
            </w:pP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Applicants’ motion to set aside Registrar’s orders dismissing motions for delay, dismissed; Respondents’ cross</w:t>
            </w:r>
            <w:r w:rsidRPr="00FA6366">
              <w:rPr>
                <w:rFonts w:eastAsia="Calibri"/>
                <w:sz w:val="20"/>
              </w:rPr>
              <w:noBreakHyphen/>
              <w:t>motion to quash, granted;</w:t>
            </w:r>
          </w:p>
          <w:p w:rsidR="00BC0F79" w:rsidRPr="00FA6366" w:rsidRDefault="00BC0F79" w:rsidP="0079343E">
            <w:pPr>
              <w:jc w:val="both"/>
              <w:rPr>
                <w:rFonts w:eastAsia="Calibri"/>
                <w:sz w:val="20"/>
              </w:rPr>
            </w:pP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t>November 16, 2010</w:t>
            </w:r>
          </w:p>
          <w:p w:rsidR="00BC0F79" w:rsidRPr="00FA6366" w:rsidRDefault="00BC0F79" w:rsidP="0079343E">
            <w:pPr>
              <w:jc w:val="both"/>
              <w:rPr>
                <w:rFonts w:eastAsia="Calibri"/>
                <w:sz w:val="20"/>
              </w:rPr>
            </w:pPr>
            <w:r w:rsidRPr="00FA6366">
              <w:rPr>
                <w:rFonts w:eastAsia="Calibri"/>
                <w:sz w:val="20"/>
              </w:rPr>
              <w:t>Court of Appeal for Ontario</w:t>
            </w:r>
          </w:p>
          <w:p w:rsidR="00BC0F79" w:rsidRPr="00FA6366" w:rsidRDefault="00BC0F79" w:rsidP="0079343E">
            <w:pPr>
              <w:jc w:val="both"/>
              <w:rPr>
                <w:rFonts w:eastAsia="Calibri"/>
                <w:sz w:val="20"/>
              </w:rPr>
            </w:pPr>
            <w:r w:rsidRPr="00FA6366">
              <w:rPr>
                <w:rFonts w:eastAsia="Calibri"/>
                <w:sz w:val="20"/>
              </w:rPr>
              <w:t>(Rosenberg, Moldaver and Karakatsanis JJ.A.)</w:t>
            </w:r>
          </w:p>
          <w:p w:rsidR="00BC0F79" w:rsidRPr="00FA6366" w:rsidRDefault="00BC0F79" w:rsidP="0079343E">
            <w:pPr>
              <w:jc w:val="both"/>
              <w:rPr>
                <w:rFonts w:eastAsia="Calibri"/>
                <w:sz w:val="20"/>
              </w:rPr>
            </w:pP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Applicants’ motion to vary, dismissed.</w:t>
            </w:r>
          </w:p>
          <w:p w:rsidR="00BC0F79" w:rsidRPr="00FA6366" w:rsidRDefault="00BC0F79" w:rsidP="0079343E">
            <w:pPr>
              <w:jc w:val="both"/>
              <w:rPr>
                <w:rFonts w:eastAsia="Calibri"/>
                <w:sz w:val="20"/>
              </w:rPr>
            </w:pP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t>January 20, 2011</w:t>
            </w:r>
          </w:p>
          <w:p w:rsidR="00BC0F79" w:rsidRPr="00FA6366" w:rsidRDefault="00BC0F79" w:rsidP="0079343E">
            <w:pPr>
              <w:jc w:val="both"/>
              <w:rPr>
                <w:rFonts w:eastAsia="Calibri"/>
                <w:sz w:val="20"/>
              </w:rPr>
            </w:pPr>
            <w:r w:rsidRPr="00FA6366">
              <w:rPr>
                <w:rFonts w:eastAsia="Calibri"/>
                <w:sz w:val="20"/>
              </w:rPr>
              <w:t>Supreme Court of Canada</w:t>
            </w: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Application for leave to appeal, filed.</w:t>
            </w:r>
          </w:p>
          <w:p w:rsidR="00BC0F79" w:rsidRPr="00FA6366" w:rsidRDefault="00BC0F79" w:rsidP="0079343E">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38"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Ind w:w="2" w:type="dxa"/>
        <w:tblLayout w:type="fixed"/>
        <w:tblCellMar>
          <w:left w:w="0" w:type="dxa"/>
          <w:bottom w:w="99" w:type="dxa"/>
          <w:right w:w="0" w:type="dxa"/>
        </w:tblCellMar>
        <w:tblLook w:val="00A0"/>
      </w:tblPr>
      <w:tblGrid>
        <w:gridCol w:w="9527"/>
      </w:tblGrid>
      <w:tr w:rsidR="00BC0F79" w:rsidRPr="00F03CF9" w:rsidTr="0079343E">
        <w:tc>
          <w:tcPr>
            <w:tcW w:w="5000" w:type="pct"/>
          </w:tcPr>
          <w:p w:rsidR="00BC0F79" w:rsidRPr="00FA6366" w:rsidRDefault="00BC0F79" w:rsidP="0079343E">
            <w:pPr>
              <w:jc w:val="both"/>
              <w:rPr>
                <w:rFonts w:eastAsia="Calibri"/>
                <w:sz w:val="20"/>
                <w:lang w:val="fr-CA"/>
              </w:rPr>
            </w:pPr>
            <w:r w:rsidRPr="00FA6366">
              <w:rPr>
                <w:rFonts w:eastAsia="Calibri"/>
                <w:sz w:val="20"/>
                <w:lang w:val="fr-CA"/>
              </w:rPr>
              <w:t xml:space="preserve">Procédure civile — Motions — La Cour d'appel a-t-elle eu tort de refuser de modifier l'ordonnance de rejet des motions pour cause de retard?  </w:t>
            </w:r>
          </w:p>
          <w:p w:rsidR="00BC0F79" w:rsidRPr="00FA6366" w:rsidRDefault="00BC0F79" w:rsidP="0079343E">
            <w:pPr>
              <w:jc w:val="both"/>
              <w:rPr>
                <w:rFonts w:eastAsia="Calibri"/>
                <w:sz w:val="20"/>
                <w:lang w:val="fr-CA"/>
              </w:rPr>
            </w:pPr>
          </w:p>
          <w:p w:rsidR="00BC0F79" w:rsidRPr="00FA6366" w:rsidRDefault="00BC0F79" w:rsidP="0079343E">
            <w:pPr>
              <w:jc w:val="both"/>
              <w:rPr>
                <w:rFonts w:eastAsia="Calibri"/>
                <w:sz w:val="20"/>
                <w:lang w:val="fr-CA"/>
              </w:rPr>
            </w:pPr>
            <w:r w:rsidRPr="00FA6366">
              <w:rPr>
                <w:rFonts w:eastAsia="Calibri"/>
                <w:sz w:val="20"/>
                <w:lang w:val="fr-CA"/>
              </w:rPr>
              <w:t>Le demandeur, Ural Direk, a été blessé dans une collision d’automobiles en 1988 et a poursuivi le conducteur de l'autre voiture.  L'affaire a fait l'objet d'un procès devant jury en 1996.  Le jury a donné gain de cause à M. Direk, mais ce dernier a toujours été débouté en appel sur la question du montant des dommages-intérêts.  Dans la présente action introduite en 2000, M. Direk et des membres de sa famille poursuivent certains des anciens avocats de M. Direk pour négligence dans l'exécution de leur mandat de représentation dans l'action pour lésions corporelles. Le demandeur allègue également un complot du système judiciaire contre lui et sa famille, impliquant notamment des juges, des avocats et des employés des services judiciaires.  Au cours de l'instance, les demandeurs ont présenté plusieurs motions, notamment deux motions qui ont été rejetées pour cause de retard par la greffière de la Cour d'appel de l'Ontario le 22 décembre 2009.  Les demandeurs ont ensuite présenté une motion à un juge siégeant seul de la Cour d'appel en annulation des ordonnances de la greffière, ainsi qu'une motion en compensation monétaire.  Les intimés ont présenté une motion incidente en annulation des motions des demandeurs.</w:t>
            </w:r>
          </w:p>
          <w:p w:rsidR="00BC0F79" w:rsidRPr="00FA6366" w:rsidRDefault="00BC0F79" w:rsidP="0079343E">
            <w:pPr>
              <w:jc w:val="both"/>
              <w:rPr>
                <w:rFonts w:eastAsia="Calibri"/>
                <w:sz w:val="20"/>
                <w:lang w:val="fr-CA"/>
              </w:rPr>
            </w:pPr>
          </w:p>
          <w:p w:rsidR="00BC0F79" w:rsidRPr="00FA6366" w:rsidRDefault="00BC0F79" w:rsidP="0079343E">
            <w:pPr>
              <w:jc w:val="both"/>
              <w:rPr>
                <w:rFonts w:eastAsia="Calibri"/>
                <w:sz w:val="20"/>
                <w:lang w:val="fr-CA"/>
              </w:rPr>
            </w:pPr>
            <w:r w:rsidRPr="00FA6366">
              <w:rPr>
                <w:rFonts w:eastAsia="Calibri"/>
                <w:sz w:val="20"/>
                <w:lang w:val="fr-CA"/>
              </w:rPr>
              <w:t>Le juge Juriansz a rejeté les motions en annulation des ordonnances de la greffière, concluant que les questions sous-jacentes revêtaient un caractère théorique.  Il a accueilli la motion incidente, annulant la demande de compensation monétaire pour défaut de compétence.  Une formation de la Cour d'appel a rejeté la motion des demandeurs en modification de l'ordonnance du juge Juriansz.</w:t>
            </w:r>
          </w:p>
          <w:p w:rsidR="00BC0F79" w:rsidRPr="00FA6366" w:rsidRDefault="00BC0F79" w:rsidP="0079343E">
            <w:pPr>
              <w:jc w:val="both"/>
              <w:rPr>
                <w:rFonts w:eastAsia="Calibri"/>
                <w:sz w:val="20"/>
                <w:lang w:val="fr-CA"/>
              </w:rPr>
            </w:pPr>
          </w:p>
        </w:tc>
      </w:tr>
    </w:tbl>
    <w:p w:rsidR="00A1379E" w:rsidRPr="00AC5B5D" w:rsidRDefault="00A1379E">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BC0F79" w:rsidRPr="00F03CF9" w:rsidTr="00A1379E">
        <w:trPr>
          <w:cantSplit/>
        </w:trPr>
        <w:tc>
          <w:tcPr>
            <w:tcW w:w="2427" w:type="pct"/>
          </w:tcPr>
          <w:p w:rsidR="00BC0F79" w:rsidRPr="00FA6366" w:rsidRDefault="00BC0F79" w:rsidP="0079343E">
            <w:pPr>
              <w:jc w:val="both"/>
              <w:rPr>
                <w:rFonts w:eastAsia="Calibri"/>
                <w:sz w:val="20"/>
                <w:lang w:val="fr-CA"/>
              </w:rPr>
            </w:pPr>
            <w:r w:rsidRPr="00FA6366">
              <w:rPr>
                <w:rFonts w:eastAsia="Calibri"/>
                <w:sz w:val="20"/>
                <w:lang w:val="fr-CA"/>
              </w:rPr>
              <w:lastRenderedPageBreak/>
              <w:t>16 juillet 2010</w:t>
            </w:r>
          </w:p>
          <w:p w:rsidR="00BC0F79" w:rsidRPr="00FA6366" w:rsidRDefault="00BC0F79" w:rsidP="0079343E">
            <w:pPr>
              <w:jc w:val="both"/>
              <w:rPr>
                <w:rFonts w:eastAsia="Calibri"/>
                <w:sz w:val="20"/>
                <w:lang w:val="fr-CA"/>
              </w:rPr>
            </w:pPr>
            <w:r w:rsidRPr="00FA6366">
              <w:rPr>
                <w:rFonts w:eastAsia="Calibri"/>
                <w:sz w:val="20"/>
                <w:lang w:val="fr-CA"/>
              </w:rPr>
              <w:t xml:space="preserve">Cour d'appel de l’Ontario </w:t>
            </w:r>
          </w:p>
          <w:p w:rsidR="00BC0F79" w:rsidRPr="00FA6366" w:rsidRDefault="00BC0F79" w:rsidP="0079343E">
            <w:pPr>
              <w:jc w:val="both"/>
              <w:rPr>
                <w:rFonts w:eastAsia="Calibri"/>
                <w:sz w:val="20"/>
                <w:lang w:val="fr-CA"/>
              </w:rPr>
            </w:pPr>
            <w:r w:rsidRPr="00FA6366">
              <w:rPr>
                <w:rFonts w:eastAsia="Calibri"/>
                <w:sz w:val="20"/>
                <w:lang w:val="fr-CA"/>
              </w:rPr>
              <w:t>(Juge Juriansz)</w:t>
            </w:r>
          </w:p>
          <w:p w:rsidR="00BC0F79" w:rsidRPr="00FA6366" w:rsidRDefault="00BC0F79" w:rsidP="0079343E">
            <w:pPr>
              <w:jc w:val="both"/>
              <w:rPr>
                <w:rFonts w:eastAsia="Calibri"/>
                <w:sz w:val="20"/>
                <w:lang w:val="fr-CA"/>
              </w:rPr>
            </w:pP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Motion des demandeurs en annulation des ordonnances de la greffière rejetant les motions pour cause de retard, rejetée; appel incident des intimés en annulation, accueilli;</w:t>
            </w:r>
          </w:p>
          <w:p w:rsidR="00BC0F79" w:rsidRPr="00FA6366" w:rsidRDefault="00BC0F79" w:rsidP="0079343E">
            <w:pPr>
              <w:jc w:val="both"/>
              <w:rPr>
                <w:rFonts w:eastAsia="Calibri"/>
                <w:sz w:val="20"/>
                <w:lang w:val="fr-CA"/>
              </w:rPr>
            </w:pPr>
          </w:p>
        </w:tc>
      </w:tr>
      <w:tr w:rsidR="00BC0F79" w:rsidRPr="00F03CF9" w:rsidTr="00A1379E">
        <w:trPr>
          <w:cantSplit/>
        </w:trPr>
        <w:tc>
          <w:tcPr>
            <w:tcW w:w="2427" w:type="pct"/>
          </w:tcPr>
          <w:p w:rsidR="00BC0F79" w:rsidRPr="00FA6366" w:rsidRDefault="00BC0F79" w:rsidP="0079343E">
            <w:pPr>
              <w:jc w:val="both"/>
              <w:rPr>
                <w:rFonts w:eastAsia="Calibri"/>
                <w:sz w:val="20"/>
                <w:lang w:val="fr-CA"/>
              </w:rPr>
            </w:pPr>
            <w:r w:rsidRPr="00FA6366">
              <w:rPr>
                <w:rFonts w:eastAsia="Calibri"/>
                <w:sz w:val="20"/>
                <w:lang w:val="fr-CA"/>
              </w:rPr>
              <w:t>16 novembre 2010</w:t>
            </w:r>
          </w:p>
          <w:p w:rsidR="00BC0F79" w:rsidRPr="00FA6366" w:rsidRDefault="00BC0F79" w:rsidP="0079343E">
            <w:pPr>
              <w:jc w:val="both"/>
              <w:rPr>
                <w:rFonts w:eastAsia="Calibri"/>
                <w:sz w:val="20"/>
                <w:lang w:val="fr-CA"/>
              </w:rPr>
            </w:pPr>
            <w:r w:rsidRPr="00FA6366">
              <w:rPr>
                <w:rFonts w:eastAsia="Calibri"/>
                <w:sz w:val="20"/>
                <w:lang w:val="fr-CA"/>
              </w:rPr>
              <w:t xml:space="preserve">Cour d'appel de l'Ontario </w:t>
            </w:r>
          </w:p>
          <w:p w:rsidR="00BC0F79" w:rsidRPr="00FA6366" w:rsidRDefault="00BC0F79" w:rsidP="0079343E">
            <w:pPr>
              <w:jc w:val="both"/>
              <w:rPr>
                <w:rFonts w:eastAsia="Calibri"/>
                <w:sz w:val="20"/>
                <w:lang w:val="fr-CA"/>
              </w:rPr>
            </w:pPr>
            <w:r w:rsidRPr="00FA6366">
              <w:rPr>
                <w:rFonts w:eastAsia="Calibri"/>
                <w:sz w:val="20"/>
                <w:lang w:val="fr-CA"/>
              </w:rPr>
              <w:t>(Juges Rosenberg, Moldaver et Karakatsanis)</w:t>
            </w:r>
          </w:p>
          <w:p w:rsidR="00BC0F79" w:rsidRPr="00FA6366" w:rsidRDefault="00BC0F79" w:rsidP="0079343E">
            <w:pPr>
              <w:jc w:val="both"/>
              <w:rPr>
                <w:rFonts w:eastAsia="Calibri"/>
                <w:sz w:val="20"/>
                <w:lang w:val="fr-CA"/>
              </w:rPr>
            </w:pP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Motion des demandeurs en modification, rejetée.</w:t>
            </w:r>
          </w:p>
          <w:p w:rsidR="00BC0F79" w:rsidRPr="00FA6366" w:rsidRDefault="00BC0F79" w:rsidP="0079343E">
            <w:pPr>
              <w:jc w:val="both"/>
              <w:rPr>
                <w:rFonts w:eastAsia="Calibri"/>
                <w:sz w:val="20"/>
                <w:lang w:val="fr-CA"/>
              </w:rPr>
            </w:pPr>
          </w:p>
        </w:tc>
      </w:tr>
      <w:tr w:rsidR="00BC0F79" w:rsidRPr="00FA6366" w:rsidTr="00A1379E">
        <w:trPr>
          <w:cantSplit/>
        </w:trPr>
        <w:tc>
          <w:tcPr>
            <w:tcW w:w="2427" w:type="pct"/>
          </w:tcPr>
          <w:p w:rsidR="00BC0F79" w:rsidRPr="00FA6366" w:rsidRDefault="00BC0F79" w:rsidP="0079343E">
            <w:pPr>
              <w:jc w:val="both"/>
              <w:rPr>
                <w:rFonts w:eastAsia="Calibri"/>
                <w:sz w:val="20"/>
                <w:lang w:val="fr-CA"/>
              </w:rPr>
            </w:pPr>
            <w:r w:rsidRPr="00FA6366">
              <w:rPr>
                <w:rFonts w:eastAsia="Calibri"/>
                <w:sz w:val="20"/>
                <w:lang w:val="fr-CA"/>
              </w:rPr>
              <w:t>20 janvier 2011</w:t>
            </w:r>
          </w:p>
          <w:p w:rsidR="00BC0F79" w:rsidRPr="00FA6366" w:rsidRDefault="00BC0F79" w:rsidP="0079343E">
            <w:pPr>
              <w:jc w:val="both"/>
              <w:rPr>
                <w:rFonts w:eastAsia="Calibri"/>
                <w:sz w:val="20"/>
                <w:lang w:val="fr-CA"/>
              </w:rPr>
            </w:pPr>
            <w:r w:rsidRPr="00FA6366">
              <w:rPr>
                <w:rFonts w:eastAsia="Calibri"/>
                <w:sz w:val="20"/>
                <w:lang w:val="fr-CA"/>
              </w:rPr>
              <w:t>Cour suprême du Canada</w:t>
            </w: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Demande d'autorisation d'appel, déposée.</w:t>
            </w:r>
          </w:p>
          <w:p w:rsidR="00BC0F79" w:rsidRPr="00FA6366" w:rsidRDefault="00BC0F79" w:rsidP="0079343E">
            <w:pPr>
              <w:jc w:val="both"/>
              <w:rPr>
                <w:rFonts w:eastAsia="Calibri"/>
                <w:sz w:val="20"/>
                <w:lang w:val="fr-CA"/>
              </w:rPr>
            </w:pP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39"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E699C" w:rsidRPr="00832ECA" w:rsidTr="000E699C">
        <w:trPr>
          <w:cantSplit/>
        </w:trPr>
        <w:tc>
          <w:tcPr>
            <w:tcW w:w="1458" w:type="dxa"/>
          </w:tcPr>
          <w:p w:rsidR="000E699C" w:rsidRPr="00832ECA" w:rsidRDefault="000E699C" w:rsidP="000E699C">
            <w:pPr>
              <w:rPr>
                <w:rFonts w:cs="Times New Roman"/>
                <w:sz w:val="20"/>
                <w:szCs w:val="20"/>
              </w:rPr>
            </w:pPr>
            <w:r w:rsidRPr="00832ECA">
              <w:rPr>
                <w:rStyle w:val="SCCFileNumberChar"/>
                <w:rFonts w:cs="Times New Roman"/>
                <w:sz w:val="20"/>
                <w:szCs w:val="20"/>
              </w:rPr>
              <w:t>34093</w:t>
            </w:r>
          </w:p>
          <w:p w:rsidR="000E699C" w:rsidRPr="00832ECA" w:rsidRDefault="000E699C" w:rsidP="000E699C">
            <w:pPr>
              <w:rPr>
                <w:rFonts w:cs="Times New Roman"/>
                <w:b/>
                <w:sz w:val="20"/>
                <w:szCs w:val="20"/>
                <w:lang w:val="fr-CA"/>
              </w:rPr>
            </w:pPr>
          </w:p>
        </w:tc>
        <w:tc>
          <w:tcPr>
            <w:tcW w:w="8118" w:type="dxa"/>
          </w:tcPr>
          <w:p w:rsidR="000E699C" w:rsidRPr="00832ECA" w:rsidRDefault="000E699C" w:rsidP="000E699C">
            <w:pPr>
              <w:jc w:val="both"/>
              <w:rPr>
                <w:rFonts w:cs="Times New Roman"/>
                <w:sz w:val="20"/>
                <w:szCs w:val="20"/>
              </w:rPr>
            </w:pPr>
            <w:r w:rsidRPr="00832ECA">
              <w:rPr>
                <w:rStyle w:val="SCCLsocChar"/>
                <w:rFonts w:cs="Times New Roman"/>
                <w:sz w:val="20"/>
                <w:szCs w:val="20"/>
                <w:lang w:val="en-CA"/>
              </w:rPr>
              <w:t>Ural Direk, Kemal Direkoglu and Elif Direkoglu by their Litigation guardian Ural Direk</w:t>
            </w:r>
            <w:r>
              <w:rPr>
                <w:rStyle w:val="SCCLsocChar"/>
                <w:rFonts w:cs="Times New Roman"/>
                <w:sz w:val="20"/>
                <w:szCs w:val="20"/>
                <w:lang w:val="en-CA"/>
              </w:rPr>
              <w:t xml:space="preserve"> and</w:t>
            </w:r>
            <w:r w:rsidRPr="00832ECA">
              <w:rPr>
                <w:rStyle w:val="SCCLsocChar"/>
                <w:rFonts w:cs="Times New Roman"/>
                <w:sz w:val="20"/>
                <w:szCs w:val="20"/>
                <w:lang w:val="en-CA"/>
              </w:rPr>
              <w:t xml:space="preserve"> Ertug Direk v. Argiris &amp; Associates, Barristers, Solicitors</w:t>
            </w:r>
            <w:r>
              <w:rPr>
                <w:rStyle w:val="SCCLsocChar"/>
                <w:rFonts w:cs="Times New Roman"/>
                <w:sz w:val="20"/>
                <w:szCs w:val="20"/>
                <w:lang w:val="en-CA"/>
              </w:rPr>
              <w:t xml:space="preserve"> and</w:t>
            </w:r>
            <w:r w:rsidRPr="00832ECA">
              <w:rPr>
                <w:rStyle w:val="SCCLsocChar"/>
                <w:rFonts w:cs="Times New Roman"/>
                <w:sz w:val="20"/>
                <w:szCs w:val="20"/>
                <w:lang w:val="en-CA"/>
              </w:rPr>
              <w:t xml:space="preserve"> Notaries, Futerman and Futerman, Barristers and Solicitors, Martin Jurjans, Barrister and Solicitor</w:t>
            </w:r>
            <w:r w:rsidR="004705E9">
              <w:rPr>
                <w:rStyle w:val="SCCLsocChar"/>
                <w:rFonts w:cs="Times New Roman"/>
                <w:sz w:val="20"/>
                <w:szCs w:val="20"/>
                <w:lang w:val="en-CA"/>
              </w:rPr>
              <w:t>,</w:t>
            </w:r>
            <w:r>
              <w:rPr>
                <w:rStyle w:val="SCCLsocChar"/>
                <w:rFonts w:cs="Times New Roman"/>
                <w:sz w:val="20"/>
                <w:szCs w:val="20"/>
                <w:lang w:val="en-CA"/>
              </w:rPr>
              <w:t xml:space="preserve"> and</w:t>
            </w:r>
            <w:r w:rsidRPr="00832ECA">
              <w:rPr>
                <w:rStyle w:val="SCCLsocChar"/>
                <w:rFonts w:cs="Times New Roman"/>
                <w:sz w:val="20"/>
                <w:szCs w:val="20"/>
                <w:lang w:val="en-CA"/>
              </w:rPr>
              <w:t xml:space="preserve"> Iler, Campbell, Barristers and Solicitors</w:t>
            </w:r>
            <w:r w:rsidRPr="00832ECA">
              <w:rPr>
                <w:rFonts w:cs="Times New Roman"/>
                <w:sz w:val="20"/>
                <w:szCs w:val="20"/>
              </w:rPr>
              <w:t xml:space="preserve"> (Ont.) (Civil) (By Leave)</w:t>
            </w:r>
          </w:p>
          <w:p w:rsidR="000E699C" w:rsidRPr="00832ECA" w:rsidRDefault="000E699C" w:rsidP="000E699C">
            <w:pPr>
              <w:rPr>
                <w:rFonts w:cs="Times New Roman"/>
                <w:sz w:val="20"/>
                <w:szCs w:val="20"/>
              </w:rPr>
            </w:pPr>
          </w:p>
        </w:tc>
      </w:tr>
      <w:tr w:rsidR="000E699C" w:rsidRPr="00832ECA" w:rsidTr="000E699C">
        <w:trPr>
          <w:cantSplit/>
        </w:trPr>
        <w:tc>
          <w:tcPr>
            <w:tcW w:w="1458" w:type="dxa"/>
          </w:tcPr>
          <w:p w:rsidR="000E699C" w:rsidRPr="00832ECA" w:rsidRDefault="000E699C" w:rsidP="000E699C">
            <w:pPr>
              <w:rPr>
                <w:rFonts w:cs="Times New Roman"/>
                <w:sz w:val="20"/>
                <w:szCs w:val="20"/>
              </w:rPr>
            </w:pPr>
            <w:r w:rsidRPr="00832ECA">
              <w:rPr>
                <w:rFonts w:cs="Times New Roman"/>
                <w:sz w:val="20"/>
                <w:szCs w:val="20"/>
              </w:rPr>
              <w:t>Coram :</w:t>
            </w:r>
          </w:p>
        </w:tc>
        <w:tc>
          <w:tcPr>
            <w:tcW w:w="8118" w:type="dxa"/>
          </w:tcPr>
          <w:p w:rsidR="000E699C" w:rsidRPr="00832ECA" w:rsidRDefault="000E699C" w:rsidP="000E699C">
            <w:pPr>
              <w:rPr>
                <w:rFonts w:cs="Times New Roman"/>
                <w:sz w:val="20"/>
                <w:szCs w:val="20"/>
              </w:rPr>
            </w:pPr>
            <w:r w:rsidRPr="00832ECA">
              <w:rPr>
                <w:rStyle w:val="SCCCoramChar"/>
                <w:rFonts w:cs="Times New Roman"/>
                <w:sz w:val="20"/>
                <w:szCs w:val="20"/>
                <w:lang w:val="en-CA"/>
              </w:rPr>
              <w:t>McLachlin C.J. and Deschamps and Charron JJ.</w:t>
            </w:r>
          </w:p>
          <w:p w:rsidR="000E699C" w:rsidRPr="00832ECA" w:rsidRDefault="000E699C" w:rsidP="000E699C">
            <w:pPr>
              <w:rPr>
                <w:rFonts w:cs="Times New Roman"/>
                <w:sz w:val="20"/>
                <w:szCs w:val="20"/>
                <w:u w:val="single"/>
              </w:rPr>
            </w:pPr>
          </w:p>
        </w:tc>
      </w:tr>
      <w:tr w:rsidR="000E699C" w:rsidRPr="00F03CF9" w:rsidTr="000E699C">
        <w:trPr>
          <w:cantSplit/>
        </w:trPr>
        <w:tc>
          <w:tcPr>
            <w:tcW w:w="9576" w:type="dxa"/>
            <w:gridSpan w:val="2"/>
          </w:tcPr>
          <w:p w:rsidR="000E699C" w:rsidRPr="00832ECA" w:rsidRDefault="000E699C" w:rsidP="000E699C">
            <w:pPr>
              <w:pStyle w:val="SCCShortJudgment"/>
              <w:rPr>
                <w:rFonts w:cs="Times New Roman"/>
                <w:szCs w:val="20"/>
              </w:rPr>
            </w:pPr>
            <w:r w:rsidRPr="00832ECA">
              <w:rPr>
                <w:rFonts w:cs="Times New Roman"/>
                <w:szCs w:val="20"/>
              </w:rPr>
              <w:t>The applicants’ motion for an extension of time to serve and file the second application for leave to appeal is granted.  The ancillary motion is dismissed. The application for leave to appeal from the judgment of the Court of Appeal for Ontario, Number M37465, dated January 31, 2011, is dismissed with costs.</w:t>
            </w:r>
          </w:p>
          <w:p w:rsidR="000E699C" w:rsidRPr="00832ECA" w:rsidRDefault="000E699C" w:rsidP="000E699C">
            <w:pPr>
              <w:pStyle w:val="SCCShortJudgment"/>
              <w:ind w:firstLine="0"/>
              <w:rPr>
                <w:rFonts w:cs="Times New Roman"/>
                <w:szCs w:val="20"/>
              </w:rPr>
            </w:pPr>
          </w:p>
          <w:p w:rsidR="000E699C" w:rsidRPr="00832ECA" w:rsidRDefault="000E699C" w:rsidP="000E699C">
            <w:pPr>
              <w:pStyle w:val="SCCShortJudgment"/>
              <w:rPr>
                <w:rFonts w:cs="Times New Roman"/>
                <w:szCs w:val="20"/>
                <w:lang w:val="fr-CA"/>
              </w:rPr>
            </w:pPr>
            <w:r w:rsidRPr="00832ECA">
              <w:rPr>
                <w:rFonts w:cs="Times New Roman"/>
                <w:szCs w:val="20"/>
                <w:lang w:val="fr-CA"/>
              </w:rPr>
              <w:t>La requête des demandeurs en prorogation du délai de signification et de dépôt de la deuxième demande d’autorisation d’appel est accordée.  La requête accessoire est rejetée. La demande d’autorisation d’appel de l’arrêt de la Cour d’appel de l’Ontario, numéro M37465, daté du 31 janvier 2011, est rejetée avec dépens.</w:t>
            </w:r>
          </w:p>
        </w:tc>
      </w:tr>
    </w:tbl>
    <w:p w:rsidR="000E699C" w:rsidRPr="000E699C" w:rsidRDefault="000E699C"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9684" w:type="pct"/>
        <w:tblLayout w:type="fixed"/>
        <w:tblCellMar>
          <w:left w:w="0" w:type="dxa"/>
          <w:bottom w:w="99" w:type="dxa"/>
          <w:right w:w="0" w:type="dxa"/>
        </w:tblCellMar>
        <w:tblLook w:val="04A0"/>
      </w:tblPr>
      <w:tblGrid>
        <w:gridCol w:w="4628"/>
        <w:gridCol w:w="462"/>
        <w:gridCol w:w="4441"/>
        <w:gridCol w:w="4553"/>
        <w:gridCol w:w="4546"/>
      </w:tblGrid>
      <w:tr w:rsidR="00BC0F79" w:rsidRPr="00FA6366" w:rsidTr="00A1379E">
        <w:trPr>
          <w:gridAfter w:val="2"/>
          <w:wAfter w:w="2443" w:type="pct"/>
        </w:trPr>
        <w:tc>
          <w:tcPr>
            <w:tcW w:w="2557" w:type="pct"/>
            <w:gridSpan w:val="3"/>
          </w:tcPr>
          <w:p w:rsidR="00BC0F79" w:rsidRPr="00FA6366" w:rsidRDefault="00BC0F79" w:rsidP="0079343E">
            <w:pPr>
              <w:jc w:val="both"/>
              <w:rPr>
                <w:rFonts w:eastAsia="Calibri"/>
                <w:sz w:val="20"/>
              </w:rPr>
            </w:pPr>
            <w:r w:rsidRPr="00FA6366">
              <w:rPr>
                <w:rFonts w:eastAsia="Calibri"/>
                <w:sz w:val="20"/>
              </w:rPr>
              <w:t>Procedural Law — Interlocutory proceedings — Motions — Leave to appeal — Whether Court of Appeal erred in dismissing application leave to appeal.</w:t>
            </w:r>
          </w:p>
          <w:p w:rsidR="00BC0F79" w:rsidRPr="00FA6366" w:rsidRDefault="00BC0F79" w:rsidP="0079343E">
            <w:pPr>
              <w:jc w:val="both"/>
              <w:rPr>
                <w:rFonts w:eastAsia="Calibri"/>
                <w:sz w:val="20"/>
              </w:rPr>
            </w:pPr>
          </w:p>
        </w:tc>
      </w:tr>
      <w:tr w:rsidR="00BC0F79" w:rsidRPr="00FA6366" w:rsidTr="00A1379E">
        <w:trPr>
          <w:gridAfter w:val="2"/>
          <w:wAfter w:w="2443" w:type="pct"/>
        </w:trPr>
        <w:tc>
          <w:tcPr>
            <w:tcW w:w="2557" w:type="pct"/>
            <w:gridSpan w:val="3"/>
          </w:tcPr>
          <w:p w:rsidR="00BC0F79" w:rsidRPr="00FA6366" w:rsidRDefault="00BC0F79" w:rsidP="0079343E">
            <w:pPr>
              <w:jc w:val="both"/>
              <w:rPr>
                <w:rFonts w:eastAsia="Calibri"/>
                <w:sz w:val="20"/>
              </w:rPr>
            </w:pPr>
            <w:r w:rsidRPr="00FA6366">
              <w:rPr>
                <w:rFonts w:eastAsia="Calibri"/>
                <w:sz w:val="20"/>
              </w:rPr>
              <w:t xml:space="preserve">The Applicant, Ural Direk, was injured in a motor vehicle collision in 1988 and sued the driver of the other car.  The case was tried before a jury in 1996.  The jury found for Mr. Direk, but he appealed the decision without success on the issue of quantum of assessed damages.  In the instant action, Mr. Direk and some of his family members brought an action in negligence against Mr. Direk’s former lawyers in respect of their representation of him in the personal injury action.  The Applicants assert, </w:t>
            </w:r>
            <w:r w:rsidRPr="00FA6366">
              <w:rPr>
                <w:rFonts w:eastAsia="Calibri"/>
                <w:i/>
                <w:sz w:val="20"/>
              </w:rPr>
              <w:t>inter alia</w:t>
            </w:r>
            <w:r w:rsidRPr="00FA6366">
              <w:rPr>
                <w:rFonts w:eastAsia="Calibri"/>
                <w:sz w:val="20"/>
              </w:rPr>
              <w:t xml:space="preserve">, a conspiracy of the justice system against him and his family, which conspiracy includes judges, lawyers and court staff.  In the course of the litigation the Applicants have brought numerous motions, including a motion seeking leave to appeal which is at issue in this application. </w:t>
            </w:r>
          </w:p>
          <w:p w:rsidR="00BC0F79" w:rsidRPr="00FA6366" w:rsidRDefault="00BC0F79" w:rsidP="0079343E">
            <w:pPr>
              <w:jc w:val="both"/>
              <w:rPr>
                <w:rFonts w:eastAsia="Calibri"/>
                <w:sz w:val="20"/>
              </w:rPr>
            </w:pPr>
          </w:p>
        </w:tc>
      </w:tr>
      <w:tr w:rsidR="00BC0F79" w:rsidRPr="00FA6366" w:rsidTr="00A1379E">
        <w:tc>
          <w:tcPr>
            <w:tcW w:w="2557" w:type="pct"/>
            <w:gridSpan w:val="3"/>
          </w:tcPr>
          <w:p w:rsidR="00BC0F79" w:rsidRPr="00FA6366" w:rsidRDefault="00BC0F79" w:rsidP="0079343E">
            <w:pPr>
              <w:jc w:val="both"/>
              <w:rPr>
                <w:rFonts w:eastAsia="Calibri"/>
                <w:sz w:val="20"/>
              </w:rPr>
            </w:pPr>
            <w:r w:rsidRPr="00FA6366">
              <w:rPr>
                <w:rFonts w:eastAsia="Calibri"/>
                <w:sz w:val="20"/>
              </w:rPr>
              <w:t xml:space="preserve">Corbett J. of the Ontario Superior Court of Justice, Divisional Court, dismissed the Applicants’ motion for leave to appeal the interlocutory order of Bielby J., and granted the Respondents’ motion to quash the Applicants’ application for leave.  The Ontario Court of Appeal dismissed the Applicants’ application for leave to appeal the order of Corbett J. </w:t>
            </w:r>
          </w:p>
          <w:p w:rsidR="00BC0F79" w:rsidRPr="00FA6366" w:rsidRDefault="00BC0F79" w:rsidP="0079343E">
            <w:pPr>
              <w:jc w:val="both"/>
              <w:rPr>
                <w:rFonts w:eastAsia="Calibri"/>
                <w:sz w:val="20"/>
              </w:rPr>
            </w:pPr>
          </w:p>
        </w:tc>
        <w:tc>
          <w:tcPr>
            <w:tcW w:w="1222" w:type="pct"/>
          </w:tcPr>
          <w:p w:rsidR="00BC0F79" w:rsidRPr="00FA6366" w:rsidRDefault="00BC0F79" w:rsidP="0079343E">
            <w:pPr>
              <w:jc w:val="both"/>
              <w:rPr>
                <w:rFonts w:eastAsia="Calibri"/>
                <w:sz w:val="20"/>
              </w:rPr>
            </w:pPr>
          </w:p>
          <w:p w:rsidR="00BC0F79" w:rsidRPr="00FA6366" w:rsidRDefault="00BC0F79" w:rsidP="0079343E">
            <w:pPr>
              <w:jc w:val="both"/>
              <w:rPr>
                <w:rFonts w:eastAsia="Calibri"/>
                <w:sz w:val="20"/>
              </w:rPr>
            </w:pPr>
          </w:p>
        </w:tc>
        <w:tc>
          <w:tcPr>
            <w:tcW w:w="1221" w:type="pct"/>
          </w:tcPr>
          <w:p w:rsidR="00BC0F79" w:rsidRPr="00FA6366" w:rsidRDefault="00BC0F79" w:rsidP="0079343E">
            <w:pPr>
              <w:jc w:val="both"/>
              <w:rPr>
                <w:rFonts w:eastAsia="Calibri"/>
                <w:sz w:val="20"/>
              </w:rPr>
            </w:pPr>
          </w:p>
          <w:p w:rsidR="00BC0F79" w:rsidRPr="00FA6366" w:rsidRDefault="00BC0F79" w:rsidP="0079343E">
            <w:pPr>
              <w:jc w:val="both"/>
              <w:rPr>
                <w:rFonts w:eastAsia="Calibri"/>
                <w:sz w:val="20"/>
              </w:rPr>
            </w:pPr>
            <w:r w:rsidRPr="00FA6366">
              <w:rPr>
                <w:rFonts w:eastAsia="Calibri"/>
                <w:sz w:val="20"/>
              </w:rPr>
              <w:t>Applicants’ motion for leave to appeal order dated October 8, 2008 of Bielby J., dismissed; Respondents’ motion to quash Applicants’ motion, granted.</w:t>
            </w:r>
          </w:p>
        </w:tc>
      </w:tr>
      <w:tr w:rsidR="00BC0F79" w:rsidRPr="00FA6366" w:rsidTr="00A1379E">
        <w:trPr>
          <w:gridAfter w:val="2"/>
          <w:wAfter w:w="2443" w:type="pct"/>
        </w:trPr>
        <w:tc>
          <w:tcPr>
            <w:tcW w:w="1241" w:type="pct"/>
          </w:tcPr>
          <w:p w:rsidR="00BC0F79" w:rsidRPr="00FA6366" w:rsidRDefault="00BC0F79" w:rsidP="0079343E">
            <w:pPr>
              <w:jc w:val="both"/>
              <w:rPr>
                <w:rFonts w:eastAsia="Calibri"/>
                <w:sz w:val="20"/>
              </w:rPr>
            </w:pPr>
            <w:r w:rsidRPr="00FA6366">
              <w:rPr>
                <w:rFonts w:eastAsia="Calibri"/>
                <w:sz w:val="20"/>
              </w:rPr>
              <w:t>March 31, 2009</w:t>
            </w:r>
          </w:p>
          <w:p w:rsidR="00BC0F79" w:rsidRPr="00FA6366" w:rsidRDefault="00BC0F79" w:rsidP="0079343E">
            <w:pPr>
              <w:jc w:val="both"/>
              <w:rPr>
                <w:rFonts w:eastAsia="Calibri"/>
                <w:sz w:val="20"/>
              </w:rPr>
            </w:pPr>
            <w:r w:rsidRPr="00FA6366">
              <w:rPr>
                <w:rFonts w:eastAsia="Calibri"/>
                <w:sz w:val="20"/>
              </w:rPr>
              <w:t>Superior Court of Justice, Divisional Court</w:t>
            </w:r>
          </w:p>
          <w:p w:rsidR="00BC0F79" w:rsidRPr="00FA6366" w:rsidRDefault="00BC0F79" w:rsidP="0079343E">
            <w:pPr>
              <w:jc w:val="both"/>
              <w:rPr>
                <w:rFonts w:eastAsia="Calibri"/>
                <w:sz w:val="20"/>
              </w:rPr>
            </w:pPr>
            <w:r w:rsidRPr="00FA6366">
              <w:rPr>
                <w:rFonts w:eastAsia="Calibri"/>
                <w:sz w:val="20"/>
              </w:rPr>
              <w:t>(Corbett J.)</w:t>
            </w:r>
          </w:p>
          <w:p w:rsidR="00BC0F79" w:rsidRPr="00FA6366" w:rsidRDefault="00BC0F79" w:rsidP="0079343E">
            <w:pPr>
              <w:jc w:val="both"/>
              <w:rPr>
                <w:rFonts w:eastAsia="Calibri"/>
                <w:sz w:val="20"/>
              </w:rPr>
            </w:pPr>
          </w:p>
        </w:tc>
        <w:tc>
          <w:tcPr>
            <w:tcW w:w="124" w:type="pct"/>
          </w:tcPr>
          <w:p w:rsidR="00BC0F79" w:rsidRPr="00FA6366" w:rsidRDefault="00BC0F79" w:rsidP="0079343E">
            <w:pPr>
              <w:jc w:val="both"/>
              <w:rPr>
                <w:rFonts w:eastAsia="Calibri"/>
                <w:sz w:val="20"/>
              </w:rPr>
            </w:pPr>
          </w:p>
        </w:tc>
        <w:tc>
          <w:tcPr>
            <w:tcW w:w="1192" w:type="pct"/>
          </w:tcPr>
          <w:p w:rsidR="00BC0F79" w:rsidRPr="00FA6366" w:rsidRDefault="00BC0F79" w:rsidP="0079343E">
            <w:pPr>
              <w:jc w:val="both"/>
              <w:rPr>
                <w:rFonts w:eastAsia="Calibri"/>
                <w:sz w:val="20"/>
              </w:rPr>
            </w:pPr>
            <w:r w:rsidRPr="00FA6366">
              <w:rPr>
                <w:rFonts w:eastAsia="Calibri"/>
                <w:sz w:val="20"/>
              </w:rPr>
              <w:t>Applicants’ motion for leave to appeal order dated October 8, 2008 of Bielby J., dismissed; Respondents’ motion to quash Applicants’ motion, granted.</w:t>
            </w:r>
          </w:p>
          <w:p w:rsidR="00BC0F79" w:rsidRPr="00FA6366" w:rsidRDefault="00BC0F79" w:rsidP="0079343E">
            <w:pPr>
              <w:jc w:val="both"/>
              <w:rPr>
                <w:rFonts w:eastAsia="Calibri"/>
                <w:sz w:val="20"/>
              </w:rPr>
            </w:pPr>
          </w:p>
        </w:tc>
      </w:tr>
      <w:tr w:rsidR="00BC0F79" w:rsidRPr="00FA6366" w:rsidTr="00A1379E">
        <w:trPr>
          <w:gridAfter w:val="2"/>
          <w:wAfter w:w="2443" w:type="pct"/>
          <w:cantSplit/>
        </w:trPr>
        <w:tc>
          <w:tcPr>
            <w:tcW w:w="1242" w:type="pct"/>
          </w:tcPr>
          <w:p w:rsidR="00BC0F79" w:rsidRPr="00FA6366" w:rsidRDefault="00BC0F79" w:rsidP="0079343E">
            <w:pPr>
              <w:jc w:val="both"/>
              <w:rPr>
                <w:rFonts w:eastAsia="Calibri"/>
                <w:sz w:val="20"/>
              </w:rPr>
            </w:pPr>
            <w:r w:rsidRPr="00FA6366">
              <w:rPr>
                <w:rFonts w:eastAsia="Calibri"/>
                <w:sz w:val="20"/>
              </w:rPr>
              <w:lastRenderedPageBreak/>
              <w:t>January 31, 2011</w:t>
            </w:r>
          </w:p>
          <w:p w:rsidR="00BC0F79" w:rsidRPr="00FA6366" w:rsidRDefault="00BC0F79" w:rsidP="0079343E">
            <w:pPr>
              <w:jc w:val="both"/>
              <w:rPr>
                <w:rFonts w:eastAsia="Calibri"/>
                <w:sz w:val="20"/>
              </w:rPr>
            </w:pPr>
            <w:r w:rsidRPr="00FA6366">
              <w:rPr>
                <w:rFonts w:eastAsia="Calibri"/>
                <w:sz w:val="20"/>
              </w:rPr>
              <w:t>Court of Appeal for Ontario</w:t>
            </w:r>
          </w:p>
          <w:p w:rsidR="00BC0F79" w:rsidRPr="00FA6366" w:rsidRDefault="00BC0F79" w:rsidP="0079343E">
            <w:pPr>
              <w:jc w:val="both"/>
              <w:rPr>
                <w:rFonts w:eastAsia="Calibri"/>
                <w:sz w:val="20"/>
              </w:rPr>
            </w:pPr>
            <w:r w:rsidRPr="00FA6366">
              <w:rPr>
                <w:rFonts w:eastAsia="Calibri"/>
                <w:sz w:val="20"/>
              </w:rPr>
              <w:t>(Armstrong, Epstein and Karakatsanis JJ.A.)</w:t>
            </w:r>
          </w:p>
          <w:p w:rsidR="00BC0F79" w:rsidRPr="00FA6366" w:rsidRDefault="00BC0F79" w:rsidP="0079343E">
            <w:pPr>
              <w:jc w:val="both"/>
              <w:rPr>
                <w:rFonts w:eastAsia="Calibri"/>
                <w:sz w:val="20"/>
              </w:rPr>
            </w:pPr>
            <w:r w:rsidRPr="00FA6366">
              <w:rPr>
                <w:rFonts w:eastAsia="Calibri"/>
                <w:sz w:val="20"/>
              </w:rPr>
              <w:t>Neutral citation:  N/A</w:t>
            </w:r>
          </w:p>
          <w:p w:rsidR="00BC0F79" w:rsidRPr="00FA6366" w:rsidRDefault="00BC0F79" w:rsidP="0079343E">
            <w:pPr>
              <w:jc w:val="both"/>
              <w:rPr>
                <w:rFonts w:eastAsia="Calibri"/>
                <w:sz w:val="20"/>
              </w:rPr>
            </w:pPr>
          </w:p>
        </w:tc>
        <w:tc>
          <w:tcPr>
            <w:tcW w:w="124" w:type="pct"/>
          </w:tcPr>
          <w:p w:rsidR="00BC0F79" w:rsidRPr="00FA6366" w:rsidRDefault="00BC0F79" w:rsidP="0079343E">
            <w:pPr>
              <w:jc w:val="both"/>
              <w:rPr>
                <w:rFonts w:eastAsia="Calibri"/>
                <w:sz w:val="20"/>
              </w:rPr>
            </w:pPr>
          </w:p>
        </w:tc>
        <w:tc>
          <w:tcPr>
            <w:tcW w:w="1192" w:type="pct"/>
          </w:tcPr>
          <w:p w:rsidR="00BC0F79" w:rsidRPr="00FA6366" w:rsidRDefault="00BC0F79" w:rsidP="0079343E">
            <w:pPr>
              <w:jc w:val="both"/>
              <w:rPr>
                <w:rFonts w:eastAsia="Calibri"/>
                <w:sz w:val="20"/>
              </w:rPr>
            </w:pPr>
            <w:r w:rsidRPr="00FA6366">
              <w:rPr>
                <w:rFonts w:eastAsia="Calibri"/>
                <w:sz w:val="20"/>
              </w:rPr>
              <w:t>Applicants’ application for leave to appeal, dismissed.</w:t>
            </w:r>
          </w:p>
          <w:p w:rsidR="00BC0F79" w:rsidRPr="00FA6366" w:rsidRDefault="00BC0F79" w:rsidP="0079343E">
            <w:pPr>
              <w:jc w:val="both"/>
              <w:rPr>
                <w:rFonts w:eastAsia="Calibri"/>
                <w:sz w:val="20"/>
              </w:rPr>
            </w:pPr>
          </w:p>
        </w:tc>
      </w:tr>
      <w:tr w:rsidR="00BC0F79" w:rsidRPr="00FA6366" w:rsidTr="00A1379E">
        <w:trPr>
          <w:gridAfter w:val="2"/>
          <w:wAfter w:w="2443" w:type="pct"/>
          <w:cantSplit/>
        </w:trPr>
        <w:tc>
          <w:tcPr>
            <w:tcW w:w="1242" w:type="pct"/>
          </w:tcPr>
          <w:p w:rsidR="00BC0F79" w:rsidRPr="00FA6366" w:rsidRDefault="00BC0F79" w:rsidP="0079343E">
            <w:pPr>
              <w:jc w:val="both"/>
              <w:rPr>
                <w:rFonts w:eastAsia="Calibri"/>
                <w:sz w:val="20"/>
              </w:rPr>
            </w:pPr>
            <w:r w:rsidRPr="00FA6366">
              <w:rPr>
                <w:rFonts w:eastAsia="Calibri"/>
                <w:sz w:val="20"/>
              </w:rPr>
              <w:t>April 4, 2011</w:t>
            </w:r>
          </w:p>
          <w:p w:rsidR="00BC0F79" w:rsidRPr="00FA6366" w:rsidRDefault="00BC0F79" w:rsidP="0079343E">
            <w:pPr>
              <w:jc w:val="both"/>
              <w:rPr>
                <w:rFonts w:eastAsia="Calibri"/>
                <w:sz w:val="20"/>
              </w:rPr>
            </w:pPr>
            <w:r w:rsidRPr="00FA6366">
              <w:rPr>
                <w:rFonts w:eastAsia="Calibri"/>
                <w:sz w:val="20"/>
              </w:rPr>
              <w:t>Supreme Court of Canada</w:t>
            </w:r>
          </w:p>
        </w:tc>
        <w:tc>
          <w:tcPr>
            <w:tcW w:w="124" w:type="pct"/>
          </w:tcPr>
          <w:p w:rsidR="00BC0F79" w:rsidRPr="00FA6366" w:rsidRDefault="00BC0F79" w:rsidP="0079343E">
            <w:pPr>
              <w:jc w:val="both"/>
              <w:rPr>
                <w:rFonts w:eastAsia="Calibri"/>
                <w:sz w:val="20"/>
              </w:rPr>
            </w:pPr>
          </w:p>
        </w:tc>
        <w:tc>
          <w:tcPr>
            <w:tcW w:w="1192" w:type="pct"/>
          </w:tcPr>
          <w:p w:rsidR="00BC0F79" w:rsidRPr="00FA6366" w:rsidRDefault="00BC0F79" w:rsidP="0079343E">
            <w:pPr>
              <w:jc w:val="both"/>
              <w:rPr>
                <w:rFonts w:eastAsia="Calibri"/>
                <w:sz w:val="20"/>
              </w:rPr>
            </w:pPr>
            <w:r w:rsidRPr="00FA6366">
              <w:rPr>
                <w:rFonts w:eastAsia="Calibri"/>
                <w:sz w:val="20"/>
              </w:rPr>
              <w:t>Application for leave to appeal, filed</w:t>
            </w:r>
          </w:p>
          <w:p w:rsidR="00BC0F79" w:rsidRPr="00FA6366" w:rsidRDefault="00BC0F79" w:rsidP="0079343E">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40"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9684" w:type="pct"/>
        <w:tblLayout w:type="fixed"/>
        <w:tblCellMar>
          <w:left w:w="0" w:type="dxa"/>
          <w:bottom w:w="99" w:type="dxa"/>
          <w:right w:w="0" w:type="dxa"/>
        </w:tblCellMar>
        <w:tblLook w:val="00A0"/>
      </w:tblPr>
      <w:tblGrid>
        <w:gridCol w:w="4625"/>
        <w:gridCol w:w="462"/>
        <w:gridCol w:w="4441"/>
        <w:gridCol w:w="4553"/>
        <w:gridCol w:w="4549"/>
      </w:tblGrid>
      <w:tr w:rsidR="00BC0F79" w:rsidRPr="00F03CF9" w:rsidTr="0079343E">
        <w:trPr>
          <w:gridAfter w:val="2"/>
          <w:wAfter w:w="2443" w:type="pct"/>
        </w:trPr>
        <w:tc>
          <w:tcPr>
            <w:tcW w:w="2557" w:type="pct"/>
            <w:gridSpan w:val="3"/>
          </w:tcPr>
          <w:p w:rsidR="00BC0F79" w:rsidRPr="00FA6366" w:rsidRDefault="00BC0F79" w:rsidP="0079343E">
            <w:pPr>
              <w:jc w:val="both"/>
              <w:rPr>
                <w:rFonts w:eastAsia="Calibri"/>
                <w:sz w:val="20"/>
                <w:lang w:val="fr-CA"/>
              </w:rPr>
            </w:pPr>
            <w:r w:rsidRPr="00FA6366">
              <w:rPr>
                <w:rFonts w:eastAsia="Calibri"/>
                <w:sz w:val="20"/>
                <w:lang w:val="fr-CA"/>
              </w:rPr>
              <w:t>Procédure — Procédures interlocutoires — Motions — Autorisation d’appel — La Cour d’appel a</w:t>
            </w:r>
            <w:r w:rsidRPr="00FA6366">
              <w:rPr>
                <w:rFonts w:eastAsia="Calibri"/>
                <w:sz w:val="20"/>
                <w:lang w:val="fr-CA"/>
              </w:rPr>
              <w:noBreakHyphen/>
              <w:t>t</w:t>
            </w:r>
            <w:r w:rsidRPr="00FA6366">
              <w:rPr>
                <w:rFonts w:eastAsia="Calibri"/>
                <w:sz w:val="20"/>
                <w:lang w:val="fr-CA"/>
              </w:rPr>
              <w:noBreakHyphen/>
              <w:t>elle eu tort de rejeter la demande d’autorisation d’appel?</w:t>
            </w:r>
          </w:p>
          <w:p w:rsidR="00BC0F79" w:rsidRPr="00FA6366" w:rsidRDefault="00BC0F79" w:rsidP="0079343E">
            <w:pPr>
              <w:jc w:val="both"/>
              <w:rPr>
                <w:rFonts w:eastAsia="Calibri"/>
                <w:sz w:val="20"/>
                <w:lang w:val="fr-CA"/>
              </w:rPr>
            </w:pPr>
          </w:p>
        </w:tc>
      </w:tr>
      <w:tr w:rsidR="00BC0F79" w:rsidRPr="00F03CF9" w:rsidTr="0079343E">
        <w:trPr>
          <w:gridAfter w:val="2"/>
          <w:wAfter w:w="2443" w:type="pct"/>
        </w:trPr>
        <w:tc>
          <w:tcPr>
            <w:tcW w:w="2557" w:type="pct"/>
            <w:gridSpan w:val="3"/>
          </w:tcPr>
          <w:p w:rsidR="00BC0F79" w:rsidRPr="00FA6366" w:rsidRDefault="00BC0F79" w:rsidP="0079343E">
            <w:pPr>
              <w:jc w:val="both"/>
              <w:rPr>
                <w:rFonts w:eastAsia="Calibri"/>
                <w:sz w:val="20"/>
                <w:lang w:val="fr-CA"/>
              </w:rPr>
            </w:pPr>
            <w:r w:rsidRPr="00FA6366">
              <w:rPr>
                <w:rFonts w:eastAsia="Calibri"/>
                <w:sz w:val="20"/>
                <w:lang w:val="fr-CA"/>
              </w:rPr>
              <w:t>Le demandeur, Ural Direk, a été blessé dans une collision d’automobiles en 1988 et a poursuivi le conducteur de l’autre voiture. L’affaire a fait l’objet d’un procès devant jury en 1996.  Le jury a donné gain de cause à M. Direk, mais ce dernier a été débouté en appel sur la question du montant des dommages</w:t>
            </w:r>
            <w:r w:rsidRPr="00FA6366">
              <w:rPr>
                <w:rFonts w:eastAsia="Calibri"/>
                <w:sz w:val="20"/>
                <w:lang w:val="fr-CA"/>
              </w:rPr>
              <w:noBreakHyphen/>
              <w:t xml:space="preserve">intérêts.  Dans la présente action, M. Direk et des membres de sa famille ont intenté une action en négligence contre les anciens avocats de M. Direk relativement à leur mandat de représentation dans l’action pour lésions corporelles.  Les demandeurs allèguent notamment un complot du système judiciaire contre lui et sa famille, impliquant notamment des juges, des avocats et des employés des services judiciaires.  Au cours de l’instance, les demandeurs ont présenté plusieurs motions, notamment une motion en autorisation d’appel, l’objet en cause dans la présente demande. </w:t>
            </w:r>
          </w:p>
          <w:p w:rsidR="00BC0F79" w:rsidRPr="00FA6366" w:rsidRDefault="00BC0F79" w:rsidP="0079343E">
            <w:pPr>
              <w:jc w:val="both"/>
              <w:rPr>
                <w:rFonts w:eastAsia="Calibri"/>
                <w:sz w:val="20"/>
                <w:lang w:val="fr-CA"/>
              </w:rPr>
            </w:pPr>
          </w:p>
        </w:tc>
      </w:tr>
      <w:tr w:rsidR="00BC0F79" w:rsidRPr="00FA6366" w:rsidTr="0079343E">
        <w:tc>
          <w:tcPr>
            <w:tcW w:w="2557" w:type="pct"/>
            <w:gridSpan w:val="3"/>
          </w:tcPr>
          <w:p w:rsidR="00BC0F79" w:rsidRPr="00FA6366" w:rsidRDefault="00BC0F79" w:rsidP="0079343E">
            <w:pPr>
              <w:jc w:val="both"/>
              <w:rPr>
                <w:rFonts w:eastAsia="Calibri"/>
                <w:sz w:val="20"/>
                <w:lang w:val="fr-CA"/>
              </w:rPr>
            </w:pPr>
            <w:r w:rsidRPr="00FA6366">
              <w:rPr>
                <w:rFonts w:eastAsia="Calibri"/>
                <w:sz w:val="20"/>
                <w:lang w:val="fr-CA"/>
              </w:rPr>
              <w:t xml:space="preserve">Le juge Corbett de la Cour supérieure de justice de l’Ontario, Cour divisionnaire, a rejeté la motion des demandeurs en autorisation d’appel de l’ordonnance interlocutoire du juge Bielby, et a accueilli la motion des intimés en annulation de la demande d’autorisation des demandeurs.  La Cour d’appel de l’Ontario a rejeté la demande d’autorisation d’appel des demandeurs de l’ordonnance du juge Corbett. </w:t>
            </w:r>
          </w:p>
          <w:p w:rsidR="00BC0F79" w:rsidRPr="00FA6366" w:rsidRDefault="00BC0F79" w:rsidP="0079343E">
            <w:pPr>
              <w:jc w:val="both"/>
              <w:rPr>
                <w:rFonts w:eastAsia="Calibri"/>
                <w:sz w:val="20"/>
                <w:lang w:val="fr-CA"/>
              </w:rPr>
            </w:pPr>
          </w:p>
        </w:tc>
        <w:tc>
          <w:tcPr>
            <w:tcW w:w="1222" w:type="pct"/>
          </w:tcPr>
          <w:p w:rsidR="00BC0F79" w:rsidRPr="00FA6366" w:rsidRDefault="00BC0F79" w:rsidP="0079343E">
            <w:pPr>
              <w:jc w:val="both"/>
              <w:rPr>
                <w:rFonts w:eastAsia="Calibri"/>
                <w:sz w:val="20"/>
                <w:lang w:val="fr-CA"/>
              </w:rPr>
            </w:pPr>
          </w:p>
          <w:p w:rsidR="00BC0F79" w:rsidRPr="00FA6366" w:rsidRDefault="00BC0F79" w:rsidP="0079343E">
            <w:pPr>
              <w:jc w:val="both"/>
              <w:rPr>
                <w:rFonts w:eastAsia="Calibri"/>
                <w:sz w:val="20"/>
                <w:lang w:val="fr-CA"/>
              </w:rPr>
            </w:pPr>
          </w:p>
        </w:tc>
        <w:tc>
          <w:tcPr>
            <w:tcW w:w="1221" w:type="pct"/>
          </w:tcPr>
          <w:p w:rsidR="00BC0F79" w:rsidRPr="00FA6366" w:rsidRDefault="00BC0F79" w:rsidP="0079343E">
            <w:pPr>
              <w:jc w:val="both"/>
              <w:rPr>
                <w:rFonts w:eastAsia="Calibri"/>
                <w:sz w:val="20"/>
                <w:lang w:val="fr-CA"/>
              </w:rPr>
            </w:pPr>
          </w:p>
          <w:p w:rsidR="00BC0F79" w:rsidRPr="00FA6366" w:rsidRDefault="00BC0F79" w:rsidP="0079343E">
            <w:pPr>
              <w:jc w:val="both"/>
              <w:rPr>
                <w:rFonts w:eastAsia="Calibri"/>
                <w:sz w:val="20"/>
              </w:rPr>
            </w:pPr>
            <w:r w:rsidRPr="00FA6366">
              <w:rPr>
                <w:rFonts w:eastAsia="Calibri"/>
                <w:sz w:val="20"/>
              </w:rPr>
              <w:t>Applicants’ motion for leave to appeal order dated October 8, 2008 of Bielby J., dismissed; Respondents’ motion to quash Applicants’ motion, granted.</w:t>
            </w:r>
          </w:p>
        </w:tc>
      </w:tr>
      <w:tr w:rsidR="00BC0F79" w:rsidRPr="00F03CF9" w:rsidTr="0079343E">
        <w:trPr>
          <w:gridAfter w:val="2"/>
          <w:wAfter w:w="2443" w:type="pct"/>
        </w:trPr>
        <w:tc>
          <w:tcPr>
            <w:tcW w:w="1241" w:type="pct"/>
          </w:tcPr>
          <w:p w:rsidR="00BC0F79" w:rsidRPr="00FA6366" w:rsidRDefault="00BC0F79" w:rsidP="0079343E">
            <w:pPr>
              <w:jc w:val="both"/>
              <w:rPr>
                <w:rFonts w:eastAsia="Calibri"/>
                <w:sz w:val="20"/>
                <w:lang w:val="fr-CA"/>
              </w:rPr>
            </w:pPr>
            <w:r w:rsidRPr="00FA6366">
              <w:rPr>
                <w:rFonts w:eastAsia="Calibri"/>
                <w:sz w:val="20"/>
                <w:lang w:val="fr-CA"/>
              </w:rPr>
              <w:t>31 mars 2009</w:t>
            </w:r>
          </w:p>
          <w:p w:rsidR="00BC0F79" w:rsidRPr="00FA6366" w:rsidRDefault="00BC0F79" w:rsidP="0079343E">
            <w:pPr>
              <w:jc w:val="both"/>
              <w:rPr>
                <w:rFonts w:eastAsia="Calibri"/>
                <w:sz w:val="20"/>
                <w:lang w:val="fr-CA"/>
              </w:rPr>
            </w:pPr>
            <w:r w:rsidRPr="00FA6366">
              <w:rPr>
                <w:rFonts w:eastAsia="Calibri"/>
                <w:sz w:val="20"/>
                <w:lang w:val="fr-CA"/>
              </w:rPr>
              <w:t>Cour supérieure de justice, Cour divisionnaire</w:t>
            </w:r>
          </w:p>
          <w:p w:rsidR="00BC0F79" w:rsidRPr="00FA6366" w:rsidRDefault="00BC0F79" w:rsidP="0079343E">
            <w:pPr>
              <w:jc w:val="both"/>
              <w:rPr>
                <w:rFonts w:eastAsia="Calibri"/>
                <w:sz w:val="20"/>
                <w:lang w:val="fr-CA"/>
              </w:rPr>
            </w:pPr>
            <w:r w:rsidRPr="00FA6366">
              <w:rPr>
                <w:rFonts w:eastAsia="Calibri"/>
                <w:sz w:val="20"/>
                <w:lang w:val="fr-CA"/>
              </w:rPr>
              <w:t>(Juge Corbett)</w:t>
            </w:r>
          </w:p>
          <w:p w:rsidR="00BC0F79" w:rsidRPr="00FA6366" w:rsidRDefault="00BC0F79" w:rsidP="0079343E">
            <w:pPr>
              <w:jc w:val="both"/>
              <w:rPr>
                <w:rFonts w:eastAsia="Calibri"/>
                <w:sz w:val="20"/>
                <w:lang w:val="fr-CA"/>
              </w:rPr>
            </w:pPr>
          </w:p>
        </w:tc>
        <w:tc>
          <w:tcPr>
            <w:tcW w:w="124" w:type="pct"/>
          </w:tcPr>
          <w:p w:rsidR="00BC0F79" w:rsidRPr="00FA6366" w:rsidRDefault="00BC0F79" w:rsidP="0079343E">
            <w:pPr>
              <w:jc w:val="both"/>
              <w:rPr>
                <w:rFonts w:eastAsia="Calibri"/>
                <w:sz w:val="20"/>
                <w:lang w:val="fr-CA"/>
              </w:rPr>
            </w:pPr>
          </w:p>
        </w:tc>
        <w:tc>
          <w:tcPr>
            <w:tcW w:w="1192" w:type="pct"/>
          </w:tcPr>
          <w:p w:rsidR="00BC0F79" w:rsidRPr="00FA6366" w:rsidRDefault="00BC0F79" w:rsidP="0079343E">
            <w:pPr>
              <w:jc w:val="both"/>
              <w:rPr>
                <w:rFonts w:eastAsia="Calibri"/>
                <w:sz w:val="20"/>
                <w:lang w:val="fr-CA"/>
              </w:rPr>
            </w:pPr>
            <w:r w:rsidRPr="00FA6366">
              <w:rPr>
                <w:rFonts w:eastAsia="Calibri"/>
                <w:sz w:val="20"/>
                <w:lang w:val="fr-CA"/>
              </w:rPr>
              <w:t>Motion des demandeurs en autorisation d’appel de l’ordonnance datée du 8 octobre 2008 du juge Bielby, rejetée; motion des intimés en annulation de la motion des demandeurs, accueillie.</w:t>
            </w:r>
          </w:p>
          <w:p w:rsidR="00BC0F79" w:rsidRPr="00FA6366" w:rsidRDefault="00BC0F79" w:rsidP="0079343E">
            <w:pPr>
              <w:jc w:val="both"/>
              <w:rPr>
                <w:rFonts w:eastAsia="Calibri"/>
                <w:sz w:val="20"/>
                <w:lang w:val="fr-CA"/>
              </w:rPr>
            </w:pPr>
          </w:p>
        </w:tc>
      </w:tr>
      <w:tr w:rsidR="00BC0F79" w:rsidRPr="00F03CF9" w:rsidTr="0079343E">
        <w:trPr>
          <w:gridAfter w:val="2"/>
          <w:wAfter w:w="2443" w:type="pct"/>
        </w:trPr>
        <w:tc>
          <w:tcPr>
            <w:tcW w:w="1241" w:type="pct"/>
          </w:tcPr>
          <w:p w:rsidR="00BC0F79" w:rsidRPr="00FA6366" w:rsidRDefault="00BC0F79" w:rsidP="0079343E">
            <w:pPr>
              <w:jc w:val="both"/>
              <w:rPr>
                <w:rFonts w:eastAsia="Calibri"/>
                <w:sz w:val="20"/>
                <w:lang w:val="fr-CA"/>
              </w:rPr>
            </w:pPr>
            <w:r w:rsidRPr="00FA6366">
              <w:rPr>
                <w:rFonts w:eastAsia="Calibri"/>
                <w:sz w:val="20"/>
                <w:lang w:val="fr-CA"/>
              </w:rPr>
              <w:t>31 janvier 2011</w:t>
            </w:r>
          </w:p>
          <w:p w:rsidR="00BC0F79" w:rsidRPr="00FA6366" w:rsidRDefault="00BC0F79" w:rsidP="0079343E">
            <w:pPr>
              <w:jc w:val="both"/>
              <w:rPr>
                <w:rFonts w:eastAsia="Calibri"/>
                <w:sz w:val="20"/>
                <w:lang w:val="fr-CA"/>
              </w:rPr>
            </w:pPr>
            <w:r w:rsidRPr="00FA6366">
              <w:rPr>
                <w:rFonts w:eastAsia="Calibri"/>
                <w:sz w:val="20"/>
                <w:lang w:val="fr-CA"/>
              </w:rPr>
              <w:t>Cour d’appel de l’Ontario</w:t>
            </w:r>
          </w:p>
          <w:p w:rsidR="00BC0F79" w:rsidRPr="00FA6366" w:rsidRDefault="00BC0F79" w:rsidP="0079343E">
            <w:pPr>
              <w:jc w:val="both"/>
              <w:rPr>
                <w:rFonts w:eastAsia="Calibri"/>
                <w:sz w:val="20"/>
                <w:lang w:val="fr-CA"/>
              </w:rPr>
            </w:pPr>
            <w:r w:rsidRPr="00FA6366">
              <w:rPr>
                <w:rFonts w:eastAsia="Calibri"/>
                <w:sz w:val="20"/>
                <w:lang w:val="fr-CA"/>
              </w:rPr>
              <w:t>(Juges Armstrong, Epstein et Karakatsani)</w:t>
            </w:r>
          </w:p>
          <w:p w:rsidR="00BC0F79" w:rsidRPr="00FA6366" w:rsidRDefault="00BC0F79" w:rsidP="0079343E">
            <w:pPr>
              <w:jc w:val="both"/>
              <w:rPr>
                <w:rFonts w:eastAsia="Calibri"/>
                <w:sz w:val="20"/>
                <w:lang w:val="fr-CA"/>
              </w:rPr>
            </w:pPr>
            <w:r w:rsidRPr="00FA6366">
              <w:rPr>
                <w:rFonts w:eastAsia="Calibri"/>
                <w:sz w:val="20"/>
                <w:lang w:val="fr-CA"/>
              </w:rPr>
              <w:t>Référence neutre :  s.o.</w:t>
            </w:r>
          </w:p>
          <w:p w:rsidR="00BC0F79" w:rsidRPr="00FA6366" w:rsidRDefault="00BC0F79" w:rsidP="0079343E">
            <w:pPr>
              <w:jc w:val="both"/>
              <w:rPr>
                <w:rFonts w:eastAsia="Calibri"/>
                <w:sz w:val="20"/>
                <w:lang w:val="fr-CA"/>
              </w:rPr>
            </w:pPr>
          </w:p>
        </w:tc>
        <w:tc>
          <w:tcPr>
            <w:tcW w:w="124" w:type="pct"/>
          </w:tcPr>
          <w:p w:rsidR="00BC0F79" w:rsidRPr="00FA6366" w:rsidRDefault="00BC0F79" w:rsidP="0079343E">
            <w:pPr>
              <w:jc w:val="both"/>
              <w:rPr>
                <w:rFonts w:eastAsia="Calibri"/>
                <w:sz w:val="20"/>
                <w:lang w:val="fr-CA"/>
              </w:rPr>
            </w:pPr>
          </w:p>
        </w:tc>
        <w:tc>
          <w:tcPr>
            <w:tcW w:w="1192" w:type="pct"/>
          </w:tcPr>
          <w:p w:rsidR="00BC0F79" w:rsidRPr="00FA6366" w:rsidRDefault="00BC0F79" w:rsidP="0079343E">
            <w:pPr>
              <w:jc w:val="both"/>
              <w:rPr>
                <w:rFonts w:eastAsia="Calibri"/>
                <w:sz w:val="20"/>
                <w:lang w:val="fr-CA"/>
              </w:rPr>
            </w:pPr>
            <w:r w:rsidRPr="00FA6366">
              <w:rPr>
                <w:rFonts w:eastAsia="Calibri"/>
                <w:sz w:val="20"/>
                <w:lang w:val="fr-CA"/>
              </w:rPr>
              <w:t>Demande d’autorisation d’appel des demandeurs, rejetée.</w:t>
            </w:r>
          </w:p>
          <w:p w:rsidR="00BC0F79" w:rsidRPr="00FA6366" w:rsidRDefault="00BC0F79" w:rsidP="0079343E">
            <w:pPr>
              <w:jc w:val="both"/>
              <w:rPr>
                <w:rFonts w:eastAsia="Calibri"/>
                <w:sz w:val="20"/>
                <w:lang w:val="fr-CA"/>
              </w:rPr>
            </w:pPr>
          </w:p>
        </w:tc>
      </w:tr>
      <w:tr w:rsidR="00BC0F79" w:rsidRPr="00FA6366" w:rsidTr="0079343E">
        <w:trPr>
          <w:gridAfter w:val="2"/>
          <w:wAfter w:w="2443" w:type="pct"/>
        </w:trPr>
        <w:tc>
          <w:tcPr>
            <w:tcW w:w="1241" w:type="pct"/>
          </w:tcPr>
          <w:p w:rsidR="00BC0F79" w:rsidRPr="00FA6366" w:rsidRDefault="00BC0F79" w:rsidP="0079343E">
            <w:pPr>
              <w:jc w:val="both"/>
              <w:rPr>
                <w:rFonts w:eastAsia="Calibri"/>
                <w:sz w:val="20"/>
                <w:lang w:val="fr-CA"/>
              </w:rPr>
            </w:pPr>
            <w:r w:rsidRPr="00FA6366">
              <w:rPr>
                <w:rFonts w:eastAsia="Calibri"/>
                <w:sz w:val="20"/>
                <w:lang w:val="fr-CA"/>
              </w:rPr>
              <w:t>4 avril 2011</w:t>
            </w:r>
          </w:p>
          <w:p w:rsidR="00BC0F79" w:rsidRPr="00FA6366" w:rsidRDefault="00BC0F79" w:rsidP="0079343E">
            <w:pPr>
              <w:jc w:val="both"/>
              <w:rPr>
                <w:rFonts w:eastAsia="Calibri"/>
                <w:sz w:val="20"/>
                <w:lang w:val="fr-CA"/>
              </w:rPr>
            </w:pPr>
            <w:r w:rsidRPr="00FA6366">
              <w:rPr>
                <w:rFonts w:eastAsia="Calibri"/>
                <w:sz w:val="20"/>
                <w:lang w:val="fr-CA"/>
              </w:rPr>
              <w:t>Cour suprême du Canada</w:t>
            </w:r>
          </w:p>
        </w:tc>
        <w:tc>
          <w:tcPr>
            <w:tcW w:w="124" w:type="pct"/>
          </w:tcPr>
          <w:p w:rsidR="00BC0F79" w:rsidRPr="00FA6366" w:rsidRDefault="00BC0F79" w:rsidP="0079343E">
            <w:pPr>
              <w:jc w:val="both"/>
              <w:rPr>
                <w:rFonts w:eastAsia="Calibri"/>
                <w:sz w:val="20"/>
                <w:lang w:val="fr-CA"/>
              </w:rPr>
            </w:pPr>
          </w:p>
        </w:tc>
        <w:tc>
          <w:tcPr>
            <w:tcW w:w="1192" w:type="pct"/>
          </w:tcPr>
          <w:p w:rsidR="00BC0F79" w:rsidRPr="00FA6366" w:rsidRDefault="00BC0F79" w:rsidP="0079343E">
            <w:pPr>
              <w:jc w:val="both"/>
              <w:rPr>
                <w:rFonts w:eastAsia="Calibri"/>
                <w:sz w:val="20"/>
                <w:lang w:val="fr-CA"/>
              </w:rPr>
            </w:pPr>
            <w:r w:rsidRPr="00FA6366">
              <w:rPr>
                <w:rFonts w:eastAsia="Calibri"/>
                <w:sz w:val="20"/>
                <w:lang w:val="fr-CA"/>
              </w:rPr>
              <w:t>Demande d’autorisation d’appel, déposée</w:t>
            </w:r>
          </w:p>
          <w:p w:rsidR="00BC0F79" w:rsidRPr="00FA6366" w:rsidRDefault="00BC0F79" w:rsidP="0079343E">
            <w:pPr>
              <w:jc w:val="both"/>
              <w:rPr>
                <w:rFonts w:eastAsia="Calibri"/>
                <w:sz w:val="20"/>
                <w:lang w:val="fr-CA"/>
              </w:rPr>
            </w:pP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41" style="width:2in;height:1pt" o:hrpct="0" o:hralign="center" o:hrstd="t" o:hrnoshade="t" o:hr="t" fillcolor="black [3213]" stroked="f"/>
        </w:pict>
      </w:r>
    </w:p>
    <w:p w:rsidR="00A1379E" w:rsidRDefault="00A1379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010B3" w:rsidRPr="001010B3" w:rsidTr="000326AA">
        <w:trPr>
          <w:cantSplit/>
        </w:trPr>
        <w:tc>
          <w:tcPr>
            <w:tcW w:w="1458" w:type="dxa"/>
          </w:tcPr>
          <w:p w:rsidR="001010B3" w:rsidRPr="001010B3" w:rsidRDefault="001010B3" w:rsidP="000326AA">
            <w:pPr>
              <w:rPr>
                <w:rFonts w:cs="Times New Roman"/>
                <w:sz w:val="20"/>
                <w:szCs w:val="20"/>
              </w:rPr>
            </w:pPr>
            <w:r w:rsidRPr="001010B3">
              <w:rPr>
                <w:rStyle w:val="SCCFileNumberChar"/>
                <w:rFonts w:cs="Times New Roman"/>
                <w:sz w:val="20"/>
                <w:szCs w:val="20"/>
              </w:rPr>
              <w:lastRenderedPageBreak/>
              <w:t>34098</w:t>
            </w:r>
          </w:p>
          <w:p w:rsidR="001010B3" w:rsidRPr="001010B3" w:rsidRDefault="001010B3" w:rsidP="000326AA">
            <w:pPr>
              <w:rPr>
                <w:rFonts w:cs="Times New Roman"/>
                <w:b/>
                <w:sz w:val="20"/>
                <w:szCs w:val="20"/>
                <w:lang w:val="fr-CA"/>
              </w:rPr>
            </w:pPr>
          </w:p>
        </w:tc>
        <w:tc>
          <w:tcPr>
            <w:tcW w:w="8118" w:type="dxa"/>
          </w:tcPr>
          <w:p w:rsidR="001010B3" w:rsidRPr="001010B3" w:rsidRDefault="001010B3" w:rsidP="001010B3">
            <w:pPr>
              <w:jc w:val="both"/>
              <w:rPr>
                <w:rFonts w:cs="Times New Roman"/>
                <w:sz w:val="20"/>
                <w:szCs w:val="20"/>
              </w:rPr>
            </w:pPr>
            <w:r w:rsidRPr="001010B3">
              <w:rPr>
                <w:rStyle w:val="SCCLsocChar"/>
                <w:rFonts w:cs="Times New Roman"/>
                <w:sz w:val="20"/>
                <w:szCs w:val="20"/>
                <w:lang w:val="en-CA"/>
              </w:rPr>
              <w:t>Vincenzo Salvatore Schifano v. Josnic Limited, Ronald Crisp and Ruth Crisp</w:t>
            </w:r>
            <w:r w:rsidRPr="001010B3">
              <w:rPr>
                <w:rFonts w:cs="Times New Roman"/>
                <w:sz w:val="20"/>
                <w:szCs w:val="20"/>
              </w:rPr>
              <w:t xml:space="preserve"> (Ont.) (Civil) (By Leave)</w:t>
            </w:r>
          </w:p>
          <w:p w:rsidR="001010B3" w:rsidRPr="001010B3" w:rsidRDefault="001010B3" w:rsidP="000326AA">
            <w:pPr>
              <w:rPr>
                <w:rFonts w:cs="Times New Roman"/>
                <w:sz w:val="20"/>
                <w:szCs w:val="20"/>
              </w:rPr>
            </w:pPr>
          </w:p>
        </w:tc>
      </w:tr>
      <w:tr w:rsidR="001010B3" w:rsidRPr="001010B3" w:rsidTr="000326AA">
        <w:trPr>
          <w:cantSplit/>
        </w:trPr>
        <w:tc>
          <w:tcPr>
            <w:tcW w:w="1458" w:type="dxa"/>
          </w:tcPr>
          <w:p w:rsidR="001010B3" w:rsidRPr="001010B3" w:rsidRDefault="001010B3" w:rsidP="000326AA">
            <w:pPr>
              <w:rPr>
                <w:rFonts w:cs="Times New Roman"/>
                <w:sz w:val="20"/>
                <w:szCs w:val="20"/>
              </w:rPr>
            </w:pPr>
            <w:r w:rsidRPr="001010B3">
              <w:rPr>
                <w:rFonts w:cs="Times New Roman"/>
                <w:sz w:val="20"/>
                <w:szCs w:val="20"/>
              </w:rPr>
              <w:t>Coram :</w:t>
            </w:r>
          </w:p>
        </w:tc>
        <w:tc>
          <w:tcPr>
            <w:tcW w:w="8118" w:type="dxa"/>
          </w:tcPr>
          <w:p w:rsidR="001010B3" w:rsidRPr="001010B3" w:rsidRDefault="001010B3" w:rsidP="000326AA">
            <w:pPr>
              <w:rPr>
                <w:rFonts w:cs="Times New Roman"/>
                <w:sz w:val="20"/>
                <w:szCs w:val="20"/>
              </w:rPr>
            </w:pPr>
            <w:r w:rsidRPr="001010B3">
              <w:rPr>
                <w:rStyle w:val="SCCCoramChar"/>
                <w:rFonts w:cs="Times New Roman"/>
                <w:sz w:val="20"/>
                <w:szCs w:val="20"/>
                <w:lang w:val="en-CA"/>
              </w:rPr>
              <w:t>Binnie, Abella and Rothstein JJ.</w:t>
            </w:r>
          </w:p>
          <w:p w:rsidR="001010B3" w:rsidRPr="001010B3" w:rsidRDefault="001010B3" w:rsidP="000326AA">
            <w:pPr>
              <w:rPr>
                <w:rFonts w:cs="Times New Roman"/>
                <w:sz w:val="20"/>
                <w:szCs w:val="20"/>
                <w:u w:val="single"/>
              </w:rPr>
            </w:pPr>
          </w:p>
        </w:tc>
      </w:tr>
      <w:tr w:rsidR="001010B3" w:rsidRPr="00F03CF9" w:rsidTr="000326AA">
        <w:trPr>
          <w:cantSplit/>
        </w:trPr>
        <w:tc>
          <w:tcPr>
            <w:tcW w:w="9576" w:type="dxa"/>
            <w:gridSpan w:val="2"/>
          </w:tcPr>
          <w:p w:rsidR="001010B3" w:rsidRPr="001010B3" w:rsidRDefault="001010B3" w:rsidP="000326AA">
            <w:pPr>
              <w:pStyle w:val="SCCShortJudgment"/>
              <w:rPr>
                <w:rFonts w:cs="Times New Roman"/>
                <w:szCs w:val="20"/>
              </w:rPr>
            </w:pPr>
            <w:r w:rsidRPr="001010B3">
              <w:rPr>
                <w:rFonts w:cs="Times New Roman"/>
                <w:szCs w:val="20"/>
              </w:rPr>
              <w:t>The request to hold the application for leave to appeal in abeyance is dismissed.  The application for leave to appeal from the judgment of the Court of Appeal for Ontario, Number C52571, 2010 ONCA 815, dated December 3, 2010, is dismissed with costs.  The request from the respondents for special costs award is denied.</w:t>
            </w:r>
          </w:p>
          <w:p w:rsidR="001010B3" w:rsidRPr="001010B3" w:rsidRDefault="001010B3" w:rsidP="000326AA">
            <w:pPr>
              <w:pStyle w:val="SCCShortJudgment"/>
              <w:ind w:firstLine="0"/>
              <w:rPr>
                <w:rFonts w:cs="Times New Roman"/>
                <w:szCs w:val="20"/>
              </w:rPr>
            </w:pPr>
          </w:p>
          <w:p w:rsidR="001010B3" w:rsidRPr="001010B3" w:rsidRDefault="001010B3" w:rsidP="000326AA">
            <w:pPr>
              <w:pStyle w:val="SCCShortJudgment"/>
              <w:rPr>
                <w:rFonts w:cs="Times New Roman"/>
                <w:szCs w:val="20"/>
                <w:lang w:val="fr-CA"/>
              </w:rPr>
            </w:pPr>
            <w:r w:rsidRPr="001010B3">
              <w:rPr>
                <w:rFonts w:cs="Times New Roman"/>
                <w:szCs w:val="20"/>
                <w:lang w:val="fr-CA"/>
              </w:rPr>
              <w:t>La demande visant à obtenir le report de l’examen de la demande d’autorisation d’appel est rejetée.  La demande d’autorisation d’appel de l’arrêt de la Cour d’appel de l’Ontario, numéro C52571, 2010 ONCA 815, daté du 3 décembre 2010, est rejetée avec dépens.  La demande des intimés en vue d’obtenir des dépens spéciaux est refusée.</w:t>
            </w:r>
          </w:p>
        </w:tc>
      </w:tr>
    </w:tbl>
    <w:p w:rsidR="001010B3" w:rsidRPr="001010B3" w:rsidRDefault="001010B3"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C0F79" w:rsidRPr="00FA6366" w:rsidTr="0079343E">
        <w:tc>
          <w:tcPr>
            <w:tcW w:w="5000" w:type="pct"/>
            <w:gridSpan w:val="3"/>
          </w:tcPr>
          <w:p w:rsidR="00BC0F79" w:rsidRPr="00FA6366" w:rsidRDefault="00BC0F79" w:rsidP="0079343E">
            <w:pPr>
              <w:jc w:val="both"/>
              <w:rPr>
                <w:rFonts w:eastAsia="Calibri"/>
                <w:sz w:val="20"/>
              </w:rPr>
            </w:pPr>
            <w:r w:rsidRPr="00FA6366">
              <w:rPr>
                <w:rFonts w:eastAsia="Calibri"/>
                <w:sz w:val="20"/>
              </w:rPr>
              <w:t>Judgments and orders — Summary judgment — Appeal — Whether the Court of Appeal erred in denying an appeal of a decision granting summary judgment.</w:t>
            </w:r>
          </w:p>
          <w:p w:rsidR="00BC0F79" w:rsidRPr="00FA6366" w:rsidRDefault="00BC0F79" w:rsidP="0079343E">
            <w:pPr>
              <w:jc w:val="both"/>
              <w:rPr>
                <w:rFonts w:eastAsia="Calibri"/>
                <w:sz w:val="20"/>
              </w:rPr>
            </w:pPr>
          </w:p>
        </w:tc>
      </w:tr>
      <w:tr w:rsidR="00BC0F79" w:rsidRPr="00FA6366" w:rsidTr="0079343E">
        <w:tc>
          <w:tcPr>
            <w:tcW w:w="5000" w:type="pct"/>
            <w:gridSpan w:val="3"/>
          </w:tcPr>
          <w:p w:rsidR="00BC0F79" w:rsidRPr="00FA6366" w:rsidRDefault="00BC0F79" w:rsidP="0079343E">
            <w:pPr>
              <w:jc w:val="both"/>
              <w:rPr>
                <w:rFonts w:eastAsia="Calibri"/>
                <w:sz w:val="20"/>
              </w:rPr>
            </w:pPr>
            <w:r w:rsidRPr="00FA6366">
              <w:rPr>
                <w:rFonts w:eastAsia="Calibri"/>
                <w:sz w:val="20"/>
              </w:rPr>
              <w:t>The respondents brought a motion for summary judgment in a mortgage action.  They filed an affidavit proving the mortgage, the default, and the sums paid for condo fees on behalf of Mr. Schifano, the borrower.  Mr. Schifano conceded that he owed the principle sum on the mortgage ($72,697.30), and that he had not made payments since September 2009.  He argued that he had subsequently made some payments, but conceded that the respondents had paid $4,769.17 on account of his condo fees, but disputed claimed NSF charges, saying that they had not been proven.</w:t>
            </w:r>
          </w:p>
          <w:p w:rsidR="00BC0F79" w:rsidRPr="00FA6366" w:rsidRDefault="00BC0F79" w:rsidP="0079343E">
            <w:pPr>
              <w:jc w:val="both"/>
              <w:rPr>
                <w:rFonts w:eastAsia="Calibri"/>
                <w:sz w:val="20"/>
              </w:rPr>
            </w:pPr>
          </w:p>
          <w:p w:rsidR="00BC0F79" w:rsidRPr="00FA6366" w:rsidRDefault="00BC0F79" w:rsidP="0079343E">
            <w:pPr>
              <w:jc w:val="both"/>
              <w:rPr>
                <w:rFonts w:eastAsia="Calibri"/>
                <w:sz w:val="20"/>
              </w:rPr>
            </w:pPr>
            <w:r w:rsidRPr="00FA6366">
              <w:rPr>
                <w:rFonts w:eastAsia="Calibri"/>
                <w:sz w:val="20"/>
              </w:rPr>
              <w:t>Summary judgment was granted.  Mr. Schifano was ordered to pay respondents $82,254.53 plus costs and to deliver up possession of mortgaged property; leave to issue a writ of possession granted.  The appeal was dismissed.</w:t>
            </w:r>
          </w:p>
          <w:p w:rsidR="00BC0F79" w:rsidRPr="00FA6366" w:rsidRDefault="00BC0F79" w:rsidP="0079343E">
            <w:pPr>
              <w:jc w:val="both"/>
              <w:rPr>
                <w:rFonts w:eastAsia="Calibri"/>
                <w:sz w:val="20"/>
              </w:rPr>
            </w:pP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t>July 15, 2010</w:t>
            </w:r>
          </w:p>
          <w:p w:rsidR="00BC0F79" w:rsidRPr="00FA6366" w:rsidRDefault="00BC0F79" w:rsidP="0079343E">
            <w:pPr>
              <w:jc w:val="both"/>
              <w:rPr>
                <w:rFonts w:eastAsia="Calibri"/>
                <w:sz w:val="20"/>
              </w:rPr>
            </w:pPr>
            <w:r w:rsidRPr="00FA6366">
              <w:rPr>
                <w:rFonts w:eastAsia="Calibri"/>
                <w:sz w:val="20"/>
              </w:rPr>
              <w:t>Ontario Superior Court of Justice</w:t>
            </w:r>
          </w:p>
          <w:p w:rsidR="00BC0F79" w:rsidRPr="00FA6366" w:rsidRDefault="00BC0F79" w:rsidP="0079343E">
            <w:pPr>
              <w:jc w:val="both"/>
              <w:rPr>
                <w:rFonts w:eastAsia="Calibri"/>
                <w:sz w:val="20"/>
              </w:rPr>
            </w:pPr>
            <w:r w:rsidRPr="00FA6366">
              <w:rPr>
                <w:rFonts w:eastAsia="Calibri"/>
                <w:sz w:val="20"/>
              </w:rPr>
              <w:t>(Stinson David G.)</w:t>
            </w:r>
          </w:p>
          <w:p w:rsidR="00BC0F79" w:rsidRPr="00FA6366" w:rsidRDefault="00BC0F79" w:rsidP="0079343E">
            <w:pPr>
              <w:jc w:val="both"/>
              <w:rPr>
                <w:rFonts w:eastAsia="Calibri"/>
                <w:sz w:val="20"/>
              </w:rPr>
            </w:pPr>
            <w:r w:rsidRPr="00FA6366">
              <w:rPr>
                <w:rFonts w:eastAsia="Calibri"/>
                <w:sz w:val="20"/>
              </w:rPr>
              <w:t xml:space="preserve">Neutral citation: </w:t>
            </w:r>
          </w:p>
          <w:p w:rsidR="00BC0F79" w:rsidRPr="00FA6366" w:rsidRDefault="00BC0F79" w:rsidP="0079343E">
            <w:pPr>
              <w:jc w:val="both"/>
              <w:rPr>
                <w:rFonts w:eastAsia="Calibri"/>
                <w:sz w:val="20"/>
              </w:rPr>
            </w:pP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Mr. Schifano ordered to pay respondents $82,254.53 plus costs and to deliver up possession of mortgaged property; leave to issue a writ of possession granted</w:t>
            </w: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t>December 3, 2010</w:t>
            </w:r>
          </w:p>
          <w:p w:rsidR="00BC0F79" w:rsidRPr="00FA6366" w:rsidRDefault="00BC0F79" w:rsidP="0079343E">
            <w:pPr>
              <w:jc w:val="both"/>
              <w:rPr>
                <w:rFonts w:eastAsia="Calibri"/>
                <w:sz w:val="20"/>
              </w:rPr>
            </w:pPr>
            <w:r w:rsidRPr="00FA6366">
              <w:rPr>
                <w:rFonts w:eastAsia="Calibri"/>
                <w:sz w:val="20"/>
              </w:rPr>
              <w:t>Court of Appeal for Ontario</w:t>
            </w:r>
          </w:p>
          <w:p w:rsidR="00BC0F79" w:rsidRPr="00FA6366" w:rsidRDefault="00BC0F79" w:rsidP="0079343E">
            <w:pPr>
              <w:jc w:val="both"/>
              <w:rPr>
                <w:rFonts w:eastAsia="Calibri"/>
                <w:sz w:val="20"/>
                <w:lang w:val="fr-CA"/>
              </w:rPr>
            </w:pPr>
            <w:r w:rsidRPr="00FA6366">
              <w:rPr>
                <w:rFonts w:eastAsia="Calibri"/>
                <w:sz w:val="20"/>
                <w:lang w:val="fr-CA"/>
              </w:rPr>
              <w:t>(Rosenberg, Gillese, Lang JJ.A.)</w:t>
            </w:r>
          </w:p>
          <w:p w:rsidR="00BC0F79" w:rsidRPr="00FA6366" w:rsidRDefault="00BC0F79" w:rsidP="0079343E">
            <w:pPr>
              <w:jc w:val="both"/>
              <w:rPr>
                <w:rFonts w:eastAsia="Calibri"/>
                <w:sz w:val="20"/>
              </w:rPr>
            </w:pPr>
            <w:r w:rsidRPr="00FA6366">
              <w:rPr>
                <w:rFonts w:eastAsia="Calibri"/>
                <w:sz w:val="20"/>
              </w:rPr>
              <w:t>Neutral citation: 2010 ONCA 815</w:t>
            </w:r>
          </w:p>
          <w:p w:rsidR="00BC0F79" w:rsidRPr="00FA6366" w:rsidRDefault="00BC0F79" w:rsidP="0079343E">
            <w:pPr>
              <w:jc w:val="both"/>
              <w:rPr>
                <w:rFonts w:eastAsia="Calibri"/>
                <w:sz w:val="20"/>
              </w:rPr>
            </w:pP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Appeal dismissed with costs</w:t>
            </w: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t>January 7, 2011</w:t>
            </w:r>
          </w:p>
          <w:p w:rsidR="00BC0F79" w:rsidRPr="00FA6366" w:rsidRDefault="00BC0F79" w:rsidP="0079343E">
            <w:pPr>
              <w:jc w:val="both"/>
              <w:rPr>
                <w:rFonts w:eastAsia="Calibri"/>
                <w:sz w:val="20"/>
              </w:rPr>
            </w:pPr>
            <w:r w:rsidRPr="00FA6366">
              <w:rPr>
                <w:rFonts w:eastAsia="Calibri"/>
                <w:sz w:val="20"/>
              </w:rPr>
              <w:t>Supreme Court of Canada</w:t>
            </w: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Application for leave to appeal filed</w:t>
            </w:r>
          </w:p>
          <w:p w:rsidR="00BC0F79" w:rsidRPr="00FA6366" w:rsidRDefault="00BC0F79" w:rsidP="0079343E">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42"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C0F79" w:rsidRPr="00F03CF9" w:rsidTr="0079343E">
        <w:tc>
          <w:tcPr>
            <w:tcW w:w="5000" w:type="pct"/>
            <w:gridSpan w:val="3"/>
          </w:tcPr>
          <w:p w:rsidR="00BC0F79" w:rsidRPr="00FA6366" w:rsidRDefault="00BC0F79" w:rsidP="0079343E">
            <w:pPr>
              <w:jc w:val="both"/>
              <w:rPr>
                <w:rFonts w:eastAsia="Calibri"/>
                <w:sz w:val="20"/>
                <w:lang w:val="fr-CA"/>
              </w:rPr>
            </w:pPr>
            <w:r w:rsidRPr="00FA6366">
              <w:rPr>
                <w:rFonts w:eastAsia="Calibri"/>
                <w:sz w:val="20"/>
                <w:lang w:val="fr-CA"/>
              </w:rPr>
              <w:t>Jugements et ordonnances — Jugement sommaire — Appel — La Cour d’appel a</w:t>
            </w:r>
            <w:r w:rsidRPr="00FA6366">
              <w:rPr>
                <w:rFonts w:eastAsia="Calibri"/>
                <w:sz w:val="20"/>
                <w:lang w:val="fr-CA"/>
              </w:rPr>
              <w:noBreakHyphen/>
              <w:t>t</w:t>
            </w:r>
            <w:r w:rsidRPr="00FA6366">
              <w:rPr>
                <w:rFonts w:eastAsia="Calibri"/>
                <w:sz w:val="20"/>
                <w:lang w:val="fr-CA"/>
              </w:rPr>
              <w:noBreakHyphen/>
              <w:t>elle eu tort de rejeter l’appel d’une décision accordant un jugement sommaire?</w:t>
            </w:r>
          </w:p>
          <w:p w:rsidR="00BC0F79" w:rsidRPr="00FA6366" w:rsidRDefault="00BC0F79" w:rsidP="0079343E">
            <w:pPr>
              <w:jc w:val="both"/>
              <w:rPr>
                <w:rFonts w:eastAsia="Calibri"/>
                <w:sz w:val="20"/>
                <w:lang w:val="fr-CA"/>
              </w:rPr>
            </w:pPr>
          </w:p>
        </w:tc>
      </w:tr>
      <w:tr w:rsidR="00BC0F79" w:rsidRPr="00FA6366" w:rsidTr="0079343E">
        <w:tc>
          <w:tcPr>
            <w:tcW w:w="5000" w:type="pct"/>
            <w:gridSpan w:val="3"/>
          </w:tcPr>
          <w:p w:rsidR="00BC0F79" w:rsidRPr="00FA6366" w:rsidRDefault="00BC0F79" w:rsidP="0079343E">
            <w:pPr>
              <w:jc w:val="both"/>
              <w:rPr>
                <w:rFonts w:eastAsia="Calibri"/>
                <w:sz w:val="20"/>
                <w:lang w:val="fr-CA"/>
              </w:rPr>
            </w:pPr>
            <w:r w:rsidRPr="00FA6366">
              <w:rPr>
                <w:rFonts w:eastAsia="Calibri"/>
                <w:sz w:val="20"/>
                <w:lang w:val="fr-CA"/>
              </w:rPr>
              <w:t xml:space="preserve">Les intimés ont présenté une motion en jugement sommaire dans une action hypothécaire.  Ils ont déposé un affidavit qui prouvait le prêt hypothécaire, le défaut de paiement et les sommes versées au titre des charges de copropriété au nom de M. Schifano, l’emprunteur.  Monsieur Schifano a admis qu’il devait le capital du prêt hypothécaire </w:t>
            </w:r>
            <w:r w:rsidRPr="00FA6366">
              <w:rPr>
                <w:rFonts w:eastAsia="Calibri"/>
                <w:sz w:val="20"/>
                <w:lang w:val="fr-CA"/>
              </w:rPr>
              <w:lastRenderedPageBreak/>
              <w:t>(72 697,30 $) et qu’il n’avait pas effectué de paiement depuis septembre 2009.  Il a plaidé avoir fait quelques paiements par la suite, mais a admis que les intimés avaient payé la somme de 4 769,17 $ au titre de ses charges de copropriété, tout en contestant les frais d’insuffisance de fonds, affirmant qu’ils n’avaient pas été prouvés.</w:t>
            </w:r>
          </w:p>
          <w:p w:rsidR="00BC0F79" w:rsidRPr="00FA6366" w:rsidRDefault="00BC0F79" w:rsidP="0079343E">
            <w:pPr>
              <w:jc w:val="both"/>
              <w:rPr>
                <w:rFonts w:eastAsia="Calibri"/>
                <w:sz w:val="20"/>
                <w:lang w:val="fr-CA"/>
              </w:rPr>
            </w:pPr>
          </w:p>
          <w:p w:rsidR="00BC0F79" w:rsidRPr="00FA6366" w:rsidRDefault="00BC0F79" w:rsidP="0079343E">
            <w:pPr>
              <w:jc w:val="both"/>
              <w:rPr>
                <w:rFonts w:eastAsia="Calibri"/>
                <w:sz w:val="20"/>
                <w:lang w:val="fr-CA"/>
              </w:rPr>
            </w:pPr>
            <w:r w:rsidRPr="00FA6366">
              <w:rPr>
                <w:rFonts w:eastAsia="Calibri"/>
                <w:sz w:val="20"/>
                <w:lang w:val="fr-CA"/>
              </w:rPr>
              <w:t>Le jugement sommaire a été accordé.  Monsieur Schifano a été condamné à payer aux intimés la somme de 82 254,53 $ et les frais et à les remettre en possession du bien hypothéqué; l’autorisation de délivrer un bref de possession a été accordée.  L’appel a été rejeté.</w:t>
            </w:r>
          </w:p>
          <w:p w:rsidR="00BC0F79" w:rsidRPr="00FA6366" w:rsidRDefault="00BC0F79" w:rsidP="0079343E">
            <w:pPr>
              <w:jc w:val="both"/>
              <w:rPr>
                <w:rFonts w:eastAsia="Calibri"/>
                <w:sz w:val="20"/>
                <w:lang w:val="fr-CA"/>
              </w:rPr>
            </w:pPr>
          </w:p>
        </w:tc>
      </w:tr>
      <w:tr w:rsidR="00BC0F79" w:rsidRPr="00F03CF9" w:rsidTr="0079343E">
        <w:tc>
          <w:tcPr>
            <w:tcW w:w="2427" w:type="pct"/>
          </w:tcPr>
          <w:p w:rsidR="00BC0F79" w:rsidRPr="00FA6366" w:rsidRDefault="00BC0F79" w:rsidP="0079343E">
            <w:pPr>
              <w:jc w:val="both"/>
              <w:rPr>
                <w:rFonts w:eastAsia="Calibri"/>
                <w:sz w:val="20"/>
                <w:lang w:val="fr-CA"/>
              </w:rPr>
            </w:pPr>
            <w:r w:rsidRPr="00FA6366">
              <w:rPr>
                <w:rFonts w:eastAsia="Calibri"/>
                <w:sz w:val="20"/>
                <w:lang w:val="fr-CA"/>
              </w:rPr>
              <w:lastRenderedPageBreak/>
              <w:t>15 juillet 2010</w:t>
            </w:r>
          </w:p>
          <w:p w:rsidR="00BC0F79" w:rsidRPr="00FA6366" w:rsidRDefault="00BC0F79" w:rsidP="0079343E">
            <w:pPr>
              <w:jc w:val="both"/>
              <w:rPr>
                <w:rFonts w:eastAsia="Calibri"/>
                <w:sz w:val="20"/>
                <w:lang w:val="fr-CA"/>
              </w:rPr>
            </w:pPr>
            <w:r w:rsidRPr="00FA6366">
              <w:rPr>
                <w:rFonts w:eastAsia="Calibri"/>
                <w:sz w:val="20"/>
                <w:lang w:val="fr-CA"/>
              </w:rPr>
              <w:t xml:space="preserve">Cour supérieure de justice de l’Ontario </w:t>
            </w:r>
          </w:p>
          <w:p w:rsidR="00BC0F79" w:rsidRPr="00FA6366" w:rsidRDefault="00BC0F79" w:rsidP="0079343E">
            <w:pPr>
              <w:jc w:val="both"/>
              <w:rPr>
                <w:rFonts w:eastAsia="Calibri"/>
                <w:sz w:val="20"/>
                <w:lang w:val="fr-CA"/>
              </w:rPr>
            </w:pPr>
            <w:r w:rsidRPr="00FA6366">
              <w:rPr>
                <w:rFonts w:eastAsia="Calibri"/>
                <w:sz w:val="20"/>
                <w:lang w:val="fr-CA"/>
              </w:rPr>
              <w:t>(Juge Stinson)</w:t>
            </w:r>
          </w:p>
          <w:p w:rsidR="00BC0F79" w:rsidRPr="00FA6366" w:rsidRDefault="00BC0F79" w:rsidP="0079343E">
            <w:pPr>
              <w:jc w:val="both"/>
              <w:rPr>
                <w:rFonts w:eastAsia="Calibri"/>
                <w:sz w:val="20"/>
                <w:lang w:val="fr-CA"/>
              </w:rPr>
            </w:pPr>
            <w:r w:rsidRPr="00FA6366">
              <w:rPr>
                <w:rFonts w:eastAsia="Calibri"/>
                <w:sz w:val="20"/>
                <w:lang w:val="fr-CA"/>
              </w:rPr>
              <w:t xml:space="preserve">Référence neutre : </w:t>
            </w:r>
          </w:p>
          <w:p w:rsidR="00BC0F79" w:rsidRPr="00FA6366" w:rsidRDefault="00BC0F79" w:rsidP="0079343E">
            <w:pPr>
              <w:jc w:val="both"/>
              <w:rPr>
                <w:rFonts w:eastAsia="Calibri"/>
                <w:sz w:val="20"/>
                <w:lang w:val="fr-CA"/>
              </w:rPr>
            </w:pP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Monsieur Schifano est condamné à payer aux intimés la somme de 82 254,53 $ et les frais et à les remettre en possession du bien hypothéqué; autorisation de délivrer un bref de possession, accordée</w:t>
            </w:r>
          </w:p>
        </w:tc>
      </w:tr>
      <w:tr w:rsidR="00BC0F79" w:rsidRPr="00FA6366" w:rsidTr="0079343E">
        <w:tc>
          <w:tcPr>
            <w:tcW w:w="2427" w:type="pct"/>
          </w:tcPr>
          <w:p w:rsidR="00BC0F79" w:rsidRPr="00FA6366" w:rsidRDefault="00BC0F79" w:rsidP="0079343E">
            <w:pPr>
              <w:jc w:val="both"/>
              <w:rPr>
                <w:rFonts w:eastAsia="Calibri"/>
                <w:sz w:val="20"/>
                <w:lang w:val="fr-CA"/>
              </w:rPr>
            </w:pPr>
            <w:r w:rsidRPr="00FA6366">
              <w:rPr>
                <w:rFonts w:eastAsia="Calibri"/>
                <w:sz w:val="20"/>
                <w:lang w:val="fr-CA"/>
              </w:rPr>
              <w:t>3 décembre 2010</w:t>
            </w:r>
          </w:p>
          <w:p w:rsidR="00BC0F79" w:rsidRPr="00FA6366" w:rsidRDefault="00BC0F79" w:rsidP="0079343E">
            <w:pPr>
              <w:jc w:val="both"/>
              <w:rPr>
                <w:rFonts w:eastAsia="Calibri"/>
                <w:sz w:val="20"/>
                <w:lang w:val="fr-CA"/>
              </w:rPr>
            </w:pPr>
            <w:r w:rsidRPr="00FA6366">
              <w:rPr>
                <w:rFonts w:eastAsia="Calibri"/>
                <w:sz w:val="20"/>
                <w:lang w:val="fr-CA"/>
              </w:rPr>
              <w:t xml:space="preserve">Cour d’appel de l’Ontario </w:t>
            </w:r>
          </w:p>
          <w:p w:rsidR="00BC0F79" w:rsidRPr="00FA6366" w:rsidRDefault="00BC0F79" w:rsidP="0079343E">
            <w:pPr>
              <w:jc w:val="both"/>
              <w:rPr>
                <w:rFonts w:eastAsia="Calibri"/>
                <w:sz w:val="20"/>
                <w:lang w:val="fr-CA"/>
              </w:rPr>
            </w:pPr>
            <w:r w:rsidRPr="00FA6366">
              <w:rPr>
                <w:rFonts w:eastAsia="Calibri"/>
                <w:sz w:val="20"/>
                <w:lang w:val="fr-CA"/>
              </w:rPr>
              <w:t>(Juges Rosenberg, Gillese et Lang)</w:t>
            </w:r>
          </w:p>
          <w:p w:rsidR="00BC0F79" w:rsidRPr="00FA6366" w:rsidRDefault="00BC0F79" w:rsidP="0079343E">
            <w:pPr>
              <w:jc w:val="both"/>
              <w:rPr>
                <w:rFonts w:eastAsia="Calibri"/>
                <w:sz w:val="20"/>
                <w:lang w:val="fr-CA"/>
              </w:rPr>
            </w:pPr>
            <w:r w:rsidRPr="00FA6366">
              <w:rPr>
                <w:rFonts w:eastAsia="Calibri"/>
                <w:sz w:val="20"/>
                <w:lang w:val="fr-CA"/>
              </w:rPr>
              <w:t>Référence neutre : 2010 ONCA 815</w:t>
            </w:r>
          </w:p>
          <w:p w:rsidR="00BC0F79" w:rsidRPr="00FA6366" w:rsidRDefault="00BC0F79" w:rsidP="0079343E">
            <w:pPr>
              <w:jc w:val="both"/>
              <w:rPr>
                <w:rFonts w:eastAsia="Calibri"/>
                <w:sz w:val="20"/>
                <w:lang w:val="fr-CA"/>
              </w:rPr>
            </w:pP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Appel rejeté avec dépens</w:t>
            </w:r>
          </w:p>
        </w:tc>
      </w:tr>
      <w:tr w:rsidR="00BC0F79" w:rsidRPr="00FA6366" w:rsidTr="0079343E">
        <w:tc>
          <w:tcPr>
            <w:tcW w:w="2427" w:type="pct"/>
          </w:tcPr>
          <w:p w:rsidR="00BC0F79" w:rsidRPr="00FA6366" w:rsidRDefault="00BC0F79" w:rsidP="0079343E">
            <w:pPr>
              <w:jc w:val="both"/>
              <w:rPr>
                <w:rFonts w:eastAsia="Calibri"/>
                <w:sz w:val="20"/>
                <w:lang w:val="fr-CA"/>
              </w:rPr>
            </w:pPr>
            <w:r w:rsidRPr="00FA6366">
              <w:rPr>
                <w:rFonts w:eastAsia="Calibri"/>
                <w:sz w:val="20"/>
                <w:lang w:val="fr-CA"/>
              </w:rPr>
              <w:t>7 janvier 2011</w:t>
            </w:r>
          </w:p>
          <w:p w:rsidR="00BC0F79" w:rsidRPr="00FA6366" w:rsidRDefault="00BC0F79" w:rsidP="0079343E">
            <w:pPr>
              <w:jc w:val="both"/>
              <w:rPr>
                <w:rFonts w:eastAsia="Calibri"/>
                <w:sz w:val="20"/>
                <w:lang w:val="fr-CA"/>
              </w:rPr>
            </w:pPr>
            <w:r w:rsidRPr="00FA6366">
              <w:rPr>
                <w:rFonts w:eastAsia="Calibri"/>
                <w:sz w:val="20"/>
                <w:lang w:val="fr-CA"/>
              </w:rPr>
              <w:t>Cour suprême du Canada</w:t>
            </w: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Demande d’autorisation d’appel, déposée</w:t>
            </w:r>
          </w:p>
          <w:p w:rsidR="00BC0F79" w:rsidRPr="00FA6366" w:rsidRDefault="00BC0F79" w:rsidP="0079343E">
            <w:pPr>
              <w:jc w:val="both"/>
              <w:rPr>
                <w:rFonts w:eastAsia="Calibri"/>
                <w:sz w:val="20"/>
                <w:lang w:val="fr-CA"/>
              </w:rPr>
            </w:pP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43"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40689" w:rsidRPr="00F03CF9" w:rsidTr="000326AA">
        <w:trPr>
          <w:cantSplit/>
        </w:trPr>
        <w:tc>
          <w:tcPr>
            <w:tcW w:w="1458" w:type="dxa"/>
          </w:tcPr>
          <w:p w:rsidR="00E40689" w:rsidRPr="00E40689" w:rsidRDefault="00E40689" w:rsidP="000326AA">
            <w:pPr>
              <w:rPr>
                <w:rFonts w:cs="Times New Roman"/>
                <w:sz w:val="20"/>
                <w:szCs w:val="20"/>
              </w:rPr>
            </w:pPr>
            <w:r w:rsidRPr="00E40689">
              <w:rPr>
                <w:rStyle w:val="SCCFileNumberChar"/>
                <w:rFonts w:cs="Times New Roman"/>
                <w:sz w:val="20"/>
                <w:szCs w:val="20"/>
              </w:rPr>
              <w:t>34101</w:t>
            </w:r>
          </w:p>
          <w:p w:rsidR="00E40689" w:rsidRPr="00E40689" w:rsidRDefault="00E40689" w:rsidP="000326AA">
            <w:pPr>
              <w:rPr>
                <w:rFonts w:cs="Times New Roman"/>
                <w:b/>
                <w:sz w:val="20"/>
                <w:szCs w:val="20"/>
                <w:lang w:val="fr-CA"/>
              </w:rPr>
            </w:pPr>
          </w:p>
        </w:tc>
        <w:tc>
          <w:tcPr>
            <w:tcW w:w="8118" w:type="dxa"/>
          </w:tcPr>
          <w:p w:rsidR="00E40689" w:rsidRPr="00E40689" w:rsidRDefault="00E40689" w:rsidP="00E40689">
            <w:pPr>
              <w:jc w:val="both"/>
              <w:rPr>
                <w:rFonts w:cs="Times New Roman"/>
                <w:sz w:val="20"/>
                <w:szCs w:val="20"/>
                <w:lang w:val="fr-CA"/>
              </w:rPr>
            </w:pPr>
            <w:r w:rsidRPr="00E40689">
              <w:rPr>
                <w:rStyle w:val="SCCLsocChar"/>
                <w:rFonts w:cs="Times New Roman"/>
                <w:sz w:val="20"/>
                <w:szCs w:val="20"/>
              </w:rPr>
              <w:t>Nicolas Morin</w:t>
            </w:r>
            <w:r>
              <w:rPr>
                <w:rStyle w:val="SCCLsocChar"/>
                <w:rFonts w:cs="Times New Roman"/>
                <w:sz w:val="20"/>
                <w:szCs w:val="20"/>
              </w:rPr>
              <w:t xml:space="preserve"> et</w:t>
            </w:r>
            <w:r w:rsidRPr="00E40689">
              <w:rPr>
                <w:rStyle w:val="SCCLsocChar"/>
                <w:rFonts w:cs="Times New Roman"/>
                <w:sz w:val="20"/>
                <w:szCs w:val="20"/>
              </w:rPr>
              <w:t xml:space="preserve"> Jean-David Ouellet c. Claude Simard, ès qualités de Commissaire à la déontologie policière</w:t>
            </w:r>
            <w:r w:rsidRPr="00E40689">
              <w:rPr>
                <w:rFonts w:cs="Times New Roman"/>
                <w:sz w:val="20"/>
                <w:szCs w:val="20"/>
                <w:lang w:val="fr-CA"/>
              </w:rPr>
              <w:t xml:space="preserve"> (Qc) (Civile) (Autorisation)</w:t>
            </w:r>
          </w:p>
          <w:p w:rsidR="00E40689" w:rsidRPr="00E40689" w:rsidRDefault="00E40689" w:rsidP="000326AA">
            <w:pPr>
              <w:rPr>
                <w:rFonts w:cs="Times New Roman"/>
                <w:sz w:val="20"/>
                <w:szCs w:val="20"/>
                <w:lang w:val="fr-CA"/>
              </w:rPr>
            </w:pPr>
          </w:p>
        </w:tc>
      </w:tr>
      <w:tr w:rsidR="00E40689" w:rsidRPr="00F03CF9" w:rsidTr="000326AA">
        <w:trPr>
          <w:cantSplit/>
        </w:trPr>
        <w:tc>
          <w:tcPr>
            <w:tcW w:w="1458" w:type="dxa"/>
          </w:tcPr>
          <w:p w:rsidR="00E40689" w:rsidRPr="00E40689" w:rsidRDefault="00E40689" w:rsidP="000326AA">
            <w:pPr>
              <w:rPr>
                <w:rFonts w:cs="Times New Roman"/>
                <w:sz w:val="20"/>
                <w:szCs w:val="20"/>
              </w:rPr>
            </w:pPr>
            <w:r w:rsidRPr="00E40689">
              <w:rPr>
                <w:rFonts w:cs="Times New Roman"/>
                <w:sz w:val="20"/>
                <w:szCs w:val="20"/>
              </w:rPr>
              <w:t>Coram :</w:t>
            </w:r>
          </w:p>
        </w:tc>
        <w:tc>
          <w:tcPr>
            <w:tcW w:w="8118" w:type="dxa"/>
          </w:tcPr>
          <w:p w:rsidR="00E40689" w:rsidRPr="00E40689" w:rsidRDefault="00E40689" w:rsidP="000326AA">
            <w:pPr>
              <w:rPr>
                <w:rFonts w:cs="Times New Roman"/>
                <w:sz w:val="20"/>
                <w:szCs w:val="20"/>
                <w:lang w:val="fr-CA"/>
              </w:rPr>
            </w:pPr>
            <w:r w:rsidRPr="00E40689">
              <w:rPr>
                <w:rStyle w:val="SCCCoramChar"/>
                <w:rFonts w:cs="Times New Roman"/>
                <w:sz w:val="20"/>
                <w:szCs w:val="20"/>
              </w:rPr>
              <w:t>Les juges LeBel, Fish et Cromwell</w:t>
            </w:r>
          </w:p>
          <w:p w:rsidR="00E40689" w:rsidRPr="00E40689" w:rsidRDefault="00E40689" w:rsidP="000326AA">
            <w:pPr>
              <w:rPr>
                <w:rFonts w:cs="Times New Roman"/>
                <w:sz w:val="20"/>
                <w:szCs w:val="20"/>
                <w:u w:val="single"/>
                <w:lang w:val="fr-CA"/>
              </w:rPr>
            </w:pPr>
          </w:p>
        </w:tc>
      </w:tr>
      <w:tr w:rsidR="00E40689" w:rsidRPr="00E40689" w:rsidTr="000326AA">
        <w:trPr>
          <w:cantSplit/>
        </w:trPr>
        <w:tc>
          <w:tcPr>
            <w:tcW w:w="9576" w:type="dxa"/>
            <w:gridSpan w:val="2"/>
          </w:tcPr>
          <w:p w:rsidR="00E40689" w:rsidRPr="00E40689" w:rsidRDefault="00E40689" w:rsidP="000326AA">
            <w:pPr>
              <w:pStyle w:val="SCCShortJudgment"/>
              <w:rPr>
                <w:rFonts w:cs="Times New Roman"/>
                <w:szCs w:val="20"/>
                <w:lang w:val="fr-CA"/>
              </w:rPr>
            </w:pPr>
            <w:r w:rsidRPr="00E40689">
              <w:rPr>
                <w:rFonts w:cs="Times New Roman"/>
                <w:szCs w:val="20"/>
                <w:lang w:val="fr-CA"/>
              </w:rPr>
              <w:t>La demande d’autorisation d’appel de l’arrêt de la Cour d’appel du Québec (Montréal), numéro 500-09-019328-095, 2010 QCCA 2302, daté du 14 décembre 2010, est rejetée avec dépens.</w:t>
            </w:r>
          </w:p>
          <w:p w:rsidR="00E40689" w:rsidRPr="00E40689" w:rsidRDefault="00E40689" w:rsidP="000326AA">
            <w:pPr>
              <w:pStyle w:val="SCCShortJudgment"/>
              <w:ind w:firstLine="0"/>
              <w:rPr>
                <w:rFonts w:cs="Times New Roman"/>
                <w:szCs w:val="20"/>
                <w:lang w:val="fr-CA"/>
              </w:rPr>
            </w:pPr>
          </w:p>
          <w:p w:rsidR="00E40689" w:rsidRPr="00E40689" w:rsidRDefault="00E40689" w:rsidP="000326AA">
            <w:pPr>
              <w:pStyle w:val="SCCShortJudgment"/>
              <w:rPr>
                <w:rFonts w:cs="Times New Roman"/>
                <w:szCs w:val="20"/>
              </w:rPr>
            </w:pPr>
            <w:r w:rsidRPr="00E40689">
              <w:rPr>
                <w:rFonts w:cs="Times New Roman"/>
                <w:szCs w:val="20"/>
              </w:rPr>
              <w:t>The application for leave to appeal from the judgment of the Court of Appeal of Quebec (Montréal), Number 500-09-019328-095, 2010 QCCA 2302, dated December 14, 2010, is dismissed with costs.</w:t>
            </w:r>
          </w:p>
        </w:tc>
      </w:tr>
    </w:tbl>
    <w:p w:rsidR="00E40689" w:rsidRDefault="00E40689" w:rsidP="00D73FFD">
      <w:pPr>
        <w:rPr>
          <w:sz w:val="20"/>
          <w:szCs w:val="20"/>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C0F79" w:rsidRPr="00FA6366" w:rsidTr="0079343E">
        <w:tc>
          <w:tcPr>
            <w:tcW w:w="5000" w:type="pct"/>
            <w:gridSpan w:val="3"/>
          </w:tcPr>
          <w:p w:rsidR="00BC0F79" w:rsidRPr="00FA6366" w:rsidRDefault="00BC0F79" w:rsidP="0079343E">
            <w:pPr>
              <w:jc w:val="both"/>
              <w:rPr>
                <w:rFonts w:eastAsia="Calibri"/>
                <w:sz w:val="20"/>
              </w:rPr>
            </w:pPr>
            <w:r w:rsidRPr="00FA6366">
              <w:rPr>
                <w:rFonts w:eastAsia="Calibri"/>
                <w:sz w:val="20"/>
              </w:rPr>
              <w:t>Administrative law — Standard of review — Law of professions — Discipline — Aggressive police action against passerby wrongly suspected of complicity in theft — Comité de déontologie preferring version given by complainant and witnesses to version given by police officers — Findings of fact reversed on appeal — Decision judicially reviewed — Whether Court of Appeal improperly determined standard of review applicable at each level of judicial intervention.</w:t>
            </w:r>
          </w:p>
          <w:p w:rsidR="00BC0F79" w:rsidRPr="00FA6366" w:rsidRDefault="00BC0F79" w:rsidP="0079343E">
            <w:pPr>
              <w:jc w:val="both"/>
              <w:rPr>
                <w:rFonts w:eastAsia="Calibri"/>
                <w:sz w:val="20"/>
              </w:rPr>
            </w:pPr>
          </w:p>
        </w:tc>
      </w:tr>
      <w:tr w:rsidR="00BC0F79" w:rsidRPr="00FA6366" w:rsidTr="0079343E">
        <w:tc>
          <w:tcPr>
            <w:tcW w:w="5000" w:type="pct"/>
            <w:gridSpan w:val="3"/>
          </w:tcPr>
          <w:p w:rsidR="00BC0F79" w:rsidRPr="00FA6366" w:rsidRDefault="00BC0F79" w:rsidP="0079343E">
            <w:pPr>
              <w:jc w:val="both"/>
              <w:rPr>
                <w:rFonts w:eastAsia="Calibri"/>
                <w:sz w:val="20"/>
              </w:rPr>
            </w:pPr>
            <w:r w:rsidRPr="00FA6366">
              <w:rPr>
                <w:rFonts w:eastAsia="Calibri"/>
                <w:sz w:val="20"/>
              </w:rPr>
              <w:t>Police officers Morin and Ouellet were called to a Montréal bar during the night of May 17, 2004.  They spotted a suspect on the street as he was approaching a group of young people to ask for a light.  They quickly arrested the suspect and then prepared to search the young people, thinking that they were accomplices to a theft.  The complainant was one of the young people. He stated that he was a police technology student and tried to find out the reason for the police officers’ action.  Officer Morin grabbed him, pulled him into the street and choked him with his arm until he lost consciousness.  The complainant was taken to the police station, where the police officers came to see him and offered not to lay charges against him if he would let the incident drop.  The complainant refused and was charged with obstructing the police officers and assault.</w:t>
            </w:r>
          </w:p>
          <w:p w:rsidR="00BC0F79" w:rsidRPr="00FA6366" w:rsidRDefault="00BC0F79" w:rsidP="0079343E">
            <w:pPr>
              <w:jc w:val="both"/>
              <w:rPr>
                <w:rFonts w:eastAsia="Calibri"/>
                <w:sz w:val="20"/>
              </w:rPr>
            </w:pPr>
          </w:p>
        </w:tc>
      </w:tr>
      <w:tr w:rsidR="00BC0F79" w:rsidRPr="00FA6366" w:rsidTr="0079343E">
        <w:tc>
          <w:tcPr>
            <w:tcW w:w="2427" w:type="pct"/>
          </w:tcPr>
          <w:p w:rsidR="00BC0F79" w:rsidRPr="00FA6366" w:rsidRDefault="00BC0F79" w:rsidP="0079343E">
            <w:pPr>
              <w:jc w:val="both"/>
              <w:rPr>
                <w:rFonts w:eastAsia="Calibri"/>
                <w:sz w:val="20"/>
                <w:lang w:val="fr-CA"/>
              </w:rPr>
            </w:pPr>
            <w:r w:rsidRPr="00FA6366">
              <w:rPr>
                <w:rFonts w:eastAsia="Calibri"/>
                <w:sz w:val="20"/>
                <w:lang w:val="fr-CA"/>
              </w:rPr>
              <w:lastRenderedPageBreak/>
              <w:t>February 1, 2007</w:t>
            </w:r>
          </w:p>
          <w:p w:rsidR="00BC0F79" w:rsidRPr="00FA6366" w:rsidRDefault="00BC0F79" w:rsidP="0079343E">
            <w:pPr>
              <w:jc w:val="both"/>
              <w:rPr>
                <w:rFonts w:eastAsia="Calibri"/>
                <w:sz w:val="20"/>
                <w:lang w:val="fr-CA"/>
              </w:rPr>
            </w:pPr>
            <w:r w:rsidRPr="00FA6366">
              <w:rPr>
                <w:rFonts w:eastAsia="Calibri"/>
                <w:sz w:val="20"/>
                <w:lang w:val="fr-CA"/>
              </w:rPr>
              <w:t>Comité de déontologie policière</w:t>
            </w:r>
          </w:p>
          <w:p w:rsidR="00BC0F79" w:rsidRPr="00FA6366" w:rsidRDefault="00BC0F79" w:rsidP="0079343E">
            <w:pPr>
              <w:jc w:val="both"/>
              <w:rPr>
                <w:rFonts w:eastAsia="Calibri"/>
                <w:sz w:val="20"/>
                <w:lang w:val="fr-CA"/>
              </w:rPr>
            </w:pPr>
            <w:r w:rsidRPr="00FA6366">
              <w:rPr>
                <w:rFonts w:eastAsia="Calibri"/>
                <w:sz w:val="20"/>
                <w:lang w:val="fr-CA"/>
              </w:rPr>
              <w:t>(Ms. Cohen, Chairperson)</w:t>
            </w:r>
          </w:p>
          <w:p w:rsidR="00BC0F79" w:rsidRPr="00FA6366" w:rsidRDefault="00BC0F79" w:rsidP="0079343E">
            <w:pPr>
              <w:jc w:val="both"/>
              <w:rPr>
                <w:rFonts w:eastAsia="Calibri"/>
                <w:sz w:val="20"/>
                <w:lang w:val="fr-CA"/>
              </w:rPr>
            </w:pP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rPr>
            </w:pPr>
            <w:r w:rsidRPr="00FA6366">
              <w:rPr>
                <w:rFonts w:eastAsia="Calibri"/>
                <w:sz w:val="20"/>
              </w:rPr>
              <w:t>Police Ethics Commissioner’s complaint allowed; applicants found guilty of using too much force, being disrespectful towards complainant and knowingly bringing false charges against complainant</w:t>
            </w:r>
          </w:p>
          <w:p w:rsidR="00BC0F79" w:rsidRPr="00FA6366" w:rsidRDefault="00BC0F79" w:rsidP="0079343E">
            <w:pPr>
              <w:jc w:val="both"/>
              <w:rPr>
                <w:rFonts w:eastAsia="Calibri"/>
                <w:sz w:val="20"/>
              </w:rPr>
            </w:pP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t>May 7, 2008</w:t>
            </w:r>
          </w:p>
          <w:p w:rsidR="00BC0F79" w:rsidRPr="00FA6366" w:rsidRDefault="00BC0F79" w:rsidP="0079343E">
            <w:pPr>
              <w:jc w:val="both"/>
              <w:rPr>
                <w:rFonts w:eastAsia="Calibri"/>
                <w:sz w:val="20"/>
              </w:rPr>
            </w:pPr>
            <w:r w:rsidRPr="00FA6366">
              <w:rPr>
                <w:rFonts w:eastAsia="Calibri"/>
                <w:sz w:val="20"/>
              </w:rPr>
              <w:t xml:space="preserve">Court of Québec </w:t>
            </w:r>
          </w:p>
          <w:p w:rsidR="00BC0F79" w:rsidRPr="00FA6366" w:rsidRDefault="00BC0F79" w:rsidP="0079343E">
            <w:pPr>
              <w:jc w:val="both"/>
              <w:rPr>
                <w:rFonts w:eastAsia="Calibri"/>
                <w:sz w:val="20"/>
              </w:rPr>
            </w:pPr>
            <w:r w:rsidRPr="00FA6366">
              <w:rPr>
                <w:rFonts w:eastAsia="Calibri"/>
                <w:sz w:val="20"/>
              </w:rPr>
              <w:t>(Judge Paquet)</w:t>
            </w:r>
          </w:p>
          <w:p w:rsidR="00BC0F79" w:rsidRPr="00FA6366" w:rsidRDefault="00BC0F79" w:rsidP="0079343E">
            <w:pPr>
              <w:jc w:val="both"/>
              <w:rPr>
                <w:rFonts w:eastAsia="Calibri"/>
                <w:sz w:val="20"/>
              </w:rPr>
            </w:pPr>
            <w:r w:rsidRPr="00FA6366">
              <w:rPr>
                <w:rFonts w:eastAsia="Calibri"/>
                <w:sz w:val="20"/>
              </w:rPr>
              <w:t>Neutral citation: 2008 QCCQ 4160</w:t>
            </w:r>
          </w:p>
          <w:p w:rsidR="00BC0F79" w:rsidRPr="00FA6366" w:rsidRDefault="00BC0F79" w:rsidP="0079343E">
            <w:pPr>
              <w:jc w:val="both"/>
              <w:rPr>
                <w:rFonts w:eastAsia="Calibri"/>
                <w:sz w:val="20"/>
              </w:rPr>
            </w:pP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Applicants’ appeal allowed; convictions set aside</w:t>
            </w: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t>December 17, 2008</w:t>
            </w:r>
          </w:p>
          <w:p w:rsidR="00BC0F79" w:rsidRPr="00FA6366" w:rsidRDefault="00BC0F79" w:rsidP="0079343E">
            <w:pPr>
              <w:jc w:val="both"/>
              <w:rPr>
                <w:rFonts w:eastAsia="Calibri"/>
                <w:sz w:val="20"/>
              </w:rPr>
            </w:pPr>
            <w:r w:rsidRPr="00FA6366">
              <w:rPr>
                <w:rFonts w:eastAsia="Calibri"/>
                <w:sz w:val="20"/>
              </w:rPr>
              <w:t>Quebec Superior Court</w:t>
            </w:r>
          </w:p>
          <w:p w:rsidR="00BC0F79" w:rsidRPr="00FA6366" w:rsidRDefault="00BC0F79" w:rsidP="0079343E">
            <w:pPr>
              <w:jc w:val="both"/>
              <w:rPr>
                <w:rFonts w:eastAsia="Calibri"/>
                <w:sz w:val="20"/>
              </w:rPr>
            </w:pPr>
            <w:r w:rsidRPr="00FA6366">
              <w:rPr>
                <w:rFonts w:eastAsia="Calibri"/>
                <w:sz w:val="20"/>
              </w:rPr>
              <w:t>(Downs J.)</w:t>
            </w:r>
          </w:p>
          <w:p w:rsidR="00BC0F79" w:rsidRPr="00FA6366" w:rsidRDefault="00BC0F79" w:rsidP="0079343E">
            <w:pPr>
              <w:jc w:val="both"/>
              <w:rPr>
                <w:rFonts w:eastAsia="Calibri"/>
                <w:sz w:val="20"/>
              </w:rPr>
            </w:pPr>
            <w:r w:rsidRPr="00FA6366">
              <w:rPr>
                <w:rFonts w:eastAsia="Calibri"/>
                <w:sz w:val="20"/>
              </w:rPr>
              <w:t>Neutral citation: 2008 QCCS 6024</w:t>
            </w:r>
          </w:p>
          <w:p w:rsidR="00BC0F79" w:rsidRPr="00FA6366" w:rsidRDefault="00BC0F79" w:rsidP="0079343E">
            <w:pPr>
              <w:jc w:val="both"/>
              <w:rPr>
                <w:rFonts w:eastAsia="Calibri"/>
                <w:sz w:val="20"/>
              </w:rPr>
            </w:pP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Convictions restored on judicial review</w:t>
            </w: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t>December 14, 2010</w:t>
            </w:r>
          </w:p>
          <w:p w:rsidR="00BC0F79" w:rsidRPr="00FA6366" w:rsidRDefault="00BC0F79" w:rsidP="0079343E">
            <w:pPr>
              <w:jc w:val="both"/>
              <w:rPr>
                <w:rFonts w:eastAsia="Calibri"/>
                <w:sz w:val="20"/>
              </w:rPr>
            </w:pPr>
            <w:r w:rsidRPr="00FA6366">
              <w:rPr>
                <w:rFonts w:eastAsia="Calibri"/>
                <w:sz w:val="20"/>
              </w:rPr>
              <w:t>Quebec Court of Appeal (Montréal)</w:t>
            </w:r>
          </w:p>
          <w:p w:rsidR="00BC0F79" w:rsidRPr="00FA6366" w:rsidRDefault="00BC0F79" w:rsidP="0079343E">
            <w:pPr>
              <w:jc w:val="both"/>
              <w:rPr>
                <w:rFonts w:eastAsia="Calibri"/>
                <w:sz w:val="20"/>
              </w:rPr>
            </w:pPr>
            <w:r w:rsidRPr="00FA6366">
              <w:rPr>
                <w:rFonts w:eastAsia="Calibri"/>
                <w:sz w:val="20"/>
              </w:rPr>
              <w:t>(Brossard, Léger and Bouchard JJ.A.)</w:t>
            </w:r>
          </w:p>
          <w:p w:rsidR="00BC0F79" w:rsidRPr="00FA6366" w:rsidRDefault="00BC0F79" w:rsidP="0079343E">
            <w:pPr>
              <w:jc w:val="both"/>
              <w:rPr>
                <w:rFonts w:eastAsia="Calibri"/>
                <w:sz w:val="20"/>
              </w:rPr>
            </w:pPr>
            <w:r w:rsidRPr="00FA6366">
              <w:rPr>
                <w:rFonts w:eastAsia="Calibri"/>
                <w:sz w:val="20"/>
              </w:rPr>
              <w:t>Neutral citation: 2010 QCCA 2302</w:t>
            </w:r>
          </w:p>
          <w:p w:rsidR="00BC0F79" w:rsidRPr="00FA6366" w:rsidRDefault="00BC0F79" w:rsidP="0079343E">
            <w:pPr>
              <w:jc w:val="both"/>
              <w:rPr>
                <w:rFonts w:eastAsia="Calibri"/>
                <w:sz w:val="20"/>
              </w:rPr>
            </w:pP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Applicants’ appeal dismissed except as regards determination of disciplinary sanction; matter remitted to Court of Québec to dispose of appeal on sanction</w:t>
            </w:r>
          </w:p>
        </w:tc>
      </w:tr>
      <w:tr w:rsidR="00BC0F79" w:rsidRPr="00FA6366" w:rsidTr="0079343E">
        <w:tc>
          <w:tcPr>
            <w:tcW w:w="2427" w:type="pct"/>
          </w:tcPr>
          <w:p w:rsidR="00BC0F79" w:rsidRPr="00FA6366" w:rsidRDefault="00BC0F79" w:rsidP="0079343E">
            <w:pPr>
              <w:jc w:val="both"/>
              <w:rPr>
                <w:rFonts w:eastAsia="Calibri"/>
                <w:sz w:val="20"/>
              </w:rPr>
            </w:pPr>
            <w:r w:rsidRPr="00FA6366">
              <w:rPr>
                <w:rFonts w:eastAsia="Calibri"/>
                <w:sz w:val="20"/>
              </w:rPr>
              <w:t>February 14, 2011</w:t>
            </w:r>
          </w:p>
          <w:p w:rsidR="00BC0F79" w:rsidRPr="00FA6366" w:rsidRDefault="00BC0F79" w:rsidP="0079343E">
            <w:pPr>
              <w:jc w:val="both"/>
              <w:rPr>
                <w:rFonts w:eastAsia="Calibri"/>
                <w:sz w:val="20"/>
              </w:rPr>
            </w:pPr>
            <w:r w:rsidRPr="00FA6366">
              <w:rPr>
                <w:rFonts w:eastAsia="Calibri"/>
                <w:sz w:val="20"/>
              </w:rPr>
              <w:t>Supreme Court of Canada</w:t>
            </w:r>
          </w:p>
        </w:tc>
        <w:tc>
          <w:tcPr>
            <w:tcW w:w="243" w:type="pct"/>
          </w:tcPr>
          <w:p w:rsidR="00BC0F79" w:rsidRPr="00FA6366" w:rsidRDefault="00BC0F79" w:rsidP="0079343E">
            <w:pPr>
              <w:jc w:val="both"/>
              <w:rPr>
                <w:rFonts w:eastAsia="Calibri"/>
                <w:sz w:val="20"/>
              </w:rPr>
            </w:pPr>
          </w:p>
        </w:tc>
        <w:tc>
          <w:tcPr>
            <w:tcW w:w="2330" w:type="pct"/>
          </w:tcPr>
          <w:p w:rsidR="00BC0F79" w:rsidRPr="00FA6366" w:rsidRDefault="00BC0F79" w:rsidP="0079343E">
            <w:pPr>
              <w:jc w:val="both"/>
              <w:rPr>
                <w:rFonts w:eastAsia="Calibri"/>
                <w:sz w:val="20"/>
              </w:rPr>
            </w:pPr>
            <w:r w:rsidRPr="00FA6366">
              <w:rPr>
                <w:rFonts w:eastAsia="Calibri"/>
                <w:sz w:val="20"/>
              </w:rPr>
              <w:t>Application for leave to appeal filed</w:t>
            </w:r>
          </w:p>
          <w:p w:rsidR="00BC0F79" w:rsidRPr="00FA6366" w:rsidRDefault="00BC0F79" w:rsidP="0079343E">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44"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C0F79" w:rsidRPr="00F03CF9" w:rsidTr="0079343E">
        <w:tc>
          <w:tcPr>
            <w:tcW w:w="5000" w:type="pct"/>
            <w:gridSpan w:val="3"/>
          </w:tcPr>
          <w:p w:rsidR="00BC0F79" w:rsidRPr="00FA6366" w:rsidRDefault="00BC0F79" w:rsidP="0079343E">
            <w:pPr>
              <w:jc w:val="both"/>
              <w:rPr>
                <w:rFonts w:eastAsia="Calibri"/>
                <w:sz w:val="20"/>
                <w:lang w:val="fr-CA"/>
              </w:rPr>
            </w:pPr>
            <w:r w:rsidRPr="00FA6366">
              <w:rPr>
                <w:rFonts w:eastAsia="Calibri"/>
                <w:sz w:val="20"/>
                <w:lang w:val="fr-CA"/>
              </w:rPr>
              <w:t>Droit administratif — Norme de contrôle — Droit des professions — Discipline — Intervention policière musclée contre un passant soupçonné à tort de complicité de vol — Version du plaignant et des témoins préférée à celle des policiers par le Comité de déontologie — Conclusions de fait renversées en appel — Contrôle judiciaire exercé sur cette dernière décision — La Cour d’appel a</w:t>
            </w:r>
            <w:r w:rsidRPr="00FA6366">
              <w:rPr>
                <w:rFonts w:eastAsia="Calibri"/>
                <w:sz w:val="20"/>
                <w:lang w:val="fr-CA"/>
              </w:rPr>
              <w:noBreakHyphen/>
              <w:t>t</w:t>
            </w:r>
            <w:r w:rsidRPr="00FA6366">
              <w:rPr>
                <w:rFonts w:eastAsia="Calibri"/>
                <w:sz w:val="20"/>
                <w:lang w:val="fr-CA"/>
              </w:rPr>
              <w:noBreakHyphen/>
              <w:t>elle mal déterminé la norme de contrôle applicable à chaque palier d’intervention judiciaire?</w:t>
            </w:r>
          </w:p>
          <w:p w:rsidR="00BC0F79" w:rsidRPr="00FA6366" w:rsidRDefault="00BC0F79" w:rsidP="0079343E">
            <w:pPr>
              <w:jc w:val="both"/>
              <w:rPr>
                <w:rFonts w:eastAsia="Calibri"/>
                <w:sz w:val="20"/>
                <w:lang w:val="fr-CA"/>
              </w:rPr>
            </w:pPr>
          </w:p>
        </w:tc>
      </w:tr>
      <w:tr w:rsidR="00BC0F79" w:rsidRPr="00F03CF9" w:rsidTr="0079343E">
        <w:tc>
          <w:tcPr>
            <w:tcW w:w="5000" w:type="pct"/>
            <w:gridSpan w:val="3"/>
          </w:tcPr>
          <w:p w:rsidR="00BC0F79" w:rsidRPr="00FA6366" w:rsidRDefault="00BC0F79" w:rsidP="0079343E">
            <w:pPr>
              <w:jc w:val="both"/>
              <w:rPr>
                <w:rFonts w:eastAsia="Calibri"/>
                <w:sz w:val="20"/>
                <w:lang w:val="fr-CA"/>
              </w:rPr>
            </w:pPr>
            <w:r w:rsidRPr="00FA6366">
              <w:rPr>
                <w:rFonts w:eastAsia="Calibri"/>
                <w:sz w:val="20"/>
                <w:lang w:val="fr-CA"/>
              </w:rPr>
              <w:t>Appelés à intervenir dans un bar de Montréal pendant la nuit du 17 mai 2004, les policiers Morin et Ouellet repèrent un suspect sur la rue alors que celui</w:t>
            </w:r>
            <w:r w:rsidRPr="00FA6366">
              <w:rPr>
                <w:rFonts w:eastAsia="Calibri"/>
                <w:sz w:val="20"/>
                <w:lang w:val="fr-CA"/>
              </w:rPr>
              <w:noBreakHyphen/>
              <w:t>ci s’approche d’un groupe de jeunes pour leur demander du feu.  Ils l’arrêtent rapidement puis, croyant les jeunes complices d’un vol, s’apprêtent à les fouiller.  Parmi eux, le plaignant indique être étudiant en techniques policières et cherche à connaître le motif de l’intervention.  Le policier Morin l’empoigne puis le tire dans la rue et l’étrangle avec le bras jusqu’à ce qu’il perde conscience.  Emmené au poste de police, il reçoit la visite des policiers qui lui proposent de tourner la page sur l’incident, en échange de l’abandon d’accusations contre lui.  Il refuse.  Des accusations d’entrave au travail des policiers et voies de fait sont portées contre lui.</w:t>
            </w:r>
          </w:p>
          <w:p w:rsidR="00BC0F79" w:rsidRPr="00FA6366" w:rsidRDefault="00BC0F79" w:rsidP="0079343E">
            <w:pPr>
              <w:jc w:val="both"/>
              <w:rPr>
                <w:rFonts w:eastAsia="Calibri"/>
                <w:sz w:val="20"/>
                <w:lang w:val="fr-CA"/>
              </w:rPr>
            </w:pPr>
          </w:p>
        </w:tc>
      </w:tr>
      <w:tr w:rsidR="00BC0F79" w:rsidRPr="00F03CF9" w:rsidTr="0079343E">
        <w:tc>
          <w:tcPr>
            <w:tcW w:w="2427" w:type="pct"/>
          </w:tcPr>
          <w:p w:rsidR="00BC0F79" w:rsidRPr="00FA6366" w:rsidRDefault="00BC0F79" w:rsidP="0079343E">
            <w:pPr>
              <w:jc w:val="both"/>
              <w:rPr>
                <w:rFonts w:eastAsia="Calibri"/>
                <w:sz w:val="20"/>
                <w:lang w:val="fr-CA"/>
              </w:rPr>
            </w:pPr>
            <w:r w:rsidRPr="00FA6366">
              <w:rPr>
                <w:rFonts w:eastAsia="Calibri"/>
                <w:sz w:val="20"/>
                <w:lang w:val="fr-CA"/>
              </w:rPr>
              <w:t>Le 1</w:t>
            </w:r>
            <w:r w:rsidRPr="00FA6366">
              <w:rPr>
                <w:rFonts w:eastAsia="Calibri"/>
                <w:sz w:val="20"/>
                <w:vertAlign w:val="superscript"/>
                <w:lang w:val="fr-CA"/>
              </w:rPr>
              <w:t>er</w:t>
            </w:r>
            <w:r w:rsidRPr="00FA6366">
              <w:rPr>
                <w:rFonts w:eastAsia="Calibri"/>
                <w:sz w:val="20"/>
                <w:lang w:val="fr-CA"/>
              </w:rPr>
              <w:t xml:space="preserve"> février 2007</w:t>
            </w:r>
          </w:p>
          <w:p w:rsidR="00BC0F79" w:rsidRPr="00FA6366" w:rsidRDefault="00BC0F79" w:rsidP="0079343E">
            <w:pPr>
              <w:jc w:val="both"/>
              <w:rPr>
                <w:rFonts w:eastAsia="Calibri"/>
                <w:sz w:val="20"/>
                <w:lang w:val="fr-CA"/>
              </w:rPr>
            </w:pPr>
            <w:r w:rsidRPr="00FA6366">
              <w:rPr>
                <w:rFonts w:eastAsia="Calibri"/>
                <w:sz w:val="20"/>
                <w:lang w:val="fr-CA"/>
              </w:rPr>
              <w:t xml:space="preserve">Comité de déontologie policière </w:t>
            </w:r>
          </w:p>
          <w:p w:rsidR="00BC0F79" w:rsidRPr="00FA6366" w:rsidRDefault="00BC0F79" w:rsidP="0079343E">
            <w:pPr>
              <w:jc w:val="both"/>
              <w:rPr>
                <w:rFonts w:eastAsia="Calibri"/>
                <w:sz w:val="20"/>
                <w:lang w:val="fr-CA"/>
              </w:rPr>
            </w:pPr>
            <w:r w:rsidRPr="00FA6366">
              <w:rPr>
                <w:rFonts w:eastAsia="Calibri"/>
                <w:sz w:val="20"/>
                <w:lang w:val="fr-CA"/>
              </w:rPr>
              <w:t>(Me Cohen, présidente)</w:t>
            </w:r>
          </w:p>
          <w:p w:rsidR="00BC0F79" w:rsidRPr="00FA6366" w:rsidRDefault="00BC0F79" w:rsidP="0079343E">
            <w:pPr>
              <w:jc w:val="both"/>
              <w:rPr>
                <w:rFonts w:eastAsia="Calibri"/>
                <w:sz w:val="20"/>
                <w:lang w:val="fr-CA"/>
              </w:rPr>
            </w:pP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Plainte du Commissaire à la déontologie policière accueillie; culpabilité des demandeurs reconnue pour usage d’une force trop grande, manque de respect envers le plaignant, et pour avoir porté sciemment de fausses accusations contre le plaignant.</w:t>
            </w:r>
          </w:p>
          <w:p w:rsidR="00BC0F79" w:rsidRPr="00FA6366" w:rsidRDefault="00BC0F79" w:rsidP="0079343E">
            <w:pPr>
              <w:jc w:val="both"/>
              <w:rPr>
                <w:rFonts w:eastAsia="Calibri"/>
                <w:sz w:val="20"/>
                <w:lang w:val="fr-CA"/>
              </w:rPr>
            </w:pPr>
          </w:p>
        </w:tc>
      </w:tr>
      <w:tr w:rsidR="00BC0F79" w:rsidRPr="00F03CF9" w:rsidTr="008320A7">
        <w:trPr>
          <w:cantSplit/>
        </w:trPr>
        <w:tc>
          <w:tcPr>
            <w:tcW w:w="2427" w:type="pct"/>
          </w:tcPr>
          <w:p w:rsidR="00BC0F79" w:rsidRPr="00FA6366" w:rsidRDefault="00BC0F79" w:rsidP="0079343E">
            <w:pPr>
              <w:jc w:val="both"/>
              <w:rPr>
                <w:rFonts w:eastAsia="Calibri"/>
                <w:sz w:val="20"/>
                <w:lang w:val="fr-CA"/>
              </w:rPr>
            </w:pPr>
            <w:r w:rsidRPr="00FA6366">
              <w:rPr>
                <w:rFonts w:eastAsia="Calibri"/>
                <w:sz w:val="20"/>
                <w:lang w:val="fr-CA"/>
              </w:rPr>
              <w:lastRenderedPageBreak/>
              <w:t>Le 7 mai 2008</w:t>
            </w:r>
          </w:p>
          <w:p w:rsidR="00BC0F79" w:rsidRPr="00FA6366" w:rsidRDefault="00BC0F79" w:rsidP="0079343E">
            <w:pPr>
              <w:jc w:val="both"/>
              <w:rPr>
                <w:rFonts w:eastAsia="Calibri"/>
                <w:sz w:val="20"/>
                <w:lang w:val="fr-CA"/>
              </w:rPr>
            </w:pPr>
            <w:r w:rsidRPr="00FA6366">
              <w:rPr>
                <w:rFonts w:eastAsia="Calibri"/>
                <w:sz w:val="20"/>
                <w:lang w:val="fr-CA"/>
              </w:rPr>
              <w:t xml:space="preserve">Cour du Québec </w:t>
            </w:r>
          </w:p>
          <w:p w:rsidR="00BC0F79" w:rsidRPr="00FA6366" w:rsidRDefault="00BC0F79" w:rsidP="0079343E">
            <w:pPr>
              <w:jc w:val="both"/>
              <w:rPr>
                <w:rFonts w:eastAsia="Calibri"/>
                <w:sz w:val="20"/>
                <w:lang w:val="fr-CA"/>
              </w:rPr>
            </w:pPr>
            <w:r w:rsidRPr="00FA6366">
              <w:rPr>
                <w:rFonts w:eastAsia="Calibri"/>
                <w:sz w:val="20"/>
                <w:lang w:val="fr-CA"/>
              </w:rPr>
              <w:t>(Le juge Paquet)</w:t>
            </w:r>
          </w:p>
          <w:p w:rsidR="00BC0F79" w:rsidRPr="00FA6366" w:rsidRDefault="00BC0F79" w:rsidP="0079343E">
            <w:pPr>
              <w:jc w:val="both"/>
              <w:rPr>
                <w:rFonts w:eastAsia="Calibri"/>
                <w:sz w:val="20"/>
                <w:lang w:val="fr-CA"/>
              </w:rPr>
            </w:pPr>
            <w:r w:rsidRPr="00FA6366">
              <w:rPr>
                <w:rFonts w:eastAsia="Calibri"/>
                <w:sz w:val="20"/>
                <w:lang w:val="fr-CA"/>
              </w:rPr>
              <w:t>Référence neutre : 2008 QCCQ 4160</w:t>
            </w:r>
          </w:p>
          <w:p w:rsidR="00BC0F79" w:rsidRPr="00FA6366" w:rsidRDefault="00BC0F79" w:rsidP="0079343E">
            <w:pPr>
              <w:jc w:val="both"/>
              <w:rPr>
                <w:rFonts w:eastAsia="Calibri"/>
                <w:sz w:val="20"/>
                <w:lang w:val="fr-CA"/>
              </w:rPr>
            </w:pP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Appel des demandeurs accueilli; déclarations de culpabilité annulées.</w:t>
            </w:r>
          </w:p>
        </w:tc>
      </w:tr>
      <w:tr w:rsidR="00BC0F79" w:rsidRPr="00F03CF9" w:rsidTr="008320A7">
        <w:trPr>
          <w:cantSplit/>
        </w:trPr>
        <w:tc>
          <w:tcPr>
            <w:tcW w:w="2427" w:type="pct"/>
          </w:tcPr>
          <w:p w:rsidR="00BC0F79" w:rsidRPr="00FA6366" w:rsidRDefault="00BC0F79" w:rsidP="0079343E">
            <w:pPr>
              <w:jc w:val="both"/>
              <w:rPr>
                <w:rFonts w:eastAsia="Calibri"/>
                <w:sz w:val="20"/>
                <w:lang w:val="fr-CA"/>
              </w:rPr>
            </w:pPr>
            <w:r w:rsidRPr="00FA6366">
              <w:rPr>
                <w:rFonts w:eastAsia="Calibri"/>
                <w:sz w:val="20"/>
                <w:lang w:val="fr-CA"/>
              </w:rPr>
              <w:t>Le 17 décembre 2008</w:t>
            </w:r>
          </w:p>
          <w:p w:rsidR="00BC0F79" w:rsidRPr="00FA6366" w:rsidRDefault="00BC0F79" w:rsidP="0079343E">
            <w:pPr>
              <w:jc w:val="both"/>
              <w:rPr>
                <w:rFonts w:eastAsia="Calibri"/>
                <w:sz w:val="20"/>
                <w:lang w:val="fr-CA"/>
              </w:rPr>
            </w:pPr>
            <w:r w:rsidRPr="00FA6366">
              <w:rPr>
                <w:rFonts w:eastAsia="Calibri"/>
                <w:sz w:val="20"/>
                <w:lang w:val="fr-CA"/>
              </w:rPr>
              <w:t>Cour supérieure du Québec</w:t>
            </w:r>
          </w:p>
          <w:p w:rsidR="00BC0F79" w:rsidRPr="00FA6366" w:rsidRDefault="00BC0F79" w:rsidP="0079343E">
            <w:pPr>
              <w:jc w:val="both"/>
              <w:rPr>
                <w:rFonts w:eastAsia="Calibri"/>
                <w:sz w:val="20"/>
                <w:lang w:val="fr-CA"/>
              </w:rPr>
            </w:pPr>
            <w:r w:rsidRPr="00FA6366">
              <w:rPr>
                <w:rFonts w:eastAsia="Calibri"/>
                <w:sz w:val="20"/>
                <w:lang w:val="fr-CA"/>
              </w:rPr>
              <w:t>(Le juge Downs)</w:t>
            </w:r>
          </w:p>
          <w:p w:rsidR="00BC0F79" w:rsidRPr="00FA6366" w:rsidRDefault="00BC0F79" w:rsidP="0079343E">
            <w:pPr>
              <w:jc w:val="both"/>
              <w:rPr>
                <w:rFonts w:eastAsia="Calibri"/>
                <w:sz w:val="20"/>
                <w:lang w:val="fr-CA"/>
              </w:rPr>
            </w:pPr>
            <w:r w:rsidRPr="00FA6366">
              <w:rPr>
                <w:rFonts w:eastAsia="Calibri"/>
                <w:sz w:val="20"/>
                <w:lang w:val="fr-CA"/>
              </w:rPr>
              <w:t>Référence neutre : 2008 QCCS 6024</w:t>
            </w:r>
          </w:p>
          <w:p w:rsidR="00BC0F79" w:rsidRPr="00FA6366" w:rsidRDefault="00BC0F79" w:rsidP="0079343E">
            <w:pPr>
              <w:jc w:val="both"/>
              <w:rPr>
                <w:rFonts w:eastAsia="Calibri"/>
                <w:sz w:val="20"/>
                <w:lang w:val="fr-CA"/>
              </w:rPr>
            </w:pPr>
          </w:p>
        </w:tc>
        <w:tc>
          <w:tcPr>
            <w:tcW w:w="243" w:type="pct"/>
          </w:tcPr>
          <w:p w:rsidR="00BC0F79" w:rsidRPr="00FA6366" w:rsidRDefault="00BC0F79" w:rsidP="0079343E">
            <w:pPr>
              <w:jc w:val="both"/>
              <w:rPr>
                <w:rFonts w:eastAsia="Calibri"/>
                <w:sz w:val="20"/>
                <w:lang w:val="fr-FR"/>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Révision judiciaire exercée; déclarations de culpabilité rétablies.</w:t>
            </w:r>
          </w:p>
        </w:tc>
      </w:tr>
      <w:tr w:rsidR="00BC0F79" w:rsidRPr="00F03CF9" w:rsidTr="008320A7">
        <w:trPr>
          <w:cantSplit/>
        </w:trPr>
        <w:tc>
          <w:tcPr>
            <w:tcW w:w="2427" w:type="pct"/>
          </w:tcPr>
          <w:p w:rsidR="00BC0F79" w:rsidRPr="00FA6366" w:rsidRDefault="00BC0F79" w:rsidP="0079343E">
            <w:pPr>
              <w:jc w:val="both"/>
              <w:rPr>
                <w:rFonts w:eastAsia="Calibri"/>
                <w:sz w:val="20"/>
                <w:lang w:val="fr-CA"/>
              </w:rPr>
            </w:pPr>
            <w:r w:rsidRPr="00FA6366">
              <w:rPr>
                <w:rFonts w:eastAsia="Calibri"/>
                <w:sz w:val="20"/>
                <w:lang w:val="fr-CA"/>
              </w:rPr>
              <w:t>Le 14 décembre 2010</w:t>
            </w:r>
          </w:p>
          <w:p w:rsidR="00BC0F79" w:rsidRPr="00FA6366" w:rsidRDefault="00BC0F79" w:rsidP="0079343E">
            <w:pPr>
              <w:jc w:val="both"/>
              <w:rPr>
                <w:rFonts w:eastAsia="Calibri"/>
                <w:sz w:val="20"/>
                <w:lang w:val="fr-CA"/>
              </w:rPr>
            </w:pPr>
            <w:r w:rsidRPr="00FA6366">
              <w:rPr>
                <w:rFonts w:eastAsia="Calibri"/>
                <w:sz w:val="20"/>
                <w:lang w:val="fr-CA"/>
              </w:rPr>
              <w:t>Cour d’appel du Québec (Montréal)</w:t>
            </w:r>
          </w:p>
          <w:p w:rsidR="00BC0F79" w:rsidRPr="00FA6366" w:rsidRDefault="00BC0F79" w:rsidP="0079343E">
            <w:pPr>
              <w:jc w:val="both"/>
              <w:rPr>
                <w:rFonts w:eastAsia="Calibri"/>
                <w:sz w:val="20"/>
                <w:lang w:val="fr-CA"/>
              </w:rPr>
            </w:pPr>
            <w:r w:rsidRPr="00FA6366">
              <w:rPr>
                <w:rFonts w:eastAsia="Calibri"/>
                <w:sz w:val="20"/>
                <w:lang w:val="fr-CA"/>
              </w:rPr>
              <w:t>(Les juges Brossard, Léger et Bouchard)</w:t>
            </w:r>
          </w:p>
          <w:p w:rsidR="00BC0F79" w:rsidRPr="00FA6366" w:rsidRDefault="00BC0F79" w:rsidP="0079343E">
            <w:pPr>
              <w:jc w:val="both"/>
              <w:rPr>
                <w:rFonts w:eastAsia="Calibri"/>
                <w:sz w:val="20"/>
                <w:lang w:val="fr-CA"/>
              </w:rPr>
            </w:pPr>
            <w:r w:rsidRPr="00FA6366">
              <w:rPr>
                <w:rFonts w:eastAsia="Calibri"/>
                <w:sz w:val="20"/>
                <w:lang w:val="fr-CA"/>
              </w:rPr>
              <w:t>Référence neutre : 2010 QCCA 2302</w:t>
            </w:r>
          </w:p>
          <w:p w:rsidR="00BC0F79" w:rsidRPr="00FA6366" w:rsidRDefault="00BC0F79" w:rsidP="0079343E">
            <w:pPr>
              <w:jc w:val="both"/>
              <w:rPr>
                <w:rFonts w:eastAsia="Calibri"/>
                <w:sz w:val="20"/>
                <w:lang w:val="fr-CA"/>
              </w:rPr>
            </w:pP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Appel des demandeurs rejeté, sauf quant à la détermination de la sanction disciplinaire; dossier retourné à la Cour du Québec pour qu’elle dispose de l’appel sur sanction.</w:t>
            </w:r>
          </w:p>
        </w:tc>
      </w:tr>
      <w:tr w:rsidR="00BC0F79" w:rsidRPr="00FA6366" w:rsidTr="008320A7">
        <w:trPr>
          <w:cantSplit/>
        </w:trPr>
        <w:tc>
          <w:tcPr>
            <w:tcW w:w="2427" w:type="pct"/>
          </w:tcPr>
          <w:p w:rsidR="00BC0F79" w:rsidRPr="00FA6366" w:rsidRDefault="00BC0F79" w:rsidP="0079343E">
            <w:pPr>
              <w:jc w:val="both"/>
              <w:rPr>
                <w:rFonts w:eastAsia="Calibri"/>
                <w:sz w:val="20"/>
                <w:lang w:val="fr-CA"/>
              </w:rPr>
            </w:pPr>
            <w:r w:rsidRPr="00FA6366">
              <w:rPr>
                <w:rFonts w:eastAsia="Calibri"/>
                <w:sz w:val="20"/>
                <w:lang w:val="fr-CA"/>
              </w:rPr>
              <w:t>Le 14 février 2011</w:t>
            </w:r>
          </w:p>
          <w:p w:rsidR="00BC0F79" w:rsidRPr="00FA6366" w:rsidRDefault="00BC0F79" w:rsidP="0079343E">
            <w:pPr>
              <w:jc w:val="both"/>
              <w:rPr>
                <w:rFonts w:eastAsia="Calibri"/>
                <w:sz w:val="20"/>
                <w:lang w:val="fr-CA"/>
              </w:rPr>
            </w:pPr>
            <w:r w:rsidRPr="00FA6366">
              <w:rPr>
                <w:rFonts w:eastAsia="Calibri"/>
                <w:sz w:val="20"/>
                <w:lang w:val="fr-CA"/>
              </w:rPr>
              <w:t>Cour suprême du Canada</w:t>
            </w:r>
          </w:p>
        </w:tc>
        <w:tc>
          <w:tcPr>
            <w:tcW w:w="243" w:type="pct"/>
          </w:tcPr>
          <w:p w:rsidR="00BC0F79" w:rsidRPr="00FA6366" w:rsidRDefault="00BC0F79" w:rsidP="0079343E">
            <w:pPr>
              <w:jc w:val="both"/>
              <w:rPr>
                <w:rFonts w:eastAsia="Calibri"/>
                <w:sz w:val="20"/>
                <w:lang w:val="fr-CA"/>
              </w:rPr>
            </w:pPr>
          </w:p>
        </w:tc>
        <w:tc>
          <w:tcPr>
            <w:tcW w:w="2330" w:type="pct"/>
          </w:tcPr>
          <w:p w:rsidR="00BC0F79" w:rsidRPr="00FA6366" w:rsidRDefault="00BC0F79" w:rsidP="0079343E">
            <w:pPr>
              <w:jc w:val="both"/>
              <w:rPr>
                <w:rFonts w:eastAsia="Calibri"/>
                <w:sz w:val="20"/>
                <w:lang w:val="fr-CA"/>
              </w:rPr>
            </w:pPr>
            <w:r w:rsidRPr="00FA6366">
              <w:rPr>
                <w:rFonts w:eastAsia="Calibri"/>
                <w:sz w:val="20"/>
                <w:lang w:val="fr-CA"/>
              </w:rPr>
              <w:t>Demande d'autorisation d'appel déposée.</w:t>
            </w:r>
          </w:p>
          <w:p w:rsidR="00BC0F79" w:rsidRPr="00FA6366" w:rsidRDefault="00BC0F79" w:rsidP="0079343E">
            <w:pPr>
              <w:jc w:val="both"/>
              <w:rPr>
                <w:rFonts w:eastAsia="Calibri"/>
                <w:sz w:val="20"/>
                <w:lang w:val="fr-CA"/>
              </w:rPr>
            </w:pP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45"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20A7" w:rsidRPr="008320A7" w:rsidTr="000326AA">
        <w:trPr>
          <w:cantSplit/>
        </w:trPr>
        <w:tc>
          <w:tcPr>
            <w:tcW w:w="1458" w:type="dxa"/>
          </w:tcPr>
          <w:p w:rsidR="008320A7" w:rsidRPr="008320A7" w:rsidRDefault="008320A7" w:rsidP="000326AA">
            <w:pPr>
              <w:rPr>
                <w:rFonts w:cs="Times New Roman"/>
                <w:sz w:val="20"/>
                <w:szCs w:val="20"/>
              </w:rPr>
            </w:pPr>
            <w:r w:rsidRPr="008320A7">
              <w:rPr>
                <w:rStyle w:val="SCCFileNumberChar"/>
                <w:rFonts w:cs="Times New Roman"/>
                <w:sz w:val="20"/>
                <w:szCs w:val="20"/>
              </w:rPr>
              <w:t>34106</w:t>
            </w:r>
          </w:p>
          <w:p w:rsidR="008320A7" w:rsidRPr="008320A7" w:rsidRDefault="008320A7" w:rsidP="000326AA">
            <w:pPr>
              <w:rPr>
                <w:rFonts w:cs="Times New Roman"/>
                <w:b/>
                <w:sz w:val="20"/>
                <w:szCs w:val="20"/>
                <w:lang w:val="fr-CA"/>
              </w:rPr>
            </w:pPr>
          </w:p>
        </w:tc>
        <w:tc>
          <w:tcPr>
            <w:tcW w:w="8118" w:type="dxa"/>
          </w:tcPr>
          <w:p w:rsidR="008320A7" w:rsidRPr="008320A7" w:rsidRDefault="008320A7" w:rsidP="000326AA">
            <w:pPr>
              <w:rPr>
                <w:rFonts w:cs="Times New Roman"/>
                <w:sz w:val="20"/>
                <w:szCs w:val="20"/>
              </w:rPr>
            </w:pPr>
            <w:r w:rsidRPr="008320A7">
              <w:rPr>
                <w:rStyle w:val="SCCLsocChar"/>
                <w:rFonts w:cs="Times New Roman"/>
                <w:sz w:val="20"/>
                <w:szCs w:val="20"/>
                <w:lang w:val="en-CA"/>
              </w:rPr>
              <w:t>J.W.A. v. Her Majesty the Queen</w:t>
            </w:r>
            <w:r w:rsidRPr="008320A7">
              <w:rPr>
                <w:rFonts w:cs="Times New Roman"/>
                <w:sz w:val="20"/>
                <w:szCs w:val="20"/>
              </w:rPr>
              <w:t xml:space="preserve"> (Alta.) (Criminal) (By Leave)</w:t>
            </w:r>
          </w:p>
          <w:p w:rsidR="008320A7" w:rsidRPr="008320A7" w:rsidRDefault="008320A7" w:rsidP="000326AA">
            <w:pPr>
              <w:rPr>
                <w:rFonts w:cs="Times New Roman"/>
                <w:sz w:val="20"/>
                <w:szCs w:val="20"/>
              </w:rPr>
            </w:pPr>
          </w:p>
        </w:tc>
      </w:tr>
      <w:tr w:rsidR="008320A7" w:rsidRPr="008320A7" w:rsidTr="000326AA">
        <w:trPr>
          <w:cantSplit/>
        </w:trPr>
        <w:tc>
          <w:tcPr>
            <w:tcW w:w="1458" w:type="dxa"/>
          </w:tcPr>
          <w:p w:rsidR="008320A7" w:rsidRPr="008320A7" w:rsidRDefault="008320A7" w:rsidP="000326AA">
            <w:pPr>
              <w:rPr>
                <w:rFonts w:cs="Times New Roman"/>
                <w:sz w:val="20"/>
                <w:szCs w:val="20"/>
              </w:rPr>
            </w:pPr>
            <w:r w:rsidRPr="008320A7">
              <w:rPr>
                <w:rFonts w:cs="Times New Roman"/>
                <w:sz w:val="20"/>
                <w:szCs w:val="20"/>
              </w:rPr>
              <w:t>Coram :</w:t>
            </w:r>
          </w:p>
        </w:tc>
        <w:tc>
          <w:tcPr>
            <w:tcW w:w="8118" w:type="dxa"/>
          </w:tcPr>
          <w:p w:rsidR="008320A7" w:rsidRPr="008320A7" w:rsidRDefault="008320A7" w:rsidP="000326AA">
            <w:pPr>
              <w:rPr>
                <w:rFonts w:cs="Times New Roman"/>
                <w:sz w:val="20"/>
                <w:szCs w:val="20"/>
              </w:rPr>
            </w:pPr>
            <w:r w:rsidRPr="008320A7">
              <w:rPr>
                <w:rStyle w:val="SCCCoramChar"/>
                <w:rFonts w:cs="Times New Roman"/>
                <w:sz w:val="20"/>
                <w:szCs w:val="20"/>
                <w:lang w:val="en-CA"/>
              </w:rPr>
              <w:t>McLachlin C.J. and Deschamps and Charron JJ.</w:t>
            </w:r>
          </w:p>
          <w:p w:rsidR="008320A7" w:rsidRPr="008320A7" w:rsidRDefault="008320A7" w:rsidP="000326AA">
            <w:pPr>
              <w:rPr>
                <w:rFonts w:cs="Times New Roman"/>
                <w:sz w:val="20"/>
                <w:szCs w:val="20"/>
                <w:u w:val="single"/>
              </w:rPr>
            </w:pPr>
          </w:p>
        </w:tc>
      </w:tr>
      <w:tr w:rsidR="008320A7" w:rsidRPr="00F03CF9" w:rsidTr="000326AA">
        <w:trPr>
          <w:cantSplit/>
        </w:trPr>
        <w:tc>
          <w:tcPr>
            <w:tcW w:w="9576" w:type="dxa"/>
            <w:gridSpan w:val="2"/>
          </w:tcPr>
          <w:p w:rsidR="008320A7" w:rsidRPr="008320A7" w:rsidRDefault="008320A7" w:rsidP="000326AA">
            <w:pPr>
              <w:pStyle w:val="SCCShortJudgment"/>
              <w:rPr>
                <w:rFonts w:cs="Times New Roman"/>
                <w:szCs w:val="20"/>
              </w:rPr>
            </w:pPr>
            <w:r w:rsidRPr="008320A7">
              <w:rPr>
                <w:rFonts w:cs="Times New Roman"/>
                <w:szCs w:val="20"/>
              </w:rPr>
              <w:t>The application for leave to appeal from the judgment of the Court of Appeal of Alberta (Calgary), Number 1001-0013A, 2010 ABCA 406, dated December 17, 2010, is dismissed without costs.</w:t>
            </w:r>
          </w:p>
          <w:p w:rsidR="008320A7" w:rsidRPr="008320A7" w:rsidRDefault="008320A7" w:rsidP="000326AA">
            <w:pPr>
              <w:pStyle w:val="SCCShortJudgment"/>
              <w:ind w:firstLine="0"/>
              <w:rPr>
                <w:rFonts w:cs="Times New Roman"/>
                <w:szCs w:val="20"/>
              </w:rPr>
            </w:pPr>
          </w:p>
          <w:p w:rsidR="008320A7" w:rsidRPr="008320A7" w:rsidRDefault="008320A7" w:rsidP="000326AA">
            <w:pPr>
              <w:pStyle w:val="SCCShortJudgment"/>
              <w:rPr>
                <w:rFonts w:cs="Times New Roman"/>
                <w:szCs w:val="20"/>
                <w:lang w:val="fr-CA"/>
              </w:rPr>
            </w:pPr>
            <w:r w:rsidRPr="008320A7">
              <w:rPr>
                <w:rFonts w:cs="Times New Roman"/>
                <w:szCs w:val="20"/>
                <w:lang w:val="fr-CA"/>
              </w:rPr>
              <w:t xml:space="preserve">La demande d’autorisation d’appel de l’arrêt de la Cour d'appel de l’Alberta (Calgary), numéro 1001-0013A, 2010 ABCA 406, daté du 17 décembre 2010, est rejetée sans dépens. </w:t>
            </w:r>
          </w:p>
        </w:tc>
      </w:tr>
    </w:tbl>
    <w:p w:rsidR="008320A7" w:rsidRPr="008320A7" w:rsidRDefault="008320A7"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2F40" w:rsidRPr="00FA6366" w:rsidTr="0079343E">
        <w:tc>
          <w:tcPr>
            <w:tcW w:w="5000" w:type="pct"/>
            <w:gridSpan w:val="3"/>
          </w:tcPr>
          <w:p w:rsidR="00A02F40" w:rsidRPr="00FA6366" w:rsidRDefault="00A02F40" w:rsidP="0079343E">
            <w:pPr>
              <w:jc w:val="both"/>
              <w:rPr>
                <w:rFonts w:eastAsia="Calibri"/>
                <w:smallCaps/>
                <w:sz w:val="20"/>
              </w:rPr>
            </w:pPr>
            <w:r w:rsidRPr="00FA6366">
              <w:rPr>
                <w:rFonts w:eastAsia="Calibri"/>
                <w:smallCaps/>
                <w:sz w:val="20"/>
              </w:rPr>
              <w:t>(Publication ban in case) (Publication ban on party)</w:t>
            </w:r>
          </w:p>
          <w:p w:rsidR="00A02F40" w:rsidRPr="00FA6366" w:rsidRDefault="00A02F40" w:rsidP="0079343E">
            <w:pPr>
              <w:jc w:val="both"/>
              <w:rPr>
                <w:rFonts w:eastAsia="Calibri"/>
                <w:sz w:val="20"/>
              </w:rPr>
            </w:pPr>
          </w:p>
        </w:tc>
      </w:tr>
      <w:tr w:rsidR="00A02F40" w:rsidRPr="00FA6366" w:rsidTr="0079343E">
        <w:tc>
          <w:tcPr>
            <w:tcW w:w="5000" w:type="pct"/>
            <w:gridSpan w:val="3"/>
          </w:tcPr>
          <w:p w:rsidR="00A02F40" w:rsidRPr="00FA6366" w:rsidRDefault="00A02F40" w:rsidP="0079343E">
            <w:pPr>
              <w:jc w:val="both"/>
              <w:rPr>
                <w:rFonts w:eastAsia="Calibri"/>
                <w:sz w:val="20"/>
              </w:rPr>
            </w:pPr>
            <w:r w:rsidRPr="00FA6366">
              <w:rPr>
                <w:rFonts w:eastAsia="Calibri"/>
                <w:sz w:val="20"/>
              </w:rPr>
              <w:t xml:space="preserve">Criminal law — Credibility — Evidence — Reasonable doubt — Application of </w:t>
            </w:r>
            <w:r w:rsidRPr="00FA6366">
              <w:rPr>
                <w:rFonts w:eastAsia="Calibri"/>
                <w:i/>
                <w:sz w:val="20"/>
              </w:rPr>
              <w:t>R. v. W.(D.)</w:t>
            </w:r>
            <w:r w:rsidRPr="00FA6366">
              <w:rPr>
                <w:rFonts w:eastAsia="Calibri"/>
                <w:sz w:val="20"/>
              </w:rPr>
              <w:t xml:space="preserve">, [1991] 1 S.C.R. 742 — Whether the </w:t>
            </w:r>
            <w:r w:rsidRPr="00FA6366">
              <w:rPr>
                <w:rFonts w:eastAsia="Calibri"/>
                <w:i/>
                <w:sz w:val="20"/>
              </w:rPr>
              <w:t>W.(D.</w:t>
            </w:r>
            <w:r w:rsidRPr="00FA6366">
              <w:rPr>
                <w:rFonts w:eastAsia="Calibri"/>
                <w:sz w:val="20"/>
              </w:rPr>
              <w:t xml:space="preserve">) approach should be clarified — Whether “nothing unbelievable” means “believable” in the context of the </w:t>
            </w:r>
            <w:r w:rsidRPr="00FA6366">
              <w:rPr>
                <w:rFonts w:eastAsia="Calibri"/>
                <w:i/>
                <w:sz w:val="20"/>
              </w:rPr>
              <w:t>W.(D.)</w:t>
            </w:r>
            <w:r w:rsidRPr="00FA6366">
              <w:rPr>
                <w:rFonts w:eastAsia="Calibri"/>
                <w:sz w:val="20"/>
              </w:rPr>
              <w:t xml:space="preserve"> approach? — Whether 27 words is enough to properly apply the burden of proof, demonstrate the route taken, and show that the Crown as proved its case beyond a reasonable doubt in a single sentence — Whether there are issues of public importance raised?</w:t>
            </w:r>
          </w:p>
          <w:p w:rsidR="00A02F40" w:rsidRPr="00FA6366" w:rsidRDefault="00A02F40" w:rsidP="0079343E">
            <w:pPr>
              <w:jc w:val="both"/>
              <w:rPr>
                <w:rFonts w:eastAsia="Calibri"/>
                <w:sz w:val="20"/>
              </w:rPr>
            </w:pPr>
          </w:p>
        </w:tc>
      </w:tr>
      <w:tr w:rsidR="00A02F40" w:rsidRPr="00FA6366" w:rsidTr="0079343E">
        <w:tc>
          <w:tcPr>
            <w:tcW w:w="5000" w:type="pct"/>
            <w:gridSpan w:val="3"/>
          </w:tcPr>
          <w:p w:rsidR="00A02F40" w:rsidRPr="00FA6366" w:rsidRDefault="00A02F40" w:rsidP="0079343E">
            <w:pPr>
              <w:jc w:val="both"/>
              <w:rPr>
                <w:rFonts w:eastAsia="Calibri"/>
                <w:sz w:val="20"/>
              </w:rPr>
            </w:pPr>
            <w:r w:rsidRPr="00FA6366">
              <w:rPr>
                <w:rFonts w:eastAsia="Calibri"/>
                <w:sz w:val="20"/>
              </w:rPr>
              <w:t xml:space="preserve">The applicant was charged with a number of offences involving the complainants.  The applicant denied touching the complainants.  The trial judge reviewed the requirements of </w:t>
            </w:r>
            <w:r w:rsidRPr="00FA6366">
              <w:rPr>
                <w:rFonts w:eastAsia="Calibri"/>
                <w:i/>
                <w:sz w:val="20"/>
              </w:rPr>
              <w:t>W.(D.)</w:t>
            </w:r>
            <w:r w:rsidRPr="00FA6366">
              <w:rPr>
                <w:rFonts w:eastAsia="Calibri"/>
                <w:sz w:val="20"/>
              </w:rPr>
              <w:t xml:space="preserve"> in considering whether the Crown had met its burden of proof beyond a reasonable doubt. The trial judge concluded on all the evidence that the assaults had occurred as described. The Court of Appeal held that it was clear from the trial judge’s reason why the applicant’s testimony was not accepted or did not raise a reasonable doubt.  The complainants’ evidence was credible for the reasons expressed and believed by the trial judge.  The Court of Appeal held that there was no error in the trial judge’s reasons warranting appellate intervention.  The applicant was convicted and his appeal from conviction was dismissed.</w:t>
            </w:r>
          </w:p>
          <w:p w:rsidR="00A02F40" w:rsidRPr="00FA6366" w:rsidRDefault="00A02F40" w:rsidP="0079343E">
            <w:pPr>
              <w:jc w:val="both"/>
              <w:rPr>
                <w:rFonts w:eastAsia="Calibri"/>
                <w:sz w:val="20"/>
              </w:rPr>
            </w:pPr>
          </w:p>
        </w:tc>
      </w:tr>
      <w:tr w:rsidR="00A02F40" w:rsidRPr="00FA6366" w:rsidTr="008320A7">
        <w:trPr>
          <w:cantSplit/>
        </w:trPr>
        <w:tc>
          <w:tcPr>
            <w:tcW w:w="2427" w:type="pct"/>
          </w:tcPr>
          <w:p w:rsidR="00A02F40" w:rsidRPr="00FA6366" w:rsidRDefault="00A02F40" w:rsidP="0079343E">
            <w:pPr>
              <w:jc w:val="both"/>
              <w:rPr>
                <w:rFonts w:eastAsia="Calibri"/>
                <w:sz w:val="20"/>
              </w:rPr>
            </w:pPr>
            <w:r w:rsidRPr="00FA6366">
              <w:rPr>
                <w:rFonts w:eastAsia="Calibri"/>
                <w:sz w:val="20"/>
              </w:rPr>
              <w:lastRenderedPageBreak/>
              <w:t>September 16, 2009</w:t>
            </w:r>
          </w:p>
          <w:p w:rsidR="00A02F40" w:rsidRPr="00FA6366" w:rsidRDefault="00A02F40" w:rsidP="0079343E">
            <w:pPr>
              <w:jc w:val="both"/>
              <w:rPr>
                <w:rFonts w:eastAsia="Calibri"/>
                <w:sz w:val="20"/>
              </w:rPr>
            </w:pPr>
            <w:r w:rsidRPr="00FA6366">
              <w:rPr>
                <w:rFonts w:eastAsia="Calibri"/>
                <w:sz w:val="20"/>
              </w:rPr>
              <w:t>Court of Queen’s Bench of Alberta</w:t>
            </w:r>
          </w:p>
          <w:p w:rsidR="00A02F40" w:rsidRPr="00FA6366" w:rsidRDefault="00A02F40" w:rsidP="0079343E">
            <w:pPr>
              <w:jc w:val="both"/>
              <w:rPr>
                <w:rFonts w:eastAsia="Calibri"/>
                <w:sz w:val="20"/>
              </w:rPr>
            </w:pPr>
            <w:r w:rsidRPr="00FA6366">
              <w:rPr>
                <w:rFonts w:eastAsia="Calibri"/>
                <w:sz w:val="20"/>
              </w:rPr>
              <w:t>(Kent J.)</w:t>
            </w:r>
          </w:p>
          <w:p w:rsidR="00A02F40" w:rsidRPr="00FA6366" w:rsidRDefault="00A02F40" w:rsidP="0079343E">
            <w:pPr>
              <w:jc w:val="both"/>
              <w:rPr>
                <w:rFonts w:eastAsia="Calibri"/>
                <w:sz w:val="20"/>
              </w:rPr>
            </w:pPr>
          </w:p>
        </w:tc>
        <w:tc>
          <w:tcPr>
            <w:tcW w:w="243" w:type="pct"/>
          </w:tcPr>
          <w:p w:rsidR="00A02F40" w:rsidRPr="00FA6366" w:rsidRDefault="00A02F40" w:rsidP="0079343E">
            <w:pPr>
              <w:jc w:val="both"/>
              <w:rPr>
                <w:rFonts w:eastAsia="Calibri"/>
                <w:sz w:val="20"/>
              </w:rPr>
            </w:pPr>
          </w:p>
        </w:tc>
        <w:tc>
          <w:tcPr>
            <w:tcW w:w="2330" w:type="pct"/>
          </w:tcPr>
          <w:p w:rsidR="00A02F40" w:rsidRPr="00FA6366" w:rsidRDefault="00A02F40" w:rsidP="0079343E">
            <w:pPr>
              <w:jc w:val="both"/>
              <w:rPr>
                <w:rFonts w:eastAsia="Calibri"/>
                <w:sz w:val="20"/>
              </w:rPr>
            </w:pPr>
            <w:r w:rsidRPr="00FA6366">
              <w:rPr>
                <w:rFonts w:eastAsia="Calibri"/>
                <w:sz w:val="20"/>
              </w:rPr>
              <w:t>Convictions: Sexual interference; two counts of sexual exploitation; two counts of sexual assault</w:t>
            </w:r>
          </w:p>
          <w:p w:rsidR="00A02F40" w:rsidRPr="00FA6366" w:rsidRDefault="00A02F40" w:rsidP="0079343E">
            <w:pPr>
              <w:jc w:val="both"/>
              <w:rPr>
                <w:rFonts w:eastAsia="Calibri"/>
                <w:sz w:val="20"/>
              </w:rPr>
            </w:pPr>
          </w:p>
          <w:p w:rsidR="00A02F40" w:rsidRPr="00FA6366" w:rsidRDefault="00A02F40" w:rsidP="0079343E">
            <w:pPr>
              <w:jc w:val="both"/>
              <w:rPr>
                <w:rFonts w:eastAsia="Calibri"/>
                <w:sz w:val="20"/>
              </w:rPr>
            </w:pPr>
          </w:p>
        </w:tc>
      </w:tr>
      <w:tr w:rsidR="00A02F40" w:rsidRPr="00FA6366" w:rsidTr="008320A7">
        <w:trPr>
          <w:cantSplit/>
        </w:trPr>
        <w:tc>
          <w:tcPr>
            <w:tcW w:w="2427" w:type="pct"/>
          </w:tcPr>
          <w:p w:rsidR="00A02F40" w:rsidRPr="00FA6366" w:rsidRDefault="00A02F40" w:rsidP="0079343E">
            <w:pPr>
              <w:jc w:val="both"/>
              <w:rPr>
                <w:rFonts w:eastAsia="Calibri"/>
                <w:sz w:val="20"/>
              </w:rPr>
            </w:pPr>
            <w:r w:rsidRPr="00FA6366">
              <w:rPr>
                <w:rFonts w:eastAsia="Calibri"/>
                <w:sz w:val="20"/>
              </w:rPr>
              <w:t>December 17, 2010</w:t>
            </w:r>
          </w:p>
          <w:p w:rsidR="00A02F40" w:rsidRPr="00FA6366" w:rsidRDefault="00A02F40" w:rsidP="0079343E">
            <w:pPr>
              <w:jc w:val="both"/>
              <w:rPr>
                <w:rFonts w:eastAsia="Calibri"/>
                <w:sz w:val="20"/>
              </w:rPr>
            </w:pPr>
            <w:r w:rsidRPr="00FA6366">
              <w:rPr>
                <w:rFonts w:eastAsia="Calibri"/>
                <w:sz w:val="20"/>
              </w:rPr>
              <w:t>Court of Appeal of Alberta (Calgary)</w:t>
            </w:r>
          </w:p>
          <w:p w:rsidR="00A02F40" w:rsidRPr="00FA6366" w:rsidRDefault="00A02F40" w:rsidP="0079343E">
            <w:pPr>
              <w:jc w:val="both"/>
              <w:rPr>
                <w:rFonts w:eastAsia="Calibri"/>
                <w:sz w:val="20"/>
              </w:rPr>
            </w:pPr>
            <w:r w:rsidRPr="00FA6366">
              <w:rPr>
                <w:rFonts w:eastAsia="Calibri"/>
                <w:sz w:val="20"/>
              </w:rPr>
              <w:t>(Paperny, Ritter, and Horner JJ.A.)</w:t>
            </w:r>
          </w:p>
          <w:p w:rsidR="00A02F40" w:rsidRPr="00FA6366" w:rsidRDefault="00A02F40" w:rsidP="0079343E">
            <w:pPr>
              <w:jc w:val="both"/>
              <w:rPr>
                <w:rFonts w:eastAsia="Calibri"/>
                <w:sz w:val="20"/>
              </w:rPr>
            </w:pPr>
            <w:r w:rsidRPr="00FA6366">
              <w:rPr>
                <w:rFonts w:eastAsia="Calibri"/>
                <w:sz w:val="20"/>
              </w:rPr>
              <w:t>Neutral citation: 2010 ABCA 406</w:t>
            </w:r>
          </w:p>
          <w:p w:rsidR="00A02F40" w:rsidRPr="00FA6366" w:rsidRDefault="00A02F40" w:rsidP="0079343E">
            <w:pPr>
              <w:jc w:val="both"/>
              <w:rPr>
                <w:rFonts w:eastAsia="Calibri"/>
                <w:sz w:val="20"/>
              </w:rPr>
            </w:pPr>
          </w:p>
        </w:tc>
        <w:tc>
          <w:tcPr>
            <w:tcW w:w="243" w:type="pct"/>
          </w:tcPr>
          <w:p w:rsidR="00A02F40" w:rsidRPr="00FA6366" w:rsidRDefault="00A02F40" w:rsidP="0079343E">
            <w:pPr>
              <w:jc w:val="both"/>
              <w:rPr>
                <w:rFonts w:eastAsia="Calibri"/>
                <w:sz w:val="20"/>
              </w:rPr>
            </w:pPr>
          </w:p>
        </w:tc>
        <w:tc>
          <w:tcPr>
            <w:tcW w:w="2330" w:type="pct"/>
          </w:tcPr>
          <w:p w:rsidR="00A02F40" w:rsidRPr="00FA6366" w:rsidRDefault="00A02F40" w:rsidP="0079343E">
            <w:pPr>
              <w:jc w:val="both"/>
              <w:rPr>
                <w:rFonts w:eastAsia="Calibri"/>
                <w:sz w:val="20"/>
              </w:rPr>
            </w:pPr>
            <w:r w:rsidRPr="00FA6366">
              <w:rPr>
                <w:rFonts w:eastAsia="Calibri"/>
                <w:sz w:val="20"/>
              </w:rPr>
              <w:t>Appeal from the convictions dismissed</w:t>
            </w:r>
          </w:p>
          <w:p w:rsidR="00A02F40" w:rsidRPr="00FA6366" w:rsidRDefault="00A02F40" w:rsidP="0079343E">
            <w:pPr>
              <w:jc w:val="both"/>
              <w:rPr>
                <w:rFonts w:eastAsia="Calibri"/>
                <w:sz w:val="20"/>
              </w:rPr>
            </w:pPr>
          </w:p>
        </w:tc>
      </w:tr>
      <w:tr w:rsidR="00A02F40" w:rsidRPr="00FA6366" w:rsidTr="008320A7">
        <w:trPr>
          <w:cantSplit/>
        </w:trPr>
        <w:tc>
          <w:tcPr>
            <w:tcW w:w="2427" w:type="pct"/>
          </w:tcPr>
          <w:p w:rsidR="00A02F40" w:rsidRPr="00FA6366" w:rsidRDefault="00A02F40" w:rsidP="0079343E">
            <w:pPr>
              <w:jc w:val="both"/>
              <w:rPr>
                <w:rFonts w:eastAsia="Calibri"/>
                <w:sz w:val="20"/>
              </w:rPr>
            </w:pPr>
            <w:r w:rsidRPr="00FA6366">
              <w:rPr>
                <w:rFonts w:eastAsia="Calibri"/>
                <w:sz w:val="20"/>
              </w:rPr>
              <w:t>February 15, 2011</w:t>
            </w:r>
          </w:p>
          <w:p w:rsidR="00A02F40" w:rsidRPr="00FA6366" w:rsidRDefault="00A02F40" w:rsidP="0079343E">
            <w:pPr>
              <w:jc w:val="both"/>
              <w:rPr>
                <w:rFonts w:eastAsia="Calibri"/>
                <w:sz w:val="20"/>
              </w:rPr>
            </w:pPr>
            <w:r w:rsidRPr="00FA6366">
              <w:rPr>
                <w:rFonts w:eastAsia="Calibri"/>
                <w:sz w:val="20"/>
              </w:rPr>
              <w:t>Supreme Court of Canada</w:t>
            </w:r>
          </w:p>
        </w:tc>
        <w:tc>
          <w:tcPr>
            <w:tcW w:w="243" w:type="pct"/>
          </w:tcPr>
          <w:p w:rsidR="00A02F40" w:rsidRPr="00FA6366" w:rsidRDefault="00A02F40" w:rsidP="0079343E">
            <w:pPr>
              <w:jc w:val="both"/>
              <w:rPr>
                <w:rFonts w:eastAsia="Calibri"/>
                <w:sz w:val="20"/>
              </w:rPr>
            </w:pPr>
          </w:p>
        </w:tc>
        <w:tc>
          <w:tcPr>
            <w:tcW w:w="2330" w:type="pct"/>
          </w:tcPr>
          <w:p w:rsidR="00A02F40" w:rsidRPr="00FA6366" w:rsidRDefault="00A02F40" w:rsidP="0079343E">
            <w:pPr>
              <w:jc w:val="both"/>
              <w:rPr>
                <w:rFonts w:eastAsia="Calibri"/>
                <w:sz w:val="20"/>
              </w:rPr>
            </w:pPr>
            <w:r w:rsidRPr="00FA6366">
              <w:rPr>
                <w:rFonts w:eastAsia="Calibri"/>
                <w:sz w:val="20"/>
              </w:rPr>
              <w:t>Application for leave to appeal filed</w:t>
            </w:r>
          </w:p>
          <w:p w:rsidR="00A02F40" w:rsidRPr="00FA6366" w:rsidRDefault="00A02F40" w:rsidP="0079343E">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46"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02F40" w:rsidRPr="00F03CF9" w:rsidTr="0079343E">
        <w:tc>
          <w:tcPr>
            <w:tcW w:w="5000" w:type="pct"/>
            <w:gridSpan w:val="3"/>
          </w:tcPr>
          <w:p w:rsidR="00A02F40" w:rsidRPr="00FA6366" w:rsidRDefault="00A02F40" w:rsidP="0079343E">
            <w:pPr>
              <w:jc w:val="both"/>
              <w:rPr>
                <w:rFonts w:eastAsia="Calibri"/>
                <w:smallCaps/>
                <w:sz w:val="20"/>
                <w:lang w:val="fr-CA"/>
              </w:rPr>
            </w:pPr>
            <w:r w:rsidRPr="00FA6366">
              <w:rPr>
                <w:rFonts w:eastAsia="Calibri"/>
                <w:smallCaps/>
                <w:sz w:val="20"/>
                <w:lang w:val="fr-CA"/>
              </w:rPr>
              <w:t>(Ordonnance de non</w:t>
            </w:r>
            <w:r w:rsidRPr="00FA6366">
              <w:rPr>
                <w:rFonts w:eastAsia="Calibri"/>
                <w:smallCaps/>
                <w:sz w:val="20"/>
                <w:lang w:val="fr-CA"/>
              </w:rPr>
              <w:noBreakHyphen/>
              <w:t>publication dans le dossier) (ordonnance de non</w:t>
            </w:r>
            <w:r w:rsidRPr="00FA6366">
              <w:rPr>
                <w:rFonts w:eastAsia="Calibri"/>
                <w:smallCaps/>
                <w:sz w:val="20"/>
                <w:lang w:val="fr-CA"/>
              </w:rPr>
              <w:noBreakHyphen/>
              <w:t>publication visant une partie)</w:t>
            </w:r>
          </w:p>
          <w:p w:rsidR="00A02F40" w:rsidRPr="00FA6366" w:rsidRDefault="00A02F40" w:rsidP="0079343E">
            <w:pPr>
              <w:jc w:val="both"/>
              <w:rPr>
                <w:rFonts w:eastAsia="Calibri"/>
                <w:sz w:val="20"/>
                <w:lang w:val="fr-CA"/>
              </w:rPr>
            </w:pPr>
          </w:p>
        </w:tc>
      </w:tr>
      <w:tr w:rsidR="00A02F40" w:rsidRPr="00F03CF9" w:rsidTr="0079343E">
        <w:tc>
          <w:tcPr>
            <w:tcW w:w="5000" w:type="pct"/>
            <w:gridSpan w:val="3"/>
          </w:tcPr>
          <w:p w:rsidR="00A02F40" w:rsidRPr="00FA6366" w:rsidRDefault="00A02F40" w:rsidP="0079343E">
            <w:pPr>
              <w:jc w:val="both"/>
              <w:rPr>
                <w:rFonts w:eastAsia="Calibri"/>
                <w:sz w:val="20"/>
                <w:lang w:val="fr-CA"/>
              </w:rPr>
            </w:pPr>
            <w:r w:rsidRPr="00FA6366">
              <w:rPr>
                <w:rFonts w:eastAsia="Calibri"/>
                <w:sz w:val="20"/>
                <w:lang w:val="fr-CA"/>
              </w:rPr>
              <w:t xml:space="preserve">Droit criminel — Crédibilité — Preuve — Doute raisonnable — Application de l’arrêt </w:t>
            </w:r>
            <w:r w:rsidRPr="00FA6366">
              <w:rPr>
                <w:rFonts w:eastAsia="Calibri"/>
                <w:i/>
                <w:sz w:val="20"/>
                <w:lang w:val="fr-CA"/>
              </w:rPr>
              <w:t>R. c. W.(D.)</w:t>
            </w:r>
            <w:r w:rsidRPr="00FA6366">
              <w:rPr>
                <w:rFonts w:eastAsia="Calibri"/>
                <w:sz w:val="20"/>
                <w:lang w:val="fr-CA"/>
              </w:rPr>
              <w:t xml:space="preserve">, [1991] 1 R.C.S. 742 — Le raisonnement suivi dans l’arrêt </w:t>
            </w:r>
            <w:r w:rsidRPr="00FA6366">
              <w:rPr>
                <w:rFonts w:eastAsia="Calibri"/>
                <w:i/>
                <w:sz w:val="20"/>
                <w:lang w:val="fr-CA"/>
              </w:rPr>
              <w:t>W.(D.</w:t>
            </w:r>
            <w:r w:rsidRPr="00FA6366">
              <w:rPr>
                <w:rFonts w:eastAsia="Calibri"/>
                <w:sz w:val="20"/>
                <w:lang w:val="fr-CA"/>
              </w:rPr>
              <w:t>) devrait</w:t>
            </w:r>
            <w:r w:rsidRPr="00FA6366">
              <w:rPr>
                <w:rFonts w:eastAsia="Calibri"/>
                <w:sz w:val="20"/>
                <w:lang w:val="fr-CA"/>
              </w:rPr>
              <w:noBreakHyphen/>
              <w:t>il être clarifié? — L’expression [</w:t>
            </w:r>
            <w:r w:rsidRPr="00FA6366">
              <w:rPr>
                <w:rFonts w:eastAsia="Calibri"/>
                <w:smallCaps/>
                <w:sz w:val="20"/>
                <w:lang w:val="fr-CA"/>
              </w:rPr>
              <w:t>traduction</w:t>
            </w:r>
            <w:r w:rsidRPr="00FA6366">
              <w:rPr>
                <w:rFonts w:eastAsia="Calibri"/>
                <w:sz w:val="20"/>
                <w:lang w:val="fr-CA"/>
              </w:rPr>
              <w:t>] « rien d’incroyable » signifie</w:t>
            </w:r>
            <w:r w:rsidRPr="00FA6366">
              <w:rPr>
                <w:rFonts w:eastAsia="Calibri"/>
                <w:sz w:val="20"/>
                <w:lang w:val="fr-CA"/>
              </w:rPr>
              <w:noBreakHyphen/>
              <w:t>t</w:t>
            </w:r>
            <w:r w:rsidRPr="00FA6366">
              <w:rPr>
                <w:rFonts w:eastAsia="Calibri"/>
                <w:sz w:val="20"/>
                <w:lang w:val="fr-CA"/>
              </w:rPr>
              <w:noBreakHyphen/>
              <w:t xml:space="preserve">elle « croyable » dans le contexte du raisonnement suivi dans l’arrêt </w:t>
            </w:r>
            <w:r w:rsidRPr="00FA6366">
              <w:rPr>
                <w:rFonts w:eastAsia="Calibri"/>
                <w:i/>
                <w:sz w:val="20"/>
                <w:lang w:val="fr-CA"/>
              </w:rPr>
              <w:t>W.(D.)</w:t>
            </w:r>
            <w:r w:rsidRPr="00FA6366">
              <w:rPr>
                <w:rFonts w:eastAsia="Calibri"/>
                <w:sz w:val="20"/>
                <w:lang w:val="fr-CA"/>
              </w:rPr>
              <w:t>? — Vingt</w:t>
            </w:r>
            <w:r w:rsidRPr="00FA6366">
              <w:rPr>
                <w:rFonts w:eastAsia="Calibri"/>
                <w:sz w:val="20"/>
                <w:lang w:val="fr-CA"/>
              </w:rPr>
              <w:noBreakHyphen/>
              <w:t>sept mots suffisent</w:t>
            </w:r>
            <w:r w:rsidRPr="00FA6366">
              <w:rPr>
                <w:rFonts w:eastAsia="Calibri"/>
                <w:sz w:val="20"/>
                <w:lang w:val="fr-CA"/>
              </w:rPr>
              <w:noBreakHyphen/>
              <w:t>ils pour appliquer correctement le fardeau de la preuve, démontrer le chemin parcouru et montrer que le ministère public a fait sa preuve hors de tout doute raisonnable en une seule phrase? — L’affaire soulève</w:t>
            </w:r>
            <w:r w:rsidRPr="00FA6366">
              <w:rPr>
                <w:rFonts w:eastAsia="Calibri"/>
                <w:sz w:val="20"/>
                <w:lang w:val="fr-CA"/>
              </w:rPr>
              <w:noBreakHyphen/>
              <w:t>t</w:t>
            </w:r>
            <w:r w:rsidRPr="00FA6366">
              <w:rPr>
                <w:rFonts w:eastAsia="Calibri"/>
                <w:sz w:val="20"/>
                <w:lang w:val="fr-CA"/>
              </w:rPr>
              <w:noBreakHyphen/>
              <w:t>elle des questions d’importance pour le public?</w:t>
            </w:r>
          </w:p>
          <w:p w:rsidR="00A02F40" w:rsidRPr="00FA6366" w:rsidRDefault="00A02F40" w:rsidP="0079343E">
            <w:pPr>
              <w:jc w:val="both"/>
              <w:rPr>
                <w:rFonts w:eastAsia="Calibri"/>
                <w:sz w:val="20"/>
                <w:lang w:val="fr-CA"/>
              </w:rPr>
            </w:pPr>
          </w:p>
        </w:tc>
      </w:tr>
      <w:tr w:rsidR="00A02F40" w:rsidRPr="00F03CF9" w:rsidTr="0079343E">
        <w:tc>
          <w:tcPr>
            <w:tcW w:w="5000" w:type="pct"/>
            <w:gridSpan w:val="3"/>
          </w:tcPr>
          <w:p w:rsidR="00A02F40" w:rsidRPr="00FA6366" w:rsidRDefault="00A02F40" w:rsidP="0079343E">
            <w:pPr>
              <w:jc w:val="both"/>
              <w:rPr>
                <w:rFonts w:eastAsia="Calibri"/>
                <w:sz w:val="20"/>
                <w:lang w:val="fr-CA"/>
              </w:rPr>
            </w:pPr>
            <w:r w:rsidRPr="00FA6366">
              <w:rPr>
                <w:rFonts w:eastAsia="Calibri"/>
                <w:sz w:val="20"/>
                <w:lang w:val="fr-CA"/>
              </w:rPr>
              <w:t xml:space="preserve">Le demandeur a été accusé d’infractions impliquant les plaignantes.  Le demandeur a nié avoir touché les plaignantes.  Le juge du procès a examiné les exigences prévues dans l’arrêt </w:t>
            </w:r>
            <w:r w:rsidRPr="00FA6366">
              <w:rPr>
                <w:rFonts w:eastAsia="Calibri"/>
                <w:i/>
                <w:sz w:val="20"/>
                <w:lang w:val="fr-CA"/>
              </w:rPr>
              <w:t>W.(D.)</w:t>
            </w:r>
            <w:r w:rsidRPr="00FA6366">
              <w:rPr>
                <w:rFonts w:eastAsia="Calibri"/>
                <w:sz w:val="20"/>
                <w:lang w:val="fr-CA"/>
              </w:rPr>
              <w:t xml:space="preserve"> en considérant la question de savoir si le ministère public s’était acquitté de son fardeau de la preuve hors de tout doute raisonnable.  Le juge du procès a conclu en se fondant sur l’ensemble de la preuve que les agressions s’étaient produites comme elles avaient été décrites.  La Cour d’appel a statué que la raison pour laquelle le témoignage du demandeur n’avait pas été accepté ou qu’il ne soulevait pas de doute raisonnable ressortait clairement des motifs du juge du procès.  Les témoignages des plaignantes étaient crédibles pour les motifs exprimés par le juge du procès et celui</w:t>
            </w:r>
            <w:r w:rsidRPr="00FA6366">
              <w:rPr>
                <w:rFonts w:eastAsia="Calibri"/>
                <w:sz w:val="20"/>
                <w:lang w:val="fr-CA"/>
              </w:rPr>
              <w:noBreakHyphen/>
              <w:t>ci les a crus.  La Cour d’appel a statué que les motifs du juge procès n’étaient entachés d’aucune erreur justifiant une intervention de la Cour d’appel.  Le demandeur a été déclaré coupable et son appel de la condamnation a été rejeté.</w:t>
            </w:r>
          </w:p>
          <w:p w:rsidR="00A02F40" w:rsidRPr="00FA6366" w:rsidRDefault="00A02F40" w:rsidP="0079343E">
            <w:pPr>
              <w:jc w:val="both"/>
              <w:rPr>
                <w:rFonts w:eastAsia="Calibri"/>
                <w:sz w:val="20"/>
                <w:lang w:val="fr-CA"/>
              </w:rPr>
            </w:pPr>
          </w:p>
        </w:tc>
      </w:tr>
      <w:tr w:rsidR="00A02F40" w:rsidRPr="00F03CF9" w:rsidTr="0079343E">
        <w:tc>
          <w:tcPr>
            <w:tcW w:w="2427" w:type="pct"/>
          </w:tcPr>
          <w:p w:rsidR="00A02F40" w:rsidRPr="00FA6366" w:rsidRDefault="00A02F40" w:rsidP="0079343E">
            <w:pPr>
              <w:jc w:val="both"/>
              <w:rPr>
                <w:rFonts w:eastAsia="Calibri"/>
                <w:sz w:val="20"/>
                <w:lang w:val="fr-CA"/>
              </w:rPr>
            </w:pPr>
            <w:r w:rsidRPr="00FA6366">
              <w:rPr>
                <w:rFonts w:eastAsia="Calibri"/>
                <w:sz w:val="20"/>
                <w:lang w:val="fr-CA"/>
              </w:rPr>
              <w:t>16 septembre 2009</w:t>
            </w:r>
          </w:p>
          <w:p w:rsidR="00A02F40" w:rsidRPr="00FA6366" w:rsidRDefault="00A02F40" w:rsidP="0079343E">
            <w:pPr>
              <w:jc w:val="both"/>
              <w:rPr>
                <w:rFonts w:eastAsia="Calibri"/>
                <w:sz w:val="20"/>
                <w:lang w:val="fr-CA"/>
              </w:rPr>
            </w:pPr>
            <w:r w:rsidRPr="00FA6366">
              <w:rPr>
                <w:rFonts w:eastAsia="Calibri"/>
                <w:sz w:val="20"/>
                <w:lang w:val="fr-CA"/>
              </w:rPr>
              <w:t xml:space="preserve">Cour du Banc de la Reine de l’Alberta </w:t>
            </w:r>
          </w:p>
          <w:p w:rsidR="00A02F40" w:rsidRPr="00FA6366" w:rsidRDefault="00A02F40" w:rsidP="0079343E">
            <w:pPr>
              <w:jc w:val="both"/>
              <w:rPr>
                <w:rFonts w:eastAsia="Calibri"/>
                <w:sz w:val="20"/>
                <w:lang w:val="fr-CA"/>
              </w:rPr>
            </w:pPr>
            <w:r w:rsidRPr="00FA6366">
              <w:rPr>
                <w:rFonts w:eastAsia="Calibri"/>
                <w:sz w:val="20"/>
                <w:lang w:val="fr-CA"/>
              </w:rPr>
              <w:t>(Juge Kent)</w:t>
            </w:r>
          </w:p>
          <w:p w:rsidR="00A02F40" w:rsidRPr="00FA6366" w:rsidRDefault="00A02F40" w:rsidP="0079343E">
            <w:pPr>
              <w:jc w:val="both"/>
              <w:rPr>
                <w:rFonts w:eastAsia="Calibri"/>
                <w:sz w:val="20"/>
                <w:lang w:val="fr-CA"/>
              </w:rPr>
            </w:pPr>
          </w:p>
        </w:tc>
        <w:tc>
          <w:tcPr>
            <w:tcW w:w="243" w:type="pct"/>
          </w:tcPr>
          <w:p w:rsidR="00A02F40" w:rsidRPr="00FA6366" w:rsidRDefault="00A02F40" w:rsidP="0079343E">
            <w:pPr>
              <w:jc w:val="both"/>
              <w:rPr>
                <w:rFonts w:eastAsia="Calibri"/>
                <w:sz w:val="20"/>
                <w:lang w:val="fr-CA"/>
              </w:rPr>
            </w:pPr>
          </w:p>
        </w:tc>
        <w:tc>
          <w:tcPr>
            <w:tcW w:w="2330" w:type="pct"/>
          </w:tcPr>
          <w:p w:rsidR="00A02F40" w:rsidRPr="00FA6366" w:rsidRDefault="00A02F40" w:rsidP="0079343E">
            <w:pPr>
              <w:jc w:val="both"/>
              <w:rPr>
                <w:rFonts w:eastAsia="Calibri"/>
                <w:sz w:val="20"/>
                <w:lang w:val="fr-CA"/>
              </w:rPr>
            </w:pPr>
            <w:r w:rsidRPr="00FA6366">
              <w:rPr>
                <w:rFonts w:eastAsia="Calibri"/>
                <w:sz w:val="20"/>
                <w:lang w:val="fr-CA"/>
              </w:rPr>
              <w:t>Déclaration de culpabilité : contacts sexuels; deux chefs d’exploitation sexuelle; deux chefs d’agression sexuelle</w:t>
            </w:r>
          </w:p>
          <w:p w:rsidR="00A02F40" w:rsidRPr="00FA6366" w:rsidRDefault="00A02F40" w:rsidP="0079343E">
            <w:pPr>
              <w:jc w:val="both"/>
              <w:rPr>
                <w:rFonts w:eastAsia="Calibri"/>
                <w:sz w:val="20"/>
                <w:lang w:val="fr-CA"/>
              </w:rPr>
            </w:pPr>
          </w:p>
        </w:tc>
      </w:tr>
      <w:tr w:rsidR="00A02F40" w:rsidRPr="00F03CF9" w:rsidTr="0079343E">
        <w:tc>
          <w:tcPr>
            <w:tcW w:w="2427" w:type="pct"/>
          </w:tcPr>
          <w:p w:rsidR="00A02F40" w:rsidRPr="00FA6366" w:rsidRDefault="00A02F40" w:rsidP="0079343E">
            <w:pPr>
              <w:jc w:val="both"/>
              <w:rPr>
                <w:rFonts w:eastAsia="Calibri"/>
                <w:sz w:val="20"/>
                <w:lang w:val="fr-CA"/>
              </w:rPr>
            </w:pPr>
            <w:r w:rsidRPr="00FA6366">
              <w:rPr>
                <w:rFonts w:eastAsia="Calibri"/>
                <w:sz w:val="20"/>
                <w:lang w:val="fr-CA"/>
              </w:rPr>
              <w:t>17 décembre 2010</w:t>
            </w:r>
          </w:p>
          <w:p w:rsidR="00A02F40" w:rsidRPr="00FA6366" w:rsidRDefault="00A02F40" w:rsidP="0079343E">
            <w:pPr>
              <w:jc w:val="both"/>
              <w:rPr>
                <w:rFonts w:eastAsia="Calibri"/>
                <w:sz w:val="20"/>
                <w:lang w:val="fr-CA"/>
              </w:rPr>
            </w:pPr>
            <w:r w:rsidRPr="00FA6366">
              <w:rPr>
                <w:rFonts w:eastAsia="Calibri"/>
                <w:sz w:val="20"/>
                <w:lang w:val="fr-CA"/>
              </w:rPr>
              <w:t>Cour d’appel de l’Alberta (Calgary)</w:t>
            </w:r>
          </w:p>
          <w:p w:rsidR="00A02F40" w:rsidRPr="00FA6366" w:rsidRDefault="00A02F40" w:rsidP="0079343E">
            <w:pPr>
              <w:jc w:val="both"/>
              <w:rPr>
                <w:rFonts w:eastAsia="Calibri"/>
                <w:sz w:val="20"/>
                <w:lang w:val="fr-CA"/>
              </w:rPr>
            </w:pPr>
            <w:r w:rsidRPr="00FA6366">
              <w:rPr>
                <w:rFonts w:eastAsia="Calibri"/>
                <w:sz w:val="20"/>
                <w:lang w:val="fr-CA"/>
              </w:rPr>
              <w:t>(Juges Paperny, Ritter et Horner)</w:t>
            </w:r>
          </w:p>
          <w:p w:rsidR="00A02F40" w:rsidRPr="00FA6366" w:rsidRDefault="00A02F40" w:rsidP="0079343E">
            <w:pPr>
              <w:jc w:val="both"/>
              <w:rPr>
                <w:rFonts w:eastAsia="Calibri"/>
                <w:sz w:val="20"/>
                <w:lang w:val="fr-CA"/>
              </w:rPr>
            </w:pPr>
            <w:r w:rsidRPr="00FA6366">
              <w:rPr>
                <w:rFonts w:eastAsia="Calibri"/>
                <w:sz w:val="20"/>
                <w:lang w:val="fr-CA"/>
              </w:rPr>
              <w:t>Référence neutre : 2010 ABCA 406</w:t>
            </w:r>
          </w:p>
          <w:p w:rsidR="00A02F40" w:rsidRPr="00FA6366" w:rsidRDefault="00A02F40" w:rsidP="0079343E">
            <w:pPr>
              <w:jc w:val="both"/>
              <w:rPr>
                <w:rFonts w:eastAsia="Calibri"/>
                <w:sz w:val="20"/>
                <w:lang w:val="fr-CA"/>
              </w:rPr>
            </w:pPr>
          </w:p>
        </w:tc>
        <w:tc>
          <w:tcPr>
            <w:tcW w:w="243" w:type="pct"/>
          </w:tcPr>
          <w:p w:rsidR="00A02F40" w:rsidRPr="00FA6366" w:rsidRDefault="00A02F40" w:rsidP="0079343E">
            <w:pPr>
              <w:jc w:val="both"/>
              <w:rPr>
                <w:rFonts w:eastAsia="Calibri"/>
                <w:sz w:val="20"/>
                <w:lang w:val="fr-CA"/>
              </w:rPr>
            </w:pPr>
          </w:p>
        </w:tc>
        <w:tc>
          <w:tcPr>
            <w:tcW w:w="2330" w:type="pct"/>
          </w:tcPr>
          <w:p w:rsidR="00A02F40" w:rsidRPr="00FA6366" w:rsidRDefault="00A02F40" w:rsidP="0079343E">
            <w:pPr>
              <w:jc w:val="both"/>
              <w:rPr>
                <w:rFonts w:eastAsia="Calibri"/>
                <w:sz w:val="20"/>
                <w:lang w:val="fr-CA"/>
              </w:rPr>
            </w:pPr>
            <w:r w:rsidRPr="00FA6366">
              <w:rPr>
                <w:rFonts w:eastAsia="Calibri"/>
                <w:sz w:val="20"/>
                <w:lang w:val="fr-CA"/>
              </w:rPr>
              <w:t>Appel des déclarations de culpabilité, rejeté</w:t>
            </w:r>
          </w:p>
          <w:p w:rsidR="00A02F40" w:rsidRPr="00FA6366" w:rsidRDefault="00A02F40" w:rsidP="0079343E">
            <w:pPr>
              <w:jc w:val="both"/>
              <w:rPr>
                <w:rFonts w:eastAsia="Calibri"/>
                <w:sz w:val="20"/>
                <w:lang w:val="fr-CA"/>
              </w:rPr>
            </w:pPr>
          </w:p>
        </w:tc>
      </w:tr>
      <w:tr w:rsidR="00A02F40" w:rsidRPr="00FA6366" w:rsidTr="0079343E">
        <w:tc>
          <w:tcPr>
            <w:tcW w:w="2427" w:type="pct"/>
          </w:tcPr>
          <w:p w:rsidR="00A02F40" w:rsidRPr="00FA6366" w:rsidRDefault="00A02F40" w:rsidP="0079343E">
            <w:pPr>
              <w:jc w:val="both"/>
              <w:rPr>
                <w:rFonts w:eastAsia="Calibri"/>
                <w:sz w:val="20"/>
                <w:lang w:val="fr-CA"/>
              </w:rPr>
            </w:pPr>
            <w:r w:rsidRPr="00FA6366">
              <w:rPr>
                <w:rFonts w:eastAsia="Calibri"/>
                <w:sz w:val="20"/>
                <w:lang w:val="fr-CA"/>
              </w:rPr>
              <w:t>15 février 2011</w:t>
            </w:r>
          </w:p>
          <w:p w:rsidR="00A02F40" w:rsidRPr="00FA6366" w:rsidRDefault="00A02F40" w:rsidP="0079343E">
            <w:pPr>
              <w:jc w:val="both"/>
              <w:rPr>
                <w:rFonts w:eastAsia="Calibri"/>
                <w:sz w:val="20"/>
                <w:lang w:val="fr-CA"/>
              </w:rPr>
            </w:pPr>
            <w:r w:rsidRPr="00FA6366">
              <w:rPr>
                <w:rFonts w:eastAsia="Calibri"/>
                <w:sz w:val="20"/>
                <w:lang w:val="fr-CA"/>
              </w:rPr>
              <w:t>Cour suprême du Canada</w:t>
            </w:r>
          </w:p>
        </w:tc>
        <w:tc>
          <w:tcPr>
            <w:tcW w:w="243" w:type="pct"/>
          </w:tcPr>
          <w:p w:rsidR="00A02F40" w:rsidRPr="00FA6366" w:rsidRDefault="00A02F40" w:rsidP="0079343E">
            <w:pPr>
              <w:jc w:val="both"/>
              <w:rPr>
                <w:rFonts w:eastAsia="Calibri"/>
                <w:sz w:val="20"/>
                <w:lang w:val="fr-CA"/>
              </w:rPr>
            </w:pPr>
          </w:p>
        </w:tc>
        <w:tc>
          <w:tcPr>
            <w:tcW w:w="2330" w:type="pct"/>
          </w:tcPr>
          <w:p w:rsidR="00A02F40" w:rsidRPr="00FA6366" w:rsidRDefault="00A02F40" w:rsidP="0079343E">
            <w:pPr>
              <w:jc w:val="both"/>
              <w:rPr>
                <w:rFonts w:eastAsia="Calibri"/>
                <w:sz w:val="20"/>
                <w:lang w:val="fr-CA"/>
              </w:rPr>
            </w:pPr>
            <w:r w:rsidRPr="00FA6366">
              <w:rPr>
                <w:rFonts w:eastAsia="Calibri"/>
                <w:sz w:val="20"/>
                <w:lang w:val="fr-CA"/>
              </w:rPr>
              <w:t>Demande d’autorisation d’appel, déposée</w:t>
            </w:r>
          </w:p>
          <w:p w:rsidR="00A02F40" w:rsidRPr="00FA6366" w:rsidRDefault="00A02F40" w:rsidP="0079343E">
            <w:pPr>
              <w:jc w:val="both"/>
              <w:rPr>
                <w:rFonts w:eastAsia="Calibri"/>
                <w:sz w:val="20"/>
                <w:lang w:val="fr-CA"/>
              </w:rPr>
            </w:pPr>
          </w:p>
        </w:tc>
      </w:tr>
    </w:tbl>
    <w:p w:rsidR="00D73FFD" w:rsidRDefault="00EE1200" w:rsidP="00D73FFD">
      <w:pPr>
        <w:rPr>
          <w:sz w:val="20"/>
          <w:szCs w:val="20"/>
          <w:lang w:val="fr-CA"/>
        </w:rPr>
      </w:pPr>
      <w:r w:rsidRPr="00EE1200">
        <w:rPr>
          <w:sz w:val="20"/>
          <w:szCs w:val="20"/>
          <w:lang w:val="fr-CA"/>
        </w:rPr>
        <w:pict>
          <v:rect id="_x0000_i1047"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20A7" w:rsidRPr="000A4071" w:rsidTr="000326AA">
        <w:trPr>
          <w:cantSplit/>
        </w:trPr>
        <w:tc>
          <w:tcPr>
            <w:tcW w:w="1458" w:type="dxa"/>
          </w:tcPr>
          <w:p w:rsidR="008320A7" w:rsidRPr="000A4071" w:rsidRDefault="008320A7" w:rsidP="000326AA">
            <w:pPr>
              <w:rPr>
                <w:rFonts w:cs="Times New Roman"/>
                <w:sz w:val="20"/>
                <w:szCs w:val="20"/>
              </w:rPr>
            </w:pPr>
            <w:r w:rsidRPr="000A4071">
              <w:rPr>
                <w:rStyle w:val="SCCFileNumberChar"/>
                <w:rFonts w:cs="Times New Roman"/>
                <w:sz w:val="20"/>
                <w:szCs w:val="20"/>
              </w:rPr>
              <w:lastRenderedPageBreak/>
              <w:t>34111</w:t>
            </w:r>
          </w:p>
          <w:p w:rsidR="008320A7" w:rsidRPr="000A4071" w:rsidRDefault="008320A7" w:rsidP="000326AA">
            <w:pPr>
              <w:rPr>
                <w:rFonts w:cs="Times New Roman"/>
                <w:b/>
                <w:i/>
                <w:sz w:val="20"/>
                <w:szCs w:val="20"/>
                <w:lang w:val="fr-CA"/>
              </w:rPr>
            </w:pPr>
          </w:p>
        </w:tc>
        <w:tc>
          <w:tcPr>
            <w:tcW w:w="8118" w:type="dxa"/>
          </w:tcPr>
          <w:p w:rsidR="008320A7" w:rsidRPr="000A4071" w:rsidRDefault="008320A7" w:rsidP="008320A7">
            <w:pPr>
              <w:jc w:val="both"/>
              <w:rPr>
                <w:rFonts w:cs="Times New Roman"/>
                <w:sz w:val="20"/>
                <w:szCs w:val="20"/>
              </w:rPr>
            </w:pPr>
            <w:r w:rsidRPr="008320A7">
              <w:rPr>
                <w:rStyle w:val="SCCLsocChar"/>
                <w:rFonts w:cs="Times New Roman"/>
                <w:sz w:val="20"/>
                <w:szCs w:val="20"/>
                <w:lang w:val="en-CA"/>
              </w:rPr>
              <w:t>Tracey Margaret Harris v. Glaxosmithkline Inc., Glaxosmithkline PLC, Beecham Group PLC</w:t>
            </w:r>
            <w:r>
              <w:rPr>
                <w:rStyle w:val="SCCLsocChar"/>
                <w:rFonts w:cs="Times New Roman"/>
                <w:sz w:val="20"/>
                <w:szCs w:val="20"/>
                <w:lang w:val="en-CA"/>
              </w:rPr>
              <w:t>,</w:t>
            </w:r>
            <w:r w:rsidRPr="008320A7">
              <w:rPr>
                <w:rStyle w:val="SCCLsocChar"/>
                <w:rFonts w:cs="Times New Roman"/>
                <w:sz w:val="20"/>
                <w:szCs w:val="20"/>
                <w:lang w:val="en-CA"/>
              </w:rPr>
              <w:t xml:space="preserve"> Smithkline Beecham PLC and Smithkline Beecham Corporation</w:t>
            </w:r>
            <w:r w:rsidRPr="000A4071">
              <w:rPr>
                <w:rFonts w:cs="Times New Roman"/>
                <w:sz w:val="20"/>
                <w:szCs w:val="20"/>
              </w:rPr>
              <w:t xml:space="preserve"> (Ont.) (Civil) (By Leave)</w:t>
            </w:r>
          </w:p>
          <w:p w:rsidR="008320A7" w:rsidRPr="000A4071" w:rsidRDefault="008320A7" w:rsidP="000326AA">
            <w:pPr>
              <w:rPr>
                <w:rFonts w:cs="Times New Roman"/>
                <w:sz w:val="20"/>
                <w:szCs w:val="20"/>
              </w:rPr>
            </w:pPr>
          </w:p>
        </w:tc>
      </w:tr>
      <w:tr w:rsidR="008320A7" w:rsidRPr="000A4071" w:rsidTr="000326AA">
        <w:trPr>
          <w:cantSplit/>
        </w:trPr>
        <w:tc>
          <w:tcPr>
            <w:tcW w:w="1458" w:type="dxa"/>
          </w:tcPr>
          <w:p w:rsidR="008320A7" w:rsidRPr="000A4071" w:rsidRDefault="008320A7" w:rsidP="000326AA">
            <w:pPr>
              <w:rPr>
                <w:rFonts w:cs="Times New Roman"/>
                <w:i/>
                <w:sz w:val="20"/>
                <w:szCs w:val="20"/>
              </w:rPr>
            </w:pPr>
            <w:r w:rsidRPr="000A4071">
              <w:rPr>
                <w:rFonts w:cs="Times New Roman"/>
                <w:i/>
                <w:sz w:val="20"/>
                <w:szCs w:val="20"/>
              </w:rPr>
              <w:t>Coram :</w:t>
            </w:r>
          </w:p>
        </w:tc>
        <w:tc>
          <w:tcPr>
            <w:tcW w:w="8118" w:type="dxa"/>
          </w:tcPr>
          <w:p w:rsidR="008320A7" w:rsidRPr="000A4071" w:rsidRDefault="008320A7" w:rsidP="000326AA">
            <w:pPr>
              <w:rPr>
                <w:rFonts w:cs="Times New Roman"/>
                <w:sz w:val="20"/>
                <w:szCs w:val="20"/>
              </w:rPr>
            </w:pPr>
            <w:r w:rsidRPr="008320A7">
              <w:rPr>
                <w:rStyle w:val="SCCCoramChar"/>
                <w:rFonts w:cs="Times New Roman"/>
                <w:sz w:val="20"/>
                <w:szCs w:val="20"/>
                <w:lang w:val="en-CA"/>
              </w:rPr>
              <w:t>McLachlin C.J. and Deschamps and Charron JJ.</w:t>
            </w:r>
          </w:p>
          <w:p w:rsidR="008320A7" w:rsidRPr="000A4071" w:rsidRDefault="008320A7" w:rsidP="000326AA">
            <w:pPr>
              <w:rPr>
                <w:rFonts w:cs="Times New Roman"/>
                <w:sz w:val="20"/>
                <w:szCs w:val="20"/>
                <w:u w:val="single"/>
              </w:rPr>
            </w:pPr>
          </w:p>
        </w:tc>
      </w:tr>
      <w:tr w:rsidR="008320A7" w:rsidRPr="00F03CF9" w:rsidTr="000326AA">
        <w:trPr>
          <w:cantSplit/>
        </w:trPr>
        <w:tc>
          <w:tcPr>
            <w:tcW w:w="9576" w:type="dxa"/>
            <w:gridSpan w:val="2"/>
          </w:tcPr>
          <w:p w:rsidR="008320A7" w:rsidRPr="00522A4F" w:rsidRDefault="008320A7" w:rsidP="000326AA">
            <w:pPr>
              <w:pStyle w:val="SCCShortJudgment"/>
              <w:rPr>
                <w:rFonts w:cs="Times New Roman"/>
                <w:szCs w:val="20"/>
              </w:rPr>
            </w:pPr>
            <w:r w:rsidRPr="00522A4F">
              <w:rPr>
                <w:rFonts w:cs="Times New Roman"/>
                <w:szCs w:val="20"/>
              </w:rPr>
              <w:t>The application for leave to appeal from the judgment of the Court of Appeal for Ontario, Number C52138, 2010 ONCA 872, dated December 20, 2010, is dismissed without costs.</w:t>
            </w:r>
          </w:p>
          <w:p w:rsidR="008320A7" w:rsidRPr="00522A4F" w:rsidRDefault="008320A7" w:rsidP="000326AA">
            <w:pPr>
              <w:pStyle w:val="SCCShortJudgment"/>
              <w:ind w:firstLine="0"/>
              <w:rPr>
                <w:rFonts w:cs="Times New Roman"/>
                <w:szCs w:val="20"/>
              </w:rPr>
            </w:pPr>
          </w:p>
          <w:p w:rsidR="008320A7" w:rsidRPr="000A4071" w:rsidRDefault="008320A7" w:rsidP="000326AA">
            <w:pPr>
              <w:pStyle w:val="SCCShortJudgment"/>
              <w:rPr>
                <w:rFonts w:cs="Times New Roman"/>
                <w:i/>
                <w:szCs w:val="20"/>
                <w:lang w:val="fr-CA"/>
              </w:rPr>
            </w:pPr>
            <w:r w:rsidRPr="00522A4F">
              <w:rPr>
                <w:rFonts w:cs="Times New Roman"/>
                <w:szCs w:val="20"/>
                <w:lang w:val="fr-CA"/>
              </w:rPr>
              <w:t>La demande d’autorisation d’appel de l’arrêt de la Cour d’appel de l’Ontario, numéro C52138, 2010 ONCA 872, daté du 20 décembre 2010, est rejetée sans dépens.</w:t>
            </w:r>
          </w:p>
        </w:tc>
      </w:tr>
    </w:tbl>
    <w:p w:rsidR="008320A7" w:rsidRPr="008320A7" w:rsidRDefault="008320A7"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2F40" w:rsidRPr="00FA6366" w:rsidTr="0079343E">
        <w:tc>
          <w:tcPr>
            <w:tcW w:w="5000" w:type="pct"/>
            <w:gridSpan w:val="3"/>
          </w:tcPr>
          <w:p w:rsidR="00A02F40" w:rsidRPr="00FA6366" w:rsidRDefault="00A02F40" w:rsidP="0079343E">
            <w:pPr>
              <w:jc w:val="both"/>
              <w:rPr>
                <w:rFonts w:eastAsia="Calibri"/>
                <w:sz w:val="20"/>
              </w:rPr>
            </w:pPr>
            <w:r w:rsidRPr="00FA6366">
              <w:rPr>
                <w:rFonts w:eastAsia="Calibri"/>
                <w:sz w:val="20"/>
              </w:rPr>
              <w:t xml:space="preserve">Civil procedure — Motions to strike — Torts — Abuse of process — Conspiracy — Waiver of tort — Intellectual property — Patents — Medicines — Whether Court of Appeal erred in dismissing claims for abuse of process, conspiracy and waiver of tort — Whether Court of Appeal erred by narrowly defining tort of abuse of process and misdirecting itself on constituent elements thereof — Whether Court of Appeal erred in determining that constituent elements of tort of conspiracy are not pleaded and provable on facts of this claim — Whether Court of Appeal erred in determining that waiver of tort could not succeed because there was “no predicate wrongdoing” alleged in claim — </w:t>
            </w:r>
            <w:r w:rsidRPr="00FA6366">
              <w:rPr>
                <w:rFonts w:eastAsia="Calibri"/>
                <w:i/>
                <w:sz w:val="20"/>
              </w:rPr>
              <w:t>Rules of Civil Procedure</w:t>
            </w:r>
            <w:r w:rsidRPr="00FA6366">
              <w:rPr>
                <w:rFonts w:eastAsia="Calibri"/>
                <w:sz w:val="20"/>
              </w:rPr>
              <w:t>, R.R.O. 1990, Reg. 194, rule 21.01(1)(a), (b).</w:t>
            </w:r>
          </w:p>
          <w:p w:rsidR="00A02F40" w:rsidRPr="00FA6366" w:rsidRDefault="00A02F40" w:rsidP="0079343E">
            <w:pPr>
              <w:jc w:val="both"/>
              <w:rPr>
                <w:rFonts w:eastAsia="Calibri"/>
                <w:sz w:val="20"/>
              </w:rPr>
            </w:pPr>
          </w:p>
        </w:tc>
      </w:tr>
      <w:tr w:rsidR="00A02F40" w:rsidRPr="00FA6366" w:rsidTr="0079343E">
        <w:tc>
          <w:tcPr>
            <w:tcW w:w="5000" w:type="pct"/>
            <w:gridSpan w:val="3"/>
          </w:tcPr>
          <w:p w:rsidR="00A02F40" w:rsidRPr="00FA6366" w:rsidRDefault="00A02F40" w:rsidP="0079343E">
            <w:pPr>
              <w:jc w:val="both"/>
              <w:rPr>
                <w:rFonts w:eastAsia="Calibri"/>
                <w:sz w:val="20"/>
              </w:rPr>
            </w:pPr>
            <w:r w:rsidRPr="00FA6366">
              <w:rPr>
                <w:rFonts w:eastAsia="Calibri"/>
                <w:sz w:val="20"/>
              </w:rPr>
              <w:t xml:space="preserve">The respondents are a group of related companies engaged in the business of pharmaceutical research and development, as well as the manufacture and sale of pharmaceuticals.  One of their products is Paxil, a prescription drug used to treat anxiety, depression and other disorders.  The applicant is the representative plaintiff in a class action in which she and other Paxil users contend that from 1999 to 2003, the respondents misused a process under the </w:t>
            </w:r>
            <w:r w:rsidRPr="00FA6366">
              <w:rPr>
                <w:rFonts w:eastAsia="Calibri"/>
                <w:i/>
                <w:sz w:val="20"/>
              </w:rPr>
              <w:t>Patent Act</w:t>
            </w:r>
            <w:r w:rsidRPr="00FA6366">
              <w:rPr>
                <w:rFonts w:eastAsia="Calibri"/>
                <w:sz w:val="20"/>
              </w:rPr>
              <w:t xml:space="preserve"> to delay the entry into the Canadian market of a less expensive generic equivalent of Paxil.  During that four</w:t>
            </w:r>
            <w:r w:rsidRPr="00FA6366">
              <w:rPr>
                <w:rFonts w:eastAsia="Calibri"/>
                <w:sz w:val="20"/>
              </w:rPr>
              <w:noBreakHyphen/>
              <w:t>year period, Paxil users were required to buy Paxil at a “supra</w:t>
            </w:r>
            <w:r w:rsidRPr="00FA6366">
              <w:rPr>
                <w:rFonts w:eastAsia="Calibri"/>
                <w:sz w:val="20"/>
              </w:rPr>
              <w:noBreakHyphen/>
              <w:t>competitive” price for which they now seek to hold the respondents accountable.  In her claim on behalf of the class, the applicant alleges three causes of action against the respondents, namely abuse of process, conspiracy and waiver of tort.</w:t>
            </w:r>
          </w:p>
          <w:p w:rsidR="00A02F40" w:rsidRPr="00FA6366" w:rsidRDefault="00A02F40" w:rsidP="0079343E">
            <w:pPr>
              <w:jc w:val="both"/>
              <w:rPr>
                <w:rFonts w:eastAsia="Calibri"/>
                <w:sz w:val="20"/>
              </w:rPr>
            </w:pPr>
          </w:p>
          <w:p w:rsidR="00A02F40" w:rsidRPr="00FA6366" w:rsidRDefault="00A02F40" w:rsidP="0079343E">
            <w:pPr>
              <w:jc w:val="both"/>
              <w:rPr>
                <w:rFonts w:eastAsia="Calibri"/>
                <w:sz w:val="20"/>
              </w:rPr>
            </w:pPr>
            <w:r w:rsidRPr="00FA6366">
              <w:rPr>
                <w:rFonts w:eastAsia="Calibri"/>
                <w:sz w:val="20"/>
              </w:rPr>
              <w:t>The respondents’ motion for an order striking out the applicant’s claim and dismissing the action was granted.  The Court of Appeal upheld that decision.</w:t>
            </w:r>
          </w:p>
          <w:p w:rsidR="00A02F40" w:rsidRPr="00FA6366" w:rsidRDefault="00A02F40" w:rsidP="0079343E">
            <w:pPr>
              <w:jc w:val="both"/>
              <w:rPr>
                <w:rFonts w:eastAsia="Calibri"/>
                <w:sz w:val="20"/>
              </w:rPr>
            </w:pPr>
          </w:p>
        </w:tc>
      </w:tr>
      <w:tr w:rsidR="00A02F40" w:rsidRPr="00FA6366" w:rsidTr="0079343E">
        <w:tc>
          <w:tcPr>
            <w:tcW w:w="2427" w:type="pct"/>
          </w:tcPr>
          <w:p w:rsidR="00A02F40" w:rsidRPr="00FA6366" w:rsidRDefault="00A02F40" w:rsidP="0079343E">
            <w:pPr>
              <w:jc w:val="both"/>
              <w:rPr>
                <w:rFonts w:eastAsia="Calibri"/>
                <w:sz w:val="20"/>
              </w:rPr>
            </w:pPr>
            <w:r w:rsidRPr="00FA6366">
              <w:rPr>
                <w:rFonts w:eastAsia="Calibri"/>
                <w:sz w:val="20"/>
              </w:rPr>
              <w:t>April 22, 2010</w:t>
            </w:r>
          </w:p>
          <w:p w:rsidR="00A02F40" w:rsidRPr="00FA6366" w:rsidRDefault="00A02F40" w:rsidP="0079343E">
            <w:pPr>
              <w:jc w:val="both"/>
              <w:rPr>
                <w:rFonts w:eastAsia="Calibri"/>
                <w:sz w:val="20"/>
              </w:rPr>
            </w:pPr>
            <w:r w:rsidRPr="00FA6366">
              <w:rPr>
                <w:rFonts w:eastAsia="Calibri"/>
                <w:sz w:val="20"/>
              </w:rPr>
              <w:t>Ontario Superior Court of Justice</w:t>
            </w:r>
          </w:p>
          <w:p w:rsidR="00A02F40" w:rsidRPr="00FA6366" w:rsidRDefault="00A02F40" w:rsidP="0079343E">
            <w:pPr>
              <w:jc w:val="both"/>
              <w:rPr>
                <w:rFonts w:eastAsia="Calibri"/>
                <w:sz w:val="20"/>
              </w:rPr>
            </w:pPr>
            <w:r w:rsidRPr="00FA6366">
              <w:rPr>
                <w:rFonts w:eastAsia="Calibri"/>
                <w:sz w:val="20"/>
              </w:rPr>
              <w:t>(Perell J.)</w:t>
            </w:r>
          </w:p>
          <w:p w:rsidR="00A02F40" w:rsidRPr="00FA6366" w:rsidRDefault="00A02F40" w:rsidP="0079343E">
            <w:pPr>
              <w:jc w:val="both"/>
              <w:rPr>
                <w:rFonts w:eastAsia="Calibri"/>
                <w:sz w:val="20"/>
              </w:rPr>
            </w:pPr>
            <w:r w:rsidRPr="00FA6366">
              <w:rPr>
                <w:rFonts w:eastAsia="Calibri"/>
                <w:sz w:val="20"/>
              </w:rPr>
              <w:t>2010 ONSC 2326</w:t>
            </w:r>
          </w:p>
          <w:p w:rsidR="00A02F40" w:rsidRPr="00FA6366" w:rsidRDefault="00A02F40" w:rsidP="0079343E">
            <w:pPr>
              <w:jc w:val="both"/>
              <w:rPr>
                <w:rFonts w:eastAsia="Calibri"/>
                <w:sz w:val="20"/>
              </w:rPr>
            </w:pPr>
          </w:p>
        </w:tc>
        <w:tc>
          <w:tcPr>
            <w:tcW w:w="243" w:type="pct"/>
          </w:tcPr>
          <w:p w:rsidR="00A02F40" w:rsidRPr="00FA6366" w:rsidRDefault="00A02F40" w:rsidP="0079343E">
            <w:pPr>
              <w:jc w:val="both"/>
              <w:rPr>
                <w:rFonts w:eastAsia="Calibri"/>
                <w:sz w:val="20"/>
              </w:rPr>
            </w:pPr>
          </w:p>
        </w:tc>
        <w:tc>
          <w:tcPr>
            <w:tcW w:w="2330" w:type="pct"/>
          </w:tcPr>
          <w:p w:rsidR="00A02F40" w:rsidRPr="00FA6366" w:rsidRDefault="00A02F40" w:rsidP="0079343E">
            <w:pPr>
              <w:jc w:val="both"/>
              <w:rPr>
                <w:rFonts w:eastAsia="Calibri"/>
                <w:sz w:val="20"/>
              </w:rPr>
            </w:pPr>
            <w:r w:rsidRPr="00FA6366">
              <w:rPr>
                <w:rFonts w:eastAsia="Calibri"/>
                <w:sz w:val="20"/>
              </w:rPr>
              <w:t>Motion to strike out statement of claim granted; action dismissed</w:t>
            </w:r>
          </w:p>
          <w:p w:rsidR="00A02F40" w:rsidRPr="00FA6366" w:rsidRDefault="00A02F40" w:rsidP="0079343E">
            <w:pPr>
              <w:jc w:val="both"/>
              <w:rPr>
                <w:rFonts w:eastAsia="Calibri"/>
                <w:sz w:val="20"/>
              </w:rPr>
            </w:pPr>
          </w:p>
        </w:tc>
      </w:tr>
      <w:tr w:rsidR="00A02F40" w:rsidRPr="00FA6366" w:rsidTr="0079343E">
        <w:tc>
          <w:tcPr>
            <w:tcW w:w="2427" w:type="pct"/>
          </w:tcPr>
          <w:p w:rsidR="00A02F40" w:rsidRPr="00FA6366" w:rsidRDefault="00A02F40" w:rsidP="0079343E">
            <w:pPr>
              <w:jc w:val="both"/>
              <w:rPr>
                <w:rFonts w:eastAsia="Calibri"/>
                <w:sz w:val="20"/>
              </w:rPr>
            </w:pPr>
            <w:r w:rsidRPr="00FA6366">
              <w:rPr>
                <w:rFonts w:eastAsia="Calibri"/>
                <w:sz w:val="20"/>
              </w:rPr>
              <w:t>December 20, 2010</w:t>
            </w:r>
          </w:p>
          <w:p w:rsidR="00A02F40" w:rsidRPr="00FA6366" w:rsidRDefault="00A02F40" w:rsidP="0079343E">
            <w:pPr>
              <w:jc w:val="both"/>
              <w:rPr>
                <w:rFonts w:eastAsia="Calibri"/>
                <w:sz w:val="20"/>
              </w:rPr>
            </w:pPr>
            <w:r w:rsidRPr="00FA6366">
              <w:rPr>
                <w:rFonts w:eastAsia="Calibri"/>
                <w:sz w:val="20"/>
              </w:rPr>
              <w:t>Court of Appeal for Ontario</w:t>
            </w:r>
          </w:p>
          <w:p w:rsidR="00A02F40" w:rsidRPr="00FA6366" w:rsidRDefault="00A02F40" w:rsidP="0079343E">
            <w:pPr>
              <w:jc w:val="both"/>
              <w:rPr>
                <w:rFonts w:eastAsia="Calibri"/>
                <w:sz w:val="20"/>
              </w:rPr>
            </w:pPr>
            <w:r w:rsidRPr="00FA6366">
              <w:rPr>
                <w:rFonts w:eastAsia="Calibri"/>
                <w:sz w:val="20"/>
              </w:rPr>
              <w:t>(Rosenberg, Moldaver and Karakatsanis JJ.A.)</w:t>
            </w:r>
          </w:p>
          <w:p w:rsidR="00A02F40" w:rsidRPr="00FA6366" w:rsidRDefault="00A02F40" w:rsidP="0079343E">
            <w:pPr>
              <w:jc w:val="both"/>
              <w:rPr>
                <w:rFonts w:eastAsia="Calibri"/>
                <w:sz w:val="20"/>
              </w:rPr>
            </w:pPr>
            <w:r w:rsidRPr="00FA6366">
              <w:rPr>
                <w:rFonts w:eastAsia="Calibri"/>
                <w:sz w:val="20"/>
              </w:rPr>
              <w:t>2010 ONCA 872</w:t>
            </w:r>
          </w:p>
          <w:p w:rsidR="00A02F40" w:rsidRPr="00FA6366" w:rsidRDefault="00A02F40" w:rsidP="0079343E">
            <w:pPr>
              <w:jc w:val="both"/>
              <w:rPr>
                <w:rFonts w:eastAsia="Calibri"/>
                <w:sz w:val="20"/>
              </w:rPr>
            </w:pPr>
          </w:p>
        </w:tc>
        <w:tc>
          <w:tcPr>
            <w:tcW w:w="243" w:type="pct"/>
          </w:tcPr>
          <w:p w:rsidR="00A02F40" w:rsidRPr="00FA6366" w:rsidRDefault="00A02F40" w:rsidP="0079343E">
            <w:pPr>
              <w:jc w:val="both"/>
              <w:rPr>
                <w:rFonts w:eastAsia="Calibri"/>
                <w:sz w:val="20"/>
              </w:rPr>
            </w:pPr>
          </w:p>
        </w:tc>
        <w:tc>
          <w:tcPr>
            <w:tcW w:w="2330" w:type="pct"/>
          </w:tcPr>
          <w:p w:rsidR="00A02F40" w:rsidRPr="00FA6366" w:rsidRDefault="00A02F40" w:rsidP="0079343E">
            <w:pPr>
              <w:jc w:val="both"/>
              <w:rPr>
                <w:rFonts w:eastAsia="Calibri"/>
                <w:sz w:val="20"/>
              </w:rPr>
            </w:pPr>
            <w:r w:rsidRPr="00FA6366">
              <w:rPr>
                <w:rFonts w:eastAsia="Calibri"/>
                <w:sz w:val="20"/>
              </w:rPr>
              <w:t>Appeal dismissed</w:t>
            </w:r>
          </w:p>
          <w:p w:rsidR="00A02F40" w:rsidRPr="00FA6366" w:rsidRDefault="00A02F40" w:rsidP="0079343E">
            <w:pPr>
              <w:jc w:val="both"/>
              <w:rPr>
                <w:rFonts w:eastAsia="Calibri"/>
                <w:sz w:val="20"/>
              </w:rPr>
            </w:pPr>
          </w:p>
        </w:tc>
      </w:tr>
      <w:tr w:rsidR="00A02F40" w:rsidRPr="00FA6366" w:rsidTr="0079343E">
        <w:tc>
          <w:tcPr>
            <w:tcW w:w="2427" w:type="pct"/>
          </w:tcPr>
          <w:p w:rsidR="00A02F40" w:rsidRPr="00FA6366" w:rsidRDefault="00A02F40" w:rsidP="0079343E">
            <w:pPr>
              <w:jc w:val="both"/>
              <w:rPr>
                <w:rFonts w:eastAsia="Calibri"/>
                <w:sz w:val="20"/>
              </w:rPr>
            </w:pPr>
            <w:r w:rsidRPr="00FA6366">
              <w:rPr>
                <w:rFonts w:eastAsia="Calibri"/>
                <w:sz w:val="20"/>
              </w:rPr>
              <w:t>February 18, 2011</w:t>
            </w:r>
          </w:p>
          <w:p w:rsidR="00A02F40" w:rsidRPr="00FA6366" w:rsidRDefault="00A02F40" w:rsidP="0079343E">
            <w:pPr>
              <w:jc w:val="both"/>
              <w:rPr>
                <w:rFonts w:eastAsia="Calibri"/>
                <w:sz w:val="20"/>
              </w:rPr>
            </w:pPr>
            <w:r w:rsidRPr="00FA6366">
              <w:rPr>
                <w:rFonts w:eastAsia="Calibri"/>
                <w:sz w:val="20"/>
              </w:rPr>
              <w:t>Supreme Court of Canada</w:t>
            </w:r>
          </w:p>
        </w:tc>
        <w:tc>
          <w:tcPr>
            <w:tcW w:w="243" w:type="pct"/>
          </w:tcPr>
          <w:p w:rsidR="00A02F40" w:rsidRPr="00FA6366" w:rsidRDefault="00A02F40" w:rsidP="0079343E">
            <w:pPr>
              <w:jc w:val="both"/>
              <w:rPr>
                <w:rFonts w:eastAsia="Calibri"/>
                <w:sz w:val="20"/>
              </w:rPr>
            </w:pPr>
          </w:p>
        </w:tc>
        <w:tc>
          <w:tcPr>
            <w:tcW w:w="2330" w:type="pct"/>
          </w:tcPr>
          <w:p w:rsidR="00A02F40" w:rsidRPr="00FA6366" w:rsidRDefault="00A02F40" w:rsidP="0079343E">
            <w:pPr>
              <w:jc w:val="both"/>
              <w:rPr>
                <w:rFonts w:eastAsia="Calibri"/>
                <w:sz w:val="20"/>
              </w:rPr>
            </w:pPr>
            <w:r w:rsidRPr="00FA6366">
              <w:rPr>
                <w:rFonts w:eastAsia="Calibri"/>
                <w:sz w:val="20"/>
              </w:rPr>
              <w:t>Application for leave to appeal filed</w:t>
            </w:r>
          </w:p>
          <w:p w:rsidR="00A02F40" w:rsidRPr="00FA6366" w:rsidRDefault="00A02F40" w:rsidP="0079343E">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48" style="width:2in;height:1pt" o:hrpct="0" o:hralign="center" o:hrstd="t" o:hrnoshade="t" o:hr="t" fillcolor="black [3213]" stroked="f"/>
        </w:pict>
      </w:r>
    </w:p>
    <w:p w:rsidR="00A1379E" w:rsidRDefault="00A1379E">
      <w:pPr>
        <w:rPr>
          <w:sz w:val="20"/>
          <w:szCs w:val="20"/>
        </w:rPr>
      </w:pPr>
      <w:r>
        <w:rPr>
          <w:sz w:val="20"/>
          <w:szCs w:val="20"/>
        </w:rPr>
        <w:br w:type="page"/>
      </w:r>
    </w:p>
    <w:p w:rsidR="00D73FFD" w:rsidRPr="00D73FFD" w:rsidRDefault="00D73FFD" w:rsidP="00D73FFD">
      <w:pPr>
        <w:rPr>
          <w:sz w:val="20"/>
          <w:szCs w:val="20"/>
        </w:rPr>
      </w:pPr>
      <w:r>
        <w:rPr>
          <w:sz w:val="20"/>
          <w:szCs w:val="20"/>
          <w:u w:val="single"/>
        </w:rPr>
        <w:lastRenderedPageBreak/>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02F40" w:rsidRPr="00710BD3" w:rsidTr="0079343E">
        <w:tc>
          <w:tcPr>
            <w:tcW w:w="5000" w:type="pct"/>
            <w:gridSpan w:val="3"/>
          </w:tcPr>
          <w:p w:rsidR="00A02F40" w:rsidRPr="00FA6366" w:rsidRDefault="00A02F40" w:rsidP="0079343E">
            <w:pPr>
              <w:jc w:val="both"/>
              <w:rPr>
                <w:rFonts w:eastAsia="Calibri"/>
                <w:sz w:val="20"/>
                <w:lang w:val="fr-CA"/>
              </w:rPr>
            </w:pPr>
            <w:r w:rsidRPr="00FA6366">
              <w:rPr>
                <w:rFonts w:eastAsia="Calibri"/>
                <w:sz w:val="20"/>
                <w:lang w:val="fr-CA"/>
              </w:rPr>
              <w:t>Procédure civile — Motions en radiation — Responsabilité délictuelle — Abus de procédure — Complot — Renonciation à un recours délictuel — Propriété intellectuelle — Brevets — Médicaments — La Cour d’appel a</w:t>
            </w:r>
            <w:r w:rsidRPr="00FA6366">
              <w:rPr>
                <w:rFonts w:eastAsia="Calibri"/>
                <w:sz w:val="20"/>
                <w:lang w:val="fr-CA"/>
              </w:rPr>
              <w:noBreakHyphen/>
              <w:t>t</w:t>
            </w:r>
            <w:r w:rsidRPr="00FA6366">
              <w:rPr>
                <w:rFonts w:eastAsia="Calibri"/>
                <w:sz w:val="20"/>
                <w:lang w:val="fr-CA"/>
              </w:rPr>
              <w:noBreakHyphen/>
              <w:t>elle eu tort de rejeter des allégations d’abus de procédure, de complot et de renonciation à un recours délictuel? — La Cour d’appel a</w:t>
            </w:r>
            <w:r w:rsidRPr="00FA6366">
              <w:rPr>
                <w:rFonts w:eastAsia="Calibri"/>
                <w:sz w:val="20"/>
                <w:lang w:val="fr-CA"/>
              </w:rPr>
              <w:noBreakHyphen/>
              <w:t>t</w:t>
            </w:r>
            <w:r w:rsidRPr="00FA6366">
              <w:rPr>
                <w:rFonts w:eastAsia="Calibri"/>
                <w:sz w:val="20"/>
                <w:lang w:val="fr-CA"/>
              </w:rPr>
              <w:noBreakHyphen/>
              <w:t>elle commis une erreur en définissant étroitement le délit civil d’abus de procédure et s’est</w:t>
            </w:r>
            <w:r w:rsidRPr="00FA6366">
              <w:rPr>
                <w:rFonts w:eastAsia="Calibri"/>
                <w:sz w:val="20"/>
                <w:lang w:val="fr-CA"/>
              </w:rPr>
              <w:noBreakHyphen/>
              <w:t>elle méprise quant aux éléments constitutifs de ce délit? — La Cour d’appel a</w:t>
            </w:r>
            <w:r w:rsidRPr="00FA6366">
              <w:rPr>
                <w:rFonts w:eastAsia="Calibri"/>
                <w:sz w:val="20"/>
                <w:lang w:val="fr-CA"/>
              </w:rPr>
              <w:noBreakHyphen/>
              <w:t>t</w:t>
            </w:r>
            <w:r w:rsidRPr="00FA6366">
              <w:rPr>
                <w:rFonts w:eastAsia="Calibri"/>
                <w:sz w:val="20"/>
                <w:lang w:val="fr-CA"/>
              </w:rPr>
              <w:noBreakHyphen/>
              <w:t>elle eu tort de conclure que les éléments constitutifs du délit civil de complot ne sont pas plaidés et prouvables à partir des faits allégués dans la présente demande? — La Cour d’appel a</w:t>
            </w:r>
            <w:r w:rsidRPr="00FA6366">
              <w:rPr>
                <w:rFonts w:eastAsia="Calibri"/>
                <w:sz w:val="20"/>
                <w:lang w:val="fr-CA"/>
              </w:rPr>
              <w:noBreakHyphen/>
              <w:t>t</w:t>
            </w:r>
            <w:r w:rsidRPr="00FA6366">
              <w:rPr>
                <w:rFonts w:eastAsia="Calibri"/>
                <w:sz w:val="20"/>
                <w:lang w:val="fr-CA"/>
              </w:rPr>
              <w:noBreakHyphen/>
              <w:t>elle eu tort de conclure que le moyen fondé sur la renonciation à un recours délictuel ne pouvait réussir, puisque la demande ne renfermait aucune allégation de faute? —</w:t>
            </w:r>
            <w:r w:rsidRPr="00FA6366">
              <w:rPr>
                <w:rFonts w:eastAsia="Calibri"/>
                <w:i/>
                <w:sz w:val="20"/>
                <w:lang w:val="fr-CA"/>
              </w:rPr>
              <w:t xml:space="preserve"> Règles de procédure civile</w:t>
            </w:r>
            <w:r w:rsidRPr="00FA6366">
              <w:rPr>
                <w:rFonts w:eastAsia="Calibri"/>
                <w:sz w:val="20"/>
                <w:lang w:val="fr-CA"/>
              </w:rPr>
              <w:t>, R.R.O. 1990, règl. 194, al. 21.01(1)a), b).</w:t>
            </w:r>
          </w:p>
          <w:p w:rsidR="00A02F40" w:rsidRPr="00FA6366" w:rsidRDefault="00A02F40" w:rsidP="0079343E">
            <w:pPr>
              <w:jc w:val="both"/>
              <w:rPr>
                <w:rFonts w:eastAsia="Calibri"/>
                <w:sz w:val="20"/>
                <w:lang w:val="fr-CA"/>
              </w:rPr>
            </w:pPr>
          </w:p>
        </w:tc>
      </w:tr>
      <w:tr w:rsidR="00A02F40" w:rsidRPr="00FA6366" w:rsidTr="0079343E">
        <w:tc>
          <w:tcPr>
            <w:tcW w:w="5000" w:type="pct"/>
            <w:gridSpan w:val="3"/>
          </w:tcPr>
          <w:p w:rsidR="00A02F40" w:rsidRPr="00FA6366" w:rsidRDefault="00A02F40" w:rsidP="0079343E">
            <w:pPr>
              <w:jc w:val="both"/>
              <w:rPr>
                <w:rFonts w:eastAsia="Calibri"/>
                <w:sz w:val="20"/>
                <w:lang w:val="fr-CA"/>
              </w:rPr>
            </w:pPr>
            <w:r w:rsidRPr="00FA6366">
              <w:rPr>
                <w:rFonts w:eastAsia="Calibri"/>
                <w:sz w:val="20"/>
                <w:lang w:val="fr-CA"/>
              </w:rPr>
              <w:t>Les intimées sont un groupe de sociétés liées qui se livrent à des activités de recherche et de développement dans le domaine pharmaceutique et de fabrication et de vente de produits pharmaceutiques.  Un de leurs produits est le Paxil, un médicament sur ordonnance utilisé dans le traitement de l’anxiété, de la dépression et d’autres troubles.  La demanderesse est la représentante d’un groupe de demandeurs dans un recours collectif dans lequel elle et d’autres utilisateurs du Paxil allèguent qu’entre 1999 et 2003, les intimées auraient abusé d’un processus en vertu de la</w:t>
            </w:r>
            <w:r w:rsidRPr="00FA6366">
              <w:rPr>
                <w:rFonts w:eastAsia="Calibri"/>
                <w:i/>
                <w:sz w:val="20"/>
                <w:lang w:val="fr-CA"/>
              </w:rPr>
              <w:t xml:space="preserve"> Loi sur les brevets</w:t>
            </w:r>
            <w:r w:rsidRPr="00FA6366">
              <w:rPr>
                <w:rFonts w:eastAsia="Calibri"/>
                <w:sz w:val="20"/>
                <w:lang w:val="fr-CA"/>
              </w:rPr>
              <w:t xml:space="preserve"> pour retarder la mise en marché au Canada d’un équivalent générique moins cher du Paxil. Pendant cette période de quatre ans, les utilisateurs de Paxil devaient acheter ce médicament à un [</w:t>
            </w:r>
            <w:r w:rsidRPr="00FA6366">
              <w:rPr>
                <w:rFonts w:eastAsia="Calibri"/>
                <w:smallCaps/>
                <w:sz w:val="20"/>
                <w:lang w:val="fr-CA"/>
              </w:rPr>
              <w:t>traduction</w:t>
            </w:r>
            <w:r w:rsidRPr="00FA6366">
              <w:rPr>
                <w:rFonts w:eastAsia="Calibri"/>
                <w:sz w:val="20"/>
                <w:lang w:val="fr-CA"/>
              </w:rPr>
              <w:t>] « prix excessif » pour lequel ils demandent maintenant que les intimées soient tenues responsables.  Dans sa demande au nom du groupe, la demanderesse allègue trois causes d’action contre les intimées, c’est</w:t>
            </w:r>
            <w:r w:rsidRPr="00FA6366">
              <w:rPr>
                <w:rFonts w:eastAsia="Calibri"/>
                <w:sz w:val="20"/>
                <w:lang w:val="fr-CA"/>
              </w:rPr>
              <w:noBreakHyphen/>
              <w:t>à</w:t>
            </w:r>
            <w:r w:rsidRPr="00FA6366">
              <w:rPr>
                <w:rFonts w:eastAsia="Calibri"/>
                <w:sz w:val="20"/>
                <w:lang w:val="fr-CA"/>
              </w:rPr>
              <w:noBreakHyphen/>
              <w:t>dire l’abus de procédure, le complot et la renonciation à un recours délictuel.</w:t>
            </w:r>
          </w:p>
          <w:p w:rsidR="00A02F40" w:rsidRPr="00FA6366" w:rsidRDefault="00A02F40" w:rsidP="0079343E">
            <w:pPr>
              <w:jc w:val="both"/>
              <w:rPr>
                <w:rFonts w:eastAsia="Calibri"/>
                <w:sz w:val="20"/>
                <w:lang w:val="fr-CA"/>
              </w:rPr>
            </w:pPr>
          </w:p>
          <w:p w:rsidR="00A02F40" w:rsidRPr="00FA6366" w:rsidRDefault="00A02F40" w:rsidP="0079343E">
            <w:pPr>
              <w:jc w:val="both"/>
              <w:rPr>
                <w:rFonts w:eastAsia="Calibri"/>
                <w:sz w:val="20"/>
                <w:lang w:val="fr-CA"/>
              </w:rPr>
            </w:pPr>
            <w:r w:rsidRPr="00FA6366">
              <w:rPr>
                <w:rFonts w:eastAsia="Calibri"/>
                <w:sz w:val="20"/>
                <w:lang w:val="fr-CA"/>
              </w:rPr>
              <w:t>La motion des intimées en radiation de la demande de la demanderesse et en rejet de l’action a été accueillie.  La Cour d’appel a confirmé cette décision.</w:t>
            </w:r>
          </w:p>
          <w:p w:rsidR="00A02F40" w:rsidRPr="00FA6366" w:rsidRDefault="00A02F40" w:rsidP="0079343E">
            <w:pPr>
              <w:jc w:val="both"/>
              <w:rPr>
                <w:rFonts w:eastAsia="Calibri"/>
                <w:sz w:val="20"/>
                <w:lang w:val="fr-CA"/>
              </w:rPr>
            </w:pPr>
          </w:p>
        </w:tc>
      </w:tr>
      <w:tr w:rsidR="00A02F40" w:rsidRPr="00F03CF9" w:rsidTr="0079343E">
        <w:tc>
          <w:tcPr>
            <w:tcW w:w="2427" w:type="pct"/>
          </w:tcPr>
          <w:p w:rsidR="00A02F40" w:rsidRPr="00FA6366" w:rsidRDefault="00A02F40" w:rsidP="0079343E">
            <w:pPr>
              <w:jc w:val="both"/>
              <w:rPr>
                <w:rFonts w:eastAsia="Calibri"/>
                <w:sz w:val="20"/>
                <w:lang w:val="fr-CA"/>
              </w:rPr>
            </w:pPr>
            <w:r w:rsidRPr="00FA6366">
              <w:rPr>
                <w:rFonts w:eastAsia="Calibri"/>
                <w:sz w:val="20"/>
                <w:lang w:val="fr-CA"/>
              </w:rPr>
              <w:t>22 avril 2010</w:t>
            </w:r>
          </w:p>
          <w:p w:rsidR="00A02F40" w:rsidRPr="00FA6366" w:rsidRDefault="00A02F40" w:rsidP="0079343E">
            <w:pPr>
              <w:jc w:val="both"/>
              <w:rPr>
                <w:rFonts w:eastAsia="Calibri"/>
                <w:sz w:val="20"/>
                <w:lang w:val="fr-CA"/>
              </w:rPr>
            </w:pPr>
            <w:r w:rsidRPr="00FA6366">
              <w:rPr>
                <w:rFonts w:eastAsia="Calibri"/>
                <w:sz w:val="20"/>
                <w:lang w:val="fr-CA"/>
              </w:rPr>
              <w:t>Cour supérieure de justice de l’Ontario</w:t>
            </w:r>
          </w:p>
          <w:p w:rsidR="00A02F40" w:rsidRPr="00FA6366" w:rsidRDefault="00A02F40" w:rsidP="0079343E">
            <w:pPr>
              <w:jc w:val="both"/>
              <w:rPr>
                <w:rFonts w:eastAsia="Calibri"/>
                <w:sz w:val="20"/>
                <w:lang w:val="fr-CA"/>
              </w:rPr>
            </w:pPr>
            <w:r w:rsidRPr="00FA6366">
              <w:rPr>
                <w:rFonts w:eastAsia="Calibri"/>
                <w:sz w:val="20"/>
                <w:lang w:val="fr-CA"/>
              </w:rPr>
              <w:t>(Juge Perell)</w:t>
            </w:r>
          </w:p>
          <w:p w:rsidR="00A02F40" w:rsidRPr="00FA6366" w:rsidRDefault="00A02F40" w:rsidP="0079343E">
            <w:pPr>
              <w:jc w:val="both"/>
              <w:rPr>
                <w:rFonts w:eastAsia="Calibri"/>
                <w:sz w:val="20"/>
                <w:lang w:val="fr-CA"/>
              </w:rPr>
            </w:pPr>
            <w:r w:rsidRPr="00FA6366">
              <w:rPr>
                <w:rFonts w:eastAsia="Calibri"/>
                <w:sz w:val="20"/>
                <w:lang w:val="fr-CA"/>
              </w:rPr>
              <w:t>2010 ONSC 2326</w:t>
            </w:r>
          </w:p>
          <w:p w:rsidR="00A02F40" w:rsidRPr="00FA6366" w:rsidRDefault="00A02F40" w:rsidP="0079343E">
            <w:pPr>
              <w:jc w:val="both"/>
              <w:rPr>
                <w:rFonts w:eastAsia="Calibri"/>
                <w:sz w:val="20"/>
                <w:lang w:val="fr-CA"/>
              </w:rPr>
            </w:pPr>
          </w:p>
        </w:tc>
        <w:tc>
          <w:tcPr>
            <w:tcW w:w="243" w:type="pct"/>
          </w:tcPr>
          <w:p w:rsidR="00A02F40" w:rsidRPr="00FA6366" w:rsidRDefault="00A02F40" w:rsidP="0079343E">
            <w:pPr>
              <w:jc w:val="both"/>
              <w:rPr>
                <w:rFonts w:eastAsia="Calibri"/>
                <w:sz w:val="20"/>
                <w:lang w:val="fr-CA"/>
              </w:rPr>
            </w:pPr>
          </w:p>
        </w:tc>
        <w:tc>
          <w:tcPr>
            <w:tcW w:w="2330" w:type="pct"/>
          </w:tcPr>
          <w:p w:rsidR="00A02F40" w:rsidRPr="00FA6366" w:rsidRDefault="00A02F40" w:rsidP="0079343E">
            <w:pPr>
              <w:jc w:val="both"/>
              <w:rPr>
                <w:rFonts w:eastAsia="Calibri"/>
                <w:sz w:val="20"/>
                <w:lang w:val="fr-CA"/>
              </w:rPr>
            </w:pPr>
            <w:r w:rsidRPr="00FA6366">
              <w:rPr>
                <w:rFonts w:eastAsia="Calibri"/>
                <w:sz w:val="20"/>
                <w:lang w:val="fr-CA"/>
              </w:rPr>
              <w:t>Motion en radiation de la déclaration, accueillie; action rejetée</w:t>
            </w:r>
          </w:p>
          <w:p w:rsidR="00A02F40" w:rsidRPr="00FA6366" w:rsidRDefault="00A02F40" w:rsidP="0079343E">
            <w:pPr>
              <w:jc w:val="both"/>
              <w:rPr>
                <w:rFonts w:eastAsia="Calibri"/>
                <w:sz w:val="20"/>
                <w:lang w:val="fr-CA"/>
              </w:rPr>
            </w:pPr>
          </w:p>
        </w:tc>
      </w:tr>
      <w:tr w:rsidR="00A02F40" w:rsidRPr="00FA6366" w:rsidTr="0079343E">
        <w:tc>
          <w:tcPr>
            <w:tcW w:w="2427" w:type="pct"/>
          </w:tcPr>
          <w:p w:rsidR="00A02F40" w:rsidRPr="00FA6366" w:rsidRDefault="00A02F40" w:rsidP="0079343E">
            <w:pPr>
              <w:jc w:val="both"/>
              <w:rPr>
                <w:rFonts w:eastAsia="Calibri"/>
                <w:sz w:val="20"/>
                <w:lang w:val="fr-CA"/>
              </w:rPr>
            </w:pPr>
            <w:r w:rsidRPr="00FA6366">
              <w:rPr>
                <w:rFonts w:eastAsia="Calibri"/>
                <w:sz w:val="20"/>
                <w:lang w:val="fr-CA"/>
              </w:rPr>
              <w:t>20 décembre 2010</w:t>
            </w:r>
          </w:p>
          <w:p w:rsidR="00A02F40" w:rsidRPr="00FA6366" w:rsidRDefault="00A02F40" w:rsidP="0079343E">
            <w:pPr>
              <w:jc w:val="both"/>
              <w:rPr>
                <w:rFonts w:eastAsia="Calibri"/>
                <w:sz w:val="20"/>
                <w:lang w:val="fr-CA"/>
              </w:rPr>
            </w:pPr>
            <w:r w:rsidRPr="00FA6366">
              <w:rPr>
                <w:rFonts w:eastAsia="Calibri"/>
                <w:sz w:val="20"/>
                <w:lang w:val="fr-CA"/>
              </w:rPr>
              <w:t>Cour d’appel de l’Ontario</w:t>
            </w:r>
          </w:p>
          <w:p w:rsidR="00A02F40" w:rsidRPr="00FA6366" w:rsidRDefault="00A02F40" w:rsidP="0079343E">
            <w:pPr>
              <w:jc w:val="both"/>
              <w:rPr>
                <w:rFonts w:eastAsia="Calibri"/>
                <w:sz w:val="20"/>
                <w:lang w:val="fr-CA"/>
              </w:rPr>
            </w:pPr>
            <w:r w:rsidRPr="00FA6366">
              <w:rPr>
                <w:rFonts w:eastAsia="Calibri"/>
                <w:sz w:val="20"/>
                <w:lang w:val="fr-CA"/>
              </w:rPr>
              <w:t>(Juges Rosenberg, Moldaver et Karakatsanis)</w:t>
            </w:r>
          </w:p>
          <w:p w:rsidR="00A02F40" w:rsidRPr="00FA6366" w:rsidRDefault="00A02F40" w:rsidP="0079343E">
            <w:pPr>
              <w:jc w:val="both"/>
              <w:rPr>
                <w:rFonts w:eastAsia="Calibri"/>
                <w:sz w:val="20"/>
                <w:lang w:val="fr-CA"/>
              </w:rPr>
            </w:pPr>
            <w:r w:rsidRPr="00FA6366">
              <w:rPr>
                <w:rFonts w:eastAsia="Calibri"/>
                <w:sz w:val="20"/>
                <w:lang w:val="fr-CA"/>
              </w:rPr>
              <w:t>2010 ONCA 872</w:t>
            </w:r>
          </w:p>
          <w:p w:rsidR="00A02F40" w:rsidRPr="00FA6366" w:rsidRDefault="00A02F40" w:rsidP="0079343E">
            <w:pPr>
              <w:jc w:val="both"/>
              <w:rPr>
                <w:rFonts w:eastAsia="Calibri"/>
                <w:sz w:val="20"/>
                <w:lang w:val="fr-CA"/>
              </w:rPr>
            </w:pPr>
          </w:p>
        </w:tc>
        <w:tc>
          <w:tcPr>
            <w:tcW w:w="243" w:type="pct"/>
          </w:tcPr>
          <w:p w:rsidR="00A02F40" w:rsidRPr="00FA6366" w:rsidRDefault="00A02F40" w:rsidP="0079343E">
            <w:pPr>
              <w:jc w:val="both"/>
              <w:rPr>
                <w:rFonts w:eastAsia="Calibri"/>
                <w:sz w:val="20"/>
                <w:lang w:val="fr-CA"/>
              </w:rPr>
            </w:pPr>
          </w:p>
        </w:tc>
        <w:tc>
          <w:tcPr>
            <w:tcW w:w="2330" w:type="pct"/>
          </w:tcPr>
          <w:p w:rsidR="00A02F40" w:rsidRPr="00FA6366" w:rsidRDefault="00A02F40" w:rsidP="0079343E">
            <w:pPr>
              <w:jc w:val="both"/>
              <w:rPr>
                <w:rFonts w:eastAsia="Calibri"/>
                <w:sz w:val="20"/>
                <w:lang w:val="fr-CA"/>
              </w:rPr>
            </w:pPr>
            <w:r w:rsidRPr="00FA6366">
              <w:rPr>
                <w:rFonts w:eastAsia="Calibri"/>
                <w:sz w:val="20"/>
                <w:lang w:val="fr-CA"/>
              </w:rPr>
              <w:t>Appel rejeté</w:t>
            </w:r>
          </w:p>
          <w:p w:rsidR="00A02F40" w:rsidRPr="00FA6366" w:rsidRDefault="00A02F40" w:rsidP="0079343E">
            <w:pPr>
              <w:jc w:val="both"/>
              <w:rPr>
                <w:rFonts w:eastAsia="Calibri"/>
                <w:sz w:val="20"/>
                <w:lang w:val="fr-CA"/>
              </w:rPr>
            </w:pPr>
          </w:p>
        </w:tc>
      </w:tr>
      <w:tr w:rsidR="00A02F40" w:rsidRPr="00FA6366" w:rsidTr="0079343E">
        <w:tc>
          <w:tcPr>
            <w:tcW w:w="2427" w:type="pct"/>
          </w:tcPr>
          <w:p w:rsidR="00A02F40" w:rsidRPr="00FA6366" w:rsidRDefault="00A02F40" w:rsidP="0079343E">
            <w:pPr>
              <w:jc w:val="both"/>
              <w:rPr>
                <w:rFonts w:eastAsia="Calibri"/>
                <w:sz w:val="20"/>
                <w:lang w:val="fr-CA"/>
              </w:rPr>
            </w:pPr>
            <w:r w:rsidRPr="00FA6366">
              <w:rPr>
                <w:rFonts w:eastAsia="Calibri"/>
                <w:sz w:val="20"/>
                <w:lang w:val="fr-CA"/>
              </w:rPr>
              <w:t>18 février 2011</w:t>
            </w:r>
          </w:p>
          <w:p w:rsidR="00A02F40" w:rsidRPr="00FA6366" w:rsidRDefault="00A02F40" w:rsidP="0079343E">
            <w:pPr>
              <w:jc w:val="both"/>
              <w:rPr>
                <w:rFonts w:eastAsia="Calibri"/>
                <w:sz w:val="20"/>
                <w:lang w:val="fr-CA"/>
              </w:rPr>
            </w:pPr>
            <w:r w:rsidRPr="00FA6366">
              <w:rPr>
                <w:rFonts w:eastAsia="Calibri"/>
                <w:sz w:val="20"/>
                <w:lang w:val="fr-CA"/>
              </w:rPr>
              <w:t>Cour suprême du Canada</w:t>
            </w:r>
          </w:p>
        </w:tc>
        <w:tc>
          <w:tcPr>
            <w:tcW w:w="243" w:type="pct"/>
          </w:tcPr>
          <w:p w:rsidR="00A02F40" w:rsidRPr="00FA6366" w:rsidRDefault="00A02F40" w:rsidP="0079343E">
            <w:pPr>
              <w:jc w:val="both"/>
              <w:rPr>
                <w:rFonts w:eastAsia="Calibri"/>
                <w:sz w:val="20"/>
                <w:lang w:val="fr-CA"/>
              </w:rPr>
            </w:pPr>
          </w:p>
        </w:tc>
        <w:tc>
          <w:tcPr>
            <w:tcW w:w="2330" w:type="pct"/>
          </w:tcPr>
          <w:p w:rsidR="00A02F40" w:rsidRPr="00FA6366" w:rsidRDefault="00A02F40" w:rsidP="0079343E">
            <w:pPr>
              <w:jc w:val="both"/>
              <w:rPr>
                <w:rFonts w:eastAsia="Calibri"/>
                <w:sz w:val="20"/>
                <w:lang w:val="fr-CA"/>
              </w:rPr>
            </w:pPr>
            <w:r w:rsidRPr="00FA6366">
              <w:rPr>
                <w:rFonts w:eastAsia="Calibri"/>
                <w:sz w:val="20"/>
                <w:lang w:val="fr-CA"/>
              </w:rPr>
              <w:t>Demande d’autorisation d’appel, déposée</w:t>
            </w:r>
          </w:p>
          <w:p w:rsidR="00A02F40" w:rsidRPr="00FA6366" w:rsidRDefault="00A02F40" w:rsidP="0079343E">
            <w:pPr>
              <w:jc w:val="both"/>
              <w:rPr>
                <w:rFonts w:eastAsia="Calibri"/>
                <w:sz w:val="20"/>
                <w:lang w:val="fr-CA"/>
              </w:rPr>
            </w:pP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49"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A37AF" w:rsidRPr="00F03CF9" w:rsidTr="000326AA">
        <w:trPr>
          <w:cantSplit/>
        </w:trPr>
        <w:tc>
          <w:tcPr>
            <w:tcW w:w="1458" w:type="dxa"/>
          </w:tcPr>
          <w:p w:rsidR="002A37AF" w:rsidRPr="002A37AF" w:rsidRDefault="002A37AF" w:rsidP="000326AA">
            <w:pPr>
              <w:rPr>
                <w:rFonts w:cs="Times New Roman"/>
                <w:sz w:val="20"/>
                <w:szCs w:val="20"/>
              </w:rPr>
            </w:pPr>
            <w:r w:rsidRPr="002A37AF">
              <w:rPr>
                <w:rStyle w:val="SCCFileNumberChar"/>
                <w:rFonts w:cs="Times New Roman"/>
                <w:sz w:val="20"/>
                <w:szCs w:val="20"/>
              </w:rPr>
              <w:t>34148</w:t>
            </w:r>
          </w:p>
          <w:p w:rsidR="002A37AF" w:rsidRPr="002A37AF" w:rsidRDefault="002A37AF" w:rsidP="000326AA">
            <w:pPr>
              <w:rPr>
                <w:rFonts w:cs="Times New Roman"/>
                <w:b/>
                <w:sz w:val="20"/>
                <w:szCs w:val="20"/>
                <w:lang w:val="fr-CA"/>
              </w:rPr>
            </w:pPr>
          </w:p>
        </w:tc>
        <w:tc>
          <w:tcPr>
            <w:tcW w:w="8118" w:type="dxa"/>
          </w:tcPr>
          <w:p w:rsidR="002A37AF" w:rsidRPr="002A37AF" w:rsidRDefault="002A37AF" w:rsidP="000326AA">
            <w:pPr>
              <w:rPr>
                <w:rFonts w:cs="Times New Roman"/>
                <w:sz w:val="20"/>
                <w:szCs w:val="20"/>
                <w:lang w:val="fr-CA"/>
              </w:rPr>
            </w:pPr>
            <w:r w:rsidRPr="002A37AF">
              <w:rPr>
                <w:rStyle w:val="SCCLsocChar"/>
                <w:rFonts w:cs="Times New Roman"/>
                <w:sz w:val="20"/>
                <w:szCs w:val="20"/>
              </w:rPr>
              <w:t>Van-Thang Nguyen c. Ordre des acupuncteurs du Québec</w:t>
            </w:r>
            <w:r w:rsidRPr="002A37AF">
              <w:rPr>
                <w:rFonts w:cs="Times New Roman"/>
                <w:sz w:val="20"/>
                <w:szCs w:val="20"/>
                <w:lang w:val="fr-CA"/>
              </w:rPr>
              <w:t xml:space="preserve"> (Qc) (Civile) (Autorisation)</w:t>
            </w:r>
          </w:p>
          <w:p w:rsidR="002A37AF" w:rsidRPr="002A37AF" w:rsidRDefault="002A37AF" w:rsidP="000326AA">
            <w:pPr>
              <w:rPr>
                <w:rFonts w:cs="Times New Roman"/>
                <w:sz w:val="20"/>
                <w:szCs w:val="20"/>
                <w:lang w:val="fr-CA"/>
              </w:rPr>
            </w:pPr>
          </w:p>
        </w:tc>
      </w:tr>
      <w:tr w:rsidR="002A37AF" w:rsidRPr="00F03CF9" w:rsidTr="000326AA">
        <w:trPr>
          <w:cantSplit/>
        </w:trPr>
        <w:tc>
          <w:tcPr>
            <w:tcW w:w="1458" w:type="dxa"/>
          </w:tcPr>
          <w:p w:rsidR="002A37AF" w:rsidRPr="002A37AF" w:rsidRDefault="002A37AF" w:rsidP="000326AA">
            <w:pPr>
              <w:rPr>
                <w:rFonts w:cs="Times New Roman"/>
                <w:sz w:val="20"/>
                <w:szCs w:val="20"/>
              </w:rPr>
            </w:pPr>
            <w:r w:rsidRPr="002A37AF">
              <w:rPr>
                <w:rFonts w:cs="Times New Roman"/>
                <w:sz w:val="20"/>
                <w:szCs w:val="20"/>
              </w:rPr>
              <w:t>Coram :</w:t>
            </w:r>
          </w:p>
        </w:tc>
        <w:tc>
          <w:tcPr>
            <w:tcW w:w="8118" w:type="dxa"/>
          </w:tcPr>
          <w:p w:rsidR="002A37AF" w:rsidRPr="002A37AF" w:rsidRDefault="002A37AF" w:rsidP="000326AA">
            <w:pPr>
              <w:rPr>
                <w:rFonts w:cs="Times New Roman"/>
                <w:sz w:val="20"/>
                <w:szCs w:val="20"/>
                <w:lang w:val="fr-CA"/>
              </w:rPr>
            </w:pPr>
            <w:r w:rsidRPr="002A37AF">
              <w:rPr>
                <w:rStyle w:val="SCCCoramChar"/>
                <w:rFonts w:cs="Times New Roman"/>
                <w:sz w:val="20"/>
                <w:szCs w:val="20"/>
              </w:rPr>
              <w:t>Les juges LeBel, Fish et Cromwell</w:t>
            </w:r>
          </w:p>
          <w:p w:rsidR="002A37AF" w:rsidRPr="002A37AF" w:rsidRDefault="002A37AF" w:rsidP="000326AA">
            <w:pPr>
              <w:rPr>
                <w:rFonts w:cs="Times New Roman"/>
                <w:sz w:val="20"/>
                <w:szCs w:val="20"/>
                <w:u w:val="single"/>
                <w:lang w:val="fr-CA"/>
              </w:rPr>
            </w:pPr>
          </w:p>
        </w:tc>
      </w:tr>
      <w:tr w:rsidR="002A37AF" w:rsidRPr="002A37AF" w:rsidTr="000326AA">
        <w:trPr>
          <w:cantSplit/>
        </w:trPr>
        <w:tc>
          <w:tcPr>
            <w:tcW w:w="9576" w:type="dxa"/>
            <w:gridSpan w:val="2"/>
          </w:tcPr>
          <w:p w:rsidR="002A37AF" w:rsidRPr="002A37AF" w:rsidRDefault="002A37AF" w:rsidP="000326AA">
            <w:pPr>
              <w:pStyle w:val="SCCShortJudgment"/>
              <w:rPr>
                <w:rFonts w:cs="Times New Roman"/>
                <w:szCs w:val="20"/>
                <w:lang w:val="fr-CA"/>
              </w:rPr>
            </w:pPr>
            <w:r w:rsidRPr="002A37AF">
              <w:rPr>
                <w:rFonts w:cs="Times New Roman"/>
                <w:szCs w:val="20"/>
                <w:lang w:val="fr-CA"/>
              </w:rPr>
              <w:t>La demande d’autorisation d’appel de l’arrêt de la Cour d’appel du Québec (Montréal), numéro 500-09-021176-102, 2011 QCCA 373, daté du 21 février 2011, est rejetée avec dépens.</w:t>
            </w:r>
          </w:p>
          <w:p w:rsidR="002A37AF" w:rsidRPr="002A37AF" w:rsidRDefault="002A37AF" w:rsidP="000326AA">
            <w:pPr>
              <w:pStyle w:val="SCCShortJudgment"/>
              <w:ind w:firstLine="0"/>
              <w:rPr>
                <w:rFonts w:cs="Times New Roman"/>
                <w:szCs w:val="20"/>
                <w:lang w:val="fr-CA"/>
              </w:rPr>
            </w:pPr>
          </w:p>
          <w:p w:rsidR="002A37AF" w:rsidRPr="002A37AF" w:rsidRDefault="002A37AF" w:rsidP="000326AA">
            <w:pPr>
              <w:pStyle w:val="SCCShortJudgment"/>
              <w:rPr>
                <w:rFonts w:cs="Times New Roman"/>
                <w:szCs w:val="20"/>
              </w:rPr>
            </w:pPr>
            <w:r w:rsidRPr="002A37AF">
              <w:rPr>
                <w:rFonts w:cs="Times New Roman"/>
                <w:szCs w:val="20"/>
              </w:rPr>
              <w:t>The application for leave to appeal from the judgment of the Court of Appeal of Quebec (Montréal), Number 500-09-021176-102, 2011 QCCA 373, dated February 21, 2011, is dismissed with costs.</w:t>
            </w:r>
          </w:p>
        </w:tc>
      </w:tr>
    </w:tbl>
    <w:p w:rsidR="002A37AF" w:rsidRDefault="002A37AF" w:rsidP="00D73FFD">
      <w:pPr>
        <w:rPr>
          <w:sz w:val="20"/>
          <w:szCs w:val="20"/>
        </w:rPr>
      </w:pPr>
    </w:p>
    <w:p w:rsidR="00D73FFD" w:rsidRDefault="00D73FFD" w:rsidP="00D73FFD">
      <w:pPr>
        <w:rPr>
          <w:sz w:val="20"/>
          <w:szCs w:val="20"/>
        </w:rPr>
      </w:pPr>
      <w:r>
        <w:rPr>
          <w:sz w:val="20"/>
          <w:szCs w:val="20"/>
          <w:u w:val="single"/>
        </w:rPr>
        <w:lastRenderedPageBreak/>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2F40" w:rsidRPr="00FA6366" w:rsidTr="0079343E">
        <w:tc>
          <w:tcPr>
            <w:tcW w:w="5000" w:type="pct"/>
            <w:gridSpan w:val="3"/>
          </w:tcPr>
          <w:p w:rsidR="00A02F40" w:rsidRPr="00FA6366" w:rsidRDefault="00A02F40" w:rsidP="0079343E">
            <w:pPr>
              <w:jc w:val="both"/>
              <w:rPr>
                <w:rFonts w:eastAsia="Calibri"/>
                <w:sz w:val="20"/>
              </w:rPr>
            </w:pPr>
            <w:r w:rsidRPr="00FA6366">
              <w:rPr>
                <w:rFonts w:eastAsia="Calibri"/>
                <w:i/>
                <w:sz w:val="20"/>
              </w:rPr>
              <w:t xml:space="preserve">Canadian Charter </w:t>
            </w:r>
            <w:r w:rsidRPr="00FA6366">
              <w:rPr>
                <w:rFonts w:eastAsia="Calibri"/>
                <w:sz w:val="20"/>
              </w:rPr>
              <w:t xml:space="preserve">— Law of professions — Acupuncturists — Discipline — Civil procedure — Appeals — Dismissal of appeal — Whether s. 48 of </w:t>
            </w:r>
            <w:r w:rsidRPr="00FA6366">
              <w:rPr>
                <w:rFonts w:eastAsia="Calibri"/>
                <w:i/>
                <w:sz w:val="20"/>
              </w:rPr>
              <w:t>Professional Code</w:t>
            </w:r>
            <w:r w:rsidRPr="00FA6366">
              <w:rPr>
                <w:rFonts w:eastAsia="Calibri"/>
                <w:sz w:val="20"/>
              </w:rPr>
              <w:t>, R.S.Q. c. C</w:t>
            </w:r>
            <w:r w:rsidRPr="00FA6366">
              <w:rPr>
                <w:rFonts w:eastAsia="Calibri"/>
                <w:sz w:val="20"/>
              </w:rPr>
              <w:noBreakHyphen/>
              <w:t>26, anti</w:t>
            </w:r>
            <w:r w:rsidRPr="00FA6366">
              <w:rPr>
                <w:rFonts w:eastAsia="Calibri"/>
                <w:sz w:val="20"/>
              </w:rPr>
              <w:noBreakHyphen/>
              <w:t xml:space="preserve">constitutional — Whether order made by professional order under s. 48 of </w:t>
            </w:r>
            <w:r w:rsidRPr="00FA6366">
              <w:rPr>
                <w:rFonts w:eastAsia="Calibri"/>
                <w:i/>
                <w:sz w:val="20"/>
              </w:rPr>
              <w:t>Professional Code</w:t>
            </w:r>
            <w:r w:rsidRPr="00FA6366">
              <w:rPr>
                <w:rFonts w:eastAsia="Calibri"/>
                <w:sz w:val="20"/>
              </w:rPr>
              <w:t xml:space="preserve"> consistent with s. 7 of </w:t>
            </w:r>
            <w:r w:rsidRPr="00FA6366">
              <w:rPr>
                <w:rFonts w:eastAsia="Calibri"/>
                <w:i/>
                <w:sz w:val="20"/>
              </w:rPr>
              <w:t>Canadian Charter</w:t>
            </w:r>
            <w:r w:rsidRPr="00FA6366">
              <w:rPr>
                <w:rFonts w:eastAsia="Calibri"/>
                <w:sz w:val="20"/>
              </w:rPr>
              <w:t xml:space="preserve"> and s. 5 of Quebec </w:t>
            </w:r>
            <w:r w:rsidRPr="00FA6366">
              <w:rPr>
                <w:rFonts w:eastAsia="Calibri"/>
                <w:i/>
                <w:sz w:val="20"/>
              </w:rPr>
              <w:t>Charter</w:t>
            </w:r>
            <w:r w:rsidRPr="00FA6366">
              <w:rPr>
                <w:rFonts w:eastAsia="Calibri"/>
                <w:sz w:val="20"/>
              </w:rPr>
              <w:t xml:space="preserve"> — Whether order made by professional order under s. 48 of </w:t>
            </w:r>
            <w:r w:rsidRPr="00FA6366">
              <w:rPr>
                <w:rFonts w:eastAsia="Calibri"/>
                <w:i/>
                <w:sz w:val="20"/>
              </w:rPr>
              <w:t>Professional Code</w:t>
            </w:r>
            <w:r w:rsidRPr="00FA6366">
              <w:rPr>
                <w:rFonts w:eastAsia="Calibri"/>
                <w:sz w:val="20"/>
              </w:rPr>
              <w:t xml:space="preserve"> requiring professional to consult behavioural psychologist and undergo psychometric tests was consistent with arts. 3, 7, 10, 11, 12 and 36 para. 4 of </w:t>
            </w:r>
            <w:r w:rsidRPr="00FA6366">
              <w:rPr>
                <w:rFonts w:eastAsia="Calibri"/>
                <w:i/>
                <w:sz w:val="20"/>
              </w:rPr>
              <w:t>Civil Code of Québec</w:t>
            </w:r>
            <w:r w:rsidRPr="00FA6366">
              <w:rPr>
                <w:rFonts w:eastAsia="Calibri"/>
                <w:sz w:val="20"/>
              </w:rPr>
              <w:t>, S.Q. 1991, c. 64.</w:t>
            </w:r>
          </w:p>
          <w:p w:rsidR="00A02F40" w:rsidRPr="00FA6366" w:rsidRDefault="00A02F40" w:rsidP="0079343E">
            <w:pPr>
              <w:jc w:val="both"/>
              <w:rPr>
                <w:rFonts w:eastAsia="Calibri"/>
                <w:sz w:val="20"/>
              </w:rPr>
            </w:pPr>
          </w:p>
        </w:tc>
      </w:tr>
      <w:tr w:rsidR="00A02F40" w:rsidRPr="00FA6366" w:rsidTr="0079343E">
        <w:tc>
          <w:tcPr>
            <w:tcW w:w="5000" w:type="pct"/>
            <w:gridSpan w:val="3"/>
          </w:tcPr>
          <w:p w:rsidR="00A02F40" w:rsidRPr="00FA6366" w:rsidRDefault="00A02F40" w:rsidP="0079343E">
            <w:pPr>
              <w:jc w:val="both"/>
              <w:rPr>
                <w:rFonts w:eastAsia="Calibri"/>
                <w:sz w:val="20"/>
              </w:rPr>
            </w:pPr>
            <w:r w:rsidRPr="00FA6366">
              <w:rPr>
                <w:rFonts w:eastAsia="Calibri"/>
                <w:sz w:val="20"/>
              </w:rPr>
              <w:t xml:space="preserve">Mr. Nguyen and the Ordre des acupuncteurs du Québec (“OAQ”) were parties to a transaction within the meaning of the </w:t>
            </w:r>
            <w:r w:rsidRPr="00FA6366">
              <w:rPr>
                <w:rFonts w:eastAsia="Calibri"/>
                <w:i/>
                <w:sz w:val="20"/>
              </w:rPr>
              <w:t>Civil Code of Québec</w:t>
            </w:r>
            <w:r w:rsidRPr="00FA6366">
              <w:rPr>
                <w:rFonts w:eastAsia="Calibri"/>
                <w:sz w:val="20"/>
              </w:rPr>
              <w:t>, the purpose of which was to reach an out</w:t>
            </w:r>
            <w:r w:rsidRPr="00FA6366">
              <w:rPr>
                <w:rFonts w:eastAsia="Calibri"/>
                <w:sz w:val="20"/>
              </w:rPr>
              <w:noBreakHyphen/>
              <w:t>of</w:t>
            </w:r>
            <w:r w:rsidRPr="00FA6366">
              <w:rPr>
                <w:rFonts w:eastAsia="Calibri"/>
                <w:sz w:val="20"/>
              </w:rPr>
              <w:noBreakHyphen/>
              <w:t>court settlement in a dispute arising out of disciplinary proceedings against Mr. Nguyen.  The transaction required Mr. Nguyen to take several steps before he could return to the OAQ and receive his permit to practice, including undergoing psychometric tests and a recorded assessment of his oral communication with his patients.  However, Mr. Nguyen refused to undergo the first test and challenged the validity of the assessment report for the second test because of the delay in producing it. He brought a motion seeking a permanent injunction and $3,151,000 in compensatory and punitive damages from the OAQ.  The Superior Court concluded that the OAQ was not at fault and that there was no evidence concerning the extent of the damage allegedly suffered by Mr. Nguyen.  The Court of Appeal allowed the OAQ’s motion to dismiss Mr. Nguyen’s appeal because, in its view, the appeal had no reasonable chance of success.</w:t>
            </w:r>
          </w:p>
          <w:p w:rsidR="00A02F40" w:rsidRPr="00FA6366" w:rsidRDefault="00A02F40" w:rsidP="0079343E">
            <w:pPr>
              <w:jc w:val="both"/>
              <w:rPr>
                <w:rFonts w:eastAsia="Calibri"/>
                <w:sz w:val="20"/>
              </w:rPr>
            </w:pPr>
          </w:p>
        </w:tc>
      </w:tr>
      <w:tr w:rsidR="00A02F40" w:rsidRPr="00FA6366" w:rsidTr="0079343E">
        <w:tc>
          <w:tcPr>
            <w:tcW w:w="2427" w:type="pct"/>
          </w:tcPr>
          <w:p w:rsidR="00A02F40" w:rsidRPr="00FA6366" w:rsidRDefault="00A02F40" w:rsidP="0079343E">
            <w:pPr>
              <w:jc w:val="both"/>
              <w:rPr>
                <w:rFonts w:eastAsia="Calibri"/>
                <w:sz w:val="20"/>
              </w:rPr>
            </w:pPr>
            <w:r w:rsidRPr="00FA6366">
              <w:rPr>
                <w:rFonts w:eastAsia="Calibri"/>
                <w:sz w:val="20"/>
              </w:rPr>
              <w:t>November 12, 2010</w:t>
            </w:r>
          </w:p>
          <w:p w:rsidR="00A02F40" w:rsidRPr="00FA6366" w:rsidRDefault="00A02F40" w:rsidP="0079343E">
            <w:pPr>
              <w:jc w:val="both"/>
              <w:rPr>
                <w:rFonts w:eastAsia="Calibri"/>
                <w:sz w:val="20"/>
              </w:rPr>
            </w:pPr>
            <w:r w:rsidRPr="00FA6366">
              <w:rPr>
                <w:rFonts w:eastAsia="Calibri"/>
                <w:sz w:val="20"/>
              </w:rPr>
              <w:t>Quebec Superior Court</w:t>
            </w:r>
          </w:p>
          <w:p w:rsidR="00A02F40" w:rsidRPr="00FA6366" w:rsidRDefault="00A02F40" w:rsidP="0079343E">
            <w:pPr>
              <w:jc w:val="both"/>
              <w:rPr>
                <w:rFonts w:eastAsia="Calibri"/>
                <w:sz w:val="20"/>
              </w:rPr>
            </w:pPr>
            <w:r w:rsidRPr="00FA6366">
              <w:rPr>
                <w:rFonts w:eastAsia="Calibri"/>
                <w:sz w:val="20"/>
              </w:rPr>
              <w:t>(Chrétien J.)</w:t>
            </w:r>
          </w:p>
          <w:p w:rsidR="00A02F40" w:rsidRPr="00FA6366" w:rsidRDefault="00A02F40" w:rsidP="0079343E">
            <w:pPr>
              <w:jc w:val="both"/>
              <w:rPr>
                <w:rFonts w:eastAsia="Calibri"/>
                <w:sz w:val="20"/>
              </w:rPr>
            </w:pPr>
            <w:r w:rsidRPr="00FA6366">
              <w:rPr>
                <w:rFonts w:eastAsia="Calibri"/>
                <w:sz w:val="20"/>
              </w:rPr>
              <w:t>Neutral citation: 2010 QCCS 6002</w:t>
            </w:r>
          </w:p>
          <w:p w:rsidR="00A02F40" w:rsidRPr="00FA6366" w:rsidRDefault="00A02F40" w:rsidP="0079343E">
            <w:pPr>
              <w:jc w:val="both"/>
              <w:rPr>
                <w:rFonts w:eastAsia="Calibri"/>
                <w:sz w:val="20"/>
              </w:rPr>
            </w:pPr>
          </w:p>
        </w:tc>
        <w:tc>
          <w:tcPr>
            <w:tcW w:w="243" w:type="pct"/>
          </w:tcPr>
          <w:p w:rsidR="00A02F40" w:rsidRPr="00FA6366" w:rsidRDefault="00A02F40" w:rsidP="0079343E">
            <w:pPr>
              <w:jc w:val="both"/>
              <w:rPr>
                <w:rFonts w:eastAsia="Calibri"/>
                <w:sz w:val="20"/>
              </w:rPr>
            </w:pPr>
          </w:p>
        </w:tc>
        <w:tc>
          <w:tcPr>
            <w:tcW w:w="2330" w:type="pct"/>
          </w:tcPr>
          <w:p w:rsidR="00A02F40" w:rsidRPr="00FA6366" w:rsidRDefault="00A02F40" w:rsidP="0079343E">
            <w:pPr>
              <w:jc w:val="both"/>
              <w:rPr>
                <w:rFonts w:eastAsia="Calibri"/>
                <w:sz w:val="20"/>
              </w:rPr>
            </w:pPr>
            <w:r w:rsidRPr="00FA6366">
              <w:rPr>
                <w:rFonts w:eastAsia="Calibri"/>
                <w:sz w:val="20"/>
              </w:rPr>
              <w:t>Motion for permanent injunction and damages dismissed</w:t>
            </w:r>
          </w:p>
        </w:tc>
      </w:tr>
      <w:tr w:rsidR="00A02F40" w:rsidRPr="00FA6366" w:rsidTr="0079343E">
        <w:tc>
          <w:tcPr>
            <w:tcW w:w="2427" w:type="pct"/>
          </w:tcPr>
          <w:p w:rsidR="00A02F40" w:rsidRPr="00FA6366" w:rsidRDefault="00A02F40" w:rsidP="0079343E">
            <w:pPr>
              <w:jc w:val="both"/>
              <w:rPr>
                <w:rFonts w:eastAsia="Calibri"/>
                <w:sz w:val="20"/>
              </w:rPr>
            </w:pPr>
            <w:r w:rsidRPr="00FA6366">
              <w:rPr>
                <w:rFonts w:eastAsia="Calibri"/>
                <w:sz w:val="20"/>
              </w:rPr>
              <w:t>February 21, 2011</w:t>
            </w:r>
          </w:p>
          <w:p w:rsidR="00A02F40" w:rsidRPr="00FA6366" w:rsidRDefault="00A02F40" w:rsidP="0079343E">
            <w:pPr>
              <w:jc w:val="both"/>
              <w:rPr>
                <w:rFonts w:eastAsia="Calibri"/>
                <w:sz w:val="20"/>
              </w:rPr>
            </w:pPr>
            <w:r w:rsidRPr="00FA6366">
              <w:rPr>
                <w:rFonts w:eastAsia="Calibri"/>
                <w:sz w:val="20"/>
              </w:rPr>
              <w:t xml:space="preserve">Quebec Court of Appeal (Montréal) </w:t>
            </w:r>
          </w:p>
          <w:p w:rsidR="00A02F40" w:rsidRPr="00FA6366" w:rsidRDefault="00A02F40" w:rsidP="0079343E">
            <w:pPr>
              <w:jc w:val="both"/>
              <w:rPr>
                <w:rFonts w:eastAsia="Calibri"/>
                <w:sz w:val="20"/>
              </w:rPr>
            </w:pPr>
            <w:r w:rsidRPr="00FA6366">
              <w:rPr>
                <w:rFonts w:eastAsia="Calibri"/>
                <w:sz w:val="20"/>
              </w:rPr>
              <w:t>(Morissette, Vézina and Bouchard JJ.A.)</w:t>
            </w:r>
          </w:p>
          <w:p w:rsidR="00A02F40" w:rsidRPr="00FA6366" w:rsidRDefault="00A02F40" w:rsidP="0079343E">
            <w:pPr>
              <w:jc w:val="both"/>
              <w:rPr>
                <w:rFonts w:eastAsia="Calibri"/>
                <w:sz w:val="20"/>
              </w:rPr>
            </w:pPr>
            <w:r w:rsidRPr="00FA6366">
              <w:rPr>
                <w:rFonts w:eastAsia="Calibri"/>
                <w:sz w:val="20"/>
              </w:rPr>
              <w:t xml:space="preserve">Neutral citation: 2011 QCCA 373 </w:t>
            </w:r>
          </w:p>
          <w:p w:rsidR="00A02F40" w:rsidRPr="00FA6366" w:rsidRDefault="00A02F40" w:rsidP="0079343E">
            <w:pPr>
              <w:jc w:val="both"/>
              <w:rPr>
                <w:rFonts w:eastAsia="Calibri"/>
                <w:sz w:val="20"/>
              </w:rPr>
            </w:pPr>
          </w:p>
        </w:tc>
        <w:tc>
          <w:tcPr>
            <w:tcW w:w="243" w:type="pct"/>
          </w:tcPr>
          <w:p w:rsidR="00A02F40" w:rsidRPr="00FA6366" w:rsidRDefault="00A02F40" w:rsidP="0079343E">
            <w:pPr>
              <w:jc w:val="both"/>
              <w:rPr>
                <w:rFonts w:eastAsia="Calibri"/>
                <w:sz w:val="20"/>
              </w:rPr>
            </w:pPr>
          </w:p>
        </w:tc>
        <w:tc>
          <w:tcPr>
            <w:tcW w:w="2330" w:type="pct"/>
          </w:tcPr>
          <w:p w:rsidR="00A02F40" w:rsidRPr="00FA6366" w:rsidRDefault="00A02F40" w:rsidP="0079343E">
            <w:pPr>
              <w:jc w:val="both"/>
              <w:rPr>
                <w:rFonts w:eastAsia="Calibri"/>
                <w:sz w:val="20"/>
              </w:rPr>
            </w:pPr>
            <w:r w:rsidRPr="00FA6366">
              <w:rPr>
                <w:rFonts w:eastAsia="Calibri"/>
                <w:sz w:val="20"/>
              </w:rPr>
              <w:t>Motion to dismiss appeal allowed; motion to declare applicant quarrelsome litigant dismissed</w:t>
            </w:r>
          </w:p>
          <w:p w:rsidR="00A02F40" w:rsidRPr="00FA6366" w:rsidRDefault="00A02F40" w:rsidP="0079343E">
            <w:pPr>
              <w:jc w:val="both"/>
              <w:rPr>
                <w:rFonts w:eastAsia="Calibri"/>
                <w:sz w:val="20"/>
              </w:rPr>
            </w:pPr>
          </w:p>
        </w:tc>
      </w:tr>
      <w:tr w:rsidR="00A02F40" w:rsidRPr="00FA6366" w:rsidTr="0079343E">
        <w:tc>
          <w:tcPr>
            <w:tcW w:w="2427" w:type="pct"/>
          </w:tcPr>
          <w:p w:rsidR="00A02F40" w:rsidRPr="00FA6366" w:rsidRDefault="00A02F40" w:rsidP="0079343E">
            <w:pPr>
              <w:jc w:val="both"/>
              <w:rPr>
                <w:rFonts w:eastAsia="Calibri"/>
                <w:sz w:val="20"/>
              </w:rPr>
            </w:pPr>
            <w:r w:rsidRPr="00FA6366">
              <w:rPr>
                <w:rFonts w:eastAsia="Calibri"/>
                <w:sz w:val="20"/>
              </w:rPr>
              <w:t>March 22, 2011</w:t>
            </w:r>
          </w:p>
          <w:p w:rsidR="00A02F40" w:rsidRPr="00FA6366" w:rsidRDefault="00A02F40" w:rsidP="0079343E">
            <w:pPr>
              <w:jc w:val="both"/>
              <w:rPr>
                <w:rFonts w:eastAsia="Calibri"/>
                <w:sz w:val="20"/>
              </w:rPr>
            </w:pPr>
            <w:r w:rsidRPr="00FA6366">
              <w:rPr>
                <w:rFonts w:eastAsia="Calibri"/>
                <w:sz w:val="20"/>
              </w:rPr>
              <w:t>Supreme Court of Canada</w:t>
            </w:r>
          </w:p>
        </w:tc>
        <w:tc>
          <w:tcPr>
            <w:tcW w:w="243" w:type="pct"/>
          </w:tcPr>
          <w:p w:rsidR="00A02F40" w:rsidRPr="00FA6366" w:rsidRDefault="00A02F40" w:rsidP="0079343E">
            <w:pPr>
              <w:jc w:val="both"/>
              <w:rPr>
                <w:rFonts w:eastAsia="Calibri"/>
                <w:sz w:val="20"/>
              </w:rPr>
            </w:pPr>
          </w:p>
        </w:tc>
        <w:tc>
          <w:tcPr>
            <w:tcW w:w="2330" w:type="pct"/>
          </w:tcPr>
          <w:p w:rsidR="00A02F40" w:rsidRPr="00FA6366" w:rsidRDefault="00A02F40" w:rsidP="0079343E">
            <w:pPr>
              <w:jc w:val="both"/>
              <w:rPr>
                <w:rFonts w:eastAsia="Calibri"/>
                <w:sz w:val="20"/>
              </w:rPr>
            </w:pPr>
            <w:r w:rsidRPr="00FA6366">
              <w:rPr>
                <w:rFonts w:eastAsia="Calibri"/>
                <w:sz w:val="20"/>
              </w:rPr>
              <w:t>Application for leave to appeal filed</w:t>
            </w:r>
          </w:p>
          <w:p w:rsidR="00A02F40" w:rsidRPr="00FA6366" w:rsidRDefault="00A02F40" w:rsidP="0079343E">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50"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2F40" w:rsidRPr="00F03CF9" w:rsidTr="0079343E">
        <w:tc>
          <w:tcPr>
            <w:tcW w:w="5000" w:type="pct"/>
            <w:gridSpan w:val="3"/>
          </w:tcPr>
          <w:p w:rsidR="00A02F40" w:rsidRPr="00FA6366" w:rsidRDefault="00A02F40" w:rsidP="0079343E">
            <w:pPr>
              <w:jc w:val="both"/>
              <w:rPr>
                <w:rFonts w:eastAsia="Calibri"/>
                <w:sz w:val="20"/>
                <w:lang w:val="fr-CA"/>
              </w:rPr>
            </w:pPr>
            <w:r w:rsidRPr="00FA6366">
              <w:rPr>
                <w:rFonts w:eastAsia="Calibri"/>
                <w:i/>
                <w:sz w:val="20"/>
                <w:lang w:val="fr-CA"/>
              </w:rPr>
              <w:t xml:space="preserve">Charte canadienne </w:t>
            </w:r>
            <w:r w:rsidRPr="00FA6366">
              <w:rPr>
                <w:rFonts w:eastAsia="Calibri"/>
                <w:sz w:val="20"/>
                <w:lang w:val="fr-CA"/>
              </w:rPr>
              <w:t xml:space="preserve">— Droit des professions — Acupuncteurs— Discipline — Procédure civile — Appels — Rejet d’appel — L’article 48 du </w:t>
            </w:r>
            <w:r w:rsidRPr="00FA6366">
              <w:rPr>
                <w:rFonts w:eastAsia="Calibri"/>
                <w:i/>
                <w:sz w:val="20"/>
                <w:lang w:val="fr-CA"/>
              </w:rPr>
              <w:t>Code des professions</w:t>
            </w:r>
            <w:r w:rsidRPr="00FA6366">
              <w:rPr>
                <w:rFonts w:eastAsia="Calibri"/>
                <w:sz w:val="20"/>
                <w:lang w:val="fr-CA"/>
              </w:rPr>
              <w:t>, L.R.Q. ch. C</w:t>
            </w:r>
            <w:r w:rsidRPr="00FA6366">
              <w:rPr>
                <w:rFonts w:eastAsia="Calibri"/>
                <w:sz w:val="20"/>
                <w:lang w:val="fr-CA"/>
              </w:rPr>
              <w:noBreakHyphen/>
              <w:t>26, est</w:t>
            </w:r>
            <w:r w:rsidRPr="00FA6366">
              <w:rPr>
                <w:rFonts w:eastAsia="Calibri"/>
                <w:sz w:val="20"/>
                <w:lang w:val="fr-CA"/>
              </w:rPr>
              <w:noBreakHyphen/>
              <w:t xml:space="preserve">il anticonstitutionnel? — L’ordonnance d’un ordre professionnel en vertu de l’art. 48 du </w:t>
            </w:r>
            <w:r w:rsidRPr="00FA6366">
              <w:rPr>
                <w:rFonts w:eastAsia="Calibri"/>
                <w:i/>
                <w:sz w:val="20"/>
                <w:lang w:val="fr-CA"/>
              </w:rPr>
              <w:t xml:space="preserve">Code des professions </w:t>
            </w:r>
            <w:r w:rsidRPr="00FA6366">
              <w:rPr>
                <w:rFonts w:eastAsia="Calibri"/>
                <w:sz w:val="20"/>
                <w:lang w:val="fr-CA"/>
              </w:rPr>
              <w:t>est</w:t>
            </w:r>
            <w:r w:rsidRPr="00FA6366">
              <w:rPr>
                <w:rFonts w:eastAsia="Calibri"/>
                <w:sz w:val="20"/>
                <w:lang w:val="fr-CA"/>
              </w:rPr>
              <w:noBreakHyphen/>
              <w:t xml:space="preserve">elle compatible avec l’art. 7 de la </w:t>
            </w:r>
            <w:r w:rsidRPr="00FA6366">
              <w:rPr>
                <w:rFonts w:eastAsia="Calibri"/>
                <w:i/>
                <w:sz w:val="20"/>
                <w:lang w:val="fr-CA"/>
              </w:rPr>
              <w:t>Charte canadienne</w:t>
            </w:r>
            <w:r w:rsidRPr="00FA6366">
              <w:rPr>
                <w:rFonts w:eastAsia="Calibri"/>
                <w:sz w:val="20"/>
                <w:lang w:val="fr-CA"/>
              </w:rPr>
              <w:t xml:space="preserve"> et l’art. 5 de la </w:t>
            </w:r>
            <w:r w:rsidRPr="00FA6366">
              <w:rPr>
                <w:rFonts w:eastAsia="Calibri"/>
                <w:i/>
                <w:sz w:val="20"/>
                <w:lang w:val="fr-CA"/>
              </w:rPr>
              <w:t>Charte québécoise</w:t>
            </w:r>
            <w:r w:rsidRPr="00FA6366">
              <w:rPr>
                <w:rFonts w:eastAsia="Calibri"/>
                <w:sz w:val="20"/>
                <w:lang w:val="fr-CA"/>
              </w:rPr>
              <w:t xml:space="preserve">? — L’ordonnance d’un ordre professionnel à un professionnel de consulter un psychologue spécialiste en comportement et passer des tests psychométriques en vertu de l’art. 48 du </w:t>
            </w:r>
            <w:r w:rsidRPr="00FA6366">
              <w:rPr>
                <w:rFonts w:eastAsia="Calibri"/>
                <w:i/>
                <w:sz w:val="20"/>
                <w:lang w:val="fr-CA"/>
              </w:rPr>
              <w:t xml:space="preserve">Code des professions </w:t>
            </w:r>
            <w:r w:rsidRPr="00FA6366">
              <w:rPr>
                <w:rFonts w:eastAsia="Calibri"/>
                <w:sz w:val="20"/>
                <w:lang w:val="fr-CA"/>
              </w:rPr>
              <w:t>est</w:t>
            </w:r>
            <w:r w:rsidRPr="00FA6366">
              <w:rPr>
                <w:rFonts w:eastAsia="Calibri"/>
                <w:sz w:val="20"/>
                <w:lang w:val="fr-CA"/>
              </w:rPr>
              <w:noBreakHyphen/>
              <w:t xml:space="preserve">elle compatible avec les art. 3, 7, 10, 11, 12 et 36 par. 4 du </w:t>
            </w:r>
            <w:r w:rsidRPr="00FA6366">
              <w:rPr>
                <w:rFonts w:eastAsia="Calibri"/>
                <w:i/>
                <w:sz w:val="20"/>
                <w:lang w:val="fr-CA"/>
              </w:rPr>
              <w:t>Code civil du Québec</w:t>
            </w:r>
            <w:r w:rsidRPr="00FA6366">
              <w:rPr>
                <w:rFonts w:eastAsia="Calibri"/>
                <w:sz w:val="20"/>
                <w:lang w:val="fr-CA"/>
              </w:rPr>
              <w:t>, L.Q. 1991, ch. 64?</w:t>
            </w:r>
          </w:p>
          <w:p w:rsidR="00A02F40" w:rsidRPr="00FA6366" w:rsidRDefault="00A02F40" w:rsidP="0079343E">
            <w:pPr>
              <w:jc w:val="both"/>
              <w:rPr>
                <w:rFonts w:eastAsia="Calibri"/>
                <w:sz w:val="20"/>
                <w:lang w:val="fr-CA"/>
              </w:rPr>
            </w:pPr>
          </w:p>
        </w:tc>
      </w:tr>
      <w:tr w:rsidR="00A02F40" w:rsidRPr="00F03CF9" w:rsidTr="0079343E">
        <w:tc>
          <w:tcPr>
            <w:tcW w:w="5000" w:type="pct"/>
            <w:gridSpan w:val="3"/>
          </w:tcPr>
          <w:p w:rsidR="00A02F40" w:rsidRPr="00FA6366" w:rsidRDefault="00A02F40" w:rsidP="0079343E">
            <w:pPr>
              <w:jc w:val="both"/>
              <w:rPr>
                <w:rFonts w:eastAsia="Calibri"/>
                <w:sz w:val="20"/>
                <w:lang w:val="fr-CA"/>
              </w:rPr>
            </w:pPr>
            <w:r w:rsidRPr="00FA6366">
              <w:rPr>
                <w:rFonts w:eastAsia="Calibri"/>
                <w:sz w:val="20"/>
                <w:lang w:val="fr-CA"/>
              </w:rPr>
              <w:t xml:space="preserve">M. Nguyen et l’Ordre des acupuncteurs du Québec (« l’OAQ ») sont parties à une transaction au sens du </w:t>
            </w:r>
            <w:r w:rsidRPr="00FA6366">
              <w:rPr>
                <w:rFonts w:eastAsia="Calibri"/>
                <w:i/>
                <w:sz w:val="20"/>
                <w:lang w:val="fr-CA"/>
              </w:rPr>
              <w:t>Code civil du Québec</w:t>
            </w:r>
            <w:r w:rsidRPr="00FA6366">
              <w:rPr>
                <w:rFonts w:eastAsia="Calibri"/>
                <w:sz w:val="20"/>
                <w:lang w:val="fr-CA"/>
              </w:rPr>
              <w:t xml:space="preserve"> visant à régler hors cour un litige les opposant à la suite de procédures disciplinaires prises contre M. Nguyen.  La transaction prévoit plusieurs étapes à franchir par M. Nguyen pour qu'il puisse réintégrer l'OAQ et recevoir son permis d'exercice, dont des tests psychométriques et une évaluation enregistrée de ses communications verbales avec ses patients.  Cependant, M. Nguyen a refusé de subir le premier test et a contesté la validité du rapport d’évaluation du second test en raison du retard de sa production. Il a présenté une requête en injonction permanente et en </w:t>
            </w:r>
            <w:r w:rsidRPr="00FA6366">
              <w:rPr>
                <w:rFonts w:eastAsia="Calibri"/>
                <w:sz w:val="20"/>
                <w:lang w:val="fr-CA"/>
              </w:rPr>
              <w:lastRenderedPageBreak/>
              <w:t>dommages</w:t>
            </w:r>
            <w:r w:rsidRPr="00FA6366">
              <w:rPr>
                <w:rFonts w:eastAsia="Calibri"/>
                <w:sz w:val="20"/>
                <w:lang w:val="fr-CA"/>
              </w:rPr>
              <w:noBreakHyphen/>
              <w:t>intérêts compensatoires et punitifs réclamant à l’OAQ la somme de 3 151 000 $.  La Cour supérieure a conclu à l’absence de faute de la part de l'OAQ et de preuve quant à l'ampleur des dommages qu'aurait subis ou subirait M. Nguyen.  La Cour d’appel a accueilli la requête en rejet d'appel de l’OAQ parce que l’appel interjeté par M. Nguyen ne présentait à son avis aucune chance raisonnable de succès.</w:t>
            </w:r>
          </w:p>
          <w:p w:rsidR="00A02F40" w:rsidRPr="00FA6366" w:rsidRDefault="00A02F40" w:rsidP="0079343E">
            <w:pPr>
              <w:jc w:val="both"/>
              <w:rPr>
                <w:rFonts w:eastAsia="Calibri"/>
                <w:sz w:val="20"/>
                <w:lang w:val="fr-CA"/>
              </w:rPr>
            </w:pPr>
          </w:p>
        </w:tc>
      </w:tr>
      <w:tr w:rsidR="00A02F40" w:rsidRPr="00F03CF9" w:rsidTr="0079343E">
        <w:tc>
          <w:tcPr>
            <w:tcW w:w="2427" w:type="pct"/>
          </w:tcPr>
          <w:p w:rsidR="00A02F40" w:rsidRPr="00FA6366" w:rsidRDefault="00A02F40" w:rsidP="0079343E">
            <w:pPr>
              <w:jc w:val="both"/>
              <w:rPr>
                <w:rFonts w:eastAsia="Calibri"/>
                <w:sz w:val="20"/>
                <w:lang w:val="fr-CA"/>
              </w:rPr>
            </w:pPr>
            <w:r w:rsidRPr="00FA6366">
              <w:rPr>
                <w:rFonts w:eastAsia="Calibri"/>
                <w:sz w:val="20"/>
                <w:lang w:val="fr-CA"/>
              </w:rPr>
              <w:lastRenderedPageBreak/>
              <w:t>Le 12 novembre 2010</w:t>
            </w:r>
          </w:p>
          <w:p w:rsidR="00A02F40" w:rsidRPr="00FA6366" w:rsidRDefault="00A02F40" w:rsidP="0079343E">
            <w:pPr>
              <w:jc w:val="both"/>
              <w:rPr>
                <w:rFonts w:eastAsia="Calibri"/>
                <w:sz w:val="20"/>
                <w:lang w:val="fr-CA"/>
              </w:rPr>
            </w:pPr>
            <w:r w:rsidRPr="00FA6366">
              <w:rPr>
                <w:rFonts w:eastAsia="Calibri"/>
                <w:sz w:val="20"/>
                <w:lang w:val="fr-CA"/>
              </w:rPr>
              <w:t>Cour supérieure du Québec</w:t>
            </w:r>
          </w:p>
          <w:p w:rsidR="00A02F40" w:rsidRPr="00FA6366" w:rsidRDefault="00A02F40" w:rsidP="0079343E">
            <w:pPr>
              <w:jc w:val="both"/>
              <w:rPr>
                <w:rFonts w:eastAsia="Calibri"/>
                <w:sz w:val="20"/>
                <w:lang w:val="fr-CA"/>
              </w:rPr>
            </w:pPr>
            <w:r w:rsidRPr="00FA6366">
              <w:rPr>
                <w:rFonts w:eastAsia="Calibri"/>
                <w:sz w:val="20"/>
                <w:lang w:val="fr-CA"/>
              </w:rPr>
              <w:t>(Le juge Chrétien)</w:t>
            </w:r>
          </w:p>
          <w:p w:rsidR="00A02F40" w:rsidRPr="00FA6366" w:rsidRDefault="00A02F40" w:rsidP="0079343E">
            <w:pPr>
              <w:jc w:val="both"/>
              <w:rPr>
                <w:rFonts w:eastAsia="Calibri"/>
                <w:sz w:val="20"/>
                <w:lang w:val="fr-CA"/>
              </w:rPr>
            </w:pPr>
            <w:r w:rsidRPr="00FA6366">
              <w:rPr>
                <w:rFonts w:eastAsia="Calibri"/>
                <w:sz w:val="20"/>
                <w:lang w:val="fr-CA"/>
              </w:rPr>
              <w:t>Référence neutre : 2010 QCCS 6002</w:t>
            </w:r>
          </w:p>
          <w:p w:rsidR="00A02F40" w:rsidRPr="00FA6366" w:rsidRDefault="00A02F40" w:rsidP="0079343E">
            <w:pPr>
              <w:jc w:val="both"/>
              <w:rPr>
                <w:rFonts w:eastAsia="Calibri"/>
                <w:sz w:val="20"/>
                <w:lang w:val="fr-FR"/>
              </w:rPr>
            </w:pPr>
          </w:p>
        </w:tc>
        <w:tc>
          <w:tcPr>
            <w:tcW w:w="243" w:type="pct"/>
          </w:tcPr>
          <w:p w:rsidR="00A02F40" w:rsidRPr="00FA6366" w:rsidRDefault="00A02F40" w:rsidP="0079343E">
            <w:pPr>
              <w:jc w:val="both"/>
              <w:rPr>
                <w:rFonts w:eastAsia="Calibri"/>
                <w:sz w:val="20"/>
                <w:lang w:val="fr-CA"/>
              </w:rPr>
            </w:pPr>
          </w:p>
        </w:tc>
        <w:tc>
          <w:tcPr>
            <w:tcW w:w="2330" w:type="pct"/>
          </w:tcPr>
          <w:p w:rsidR="00A02F40" w:rsidRPr="00FA6366" w:rsidRDefault="00A02F40" w:rsidP="0079343E">
            <w:pPr>
              <w:jc w:val="both"/>
              <w:rPr>
                <w:rFonts w:eastAsia="Calibri"/>
                <w:sz w:val="20"/>
                <w:lang w:val="fr-CA"/>
              </w:rPr>
            </w:pPr>
            <w:r w:rsidRPr="00FA6366">
              <w:rPr>
                <w:rFonts w:eastAsia="Calibri"/>
                <w:sz w:val="20"/>
                <w:lang w:val="fr-CA"/>
              </w:rPr>
              <w:t>Requête pour injonction permanente et dommages</w:t>
            </w:r>
            <w:r w:rsidRPr="00FA6366">
              <w:rPr>
                <w:rFonts w:eastAsia="Calibri"/>
                <w:sz w:val="20"/>
                <w:lang w:val="fr-CA"/>
              </w:rPr>
              <w:noBreakHyphen/>
              <w:t>intérêts rejetée</w:t>
            </w:r>
          </w:p>
        </w:tc>
      </w:tr>
      <w:tr w:rsidR="00A02F40" w:rsidRPr="00F03CF9" w:rsidTr="0079343E">
        <w:tc>
          <w:tcPr>
            <w:tcW w:w="2427" w:type="pct"/>
          </w:tcPr>
          <w:p w:rsidR="00A02F40" w:rsidRPr="00FA6366" w:rsidRDefault="00A02F40" w:rsidP="0079343E">
            <w:pPr>
              <w:jc w:val="both"/>
              <w:rPr>
                <w:rFonts w:eastAsia="Calibri"/>
                <w:sz w:val="20"/>
                <w:lang w:val="fr-CA"/>
              </w:rPr>
            </w:pPr>
            <w:r w:rsidRPr="00FA6366">
              <w:rPr>
                <w:rFonts w:eastAsia="Calibri"/>
                <w:sz w:val="20"/>
                <w:lang w:val="fr-CA"/>
              </w:rPr>
              <w:t>Le 21 février 2011</w:t>
            </w:r>
          </w:p>
          <w:p w:rsidR="00A02F40" w:rsidRPr="00FA6366" w:rsidRDefault="00A02F40" w:rsidP="0079343E">
            <w:pPr>
              <w:jc w:val="both"/>
              <w:rPr>
                <w:rFonts w:eastAsia="Calibri"/>
                <w:sz w:val="20"/>
                <w:lang w:val="fr-CA"/>
              </w:rPr>
            </w:pPr>
            <w:r w:rsidRPr="00FA6366">
              <w:rPr>
                <w:rFonts w:eastAsia="Calibri"/>
                <w:sz w:val="20"/>
                <w:lang w:val="fr-CA"/>
              </w:rPr>
              <w:t xml:space="preserve">Cour d’appel du Québec (Montréal) </w:t>
            </w:r>
          </w:p>
          <w:p w:rsidR="00A02F40" w:rsidRPr="00FA6366" w:rsidRDefault="00A02F40" w:rsidP="0079343E">
            <w:pPr>
              <w:jc w:val="both"/>
              <w:rPr>
                <w:rFonts w:eastAsia="Calibri"/>
                <w:sz w:val="20"/>
                <w:lang w:val="fr-CA"/>
              </w:rPr>
            </w:pPr>
            <w:r w:rsidRPr="00FA6366">
              <w:rPr>
                <w:rFonts w:eastAsia="Calibri"/>
                <w:sz w:val="20"/>
                <w:lang w:val="fr-CA"/>
              </w:rPr>
              <w:t>(Les juges Morissette, Vézina et Bouchard)</w:t>
            </w:r>
          </w:p>
          <w:p w:rsidR="00A02F40" w:rsidRPr="00FA6366" w:rsidRDefault="00A02F40" w:rsidP="0079343E">
            <w:pPr>
              <w:jc w:val="both"/>
              <w:rPr>
                <w:rFonts w:eastAsia="Calibri"/>
                <w:sz w:val="20"/>
                <w:lang w:val="fr-FR"/>
              </w:rPr>
            </w:pPr>
            <w:r w:rsidRPr="00FA6366">
              <w:rPr>
                <w:rFonts w:eastAsia="Calibri"/>
                <w:sz w:val="20"/>
                <w:lang w:val="fr-CA"/>
              </w:rPr>
              <w:t>Référence neutre : 2011 QCCA 373</w:t>
            </w:r>
            <w:r w:rsidRPr="00FA6366">
              <w:rPr>
                <w:rFonts w:eastAsia="Calibri"/>
                <w:sz w:val="20"/>
                <w:lang w:val="fr-FR"/>
              </w:rPr>
              <w:t xml:space="preserve"> </w:t>
            </w:r>
          </w:p>
          <w:p w:rsidR="00A02F40" w:rsidRPr="00FA6366" w:rsidRDefault="00A02F40" w:rsidP="0079343E">
            <w:pPr>
              <w:jc w:val="both"/>
              <w:rPr>
                <w:rFonts w:eastAsia="Calibri"/>
                <w:sz w:val="20"/>
                <w:lang w:val="fr-FR"/>
              </w:rPr>
            </w:pPr>
          </w:p>
        </w:tc>
        <w:tc>
          <w:tcPr>
            <w:tcW w:w="243" w:type="pct"/>
          </w:tcPr>
          <w:p w:rsidR="00A02F40" w:rsidRPr="00FA6366" w:rsidRDefault="00A02F40" w:rsidP="0079343E">
            <w:pPr>
              <w:jc w:val="both"/>
              <w:rPr>
                <w:rFonts w:eastAsia="Calibri"/>
                <w:sz w:val="20"/>
                <w:lang w:val="fr-FR"/>
              </w:rPr>
            </w:pPr>
          </w:p>
        </w:tc>
        <w:tc>
          <w:tcPr>
            <w:tcW w:w="2330" w:type="pct"/>
          </w:tcPr>
          <w:p w:rsidR="00A02F40" w:rsidRPr="00FA6366" w:rsidRDefault="00A02F40" w:rsidP="0079343E">
            <w:pPr>
              <w:jc w:val="both"/>
              <w:rPr>
                <w:rFonts w:eastAsia="Calibri"/>
                <w:sz w:val="20"/>
                <w:lang w:val="fr-CA"/>
              </w:rPr>
            </w:pPr>
            <w:r w:rsidRPr="00FA6366">
              <w:rPr>
                <w:rFonts w:eastAsia="Calibri"/>
                <w:sz w:val="20"/>
                <w:lang w:val="fr-CA"/>
              </w:rPr>
              <w:t>Requête en rejet d'appel accueillie; requête pour faire déclarer le demandeur plaideur quérulent rejetée</w:t>
            </w:r>
          </w:p>
          <w:p w:rsidR="00A02F40" w:rsidRPr="00FA6366" w:rsidRDefault="00A02F40" w:rsidP="0079343E">
            <w:pPr>
              <w:jc w:val="both"/>
              <w:rPr>
                <w:rFonts w:eastAsia="Calibri"/>
                <w:sz w:val="20"/>
                <w:lang w:val="fr-CA"/>
              </w:rPr>
            </w:pPr>
          </w:p>
        </w:tc>
      </w:tr>
      <w:tr w:rsidR="00A02F40" w:rsidRPr="00FA6366" w:rsidTr="0079343E">
        <w:tc>
          <w:tcPr>
            <w:tcW w:w="2427" w:type="pct"/>
          </w:tcPr>
          <w:p w:rsidR="00A02F40" w:rsidRPr="00FA6366" w:rsidRDefault="00A02F40" w:rsidP="0079343E">
            <w:pPr>
              <w:jc w:val="both"/>
              <w:rPr>
                <w:rFonts w:eastAsia="Calibri"/>
                <w:sz w:val="20"/>
                <w:lang w:val="fr-CA"/>
              </w:rPr>
            </w:pPr>
            <w:r w:rsidRPr="00FA6366">
              <w:rPr>
                <w:rFonts w:eastAsia="Calibri"/>
                <w:sz w:val="20"/>
                <w:lang w:val="fr-CA"/>
              </w:rPr>
              <w:t>Le 22 mars 2011</w:t>
            </w:r>
          </w:p>
          <w:p w:rsidR="00A02F40" w:rsidRPr="00FA6366" w:rsidRDefault="00A02F40" w:rsidP="0079343E">
            <w:pPr>
              <w:jc w:val="both"/>
              <w:rPr>
                <w:rFonts w:eastAsia="Calibri"/>
                <w:sz w:val="20"/>
                <w:lang w:val="fr-FR"/>
              </w:rPr>
            </w:pPr>
            <w:r w:rsidRPr="00FA6366">
              <w:rPr>
                <w:rFonts w:eastAsia="Calibri"/>
                <w:sz w:val="20"/>
                <w:lang w:val="fr-CA"/>
              </w:rPr>
              <w:t>Cour suprême du Canada</w:t>
            </w:r>
          </w:p>
        </w:tc>
        <w:tc>
          <w:tcPr>
            <w:tcW w:w="243" w:type="pct"/>
          </w:tcPr>
          <w:p w:rsidR="00A02F40" w:rsidRPr="00FA6366" w:rsidRDefault="00A02F40" w:rsidP="0079343E">
            <w:pPr>
              <w:jc w:val="both"/>
              <w:rPr>
                <w:rFonts w:eastAsia="Calibri"/>
                <w:sz w:val="20"/>
                <w:lang w:val="fr-FR"/>
              </w:rPr>
            </w:pPr>
          </w:p>
        </w:tc>
        <w:tc>
          <w:tcPr>
            <w:tcW w:w="2330" w:type="pct"/>
          </w:tcPr>
          <w:p w:rsidR="00A02F40" w:rsidRPr="00FA6366" w:rsidRDefault="00A02F40" w:rsidP="0079343E">
            <w:pPr>
              <w:jc w:val="both"/>
              <w:rPr>
                <w:rFonts w:eastAsia="Calibri"/>
                <w:sz w:val="20"/>
                <w:lang w:val="fr-CA"/>
              </w:rPr>
            </w:pPr>
            <w:r w:rsidRPr="00FA6366">
              <w:rPr>
                <w:rFonts w:eastAsia="Calibri"/>
                <w:sz w:val="20"/>
                <w:lang w:val="fr-CA"/>
              </w:rPr>
              <w:t>Demande d'autorisation d'appel déposée</w:t>
            </w:r>
          </w:p>
          <w:p w:rsidR="00A02F40" w:rsidRPr="00FA6366" w:rsidRDefault="00A02F40" w:rsidP="0079343E">
            <w:pPr>
              <w:jc w:val="both"/>
              <w:rPr>
                <w:rFonts w:eastAsia="Calibri"/>
                <w:sz w:val="20"/>
                <w:lang w:val="fr-CA"/>
              </w:rPr>
            </w:pP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51"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A37AF" w:rsidRPr="002A37AF" w:rsidTr="000326AA">
        <w:trPr>
          <w:cantSplit/>
        </w:trPr>
        <w:tc>
          <w:tcPr>
            <w:tcW w:w="1458" w:type="dxa"/>
          </w:tcPr>
          <w:p w:rsidR="002A37AF" w:rsidRPr="002A37AF" w:rsidRDefault="002A37AF" w:rsidP="000326AA">
            <w:pPr>
              <w:rPr>
                <w:rFonts w:cs="Times New Roman"/>
                <w:sz w:val="20"/>
                <w:szCs w:val="20"/>
              </w:rPr>
            </w:pPr>
            <w:r w:rsidRPr="002A37AF">
              <w:rPr>
                <w:rStyle w:val="SCCFileNumberChar"/>
                <w:rFonts w:cs="Times New Roman"/>
                <w:sz w:val="20"/>
                <w:szCs w:val="20"/>
              </w:rPr>
              <w:t>34156</w:t>
            </w:r>
          </w:p>
          <w:p w:rsidR="002A37AF" w:rsidRPr="002A37AF" w:rsidRDefault="002A37AF" w:rsidP="000326AA">
            <w:pPr>
              <w:rPr>
                <w:rFonts w:cs="Times New Roman"/>
                <w:b/>
                <w:sz w:val="20"/>
                <w:szCs w:val="20"/>
                <w:lang w:val="fr-CA"/>
              </w:rPr>
            </w:pPr>
          </w:p>
        </w:tc>
        <w:tc>
          <w:tcPr>
            <w:tcW w:w="8118" w:type="dxa"/>
          </w:tcPr>
          <w:p w:rsidR="002A37AF" w:rsidRPr="002A37AF" w:rsidRDefault="002A37AF" w:rsidP="000326AA">
            <w:pPr>
              <w:rPr>
                <w:rFonts w:cs="Times New Roman"/>
                <w:sz w:val="20"/>
                <w:szCs w:val="20"/>
              </w:rPr>
            </w:pPr>
            <w:r w:rsidRPr="002A37AF">
              <w:rPr>
                <w:rStyle w:val="SCCLsocChar"/>
                <w:rFonts w:cs="Times New Roman"/>
                <w:sz w:val="20"/>
                <w:szCs w:val="20"/>
                <w:lang w:val="en-CA"/>
              </w:rPr>
              <w:t>Robert Bilich v. Her Majesty the Queen</w:t>
            </w:r>
            <w:r w:rsidRPr="002A37AF">
              <w:rPr>
                <w:rFonts w:cs="Times New Roman"/>
                <w:sz w:val="20"/>
                <w:szCs w:val="20"/>
              </w:rPr>
              <w:t xml:space="preserve"> (Ont.) (Criminal) (By Leave)</w:t>
            </w:r>
          </w:p>
          <w:p w:rsidR="002A37AF" w:rsidRPr="002A37AF" w:rsidRDefault="002A37AF" w:rsidP="000326AA">
            <w:pPr>
              <w:rPr>
                <w:rFonts w:cs="Times New Roman"/>
                <w:sz w:val="20"/>
                <w:szCs w:val="20"/>
              </w:rPr>
            </w:pPr>
          </w:p>
        </w:tc>
      </w:tr>
      <w:tr w:rsidR="002A37AF" w:rsidRPr="002A37AF" w:rsidTr="000326AA">
        <w:trPr>
          <w:cantSplit/>
        </w:trPr>
        <w:tc>
          <w:tcPr>
            <w:tcW w:w="1458" w:type="dxa"/>
          </w:tcPr>
          <w:p w:rsidR="002A37AF" w:rsidRPr="002A37AF" w:rsidRDefault="002A37AF" w:rsidP="000326AA">
            <w:pPr>
              <w:rPr>
                <w:rFonts w:cs="Times New Roman"/>
                <w:sz w:val="20"/>
                <w:szCs w:val="20"/>
              </w:rPr>
            </w:pPr>
            <w:r w:rsidRPr="002A37AF">
              <w:rPr>
                <w:rFonts w:cs="Times New Roman"/>
                <w:sz w:val="20"/>
                <w:szCs w:val="20"/>
              </w:rPr>
              <w:t>Coram :</w:t>
            </w:r>
          </w:p>
        </w:tc>
        <w:tc>
          <w:tcPr>
            <w:tcW w:w="8118" w:type="dxa"/>
          </w:tcPr>
          <w:p w:rsidR="002A37AF" w:rsidRPr="002A37AF" w:rsidRDefault="002A37AF" w:rsidP="000326AA">
            <w:pPr>
              <w:rPr>
                <w:rFonts w:cs="Times New Roman"/>
                <w:sz w:val="20"/>
                <w:szCs w:val="20"/>
              </w:rPr>
            </w:pPr>
            <w:r w:rsidRPr="002A37AF">
              <w:rPr>
                <w:rStyle w:val="SCCCoramChar"/>
                <w:rFonts w:cs="Times New Roman"/>
                <w:sz w:val="20"/>
                <w:szCs w:val="20"/>
                <w:lang w:val="en-CA"/>
              </w:rPr>
              <w:t>Binnie, Abella and Rothstein JJ.</w:t>
            </w:r>
          </w:p>
          <w:p w:rsidR="002A37AF" w:rsidRPr="002A37AF" w:rsidRDefault="002A37AF" w:rsidP="000326AA">
            <w:pPr>
              <w:rPr>
                <w:rFonts w:cs="Times New Roman"/>
                <w:sz w:val="20"/>
                <w:szCs w:val="20"/>
                <w:u w:val="single"/>
              </w:rPr>
            </w:pPr>
          </w:p>
        </w:tc>
      </w:tr>
      <w:tr w:rsidR="002A37AF" w:rsidRPr="00F03CF9" w:rsidTr="000326AA">
        <w:trPr>
          <w:cantSplit/>
        </w:trPr>
        <w:tc>
          <w:tcPr>
            <w:tcW w:w="9576" w:type="dxa"/>
            <w:gridSpan w:val="2"/>
          </w:tcPr>
          <w:p w:rsidR="002A37AF" w:rsidRPr="002A37AF" w:rsidRDefault="002A37AF" w:rsidP="000326AA">
            <w:pPr>
              <w:pStyle w:val="SCCShortJudgment"/>
              <w:rPr>
                <w:rFonts w:cs="Times New Roman"/>
                <w:szCs w:val="20"/>
              </w:rPr>
            </w:pPr>
            <w:r w:rsidRPr="002A37AF">
              <w:rPr>
                <w:rFonts w:cs="Times New Roman"/>
                <w:szCs w:val="20"/>
              </w:rPr>
              <w:t>The motion for an extension of time to serve and file the application for leave to appeal is granted.  The application for leave to appeal from the judgment of the Court of Appeal for Ontario, Number M38997, dated October 28, 2010, is dismissed without costs.</w:t>
            </w:r>
          </w:p>
          <w:p w:rsidR="002A37AF" w:rsidRPr="002A37AF" w:rsidRDefault="002A37AF" w:rsidP="000326AA">
            <w:pPr>
              <w:pStyle w:val="SCCShortJudgment"/>
              <w:ind w:firstLine="0"/>
              <w:rPr>
                <w:rFonts w:cs="Times New Roman"/>
                <w:szCs w:val="20"/>
              </w:rPr>
            </w:pPr>
          </w:p>
          <w:p w:rsidR="002A37AF" w:rsidRPr="002A37AF" w:rsidRDefault="002A37AF" w:rsidP="000326AA">
            <w:pPr>
              <w:pStyle w:val="SCCShortJudgment"/>
              <w:rPr>
                <w:rFonts w:cs="Times New Roman"/>
                <w:szCs w:val="20"/>
                <w:lang w:val="fr-CA"/>
              </w:rPr>
            </w:pPr>
            <w:r w:rsidRPr="002A37AF">
              <w:rPr>
                <w:rFonts w:cs="Times New Roman"/>
                <w:szCs w:val="20"/>
                <w:lang w:val="fr-CA"/>
              </w:rPr>
              <w:t>La requête en prorogation du délai de signification et de dépôt de la demande d’autorisation d’appel est accordée.  La demande d’autorisation d’appel de l’arrêt de la Cour d’appel de l’Ontario, numéro M38997, daté du 28 octobre 2010, est rejetée sans dépens.</w:t>
            </w:r>
          </w:p>
        </w:tc>
      </w:tr>
    </w:tbl>
    <w:p w:rsidR="002A37AF" w:rsidRPr="002A37AF" w:rsidRDefault="002A37AF"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3"/>
        <w:gridCol w:w="463"/>
        <w:gridCol w:w="4441"/>
      </w:tblGrid>
      <w:tr w:rsidR="00EC10D9" w:rsidRPr="00FA6366" w:rsidTr="0079343E">
        <w:tc>
          <w:tcPr>
            <w:tcW w:w="5000" w:type="pct"/>
            <w:gridSpan w:val="3"/>
          </w:tcPr>
          <w:p w:rsidR="00EC10D9" w:rsidRPr="00FA6366" w:rsidRDefault="00EC10D9" w:rsidP="0079343E">
            <w:pPr>
              <w:jc w:val="both"/>
              <w:rPr>
                <w:rFonts w:eastAsia="Calibri"/>
                <w:sz w:val="20"/>
              </w:rPr>
            </w:pPr>
            <w:r w:rsidRPr="00FA6366">
              <w:rPr>
                <w:rFonts w:eastAsia="Calibri"/>
                <w:i/>
                <w:sz w:val="20"/>
              </w:rPr>
              <w:t>Canadian Charter of Rights and Freedoms</w:t>
            </w:r>
            <w:r w:rsidRPr="00FA6366">
              <w:rPr>
                <w:rFonts w:eastAsia="Calibri"/>
                <w:sz w:val="20"/>
              </w:rPr>
              <w:t xml:space="preserve"> </w:t>
            </w:r>
            <w:r w:rsidRPr="00FA6366">
              <w:rPr>
                <w:rFonts w:eastAsia="Calibri"/>
                <w:i/>
                <w:sz w:val="20"/>
              </w:rPr>
              <w:t>—</w:t>
            </w:r>
            <w:r w:rsidRPr="00FA6366">
              <w:rPr>
                <w:rFonts w:eastAsia="Calibri"/>
                <w:sz w:val="20"/>
              </w:rPr>
              <w:t xml:space="preserve"> Fundamental justice </w:t>
            </w:r>
            <w:r w:rsidRPr="00FA6366">
              <w:rPr>
                <w:rFonts w:eastAsia="Calibri"/>
                <w:i/>
                <w:sz w:val="20"/>
              </w:rPr>
              <w:t>—</w:t>
            </w:r>
            <w:r w:rsidRPr="00FA6366">
              <w:rPr>
                <w:rFonts w:eastAsia="Calibri"/>
                <w:sz w:val="20"/>
              </w:rPr>
              <w:t xml:space="preserve"> Right to a fair hearing </w:t>
            </w:r>
            <w:r w:rsidRPr="00FA6366">
              <w:rPr>
                <w:rFonts w:eastAsia="Calibri"/>
                <w:sz w:val="20"/>
              </w:rPr>
              <w:noBreakHyphen/>
              <w:t xml:space="preserve">  How should “timely” disclosure be defined? </w:t>
            </w:r>
            <w:r w:rsidRPr="00FA6366">
              <w:rPr>
                <w:rFonts w:eastAsia="Calibri"/>
                <w:i/>
                <w:sz w:val="20"/>
              </w:rPr>
              <w:t>—</w:t>
            </w:r>
            <w:r w:rsidRPr="00FA6366">
              <w:rPr>
                <w:rFonts w:eastAsia="Calibri"/>
                <w:sz w:val="20"/>
              </w:rPr>
              <w:t xml:space="preserve"> What is the extent to which unrepresented litigants should be obligated to comply with procedural law when asked to consider </w:t>
            </w:r>
            <w:r w:rsidRPr="00FA6366">
              <w:rPr>
                <w:rFonts w:eastAsia="Calibri"/>
                <w:i/>
                <w:sz w:val="20"/>
              </w:rPr>
              <w:t>Charter</w:t>
            </w:r>
            <w:r w:rsidRPr="00FA6366">
              <w:rPr>
                <w:rFonts w:eastAsia="Calibri"/>
                <w:sz w:val="20"/>
              </w:rPr>
              <w:t xml:space="preserve"> issues? </w:t>
            </w:r>
            <w:r w:rsidRPr="00FA6366">
              <w:rPr>
                <w:rFonts w:eastAsia="Calibri"/>
                <w:i/>
                <w:sz w:val="20"/>
              </w:rPr>
              <w:t>—</w:t>
            </w:r>
            <w:r w:rsidRPr="00FA6366">
              <w:rPr>
                <w:rFonts w:eastAsia="Calibri"/>
                <w:sz w:val="20"/>
              </w:rPr>
              <w:t xml:space="preserve"> What should the result be  if the probability of bias on the part of a trial judge or decision maker is too high to be considered constitutionally consistent with the </w:t>
            </w:r>
            <w:r w:rsidRPr="00FA6366">
              <w:rPr>
                <w:rFonts w:eastAsia="Calibri"/>
                <w:i/>
                <w:sz w:val="20"/>
              </w:rPr>
              <w:t>Charter</w:t>
            </w:r>
            <w:r w:rsidRPr="00FA6366">
              <w:rPr>
                <w:rFonts w:eastAsia="Calibri"/>
                <w:sz w:val="20"/>
              </w:rPr>
              <w:t xml:space="preserve">? </w:t>
            </w:r>
            <w:r w:rsidRPr="00FA6366">
              <w:rPr>
                <w:rFonts w:eastAsia="Calibri"/>
                <w:i/>
                <w:sz w:val="20"/>
              </w:rPr>
              <w:t>—</w:t>
            </w:r>
            <w:r w:rsidRPr="00FA6366">
              <w:rPr>
                <w:rFonts w:eastAsia="Calibri"/>
                <w:sz w:val="20"/>
              </w:rPr>
              <w:t xml:space="preserve"> Was there a probability of bias on the part of the presiding justice(s) such that an unrepresented litigant was denied a right to a fair hearing of a matter on its merits? </w:t>
            </w:r>
            <w:r w:rsidRPr="00FA6366">
              <w:rPr>
                <w:rFonts w:eastAsia="Calibri"/>
                <w:i/>
                <w:sz w:val="20"/>
              </w:rPr>
              <w:t>—</w:t>
            </w:r>
            <w:r w:rsidRPr="00FA6366">
              <w:rPr>
                <w:rFonts w:eastAsia="Calibri"/>
                <w:sz w:val="20"/>
              </w:rPr>
              <w:t xml:space="preserve"> If so, is the judgment of the lower court void under s. 52(1) of the </w:t>
            </w:r>
            <w:r w:rsidRPr="00FA6366">
              <w:rPr>
                <w:rFonts w:eastAsia="Calibri"/>
                <w:i/>
                <w:sz w:val="20"/>
              </w:rPr>
              <w:t>Constitution Act</w:t>
            </w:r>
            <w:r w:rsidRPr="00FA6366">
              <w:rPr>
                <w:rFonts w:eastAsia="Calibri"/>
                <w:sz w:val="20"/>
              </w:rPr>
              <w:t xml:space="preserve">, 1982 insofar as it is inconsistent with the “duty to act fairly”, and the “fairness” of the hearing itself under ss. 7 and 11(d) the </w:t>
            </w:r>
            <w:r w:rsidRPr="00FA6366">
              <w:rPr>
                <w:rFonts w:eastAsia="Calibri"/>
                <w:i/>
                <w:sz w:val="20"/>
              </w:rPr>
              <w:t>Charter</w:t>
            </w:r>
            <w:r w:rsidRPr="00FA6366">
              <w:rPr>
                <w:rFonts w:eastAsia="Calibri"/>
                <w:sz w:val="20"/>
              </w:rPr>
              <w:t xml:space="preserve">? Should this Court grant a remedy under s. 24(1) of the </w:t>
            </w:r>
            <w:r w:rsidRPr="00FA6366">
              <w:rPr>
                <w:rFonts w:eastAsia="Calibri"/>
                <w:i/>
                <w:sz w:val="20"/>
              </w:rPr>
              <w:t>Charter</w:t>
            </w:r>
            <w:r w:rsidRPr="00FA6366">
              <w:rPr>
                <w:rFonts w:eastAsia="Calibri"/>
                <w:sz w:val="20"/>
              </w:rPr>
              <w:t xml:space="preserve">? </w:t>
            </w:r>
          </w:p>
          <w:p w:rsidR="00EC10D9" w:rsidRPr="00FA6366" w:rsidRDefault="00EC10D9" w:rsidP="0079343E">
            <w:pPr>
              <w:jc w:val="both"/>
              <w:rPr>
                <w:rFonts w:eastAsia="Calibri"/>
                <w:sz w:val="20"/>
              </w:rPr>
            </w:pPr>
          </w:p>
        </w:tc>
      </w:tr>
      <w:tr w:rsidR="00EC10D9" w:rsidRPr="00FA6366" w:rsidTr="0079343E">
        <w:tc>
          <w:tcPr>
            <w:tcW w:w="5000" w:type="pct"/>
            <w:gridSpan w:val="3"/>
          </w:tcPr>
          <w:p w:rsidR="00EC10D9" w:rsidRPr="00FA6366" w:rsidRDefault="00EC10D9" w:rsidP="0079343E">
            <w:pPr>
              <w:jc w:val="both"/>
              <w:rPr>
                <w:rFonts w:eastAsia="Calibri"/>
                <w:sz w:val="20"/>
              </w:rPr>
            </w:pPr>
            <w:r w:rsidRPr="00FA6366">
              <w:rPr>
                <w:rFonts w:eastAsia="Calibri"/>
                <w:sz w:val="20"/>
              </w:rPr>
              <w:t xml:space="preserve">The applicant was convicted by a justice of the peace of speeding contrary to s. 128 of the </w:t>
            </w:r>
            <w:r w:rsidRPr="00FA6366">
              <w:rPr>
                <w:rFonts w:eastAsia="Calibri"/>
                <w:i/>
                <w:sz w:val="20"/>
              </w:rPr>
              <w:t>Highway Traffic Act</w:t>
            </w:r>
            <w:r w:rsidRPr="00FA6366">
              <w:rPr>
                <w:rFonts w:eastAsia="Calibri"/>
                <w:sz w:val="20"/>
              </w:rPr>
              <w:t xml:space="preserve">.  The applicant was fined $273 and given six months to pay.  At trial, the applicant raised several disclosure issues.  The applicant brought a </w:t>
            </w:r>
            <w:r w:rsidRPr="00FA6366">
              <w:rPr>
                <w:rFonts w:eastAsia="Calibri"/>
                <w:i/>
                <w:sz w:val="20"/>
              </w:rPr>
              <w:t>Charter</w:t>
            </w:r>
            <w:r w:rsidRPr="00FA6366">
              <w:rPr>
                <w:rFonts w:eastAsia="Calibri"/>
                <w:sz w:val="20"/>
              </w:rPr>
              <w:t xml:space="preserve"> application to address the disclosure issues.  The trial judge refused to hear the application on the basis that the applicant did not provide sufficient notice to the Attorneys General for Ontario and Canada. The applicant appealed the conviction to the </w:t>
            </w:r>
            <w:r w:rsidRPr="00FA6366">
              <w:rPr>
                <w:rFonts w:eastAsia="Calibri"/>
                <w:i/>
                <w:sz w:val="20"/>
              </w:rPr>
              <w:t>Provincial Offences Act</w:t>
            </w:r>
            <w:r w:rsidRPr="00FA6366">
              <w:rPr>
                <w:rFonts w:eastAsia="Calibri"/>
                <w:sz w:val="20"/>
              </w:rPr>
              <w:t xml:space="preserve"> Appeal Court and the appeal was dismissed.  This decision was appealed to the Court of Appeal and the application for special leave to appeal was denied by a single judge of the appellate court. </w:t>
            </w:r>
          </w:p>
          <w:p w:rsidR="00EC10D9" w:rsidRPr="00FA6366" w:rsidRDefault="00EC10D9" w:rsidP="0079343E">
            <w:pPr>
              <w:jc w:val="both"/>
              <w:rPr>
                <w:rFonts w:eastAsia="Calibri"/>
                <w:sz w:val="20"/>
              </w:rPr>
            </w:pPr>
          </w:p>
        </w:tc>
      </w:tr>
      <w:tr w:rsidR="00EC10D9" w:rsidRPr="00FA6366" w:rsidTr="0079343E">
        <w:tc>
          <w:tcPr>
            <w:tcW w:w="2426" w:type="pct"/>
          </w:tcPr>
          <w:p w:rsidR="00DC75E9" w:rsidRPr="00FA6366" w:rsidRDefault="00DC75E9" w:rsidP="00DC75E9">
            <w:pPr>
              <w:jc w:val="both"/>
              <w:rPr>
                <w:rFonts w:eastAsia="Calibri"/>
                <w:sz w:val="20"/>
              </w:rPr>
            </w:pPr>
            <w:r w:rsidRPr="00FA6366">
              <w:rPr>
                <w:rFonts w:eastAsia="Calibri"/>
                <w:sz w:val="20"/>
              </w:rPr>
              <w:lastRenderedPageBreak/>
              <w:t>May 6, 2010</w:t>
            </w:r>
          </w:p>
          <w:p w:rsidR="00DC75E9" w:rsidRPr="00FA6366" w:rsidRDefault="00DC75E9" w:rsidP="00DC75E9">
            <w:pPr>
              <w:jc w:val="both"/>
              <w:rPr>
                <w:rFonts w:eastAsia="Calibri"/>
                <w:sz w:val="20"/>
              </w:rPr>
            </w:pPr>
            <w:r w:rsidRPr="00FA6366">
              <w:rPr>
                <w:rFonts w:eastAsia="Calibri"/>
                <w:sz w:val="20"/>
              </w:rPr>
              <w:t>Ontario Court of Justice</w:t>
            </w:r>
          </w:p>
          <w:p w:rsidR="00DC75E9" w:rsidRPr="00FA6366" w:rsidRDefault="00DC75E9" w:rsidP="00DC75E9">
            <w:pPr>
              <w:jc w:val="both"/>
              <w:rPr>
                <w:rFonts w:eastAsia="Calibri"/>
                <w:sz w:val="20"/>
              </w:rPr>
            </w:pPr>
            <w:r w:rsidRPr="00FA6366">
              <w:rPr>
                <w:rFonts w:eastAsia="Calibri"/>
                <w:sz w:val="20"/>
              </w:rPr>
              <w:t>(Young J.P.)</w:t>
            </w:r>
          </w:p>
          <w:p w:rsidR="00EC10D9" w:rsidRPr="00FA6366" w:rsidRDefault="00EC10D9" w:rsidP="00DC75E9">
            <w:pPr>
              <w:jc w:val="both"/>
              <w:rPr>
                <w:rFonts w:eastAsia="Calibri"/>
                <w:sz w:val="20"/>
              </w:rPr>
            </w:pPr>
          </w:p>
        </w:tc>
        <w:tc>
          <w:tcPr>
            <w:tcW w:w="243" w:type="pct"/>
          </w:tcPr>
          <w:p w:rsidR="00EC10D9" w:rsidRPr="00FA6366" w:rsidRDefault="00EC10D9" w:rsidP="0079343E">
            <w:pPr>
              <w:jc w:val="both"/>
              <w:rPr>
                <w:rFonts w:eastAsia="Calibri"/>
                <w:sz w:val="20"/>
              </w:rPr>
            </w:pPr>
          </w:p>
        </w:tc>
        <w:tc>
          <w:tcPr>
            <w:tcW w:w="2331" w:type="pct"/>
          </w:tcPr>
          <w:p w:rsidR="00DC75E9" w:rsidRPr="00FA6366" w:rsidRDefault="00DC75E9" w:rsidP="00DC75E9">
            <w:pPr>
              <w:jc w:val="both"/>
              <w:rPr>
                <w:rFonts w:eastAsia="Calibri"/>
                <w:sz w:val="20"/>
              </w:rPr>
            </w:pPr>
            <w:r w:rsidRPr="00FA6366">
              <w:rPr>
                <w:rFonts w:eastAsia="Calibri"/>
                <w:sz w:val="20"/>
              </w:rPr>
              <w:t xml:space="preserve">Applicant convicted of speeding contrary to s. 128 of the </w:t>
            </w:r>
            <w:r w:rsidRPr="00FA6366">
              <w:rPr>
                <w:rFonts w:eastAsia="Calibri"/>
                <w:i/>
                <w:sz w:val="20"/>
              </w:rPr>
              <w:t>Highway Traffic Act</w:t>
            </w:r>
          </w:p>
          <w:p w:rsidR="00EC10D9" w:rsidRPr="00FA6366" w:rsidRDefault="00EC10D9" w:rsidP="00DC75E9">
            <w:pPr>
              <w:jc w:val="both"/>
              <w:rPr>
                <w:rFonts w:eastAsia="Calibri"/>
                <w:sz w:val="20"/>
              </w:rPr>
            </w:pPr>
          </w:p>
        </w:tc>
      </w:tr>
      <w:tr w:rsidR="00DC75E9" w:rsidRPr="00FA6366" w:rsidTr="0079343E">
        <w:tc>
          <w:tcPr>
            <w:tcW w:w="2426" w:type="pct"/>
          </w:tcPr>
          <w:p w:rsidR="00DC75E9" w:rsidRPr="00FA6366" w:rsidRDefault="00DC75E9" w:rsidP="00DC75E9">
            <w:pPr>
              <w:jc w:val="both"/>
              <w:rPr>
                <w:rFonts w:eastAsia="Calibri"/>
                <w:sz w:val="20"/>
              </w:rPr>
            </w:pPr>
            <w:r w:rsidRPr="00FA6366">
              <w:rPr>
                <w:rFonts w:eastAsia="Calibri"/>
                <w:sz w:val="20"/>
              </w:rPr>
              <w:t>June 15, 2010</w:t>
            </w:r>
          </w:p>
          <w:p w:rsidR="00DC75E9" w:rsidRPr="00FA6366" w:rsidRDefault="00DC75E9" w:rsidP="00DC75E9">
            <w:pPr>
              <w:jc w:val="both"/>
              <w:rPr>
                <w:rFonts w:eastAsia="Calibri"/>
                <w:sz w:val="20"/>
              </w:rPr>
            </w:pPr>
            <w:r w:rsidRPr="00FA6366">
              <w:rPr>
                <w:rFonts w:eastAsia="Calibri"/>
                <w:sz w:val="20"/>
              </w:rPr>
              <w:t>Ontario Court of Justice</w:t>
            </w:r>
          </w:p>
          <w:p w:rsidR="00DC75E9" w:rsidRPr="00FA6366" w:rsidRDefault="00DC75E9" w:rsidP="00DC75E9">
            <w:pPr>
              <w:jc w:val="both"/>
              <w:rPr>
                <w:rFonts w:eastAsia="Calibri"/>
                <w:sz w:val="20"/>
              </w:rPr>
            </w:pPr>
            <w:r w:rsidRPr="00FA6366">
              <w:rPr>
                <w:rFonts w:eastAsia="Calibri"/>
                <w:sz w:val="20"/>
              </w:rPr>
              <w:t>(Collins J.)</w:t>
            </w:r>
          </w:p>
          <w:p w:rsidR="00DC75E9" w:rsidRPr="00FA6366" w:rsidRDefault="00DC75E9" w:rsidP="0079343E">
            <w:pPr>
              <w:jc w:val="both"/>
              <w:rPr>
                <w:rFonts w:eastAsia="Calibri"/>
                <w:sz w:val="20"/>
              </w:rPr>
            </w:pPr>
          </w:p>
        </w:tc>
        <w:tc>
          <w:tcPr>
            <w:tcW w:w="243" w:type="pct"/>
          </w:tcPr>
          <w:p w:rsidR="00DC75E9" w:rsidRPr="00FA6366" w:rsidRDefault="00DC75E9" w:rsidP="0079343E">
            <w:pPr>
              <w:jc w:val="both"/>
              <w:rPr>
                <w:rFonts w:eastAsia="Calibri"/>
                <w:sz w:val="20"/>
              </w:rPr>
            </w:pPr>
          </w:p>
        </w:tc>
        <w:tc>
          <w:tcPr>
            <w:tcW w:w="2331" w:type="pct"/>
          </w:tcPr>
          <w:p w:rsidR="00DC75E9" w:rsidRPr="00FA6366" w:rsidRDefault="00DC75E9" w:rsidP="00DC75E9">
            <w:pPr>
              <w:jc w:val="both"/>
              <w:rPr>
                <w:rFonts w:eastAsia="Calibri"/>
                <w:sz w:val="20"/>
              </w:rPr>
            </w:pPr>
            <w:r w:rsidRPr="00FA6366">
              <w:rPr>
                <w:rFonts w:eastAsia="Calibri"/>
                <w:sz w:val="20"/>
              </w:rPr>
              <w:t xml:space="preserve">Appeal to </w:t>
            </w:r>
            <w:r w:rsidRPr="00FA6366">
              <w:rPr>
                <w:rFonts w:eastAsia="Calibri"/>
                <w:i/>
                <w:sz w:val="20"/>
              </w:rPr>
              <w:t>Provincial Offence Act</w:t>
            </w:r>
            <w:r w:rsidRPr="00FA6366">
              <w:rPr>
                <w:rFonts w:eastAsia="Calibri"/>
                <w:sz w:val="20"/>
              </w:rPr>
              <w:t xml:space="preserve"> Appeal Court dismissed.</w:t>
            </w:r>
          </w:p>
          <w:p w:rsidR="00DC75E9" w:rsidRPr="00FA6366" w:rsidRDefault="00DC75E9" w:rsidP="0079343E">
            <w:pPr>
              <w:jc w:val="both"/>
              <w:rPr>
                <w:rFonts w:eastAsia="Calibri"/>
                <w:sz w:val="20"/>
              </w:rPr>
            </w:pPr>
          </w:p>
        </w:tc>
      </w:tr>
      <w:tr w:rsidR="00DC75E9" w:rsidRPr="00FA6366" w:rsidTr="0079343E">
        <w:tc>
          <w:tcPr>
            <w:tcW w:w="2426" w:type="pct"/>
          </w:tcPr>
          <w:p w:rsidR="00DC75E9" w:rsidRPr="00FA6366" w:rsidRDefault="00DC75E9" w:rsidP="00DC75E9">
            <w:pPr>
              <w:jc w:val="both"/>
              <w:rPr>
                <w:rFonts w:eastAsia="Calibri"/>
                <w:sz w:val="20"/>
              </w:rPr>
            </w:pPr>
            <w:r w:rsidRPr="00FA6366">
              <w:rPr>
                <w:rFonts w:eastAsia="Calibri"/>
                <w:sz w:val="20"/>
              </w:rPr>
              <w:t>October 28, 2010</w:t>
            </w:r>
          </w:p>
          <w:p w:rsidR="00DC75E9" w:rsidRPr="00FA6366" w:rsidRDefault="00DC75E9" w:rsidP="00DC75E9">
            <w:pPr>
              <w:jc w:val="both"/>
              <w:rPr>
                <w:rFonts w:eastAsia="Calibri"/>
                <w:sz w:val="20"/>
              </w:rPr>
            </w:pPr>
            <w:r w:rsidRPr="00FA6366">
              <w:rPr>
                <w:rFonts w:eastAsia="Calibri"/>
                <w:sz w:val="20"/>
              </w:rPr>
              <w:t>Court of Appeal for Ontario</w:t>
            </w:r>
          </w:p>
          <w:p w:rsidR="00DC75E9" w:rsidRPr="00FA6366" w:rsidRDefault="00DC75E9" w:rsidP="00DC75E9">
            <w:pPr>
              <w:jc w:val="both"/>
              <w:rPr>
                <w:rFonts w:eastAsia="Calibri"/>
                <w:sz w:val="20"/>
              </w:rPr>
            </w:pPr>
            <w:r w:rsidRPr="00FA6366">
              <w:rPr>
                <w:rFonts w:eastAsia="Calibri"/>
                <w:sz w:val="20"/>
              </w:rPr>
              <w:t>(Doherty J.A.)</w:t>
            </w:r>
          </w:p>
          <w:p w:rsidR="00DC75E9" w:rsidRPr="00FA6366" w:rsidRDefault="00DC75E9" w:rsidP="0079343E">
            <w:pPr>
              <w:jc w:val="both"/>
              <w:rPr>
                <w:rFonts w:eastAsia="Calibri"/>
                <w:sz w:val="20"/>
              </w:rPr>
            </w:pPr>
          </w:p>
        </w:tc>
        <w:tc>
          <w:tcPr>
            <w:tcW w:w="243" w:type="pct"/>
          </w:tcPr>
          <w:p w:rsidR="00DC75E9" w:rsidRPr="00FA6366" w:rsidRDefault="00DC75E9" w:rsidP="0079343E">
            <w:pPr>
              <w:jc w:val="both"/>
              <w:rPr>
                <w:rFonts w:eastAsia="Calibri"/>
                <w:sz w:val="20"/>
              </w:rPr>
            </w:pPr>
          </w:p>
        </w:tc>
        <w:tc>
          <w:tcPr>
            <w:tcW w:w="2331" w:type="pct"/>
          </w:tcPr>
          <w:p w:rsidR="00DC75E9" w:rsidRPr="00FA6366" w:rsidRDefault="00DC75E9" w:rsidP="00DC75E9">
            <w:pPr>
              <w:jc w:val="both"/>
              <w:rPr>
                <w:rFonts w:eastAsia="Calibri"/>
                <w:sz w:val="20"/>
              </w:rPr>
            </w:pPr>
            <w:r w:rsidRPr="00FA6366">
              <w:rPr>
                <w:rFonts w:eastAsia="Calibri"/>
                <w:sz w:val="20"/>
              </w:rPr>
              <w:t>Motion for leave to appeal dismissed.</w:t>
            </w:r>
          </w:p>
          <w:p w:rsidR="00DC75E9" w:rsidRPr="00FA6366" w:rsidRDefault="00DC75E9" w:rsidP="0079343E">
            <w:pPr>
              <w:jc w:val="both"/>
              <w:rPr>
                <w:rFonts w:eastAsia="Calibri"/>
                <w:sz w:val="20"/>
              </w:rPr>
            </w:pPr>
          </w:p>
        </w:tc>
      </w:tr>
      <w:tr w:rsidR="00EC10D9" w:rsidRPr="00FA6366" w:rsidTr="0079343E">
        <w:tc>
          <w:tcPr>
            <w:tcW w:w="2426" w:type="pct"/>
          </w:tcPr>
          <w:p w:rsidR="00EC10D9" w:rsidRPr="00FA6366" w:rsidRDefault="00EC10D9" w:rsidP="0079343E">
            <w:pPr>
              <w:jc w:val="both"/>
              <w:rPr>
                <w:rFonts w:eastAsia="Calibri"/>
                <w:sz w:val="20"/>
              </w:rPr>
            </w:pPr>
            <w:r w:rsidRPr="00FA6366">
              <w:rPr>
                <w:rFonts w:eastAsia="Calibri"/>
                <w:sz w:val="20"/>
              </w:rPr>
              <w:t>March 23, 2011</w:t>
            </w:r>
          </w:p>
          <w:p w:rsidR="00EC10D9" w:rsidRPr="00FA6366" w:rsidRDefault="00EC10D9" w:rsidP="0079343E">
            <w:pPr>
              <w:jc w:val="both"/>
              <w:rPr>
                <w:rFonts w:eastAsia="Calibri"/>
                <w:sz w:val="20"/>
              </w:rPr>
            </w:pPr>
            <w:r w:rsidRPr="00FA6366">
              <w:rPr>
                <w:rFonts w:eastAsia="Calibri"/>
                <w:sz w:val="20"/>
              </w:rPr>
              <w:t>Supreme Court of Canada</w:t>
            </w:r>
          </w:p>
        </w:tc>
        <w:tc>
          <w:tcPr>
            <w:tcW w:w="243" w:type="pct"/>
          </w:tcPr>
          <w:p w:rsidR="00EC10D9" w:rsidRPr="00FA6366" w:rsidRDefault="00EC10D9" w:rsidP="0079343E">
            <w:pPr>
              <w:jc w:val="both"/>
              <w:rPr>
                <w:rFonts w:eastAsia="Calibri"/>
                <w:sz w:val="20"/>
              </w:rPr>
            </w:pPr>
          </w:p>
        </w:tc>
        <w:tc>
          <w:tcPr>
            <w:tcW w:w="2331" w:type="pct"/>
          </w:tcPr>
          <w:p w:rsidR="00EC10D9" w:rsidRPr="00FA6366" w:rsidRDefault="00EC10D9" w:rsidP="0079343E">
            <w:pPr>
              <w:jc w:val="both"/>
              <w:rPr>
                <w:rFonts w:eastAsia="Calibri"/>
                <w:sz w:val="20"/>
              </w:rPr>
            </w:pPr>
            <w:r w:rsidRPr="00FA6366">
              <w:rPr>
                <w:rFonts w:eastAsia="Calibri"/>
                <w:sz w:val="20"/>
              </w:rPr>
              <w:t>Motion for extension of time filed</w:t>
            </w:r>
          </w:p>
          <w:p w:rsidR="00EC10D9" w:rsidRPr="00FA6366" w:rsidRDefault="00EC10D9" w:rsidP="0079343E">
            <w:pPr>
              <w:jc w:val="both"/>
              <w:rPr>
                <w:rFonts w:eastAsia="Calibri"/>
                <w:sz w:val="20"/>
              </w:rPr>
            </w:pPr>
            <w:r w:rsidRPr="00FA6366">
              <w:rPr>
                <w:rFonts w:eastAsia="Calibri"/>
                <w:sz w:val="20"/>
              </w:rPr>
              <w:t>Application for leave to appeal filed</w:t>
            </w: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52"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3"/>
        <w:gridCol w:w="463"/>
        <w:gridCol w:w="4441"/>
      </w:tblGrid>
      <w:tr w:rsidR="00EC10D9" w:rsidRPr="00F03CF9" w:rsidTr="0079343E">
        <w:tc>
          <w:tcPr>
            <w:tcW w:w="5000" w:type="pct"/>
            <w:gridSpan w:val="3"/>
          </w:tcPr>
          <w:p w:rsidR="00EC10D9" w:rsidRPr="00FA6366" w:rsidRDefault="00EC10D9" w:rsidP="0079343E">
            <w:pPr>
              <w:jc w:val="both"/>
              <w:rPr>
                <w:rFonts w:eastAsia="Calibri"/>
                <w:sz w:val="20"/>
                <w:lang w:val="fr-CA"/>
              </w:rPr>
            </w:pPr>
            <w:r w:rsidRPr="00FA6366">
              <w:rPr>
                <w:rFonts w:eastAsia="Calibri"/>
                <w:i/>
                <w:sz w:val="20"/>
                <w:lang w:val="fr-CA"/>
              </w:rPr>
              <w:t>Charte canadienne des droits et libertés —</w:t>
            </w:r>
            <w:r w:rsidRPr="00FA6366">
              <w:rPr>
                <w:rFonts w:eastAsia="Calibri"/>
                <w:sz w:val="20"/>
                <w:lang w:val="fr-CA"/>
              </w:rPr>
              <w:t xml:space="preserve"> Justice fondamentale </w:t>
            </w:r>
            <w:r w:rsidRPr="00FA6366">
              <w:rPr>
                <w:rFonts w:eastAsia="Calibri"/>
                <w:i/>
                <w:sz w:val="20"/>
                <w:lang w:val="fr-CA"/>
              </w:rPr>
              <w:t>—</w:t>
            </w:r>
            <w:r w:rsidRPr="00FA6366">
              <w:rPr>
                <w:rFonts w:eastAsia="Calibri"/>
                <w:sz w:val="20"/>
                <w:lang w:val="fr-CA"/>
              </w:rPr>
              <w:t xml:space="preserve"> Procès équitable </w:t>
            </w:r>
            <w:r w:rsidRPr="00FA6366">
              <w:rPr>
                <w:rFonts w:eastAsia="Calibri"/>
                <w:i/>
                <w:sz w:val="20"/>
                <w:lang w:val="fr-CA"/>
              </w:rPr>
              <w:t>—</w:t>
            </w:r>
            <w:r w:rsidRPr="00FA6366">
              <w:rPr>
                <w:rFonts w:eastAsia="Calibri"/>
                <w:sz w:val="20"/>
                <w:lang w:val="fr-CA"/>
              </w:rPr>
              <w:t xml:space="preserve"> Qu’entend</w:t>
            </w:r>
            <w:r w:rsidRPr="00FA6366">
              <w:rPr>
                <w:rFonts w:eastAsia="Calibri"/>
                <w:sz w:val="20"/>
                <w:lang w:val="fr-CA"/>
              </w:rPr>
              <w:noBreakHyphen/>
              <w:t xml:space="preserve">on par communication de la preuve « en temps utile »? </w:t>
            </w:r>
            <w:r w:rsidRPr="00FA6366">
              <w:rPr>
                <w:rFonts w:eastAsia="Calibri"/>
                <w:i/>
                <w:sz w:val="20"/>
                <w:lang w:val="fr-CA"/>
              </w:rPr>
              <w:t>—</w:t>
            </w:r>
            <w:r w:rsidRPr="00FA6366">
              <w:rPr>
                <w:rFonts w:eastAsia="Calibri"/>
                <w:sz w:val="20"/>
                <w:lang w:val="fr-CA"/>
              </w:rPr>
              <w:t xml:space="preserve"> Dans quelle mesure les plaideurs non représentés devraient</w:t>
            </w:r>
            <w:r w:rsidRPr="00FA6366">
              <w:rPr>
                <w:rFonts w:eastAsia="Calibri"/>
                <w:sz w:val="20"/>
                <w:lang w:val="fr-CA"/>
              </w:rPr>
              <w:noBreakHyphen/>
              <w:t xml:space="preserve">ils être obligés de se conformer au droit procédural lorsqu’on leur demande de considérer des questions fondées sur la </w:t>
            </w:r>
            <w:r w:rsidRPr="00FA6366">
              <w:rPr>
                <w:rFonts w:eastAsia="Calibri"/>
                <w:i/>
                <w:sz w:val="20"/>
                <w:lang w:val="fr-CA"/>
              </w:rPr>
              <w:t>Charte</w:t>
            </w:r>
            <w:r w:rsidRPr="00FA6366">
              <w:rPr>
                <w:rFonts w:eastAsia="Calibri"/>
                <w:sz w:val="20"/>
                <w:lang w:val="fr-CA"/>
              </w:rPr>
              <w:t xml:space="preserve">? </w:t>
            </w:r>
            <w:r w:rsidRPr="00FA6366">
              <w:rPr>
                <w:rFonts w:eastAsia="Calibri"/>
                <w:i/>
                <w:sz w:val="20"/>
                <w:lang w:val="fr-CA"/>
              </w:rPr>
              <w:t>—</w:t>
            </w:r>
            <w:r w:rsidRPr="00FA6366">
              <w:rPr>
                <w:rFonts w:eastAsia="Calibri"/>
                <w:sz w:val="20"/>
                <w:lang w:val="fr-CA"/>
              </w:rPr>
              <w:t xml:space="preserve"> Quel devrait être le résultat si la probabilité de partialité du juge de première instance ou du décideur est trop élevée pour être considérée constitutionnellement compatible avec la  </w:t>
            </w:r>
            <w:r w:rsidRPr="00FA6366">
              <w:rPr>
                <w:rFonts w:eastAsia="Calibri"/>
                <w:i/>
                <w:sz w:val="20"/>
                <w:lang w:val="fr-CA"/>
              </w:rPr>
              <w:t>Charte</w:t>
            </w:r>
            <w:r w:rsidRPr="00FA6366">
              <w:rPr>
                <w:rFonts w:eastAsia="Calibri"/>
                <w:sz w:val="20"/>
                <w:lang w:val="fr-CA"/>
              </w:rPr>
              <w:t xml:space="preserve">? </w:t>
            </w:r>
            <w:r w:rsidRPr="00FA6366">
              <w:rPr>
                <w:rFonts w:eastAsia="Calibri"/>
                <w:i/>
                <w:sz w:val="20"/>
                <w:lang w:val="fr-CA"/>
              </w:rPr>
              <w:t>—</w:t>
            </w:r>
            <w:r w:rsidRPr="00FA6366">
              <w:rPr>
                <w:rFonts w:eastAsia="Calibri"/>
                <w:sz w:val="20"/>
                <w:lang w:val="fr-CA"/>
              </w:rPr>
              <w:t xml:space="preserve"> Y avait</w:t>
            </w:r>
            <w:r w:rsidRPr="00FA6366">
              <w:rPr>
                <w:rFonts w:eastAsia="Calibri"/>
                <w:sz w:val="20"/>
                <w:lang w:val="fr-CA"/>
              </w:rPr>
              <w:noBreakHyphen/>
              <w:t xml:space="preserve">il une probabilité de partialité de la part des juges présidents telle qu'un plaideur non représenté s’est vu refuser le droit à un procès équitable sur le fond? </w:t>
            </w:r>
            <w:r w:rsidRPr="00FA6366">
              <w:rPr>
                <w:rFonts w:eastAsia="Calibri"/>
                <w:i/>
                <w:sz w:val="20"/>
                <w:lang w:val="fr-CA"/>
              </w:rPr>
              <w:t>—</w:t>
            </w:r>
            <w:r w:rsidRPr="00FA6366">
              <w:rPr>
                <w:rFonts w:eastAsia="Calibri"/>
                <w:sz w:val="20"/>
                <w:lang w:val="fr-CA"/>
              </w:rPr>
              <w:t xml:space="preserve"> Dans l'affirmative, le jugement de la juridiction inférieure est</w:t>
            </w:r>
            <w:r w:rsidRPr="00FA6366">
              <w:rPr>
                <w:rFonts w:eastAsia="Calibri"/>
                <w:sz w:val="20"/>
                <w:lang w:val="fr-CA"/>
              </w:rPr>
              <w:noBreakHyphen/>
              <w:t>il nul aux termes du par. 52(1) de la</w:t>
            </w:r>
            <w:r w:rsidRPr="00FA6366">
              <w:rPr>
                <w:rFonts w:eastAsia="Calibri"/>
                <w:i/>
                <w:sz w:val="20"/>
                <w:lang w:val="fr-CA"/>
              </w:rPr>
              <w:t xml:space="preserve"> Loi constitutionnelle de 1982</w:t>
            </w:r>
            <w:r w:rsidRPr="00FA6366">
              <w:rPr>
                <w:rFonts w:eastAsia="Calibri"/>
                <w:sz w:val="20"/>
                <w:lang w:val="fr-CA"/>
              </w:rPr>
              <w:t>, dans la mesure où il est incompatible avec l'« obligation d'agir équitablement » et l'« équité » de l'audience elle</w:t>
            </w:r>
            <w:r w:rsidRPr="00FA6366">
              <w:rPr>
                <w:rFonts w:eastAsia="Calibri"/>
                <w:sz w:val="20"/>
                <w:lang w:val="fr-CA"/>
              </w:rPr>
              <w:noBreakHyphen/>
              <w:t xml:space="preserve">même aux termes des art. 7 et 11d) de la </w:t>
            </w:r>
            <w:r w:rsidRPr="00FA6366">
              <w:rPr>
                <w:rFonts w:eastAsia="Calibri"/>
                <w:i/>
                <w:sz w:val="20"/>
                <w:lang w:val="fr-CA"/>
              </w:rPr>
              <w:t>Charte</w:t>
            </w:r>
            <w:r w:rsidRPr="00FA6366">
              <w:rPr>
                <w:rFonts w:eastAsia="Calibri"/>
                <w:sz w:val="20"/>
                <w:lang w:val="fr-CA"/>
              </w:rPr>
              <w:t>? Cette Cour devrait</w:t>
            </w:r>
            <w:r w:rsidRPr="00FA6366">
              <w:rPr>
                <w:rFonts w:eastAsia="Calibri"/>
                <w:sz w:val="20"/>
                <w:lang w:val="fr-CA"/>
              </w:rPr>
              <w:noBreakHyphen/>
              <w:t xml:space="preserve">elle accorder une réparation en vertu du par. 24(1) de la </w:t>
            </w:r>
            <w:r w:rsidRPr="00FA6366">
              <w:rPr>
                <w:rFonts w:eastAsia="Calibri"/>
                <w:i/>
                <w:sz w:val="20"/>
                <w:lang w:val="fr-CA"/>
              </w:rPr>
              <w:t>Charte</w:t>
            </w:r>
            <w:r w:rsidRPr="00FA6366">
              <w:rPr>
                <w:rFonts w:eastAsia="Calibri"/>
                <w:sz w:val="20"/>
                <w:lang w:val="fr-CA"/>
              </w:rPr>
              <w:t xml:space="preserve">? </w:t>
            </w:r>
          </w:p>
          <w:p w:rsidR="00EC10D9" w:rsidRPr="00FA6366" w:rsidRDefault="00EC10D9" w:rsidP="0079343E">
            <w:pPr>
              <w:jc w:val="both"/>
              <w:rPr>
                <w:rFonts w:eastAsia="Calibri"/>
                <w:sz w:val="20"/>
                <w:lang w:val="fr-CA"/>
              </w:rPr>
            </w:pPr>
          </w:p>
        </w:tc>
      </w:tr>
      <w:tr w:rsidR="00EC10D9" w:rsidRPr="00F03CF9" w:rsidTr="0079343E">
        <w:tc>
          <w:tcPr>
            <w:tcW w:w="5000" w:type="pct"/>
            <w:gridSpan w:val="3"/>
          </w:tcPr>
          <w:p w:rsidR="00EC10D9" w:rsidRPr="00FA6366" w:rsidRDefault="00EC10D9" w:rsidP="0079343E">
            <w:pPr>
              <w:jc w:val="both"/>
              <w:rPr>
                <w:rFonts w:eastAsia="Calibri"/>
                <w:sz w:val="20"/>
                <w:lang w:val="fr-CA"/>
              </w:rPr>
            </w:pPr>
            <w:r w:rsidRPr="00FA6366">
              <w:rPr>
                <w:rFonts w:eastAsia="Calibri"/>
                <w:sz w:val="20"/>
                <w:lang w:val="fr-CA"/>
              </w:rPr>
              <w:t>Un juge de paix a déclaré le demandeur coupable d'excès de vitesse contrairement à l'art. 128 du</w:t>
            </w:r>
            <w:r w:rsidRPr="00FA6366">
              <w:rPr>
                <w:rFonts w:eastAsia="Calibri"/>
                <w:i/>
                <w:sz w:val="20"/>
                <w:lang w:val="fr-CA"/>
              </w:rPr>
              <w:t xml:space="preserve"> Code de la route</w:t>
            </w:r>
            <w:r w:rsidRPr="00FA6366">
              <w:rPr>
                <w:rFonts w:eastAsia="Calibri"/>
                <w:sz w:val="20"/>
                <w:lang w:val="fr-CA"/>
              </w:rPr>
              <w:t xml:space="preserve">.  Le demandeur a été condamné à une amende de 273 $ et s'est vu accorder un délai de six mois pour l’acquitter.  Au procès, le demandeur a soulevé plusieurs questions relatives à la communication de la preuve.  Le demandeur a présenté une demande fondée sur la </w:t>
            </w:r>
            <w:r w:rsidRPr="00FA6366">
              <w:rPr>
                <w:rFonts w:eastAsia="Calibri"/>
                <w:i/>
                <w:sz w:val="20"/>
                <w:lang w:val="fr-CA"/>
              </w:rPr>
              <w:t>Charte</w:t>
            </w:r>
            <w:r w:rsidRPr="00FA6366">
              <w:rPr>
                <w:rFonts w:eastAsia="Calibri"/>
                <w:sz w:val="20"/>
                <w:lang w:val="fr-CA"/>
              </w:rPr>
              <w:t xml:space="preserve"> pour que soient tranchées ces questions.  Le juge de première instance a refusé d'entendre la demande au motif que le demandeur n'avait pas donné d'avis suffisant aux procureurs généraux de l'Ontario et du Canada.  Le demandeur a interjeté appel de la déclaration de culpabilité à la Division d'appel de la Cour des infractions provinciales et l'appel a été rejeté. Appel de cette décision a été interjeté à la Cour d'appel et la demande d'autorisation spéciale d'appel a été rejetée par un juge de la Cour d'appel siégeant seul. </w:t>
            </w:r>
          </w:p>
          <w:p w:rsidR="00EC10D9" w:rsidRPr="00FA6366" w:rsidRDefault="00EC10D9" w:rsidP="0079343E">
            <w:pPr>
              <w:jc w:val="both"/>
              <w:rPr>
                <w:rFonts w:eastAsia="Calibri"/>
                <w:sz w:val="20"/>
                <w:lang w:val="fr-CA"/>
              </w:rPr>
            </w:pPr>
          </w:p>
        </w:tc>
      </w:tr>
      <w:tr w:rsidR="00EC10D9" w:rsidRPr="006F6CB9" w:rsidTr="002A37AF">
        <w:trPr>
          <w:cantSplit/>
        </w:trPr>
        <w:tc>
          <w:tcPr>
            <w:tcW w:w="2426" w:type="pct"/>
          </w:tcPr>
          <w:p w:rsidR="002A37AF" w:rsidRPr="00FA6366" w:rsidRDefault="002A37AF" w:rsidP="002A37AF">
            <w:pPr>
              <w:jc w:val="both"/>
              <w:rPr>
                <w:rFonts w:eastAsia="Calibri"/>
                <w:sz w:val="20"/>
                <w:lang w:val="fr-CA"/>
              </w:rPr>
            </w:pPr>
            <w:r w:rsidRPr="00FA6366">
              <w:rPr>
                <w:rFonts w:eastAsia="Calibri"/>
                <w:sz w:val="20"/>
                <w:lang w:val="fr-CA"/>
              </w:rPr>
              <w:t>6 mai 2010</w:t>
            </w:r>
          </w:p>
          <w:p w:rsidR="002A37AF" w:rsidRPr="00FA6366" w:rsidRDefault="002A37AF" w:rsidP="002A37AF">
            <w:pPr>
              <w:jc w:val="both"/>
              <w:rPr>
                <w:rFonts w:eastAsia="Calibri"/>
                <w:sz w:val="20"/>
                <w:lang w:val="fr-CA"/>
              </w:rPr>
            </w:pPr>
            <w:r w:rsidRPr="00FA6366">
              <w:rPr>
                <w:rFonts w:eastAsia="Calibri"/>
                <w:sz w:val="20"/>
                <w:lang w:val="fr-CA"/>
              </w:rPr>
              <w:t xml:space="preserve">Cour de justice de l'Ontario </w:t>
            </w:r>
          </w:p>
          <w:p w:rsidR="002A37AF" w:rsidRPr="00FA6366" w:rsidRDefault="002A37AF" w:rsidP="002A37AF">
            <w:pPr>
              <w:jc w:val="both"/>
              <w:rPr>
                <w:rFonts w:eastAsia="Calibri"/>
                <w:sz w:val="20"/>
                <w:lang w:val="fr-CA"/>
              </w:rPr>
            </w:pPr>
            <w:r w:rsidRPr="00FA6366">
              <w:rPr>
                <w:rFonts w:eastAsia="Calibri"/>
                <w:sz w:val="20"/>
                <w:lang w:val="fr-CA"/>
              </w:rPr>
              <w:t>(Juge Young)</w:t>
            </w:r>
          </w:p>
          <w:p w:rsidR="00EC10D9" w:rsidRPr="00FA6366" w:rsidRDefault="00EC10D9" w:rsidP="002A37AF">
            <w:pPr>
              <w:jc w:val="both"/>
              <w:rPr>
                <w:rFonts w:eastAsia="Calibri"/>
                <w:sz w:val="20"/>
                <w:lang w:val="fr-CA"/>
              </w:rPr>
            </w:pPr>
          </w:p>
        </w:tc>
        <w:tc>
          <w:tcPr>
            <w:tcW w:w="243" w:type="pct"/>
          </w:tcPr>
          <w:p w:rsidR="00EC10D9" w:rsidRPr="00FA6366" w:rsidRDefault="00EC10D9" w:rsidP="0079343E">
            <w:pPr>
              <w:jc w:val="both"/>
              <w:rPr>
                <w:rFonts w:eastAsia="Calibri"/>
                <w:sz w:val="20"/>
                <w:lang w:val="fr-CA"/>
              </w:rPr>
            </w:pPr>
          </w:p>
        </w:tc>
        <w:tc>
          <w:tcPr>
            <w:tcW w:w="2331" w:type="pct"/>
          </w:tcPr>
          <w:p w:rsidR="002A37AF" w:rsidRPr="00FA6366" w:rsidRDefault="002A37AF" w:rsidP="002A37AF">
            <w:pPr>
              <w:jc w:val="both"/>
              <w:rPr>
                <w:rFonts w:eastAsia="Calibri"/>
                <w:sz w:val="20"/>
                <w:lang w:val="fr-CA"/>
              </w:rPr>
            </w:pPr>
            <w:r w:rsidRPr="00FA6366">
              <w:rPr>
                <w:rFonts w:eastAsia="Calibri"/>
                <w:sz w:val="20"/>
                <w:lang w:val="fr-CA"/>
              </w:rPr>
              <w:t>Demandeur déclaré coupable d'excès de vitesse contrairement à l'art. 128 du</w:t>
            </w:r>
            <w:r w:rsidRPr="00FA6366">
              <w:rPr>
                <w:rFonts w:eastAsia="Calibri"/>
                <w:i/>
                <w:sz w:val="20"/>
                <w:lang w:val="fr-CA"/>
              </w:rPr>
              <w:t xml:space="preserve"> Code de la route</w:t>
            </w:r>
          </w:p>
          <w:p w:rsidR="00EC10D9" w:rsidRPr="00FA6366" w:rsidRDefault="00EC10D9" w:rsidP="002A37AF">
            <w:pPr>
              <w:jc w:val="both"/>
              <w:rPr>
                <w:rFonts w:eastAsia="Calibri"/>
                <w:sz w:val="20"/>
                <w:lang w:val="fr-CA"/>
              </w:rPr>
            </w:pPr>
          </w:p>
        </w:tc>
      </w:tr>
      <w:tr w:rsidR="002A37AF" w:rsidRPr="00F03CF9" w:rsidTr="002A37AF">
        <w:trPr>
          <w:cantSplit/>
        </w:trPr>
        <w:tc>
          <w:tcPr>
            <w:tcW w:w="2426" w:type="pct"/>
          </w:tcPr>
          <w:p w:rsidR="002A37AF" w:rsidRPr="00FA6366" w:rsidRDefault="002A37AF" w:rsidP="002A37AF">
            <w:pPr>
              <w:jc w:val="both"/>
              <w:rPr>
                <w:rFonts w:eastAsia="Calibri"/>
                <w:sz w:val="20"/>
                <w:lang w:val="fr-CA"/>
              </w:rPr>
            </w:pPr>
            <w:r w:rsidRPr="00FA6366">
              <w:rPr>
                <w:rFonts w:eastAsia="Calibri"/>
                <w:sz w:val="20"/>
                <w:lang w:val="fr-CA"/>
              </w:rPr>
              <w:t>15 mai 2010</w:t>
            </w:r>
          </w:p>
          <w:p w:rsidR="002A37AF" w:rsidRPr="00FA6366" w:rsidRDefault="002A37AF" w:rsidP="002A37AF">
            <w:pPr>
              <w:jc w:val="both"/>
              <w:rPr>
                <w:rFonts w:eastAsia="Calibri"/>
                <w:sz w:val="20"/>
                <w:lang w:val="fr-CA"/>
              </w:rPr>
            </w:pPr>
            <w:r w:rsidRPr="00FA6366">
              <w:rPr>
                <w:rFonts w:eastAsia="Calibri"/>
                <w:sz w:val="20"/>
                <w:lang w:val="fr-CA"/>
              </w:rPr>
              <w:t xml:space="preserve">Cour de justice de l'Ontario </w:t>
            </w:r>
          </w:p>
          <w:p w:rsidR="002A37AF" w:rsidRPr="00FA6366" w:rsidRDefault="002A37AF" w:rsidP="002A37AF">
            <w:pPr>
              <w:jc w:val="both"/>
              <w:rPr>
                <w:rFonts w:eastAsia="Calibri"/>
                <w:sz w:val="20"/>
                <w:lang w:val="fr-CA"/>
              </w:rPr>
            </w:pPr>
            <w:r w:rsidRPr="00FA6366">
              <w:rPr>
                <w:rFonts w:eastAsia="Calibri"/>
                <w:sz w:val="20"/>
                <w:lang w:val="fr-CA"/>
              </w:rPr>
              <w:t>(Juge Collins)</w:t>
            </w:r>
          </w:p>
          <w:p w:rsidR="002A37AF" w:rsidRPr="00FA6366" w:rsidRDefault="002A37AF" w:rsidP="0079343E">
            <w:pPr>
              <w:jc w:val="both"/>
              <w:rPr>
                <w:rFonts w:eastAsia="Calibri"/>
                <w:sz w:val="20"/>
                <w:lang w:val="fr-CA"/>
              </w:rPr>
            </w:pPr>
          </w:p>
        </w:tc>
        <w:tc>
          <w:tcPr>
            <w:tcW w:w="243" w:type="pct"/>
          </w:tcPr>
          <w:p w:rsidR="002A37AF" w:rsidRPr="00FA6366" w:rsidRDefault="002A37AF" w:rsidP="0079343E">
            <w:pPr>
              <w:jc w:val="both"/>
              <w:rPr>
                <w:rFonts w:eastAsia="Calibri"/>
                <w:sz w:val="20"/>
                <w:lang w:val="fr-CA"/>
              </w:rPr>
            </w:pPr>
          </w:p>
        </w:tc>
        <w:tc>
          <w:tcPr>
            <w:tcW w:w="2331" w:type="pct"/>
          </w:tcPr>
          <w:p w:rsidR="002A37AF" w:rsidRPr="00FA6366" w:rsidRDefault="002A37AF" w:rsidP="002A37AF">
            <w:pPr>
              <w:jc w:val="both"/>
              <w:rPr>
                <w:rFonts w:eastAsia="Calibri"/>
                <w:sz w:val="20"/>
                <w:lang w:val="fr-CA"/>
              </w:rPr>
            </w:pPr>
            <w:r w:rsidRPr="00FA6366">
              <w:rPr>
                <w:rFonts w:eastAsia="Calibri"/>
                <w:sz w:val="20"/>
                <w:lang w:val="fr-CA"/>
              </w:rPr>
              <w:t>Appel à la Division d'appel de la Cour des infractions provinciales, rejeté.</w:t>
            </w:r>
          </w:p>
          <w:p w:rsidR="002A37AF" w:rsidRPr="00FA6366" w:rsidRDefault="002A37AF" w:rsidP="0079343E">
            <w:pPr>
              <w:jc w:val="both"/>
              <w:rPr>
                <w:rFonts w:eastAsia="Calibri"/>
                <w:sz w:val="20"/>
                <w:lang w:val="fr-CA"/>
              </w:rPr>
            </w:pPr>
          </w:p>
        </w:tc>
      </w:tr>
      <w:tr w:rsidR="002A37AF" w:rsidRPr="00F03CF9" w:rsidTr="002A37AF">
        <w:trPr>
          <w:cantSplit/>
        </w:trPr>
        <w:tc>
          <w:tcPr>
            <w:tcW w:w="2426" w:type="pct"/>
          </w:tcPr>
          <w:p w:rsidR="002A37AF" w:rsidRPr="00FA6366" w:rsidRDefault="002A37AF" w:rsidP="002A37AF">
            <w:pPr>
              <w:jc w:val="both"/>
              <w:rPr>
                <w:rFonts w:eastAsia="Calibri"/>
                <w:sz w:val="20"/>
                <w:lang w:val="fr-CA"/>
              </w:rPr>
            </w:pPr>
            <w:r w:rsidRPr="00FA6366">
              <w:rPr>
                <w:rFonts w:eastAsia="Calibri"/>
                <w:sz w:val="20"/>
                <w:lang w:val="fr-CA"/>
              </w:rPr>
              <w:lastRenderedPageBreak/>
              <w:t>28 octobre 2010</w:t>
            </w:r>
          </w:p>
          <w:p w:rsidR="002A37AF" w:rsidRPr="00FA6366" w:rsidRDefault="002A37AF" w:rsidP="002A37AF">
            <w:pPr>
              <w:jc w:val="both"/>
              <w:rPr>
                <w:rFonts w:eastAsia="Calibri"/>
                <w:sz w:val="20"/>
                <w:lang w:val="fr-CA"/>
              </w:rPr>
            </w:pPr>
            <w:r w:rsidRPr="00FA6366">
              <w:rPr>
                <w:rFonts w:eastAsia="Calibri"/>
                <w:sz w:val="20"/>
                <w:lang w:val="fr-CA"/>
              </w:rPr>
              <w:t>Cour d'appel de l’Ontario</w:t>
            </w:r>
          </w:p>
          <w:p w:rsidR="002A37AF" w:rsidRPr="00FA6366" w:rsidRDefault="002A37AF" w:rsidP="002A37AF">
            <w:pPr>
              <w:jc w:val="both"/>
              <w:rPr>
                <w:rFonts w:eastAsia="Calibri"/>
                <w:sz w:val="20"/>
                <w:lang w:val="fr-CA"/>
              </w:rPr>
            </w:pPr>
            <w:r w:rsidRPr="00FA6366">
              <w:rPr>
                <w:rFonts w:eastAsia="Calibri"/>
                <w:sz w:val="20"/>
                <w:lang w:val="fr-CA"/>
              </w:rPr>
              <w:t>(Juge Doherty)</w:t>
            </w:r>
          </w:p>
          <w:p w:rsidR="002A37AF" w:rsidRPr="00FA6366" w:rsidRDefault="002A37AF" w:rsidP="0079343E">
            <w:pPr>
              <w:jc w:val="both"/>
              <w:rPr>
                <w:rFonts w:eastAsia="Calibri"/>
                <w:sz w:val="20"/>
                <w:lang w:val="fr-CA"/>
              </w:rPr>
            </w:pPr>
          </w:p>
        </w:tc>
        <w:tc>
          <w:tcPr>
            <w:tcW w:w="243" w:type="pct"/>
          </w:tcPr>
          <w:p w:rsidR="002A37AF" w:rsidRPr="00FA6366" w:rsidRDefault="002A37AF" w:rsidP="0079343E">
            <w:pPr>
              <w:jc w:val="both"/>
              <w:rPr>
                <w:rFonts w:eastAsia="Calibri"/>
                <w:sz w:val="20"/>
                <w:lang w:val="fr-CA"/>
              </w:rPr>
            </w:pPr>
          </w:p>
        </w:tc>
        <w:tc>
          <w:tcPr>
            <w:tcW w:w="2331" w:type="pct"/>
          </w:tcPr>
          <w:p w:rsidR="002A37AF" w:rsidRPr="00FA6366" w:rsidRDefault="002A37AF" w:rsidP="002A37AF">
            <w:pPr>
              <w:jc w:val="both"/>
              <w:rPr>
                <w:rFonts w:eastAsia="Calibri"/>
                <w:sz w:val="20"/>
                <w:lang w:val="fr-CA"/>
              </w:rPr>
            </w:pPr>
            <w:r w:rsidRPr="00FA6366">
              <w:rPr>
                <w:rFonts w:eastAsia="Calibri"/>
                <w:sz w:val="20"/>
                <w:lang w:val="fr-CA"/>
              </w:rPr>
              <w:t>Motion en autorisation d'appel, rejetée.</w:t>
            </w:r>
          </w:p>
          <w:p w:rsidR="002A37AF" w:rsidRPr="00FA6366" w:rsidRDefault="002A37AF" w:rsidP="0079343E">
            <w:pPr>
              <w:jc w:val="both"/>
              <w:rPr>
                <w:rFonts w:eastAsia="Calibri"/>
                <w:sz w:val="20"/>
                <w:lang w:val="fr-CA"/>
              </w:rPr>
            </w:pPr>
          </w:p>
        </w:tc>
      </w:tr>
      <w:tr w:rsidR="00EC10D9" w:rsidRPr="00F03CF9" w:rsidTr="002A37AF">
        <w:trPr>
          <w:cantSplit/>
        </w:trPr>
        <w:tc>
          <w:tcPr>
            <w:tcW w:w="2426" w:type="pct"/>
          </w:tcPr>
          <w:p w:rsidR="00EC10D9" w:rsidRPr="00FA6366" w:rsidRDefault="00EC10D9" w:rsidP="0079343E">
            <w:pPr>
              <w:jc w:val="both"/>
              <w:rPr>
                <w:rFonts w:eastAsia="Calibri"/>
                <w:sz w:val="20"/>
                <w:lang w:val="fr-CA"/>
              </w:rPr>
            </w:pPr>
            <w:r w:rsidRPr="00FA6366">
              <w:rPr>
                <w:rFonts w:eastAsia="Calibri"/>
                <w:sz w:val="20"/>
                <w:lang w:val="fr-CA"/>
              </w:rPr>
              <w:t>23 mars 2011</w:t>
            </w:r>
          </w:p>
          <w:p w:rsidR="00EC10D9" w:rsidRPr="00FA6366" w:rsidRDefault="00EC10D9" w:rsidP="0079343E">
            <w:pPr>
              <w:jc w:val="both"/>
              <w:rPr>
                <w:rFonts w:eastAsia="Calibri"/>
                <w:sz w:val="20"/>
                <w:lang w:val="fr-CA"/>
              </w:rPr>
            </w:pPr>
            <w:r w:rsidRPr="00FA6366">
              <w:rPr>
                <w:rFonts w:eastAsia="Calibri"/>
                <w:sz w:val="20"/>
                <w:lang w:val="fr-CA"/>
              </w:rPr>
              <w:t>Cour suprême du Canada</w:t>
            </w:r>
          </w:p>
        </w:tc>
        <w:tc>
          <w:tcPr>
            <w:tcW w:w="243" w:type="pct"/>
          </w:tcPr>
          <w:p w:rsidR="00EC10D9" w:rsidRPr="00FA6366" w:rsidRDefault="00EC10D9" w:rsidP="0079343E">
            <w:pPr>
              <w:jc w:val="both"/>
              <w:rPr>
                <w:rFonts w:eastAsia="Calibri"/>
                <w:sz w:val="20"/>
                <w:lang w:val="fr-CA"/>
              </w:rPr>
            </w:pPr>
          </w:p>
        </w:tc>
        <w:tc>
          <w:tcPr>
            <w:tcW w:w="2331" w:type="pct"/>
          </w:tcPr>
          <w:p w:rsidR="00EC10D9" w:rsidRPr="00FA6366" w:rsidRDefault="00EC10D9" w:rsidP="0079343E">
            <w:pPr>
              <w:jc w:val="both"/>
              <w:rPr>
                <w:rFonts w:eastAsia="Calibri"/>
                <w:sz w:val="20"/>
                <w:lang w:val="fr-CA"/>
              </w:rPr>
            </w:pPr>
            <w:r w:rsidRPr="00FA6366">
              <w:rPr>
                <w:rFonts w:eastAsia="Calibri"/>
                <w:sz w:val="20"/>
                <w:lang w:val="fr-CA"/>
              </w:rPr>
              <w:t>Requête en prorogation de délai et demande d'autorisation d'appel, déposées</w:t>
            </w:r>
          </w:p>
        </w:tc>
      </w:tr>
    </w:tbl>
    <w:p w:rsidR="00D73FFD" w:rsidRPr="00EC10D9" w:rsidRDefault="00D73FFD" w:rsidP="00D73FFD">
      <w:pPr>
        <w:rPr>
          <w:sz w:val="20"/>
          <w:szCs w:val="20"/>
          <w:lang w:val="fr-CA"/>
        </w:rPr>
      </w:pPr>
    </w:p>
    <w:p w:rsidR="00D73FFD" w:rsidRDefault="00EE1200" w:rsidP="00D73FFD">
      <w:pPr>
        <w:rPr>
          <w:sz w:val="20"/>
          <w:szCs w:val="20"/>
          <w:lang w:val="fr-CA"/>
        </w:rPr>
      </w:pPr>
      <w:r w:rsidRPr="00EE1200">
        <w:rPr>
          <w:sz w:val="20"/>
          <w:szCs w:val="20"/>
          <w:lang w:val="fr-CA"/>
        </w:rPr>
        <w:pict>
          <v:rect id="_x0000_i1053"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352E" w:rsidRPr="00D513DF" w:rsidTr="000326AA">
        <w:trPr>
          <w:cantSplit/>
        </w:trPr>
        <w:tc>
          <w:tcPr>
            <w:tcW w:w="1458" w:type="dxa"/>
          </w:tcPr>
          <w:p w:rsidR="001B352E" w:rsidRPr="00D513DF" w:rsidRDefault="001B352E" w:rsidP="000326AA">
            <w:pPr>
              <w:rPr>
                <w:rFonts w:cs="Times New Roman"/>
                <w:sz w:val="20"/>
                <w:szCs w:val="20"/>
              </w:rPr>
            </w:pPr>
            <w:r w:rsidRPr="00D513DF">
              <w:rPr>
                <w:rStyle w:val="SCCFileNumberChar"/>
                <w:rFonts w:cs="Times New Roman"/>
                <w:sz w:val="20"/>
                <w:szCs w:val="20"/>
              </w:rPr>
              <w:t>34164</w:t>
            </w:r>
          </w:p>
          <w:p w:rsidR="001B352E" w:rsidRPr="00D513DF" w:rsidRDefault="001B352E" w:rsidP="000326AA">
            <w:pPr>
              <w:rPr>
                <w:rFonts w:cs="Times New Roman"/>
                <w:b/>
                <w:sz w:val="20"/>
                <w:szCs w:val="20"/>
                <w:lang w:val="fr-CA"/>
              </w:rPr>
            </w:pPr>
          </w:p>
        </w:tc>
        <w:tc>
          <w:tcPr>
            <w:tcW w:w="8118" w:type="dxa"/>
          </w:tcPr>
          <w:p w:rsidR="001B352E" w:rsidRPr="00D513DF" w:rsidRDefault="001B352E" w:rsidP="001B352E">
            <w:pPr>
              <w:jc w:val="both"/>
              <w:rPr>
                <w:rFonts w:cs="Times New Roman"/>
                <w:sz w:val="20"/>
                <w:szCs w:val="20"/>
              </w:rPr>
            </w:pPr>
            <w:r w:rsidRPr="001B352E">
              <w:rPr>
                <w:rStyle w:val="SCCLsocChar"/>
                <w:rFonts w:cs="Times New Roman"/>
                <w:sz w:val="20"/>
                <w:szCs w:val="20"/>
                <w:lang w:val="en-CA"/>
              </w:rPr>
              <w:t>Teresa Dinunzio</w:t>
            </w:r>
            <w:r>
              <w:rPr>
                <w:rStyle w:val="SCCLsocChar"/>
                <w:rFonts w:cs="Times New Roman"/>
                <w:sz w:val="20"/>
                <w:szCs w:val="20"/>
                <w:lang w:val="en-CA"/>
              </w:rPr>
              <w:t xml:space="preserve"> and</w:t>
            </w:r>
            <w:r w:rsidRPr="001B352E">
              <w:rPr>
                <w:rStyle w:val="SCCLsocChar"/>
                <w:rFonts w:cs="Times New Roman"/>
                <w:sz w:val="20"/>
                <w:szCs w:val="20"/>
                <w:lang w:val="en-CA"/>
              </w:rPr>
              <w:t xml:space="preserve"> Danny Dinunzio, in his personal capacity and on behalf of Family Law Act R.S.O. 1990 claimants v. City of Hamilton, Hamilton Police Services Board, Hamilton Police Service, Brian J. Mullan, Ken Leendertse, Paul F. Ryan, Marco Visentini and Dalton Timmis Insurance Group</w:t>
            </w:r>
            <w:r w:rsidRPr="00D513DF">
              <w:rPr>
                <w:rFonts w:cs="Times New Roman"/>
                <w:sz w:val="20"/>
                <w:szCs w:val="20"/>
              </w:rPr>
              <w:t xml:space="preserve"> (Ont.) (Civil) (By Leave)</w:t>
            </w:r>
          </w:p>
          <w:p w:rsidR="001B352E" w:rsidRPr="00D513DF" w:rsidRDefault="001B352E" w:rsidP="000326AA">
            <w:pPr>
              <w:rPr>
                <w:rFonts w:cs="Times New Roman"/>
                <w:sz w:val="20"/>
                <w:szCs w:val="20"/>
              </w:rPr>
            </w:pPr>
          </w:p>
        </w:tc>
      </w:tr>
      <w:tr w:rsidR="001B352E" w:rsidRPr="00D513DF" w:rsidTr="000326AA">
        <w:trPr>
          <w:cantSplit/>
        </w:trPr>
        <w:tc>
          <w:tcPr>
            <w:tcW w:w="1458" w:type="dxa"/>
          </w:tcPr>
          <w:p w:rsidR="001B352E" w:rsidRPr="00D513DF" w:rsidRDefault="001B352E" w:rsidP="000326AA">
            <w:pPr>
              <w:rPr>
                <w:rFonts w:cs="Times New Roman"/>
                <w:sz w:val="20"/>
                <w:szCs w:val="20"/>
              </w:rPr>
            </w:pPr>
            <w:r w:rsidRPr="00D513DF">
              <w:rPr>
                <w:rFonts w:cs="Times New Roman"/>
                <w:sz w:val="20"/>
                <w:szCs w:val="20"/>
              </w:rPr>
              <w:t>Coram :</w:t>
            </w:r>
          </w:p>
        </w:tc>
        <w:tc>
          <w:tcPr>
            <w:tcW w:w="8118" w:type="dxa"/>
          </w:tcPr>
          <w:p w:rsidR="001B352E" w:rsidRPr="00D513DF" w:rsidRDefault="001B352E" w:rsidP="000326AA">
            <w:pPr>
              <w:rPr>
                <w:rFonts w:cs="Times New Roman"/>
                <w:sz w:val="20"/>
                <w:szCs w:val="20"/>
              </w:rPr>
            </w:pPr>
            <w:r w:rsidRPr="001B352E">
              <w:rPr>
                <w:rStyle w:val="SCCCoramChar"/>
                <w:rFonts w:cs="Times New Roman"/>
                <w:sz w:val="20"/>
                <w:szCs w:val="20"/>
                <w:lang w:val="en-CA"/>
              </w:rPr>
              <w:t>LeBel, Fish and Cromwell JJ.</w:t>
            </w:r>
          </w:p>
          <w:p w:rsidR="001B352E" w:rsidRPr="00D513DF" w:rsidRDefault="001B352E" w:rsidP="000326AA">
            <w:pPr>
              <w:rPr>
                <w:rFonts w:cs="Times New Roman"/>
                <w:sz w:val="20"/>
                <w:szCs w:val="20"/>
                <w:u w:val="single"/>
              </w:rPr>
            </w:pPr>
          </w:p>
        </w:tc>
      </w:tr>
      <w:tr w:rsidR="001B352E" w:rsidRPr="00F03CF9" w:rsidTr="000326AA">
        <w:trPr>
          <w:cantSplit/>
        </w:trPr>
        <w:tc>
          <w:tcPr>
            <w:tcW w:w="9576" w:type="dxa"/>
            <w:gridSpan w:val="2"/>
          </w:tcPr>
          <w:p w:rsidR="001B352E" w:rsidRPr="00D513DF" w:rsidRDefault="001B352E" w:rsidP="000326AA">
            <w:pPr>
              <w:pStyle w:val="SCCShortJudgment"/>
              <w:rPr>
                <w:rFonts w:cs="Times New Roman"/>
                <w:szCs w:val="20"/>
              </w:rPr>
            </w:pPr>
            <w:r w:rsidRPr="00D513DF">
              <w:rPr>
                <w:rFonts w:cs="Times New Roman"/>
                <w:szCs w:val="20"/>
              </w:rPr>
              <w:t>The application for leave to appeal from the judgment of the Court of Appeal for Ontario, Numbers C51967, 2011 ONCA 65 and C52523, 2011 ONCA 66, dated January 21, 2011, is dismissed with costs.</w:t>
            </w:r>
          </w:p>
          <w:p w:rsidR="001B352E" w:rsidRPr="00D513DF" w:rsidRDefault="001B352E" w:rsidP="000326AA">
            <w:pPr>
              <w:pStyle w:val="SCCShortJudgment"/>
              <w:ind w:firstLine="0"/>
              <w:rPr>
                <w:rFonts w:cs="Times New Roman"/>
                <w:szCs w:val="20"/>
              </w:rPr>
            </w:pPr>
          </w:p>
          <w:p w:rsidR="001B352E" w:rsidRPr="00D513DF" w:rsidRDefault="001B352E" w:rsidP="000326AA">
            <w:pPr>
              <w:pStyle w:val="SCCShortJudgment"/>
              <w:rPr>
                <w:rFonts w:cs="Times New Roman"/>
                <w:szCs w:val="20"/>
                <w:lang w:val="fr-CA"/>
              </w:rPr>
            </w:pPr>
            <w:r w:rsidRPr="00D513DF">
              <w:rPr>
                <w:rFonts w:cs="Times New Roman"/>
                <w:szCs w:val="20"/>
                <w:lang w:val="fr-CA"/>
              </w:rPr>
              <w:t>La demande d’autorisation d’appel de l’arrêt de la Cour d’appel de l’Ontario, numéros C51967, 2011 ONCA 65 et C52523, 2011 ONCA 66, daté du 21 janvier 2011, est rejetée avec dépens.</w:t>
            </w:r>
          </w:p>
        </w:tc>
      </w:tr>
    </w:tbl>
    <w:p w:rsidR="001B352E" w:rsidRPr="001B352E" w:rsidRDefault="001B352E"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343E" w:rsidRPr="00FA6366" w:rsidTr="0079343E">
        <w:tc>
          <w:tcPr>
            <w:tcW w:w="5000" w:type="pct"/>
            <w:gridSpan w:val="3"/>
          </w:tcPr>
          <w:p w:rsidR="0079343E" w:rsidRPr="00FA6366" w:rsidRDefault="0079343E" w:rsidP="0079343E">
            <w:pPr>
              <w:jc w:val="both"/>
              <w:rPr>
                <w:rFonts w:eastAsia="Calibri"/>
                <w:sz w:val="20"/>
              </w:rPr>
            </w:pPr>
            <w:r w:rsidRPr="00FA6366">
              <w:rPr>
                <w:rFonts w:eastAsia="Calibri"/>
                <w:sz w:val="20"/>
              </w:rPr>
              <w:t>Courts – Jurisdiction – Law of professions – Barristers and solicitors – Solicitor –client relationship – Whether Ontario Superior Court of Justice lacked jurisdiction to hear Applicants’ claim – Whether essential character of the dispute fell outside the ambit of the collective agreement – Whether the lower courts erred in failing to find that there was a solicitor and client relationship between female applicant and two lawyers</w:t>
            </w:r>
          </w:p>
          <w:p w:rsidR="0079343E" w:rsidRPr="00FA6366" w:rsidRDefault="0079343E" w:rsidP="0079343E">
            <w:pPr>
              <w:jc w:val="both"/>
              <w:rPr>
                <w:rFonts w:eastAsia="Calibri"/>
                <w:sz w:val="20"/>
              </w:rPr>
            </w:pPr>
          </w:p>
        </w:tc>
      </w:tr>
      <w:tr w:rsidR="0079343E" w:rsidRPr="00FA6366" w:rsidTr="0079343E">
        <w:tc>
          <w:tcPr>
            <w:tcW w:w="5000" w:type="pct"/>
            <w:gridSpan w:val="3"/>
          </w:tcPr>
          <w:p w:rsidR="0079343E" w:rsidRPr="00FA6366" w:rsidRDefault="0079343E" w:rsidP="0079343E">
            <w:pPr>
              <w:jc w:val="both"/>
              <w:rPr>
                <w:rFonts w:eastAsia="Calibri"/>
                <w:sz w:val="20"/>
              </w:rPr>
            </w:pPr>
            <w:r w:rsidRPr="00FA6366">
              <w:rPr>
                <w:rFonts w:eastAsia="Calibri"/>
                <w:sz w:val="20"/>
              </w:rPr>
              <w:t>In February of 2007, Ms. DiNunzio was a communications officer and civilian employee of the Hamilton Police Services Board.  She was named as one of several defendants named in four actions commenced by the estates and families of two deceased victims who had been killed by an individual that the police had failed to apprehend.  Ms. DiNunzio had been one of two operators who had answered 911 calls from the accused.  Ms. DiNunzio and her husband commenced an action against the Respondents seeking damages for civil conspiracy, breach of fiduciary duty, intentional and/or negligent infliction of nervous shock, defamation, intentional interference with economic relations, negligence and breach of contract.  The Respondents brought a motion to dismiss their action.  The Applicants brought a cross-motion to compel the Respondents, Paul F. Ryan and Marco Visentini, to copy documents in their files in the actions that involved Ms. DiNunzio.</w:t>
            </w:r>
          </w:p>
          <w:p w:rsidR="0079343E" w:rsidRPr="00FA6366" w:rsidRDefault="0079343E" w:rsidP="0079343E">
            <w:pPr>
              <w:jc w:val="both"/>
              <w:rPr>
                <w:rFonts w:eastAsia="Calibri"/>
                <w:sz w:val="20"/>
              </w:rPr>
            </w:pPr>
          </w:p>
        </w:tc>
      </w:tr>
      <w:tr w:rsidR="0079343E" w:rsidRPr="00FA6366" w:rsidTr="0079343E">
        <w:tc>
          <w:tcPr>
            <w:tcW w:w="2427" w:type="pct"/>
          </w:tcPr>
          <w:p w:rsidR="0079343E" w:rsidRPr="00FA6366" w:rsidRDefault="0079343E" w:rsidP="0079343E">
            <w:pPr>
              <w:jc w:val="both"/>
              <w:rPr>
                <w:rFonts w:eastAsia="Calibri"/>
                <w:sz w:val="20"/>
              </w:rPr>
            </w:pPr>
            <w:r w:rsidRPr="00FA6366">
              <w:rPr>
                <w:rFonts w:eastAsia="Calibri"/>
                <w:sz w:val="20"/>
              </w:rPr>
              <w:t xml:space="preserve">March 22, 2010 </w:t>
            </w:r>
          </w:p>
          <w:p w:rsidR="0079343E" w:rsidRPr="00FA6366" w:rsidRDefault="0079343E" w:rsidP="0079343E">
            <w:pPr>
              <w:jc w:val="both"/>
              <w:rPr>
                <w:rFonts w:eastAsia="Calibri"/>
                <w:sz w:val="20"/>
              </w:rPr>
            </w:pPr>
            <w:r w:rsidRPr="00FA6366">
              <w:rPr>
                <w:rFonts w:eastAsia="Calibri"/>
                <w:sz w:val="20"/>
              </w:rPr>
              <w:t>Ontario Superior Court of Justice</w:t>
            </w:r>
          </w:p>
          <w:p w:rsidR="0079343E" w:rsidRPr="00FA6366" w:rsidRDefault="0079343E" w:rsidP="0079343E">
            <w:pPr>
              <w:jc w:val="both"/>
              <w:rPr>
                <w:rFonts w:eastAsia="Calibri"/>
                <w:sz w:val="20"/>
              </w:rPr>
            </w:pPr>
            <w:r w:rsidRPr="00FA6366">
              <w:rPr>
                <w:rFonts w:eastAsia="Calibri"/>
                <w:sz w:val="20"/>
              </w:rPr>
              <w:t>(Pattillo J.)</w:t>
            </w:r>
          </w:p>
          <w:p w:rsidR="0079343E" w:rsidRPr="00FA6366" w:rsidRDefault="0079343E" w:rsidP="0079343E">
            <w:pPr>
              <w:jc w:val="both"/>
              <w:rPr>
                <w:rFonts w:eastAsia="Calibri"/>
                <w:sz w:val="20"/>
              </w:rPr>
            </w:pPr>
            <w:r w:rsidRPr="00FA6366">
              <w:rPr>
                <w:rFonts w:eastAsia="Calibri"/>
                <w:sz w:val="20"/>
              </w:rPr>
              <w:t>2010 ONSC 1693</w:t>
            </w:r>
          </w:p>
          <w:p w:rsidR="0079343E" w:rsidRPr="00FA6366" w:rsidRDefault="0079343E" w:rsidP="0079343E">
            <w:pPr>
              <w:jc w:val="both"/>
              <w:rPr>
                <w:rFonts w:eastAsia="Calibri"/>
                <w:sz w:val="20"/>
              </w:rPr>
            </w:pPr>
          </w:p>
        </w:tc>
        <w:tc>
          <w:tcPr>
            <w:tcW w:w="243" w:type="pct"/>
          </w:tcPr>
          <w:p w:rsidR="0079343E" w:rsidRPr="00FA6366" w:rsidRDefault="0079343E" w:rsidP="0079343E">
            <w:pPr>
              <w:jc w:val="both"/>
              <w:rPr>
                <w:rFonts w:eastAsia="Calibri"/>
                <w:sz w:val="20"/>
              </w:rPr>
            </w:pPr>
          </w:p>
        </w:tc>
        <w:tc>
          <w:tcPr>
            <w:tcW w:w="2330" w:type="pct"/>
          </w:tcPr>
          <w:p w:rsidR="0079343E" w:rsidRPr="00FA6366" w:rsidRDefault="0079343E" w:rsidP="0079343E">
            <w:pPr>
              <w:jc w:val="both"/>
              <w:rPr>
                <w:rFonts w:eastAsia="Calibri"/>
                <w:sz w:val="20"/>
              </w:rPr>
            </w:pPr>
            <w:r w:rsidRPr="00FA6366">
              <w:rPr>
                <w:rFonts w:eastAsia="Calibri"/>
                <w:sz w:val="20"/>
              </w:rPr>
              <w:t>Applicants’ cross-motion to compel Respondents, Paul F. Ryan and Marco Visentini to make copies of documents in their files in respect of four actions commenced against Teresa DiNunzio dismissed</w:t>
            </w:r>
          </w:p>
          <w:p w:rsidR="0079343E" w:rsidRPr="00FA6366" w:rsidRDefault="0079343E" w:rsidP="0079343E">
            <w:pPr>
              <w:jc w:val="both"/>
              <w:rPr>
                <w:rFonts w:eastAsia="Calibri"/>
                <w:sz w:val="20"/>
              </w:rPr>
            </w:pPr>
          </w:p>
        </w:tc>
      </w:tr>
      <w:tr w:rsidR="0079343E" w:rsidRPr="00FA6366" w:rsidTr="0079343E">
        <w:tc>
          <w:tcPr>
            <w:tcW w:w="2427" w:type="pct"/>
          </w:tcPr>
          <w:p w:rsidR="0079343E" w:rsidRPr="00FA6366" w:rsidRDefault="0079343E" w:rsidP="0079343E">
            <w:pPr>
              <w:jc w:val="both"/>
              <w:rPr>
                <w:rFonts w:eastAsia="Calibri"/>
                <w:sz w:val="20"/>
              </w:rPr>
            </w:pPr>
            <w:r w:rsidRPr="00FA6366">
              <w:rPr>
                <w:rFonts w:eastAsia="Calibri"/>
                <w:sz w:val="20"/>
              </w:rPr>
              <w:t>July 12, 2010</w:t>
            </w:r>
          </w:p>
          <w:p w:rsidR="0079343E" w:rsidRPr="00FA6366" w:rsidRDefault="0079343E" w:rsidP="0079343E">
            <w:pPr>
              <w:jc w:val="both"/>
              <w:rPr>
                <w:rFonts w:eastAsia="Calibri"/>
                <w:sz w:val="20"/>
              </w:rPr>
            </w:pPr>
            <w:r w:rsidRPr="00FA6366">
              <w:rPr>
                <w:rFonts w:eastAsia="Calibri"/>
                <w:sz w:val="20"/>
              </w:rPr>
              <w:t>Ontario Superior Court of Justice</w:t>
            </w:r>
          </w:p>
          <w:p w:rsidR="0079343E" w:rsidRPr="00FA6366" w:rsidRDefault="0079343E" w:rsidP="0079343E">
            <w:pPr>
              <w:jc w:val="both"/>
              <w:rPr>
                <w:rFonts w:eastAsia="Calibri"/>
                <w:sz w:val="20"/>
              </w:rPr>
            </w:pPr>
            <w:r w:rsidRPr="00FA6366">
              <w:rPr>
                <w:rFonts w:eastAsia="Calibri"/>
                <w:sz w:val="20"/>
              </w:rPr>
              <w:t>(Pattillo J.)</w:t>
            </w:r>
          </w:p>
          <w:p w:rsidR="0079343E" w:rsidRPr="00FA6366" w:rsidRDefault="0079343E" w:rsidP="0079343E">
            <w:pPr>
              <w:jc w:val="both"/>
              <w:rPr>
                <w:rFonts w:eastAsia="Calibri"/>
                <w:sz w:val="20"/>
              </w:rPr>
            </w:pPr>
            <w:r w:rsidRPr="00FA6366">
              <w:rPr>
                <w:rFonts w:eastAsia="Calibri"/>
                <w:sz w:val="20"/>
              </w:rPr>
              <w:t>2010 ONSC 3631</w:t>
            </w:r>
          </w:p>
          <w:p w:rsidR="0079343E" w:rsidRPr="00FA6366" w:rsidRDefault="0079343E" w:rsidP="0079343E">
            <w:pPr>
              <w:jc w:val="both"/>
              <w:rPr>
                <w:rFonts w:eastAsia="Calibri"/>
                <w:sz w:val="20"/>
              </w:rPr>
            </w:pPr>
          </w:p>
        </w:tc>
        <w:tc>
          <w:tcPr>
            <w:tcW w:w="243" w:type="pct"/>
          </w:tcPr>
          <w:p w:rsidR="0079343E" w:rsidRPr="00FA6366" w:rsidRDefault="0079343E" w:rsidP="0079343E">
            <w:pPr>
              <w:jc w:val="both"/>
              <w:rPr>
                <w:rFonts w:eastAsia="Calibri"/>
                <w:sz w:val="20"/>
              </w:rPr>
            </w:pPr>
          </w:p>
        </w:tc>
        <w:tc>
          <w:tcPr>
            <w:tcW w:w="2330" w:type="pct"/>
          </w:tcPr>
          <w:p w:rsidR="0079343E" w:rsidRPr="00FA6366" w:rsidRDefault="0079343E" w:rsidP="0079343E">
            <w:pPr>
              <w:jc w:val="both"/>
              <w:rPr>
                <w:rFonts w:eastAsia="Calibri"/>
                <w:sz w:val="20"/>
              </w:rPr>
            </w:pPr>
            <w:r w:rsidRPr="00FA6366">
              <w:rPr>
                <w:rFonts w:eastAsia="Calibri"/>
                <w:sz w:val="20"/>
              </w:rPr>
              <w:t>Respondents’ motion to dismiss Applicants’ action granted</w:t>
            </w:r>
          </w:p>
        </w:tc>
      </w:tr>
    </w:tbl>
    <w:p w:rsidR="003E032E" w:rsidRDefault="003E032E"/>
    <w:tbl>
      <w:tblPr>
        <w:tblW w:w="4952" w:type="pct"/>
        <w:tblLayout w:type="fixed"/>
        <w:tblCellMar>
          <w:left w:w="0" w:type="dxa"/>
          <w:bottom w:w="99" w:type="dxa"/>
          <w:right w:w="0" w:type="dxa"/>
        </w:tblCellMar>
        <w:tblLook w:val="04A0"/>
      </w:tblPr>
      <w:tblGrid>
        <w:gridCol w:w="4624"/>
        <w:gridCol w:w="463"/>
        <w:gridCol w:w="4440"/>
      </w:tblGrid>
      <w:tr w:rsidR="0079343E" w:rsidRPr="00FA6366" w:rsidTr="003E032E">
        <w:trPr>
          <w:cantSplit/>
        </w:trPr>
        <w:tc>
          <w:tcPr>
            <w:tcW w:w="2427" w:type="pct"/>
          </w:tcPr>
          <w:p w:rsidR="0079343E" w:rsidRPr="00FA6366" w:rsidRDefault="0079343E" w:rsidP="0079343E">
            <w:pPr>
              <w:jc w:val="both"/>
              <w:rPr>
                <w:rFonts w:eastAsia="Calibri"/>
                <w:sz w:val="20"/>
              </w:rPr>
            </w:pPr>
            <w:r w:rsidRPr="00FA6366">
              <w:rPr>
                <w:rFonts w:eastAsia="Calibri"/>
                <w:sz w:val="20"/>
              </w:rPr>
              <w:lastRenderedPageBreak/>
              <w:t>January 24, 2011</w:t>
            </w:r>
          </w:p>
          <w:p w:rsidR="0079343E" w:rsidRPr="00FA6366" w:rsidRDefault="0079343E" w:rsidP="0079343E">
            <w:pPr>
              <w:jc w:val="both"/>
              <w:rPr>
                <w:rFonts w:eastAsia="Calibri"/>
                <w:sz w:val="20"/>
              </w:rPr>
            </w:pPr>
            <w:r w:rsidRPr="00FA6366">
              <w:rPr>
                <w:rFonts w:eastAsia="Calibri"/>
                <w:sz w:val="20"/>
              </w:rPr>
              <w:t>Court of Appeal for Ontario</w:t>
            </w:r>
          </w:p>
          <w:p w:rsidR="0079343E" w:rsidRPr="00FA6366" w:rsidRDefault="0079343E" w:rsidP="0079343E">
            <w:pPr>
              <w:jc w:val="both"/>
              <w:rPr>
                <w:rFonts w:eastAsia="Calibri"/>
                <w:sz w:val="20"/>
              </w:rPr>
            </w:pPr>
            <w:r w:rsidRPr="00FA6366">
              <w:rPr>
                <w:rFonts w:eastAsia="Calibri"/>
                <w:sz w:val="20"/>
              </w:rPr>
              <w:t>(Laskin, Lang and LaForme JJ.A.)</w:t>
            </w:r>
          </w:p>
          <w:p w:rsidR="0079343E" w:rsidRPr="00FA6366" w:rsidRDefault="0079343E" w:rsidP="0079343E">
            <w:pPr>
              <w:jc w:val="both"/>
              <w:rPr>
                <w:rFonts w:eastAsia="Calibri"/>
                <w:sz w:val="20"/>
              </w:rPr>
            </w:pPr>
          </w:p>
        </w:tc>
        <w:tc>
          <w:tcPr>
            <w:tcW w:w="243" w:type="pct"/>
          </w:tcPr>
          <w:p w:rsidR="0079343E" w:rsidRPr="00FA6366" w:rsidRDefault="0079343E" w:rsidP="0079343E">
            <w:pPr>
              <w:jc w:val="both"/>
              <w:rPr>
                <w:rFonts w:eastAsia="Calibri"/>
                <w:sz w:val="20"/>
              </w:rPr>
            </w:pPr>
          </w:p>
        </w:tc>
        <w:tc>
          <w:tcPr>
            <w:tcW w:w="2330" w:type="pct"/>
          </w:tcPr>
          <w:p w:rsidR="0079343E" w:rsidRPr="00FA6366" w:rsidRDefault="0079343E" w:rsidP="0079343E">
            <w:pPr>
              <w:jc w:val="both"/>
              <w:rPr>
                <w:rFonts w:eastAsia="Calibri"/>
                <w:sz w:val="20"/>
              </w:rPr>
            </w:pPr>
            <w:r w:rsidRPr="00FA6366">
              <w:rPr>
                <w:rFonts w:eastAsia="Calibri"/>
                <w:sz w:val="20"/>
              </w:rPr>
              <w:t>Appeal dismissed</w:t>
            </w:r>
          </w:p>
          <w:p w:rsidR="0079343E" w:rsidRPr="00FA6366" w:rsidRDefault="0079343E" w:rsidP="0079343E">
            <w:pPr>
              <w:jc w:val="both"/>
              <w:rPr>
                <w:rFonts w:eastAsia="Calibri"/>
                <w:sz w:val="20"/>
              </w:rPr>
            </w:pPr>
          </w:p>
        </w:tc>
      </w:tr>
      <w:tr w:rsidR="0079343E" w:rsidRPr="00FA6366" w:rsidTr="003E032E">
        <w:trPr>
          <w:cantSplit/>
        </w:trPr>
        <w:tc>
          <w:tcPr>
            <w:tcW w:w="2427" w:type="pct"/>
          </w:tcPr>
          <w:p w:rsidR="0079343E" w:rsidRPr="00FA6366" w:rsidRDefault="0079343E" w:rsidP="0079343E">
            <w:pPr>
              <w:jc w:val="both"/>
              <w:rPr>
                <w:rFonts w:eastAsia="Calibri"/>
                <w:sz w:val="20"/>
              </w:rPr>
            </w:pPr>
            <w:r w:rsidRPr="00FA6366">
              <w:rPr>
                <w:rFonts w:eastAsia="Calibri"/>
                <w:sz w:val="20"/>
              </w:rPr>
              <w:t>March 25, 2011</w:t>
            </w:r>
          </w:p>
          <w:p w:rsidR="0079343E" w:rsidRPr="00FA6366" w:rsidRDefault="0079343E" w:rsidP="0079343E">
            <w:pPr>
              <w:jc w:val="both"/>
              <w:rPr>
                <w:rFonts w:eastAsia="Calibri"/>
                <w:sz w:val="20"/>
              </w:rPr>
            </w:pPr>
            <w:r w:rsidRPr="00FA6366">
              <w:rPr>
                <w:rFonts w:eastAsia="Calibri"/>
                <w:sz w:val="20"/>
              </w:rPr>
              <w:t>Supreme Court of Canada</w:t>
            </w:r>
          </w:p>
        </w:tc>
        <w:tc>
          <w:tcPr>
            <w:tcW w:w="243" w:type="pct"/>
          </w:tcPr>
          <w:p w:rsidR="0079343E" w:rsidRPr="00FA6366" w:rsidRDefault="0079343E" w:rsidP="0079343E">
            <w:pPr>
              <w:jc w:val="both"/>
              <w:rPr>
                <w:rFonts w:eastAsia="Calibri"/>
                <w:sz w:val="20"/>
              </w:rPr>
            </w:pPr>
          </w:p>
        </w:tc>
        <w:tc>
          <w:tcPr>
            <w:tcW w:w="2330" w:type="pct"/>
          </w:tcPr>
          <w:p w:rsidR="0079343E" w:rsidRPr="00FA6366" w:rsidRDefault="0079343E" w:rsidP="0079343E">
            <w:pPr>
              <w:jc w:val="both"/>
              <w:rPr>
                <w:rFonts w:eastAsia="Calibri"/>
                <w:sz w:val="20"/>
              </w:rPr>
            </w:pPr>
            <w:r w:rsidRPr="00FA6366">
              <w:rPr>
                <w:rFonts w:eastAsia="Calibri"/>
                <w:sz w:val="20"/>
              </w:rPr>
              <w:t>Application for leave to appeal filed.</w:t>
            </w: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54"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9343E" w:rsidRPr="00F03CF9" w:rsidTr="0079343E">
        <w:tc>
          <w:tcPr>
            <w:tcW w:w="5000" w:type="pct"/>
            <w:gridSpan w:val="3"/>
          </w:tcPr>
          <w:p w:rsidR="0079343E" w:rsidRPr="00FA6366" w:rsidRDefault="0079343E" w:rsidP="0079343E">
            <w:pPr>
              <w:jc w:val="both"/>
              <w:rPr>
                <w:rFonts w:eastAsia="Calibri"/>
                <w:sz w:val="20"/>
                <w:lang w:val="fr-CA"/>
              </w:rPr>
            </w:pPr>
            <w:r w:rsidRPr="00FA6366">
              <w:rPr>
                <w:rFonts w:eastAsia="Calibri"/>
                <w:sz w:val="20"/>
                <w:lang w:val="fr-CA"/>
              </w:rPr>
              <w:t>Tribunaux — Compétence — Droit des professions — Avocats et procureurs — Relation procureur-client — La Cour supérieure de justice de l’Ontario avait-elle compétence pour instruire la demande des demandeurs? — L’essence du litige échappe-t-elle au champ d’application de la convention collective? — Les tribunaux d’instance inférieure ont-ils eu tort de conclure qu’il existait une relation procureur-client entre la demanderesse et deux avocats?</w:t>
            </w:r>
          </w:p>
          <w:p w:rsidR="0079343E" w:rsidRPr="00FA6366" w:rsidRDefault="0079343E" w:rsidP="0079343E">
            <w:pPr>
              <w:jc w:val="both"/>
              <w:rPr>
                <w:rFonts w:eastAsia="Calibri"/>
                <w:sz w:val="20"/>
                <w:lang w:val="fr-CA"/>
              </w:rPr>
            </w:pPr>
          </w:p>
        </w:tc>
      </w:tr>
      <w:tr w:rsidR="0079343E" w:rsidRPr="00F03CF9" w:rsidTr="0079343E">
        <w:tc>
          <w:tcPr>
            <w:tcW w:w="5000" w:type="pct"/>
            <w:gridSpan w:val="3"/>
          </w:tcPr>
          <w:p w:rsidR="0079343E" w:rsidRPr="00FA6366" w:rsidRDefault="0079343E" w:rsidP="0079343E">
            <w:pPr>
              <w:jc w:val="both"/>
              <w:rPr>
                <w:rFonts w:eastAsia="Calibri"/>
                <w:sz w:val="20"/>
                <w:lang w:val="fr-CA"/>
              </w:rPr>
            </w:pPr>
            <w:r w:rsidRPr="00FA6366">
              <w:rPr>
                <w:rFonts w:eastAsia="Calibri"/>
                <w:sz w:val="20"/>
                <w:lang w:val="fr-CA"/>
              </w:rPr>
              <w:t>En février 2007, Mme DiNunzio était agente de communication et employée civile de la commission des services policiers de Hamilton.  Elle a été désignée comme l’un des nombreux défendeurs nommés dans quatre actions intentées par les successions et les familles de deux victimes décédées qui avaient été tuées par un individu que la police avait omis d’arrêter. Madame DiNunzio était l’une des deux standardistes qui avaient répondu aux appels 911 de l’accusé.  Madame DiNunzio et son époux ont intenté une action contre les intimés, sollicitant des dommages-intérêts pour collusion, violation de l’obligation fiduciaire, infliction intentionnelle ou négligente de choc nerveux, diffamation, délits commerciaux, négligence et violation de contrat.  Les intimés ont présenté une motion en rejet de leur action.  Les demandeurs ont présenté une motion incidente pour contraindre les intimés, Paul F. Ryan et Marco Visentini, de copier des documents qui se trouvent dans leur dossier dans les actions qui impliquaient Mme DiNunzio.</w:t>
            </w:r>
          </w:p>
          <w:p w:rsidR="0079343E" w:rsidRPr="00FA6366" w:rsidRDefault="0079343E" w:rsidP="0079343E">
            <w:pPr>
              <w:jc w:val="both"/>
              <w:rPr>
                <w:rFonts w:eastAsia="Calibri"/>
                <w:sz w:val="20"/>
                <w:lang w:val="fr-CA"/>
              </w:rPr>
            </w:pPr>
          </w:p>
        </w:tc>
      </w:tr>
      <w:tr w:rsidR="0079343E" w:rsidRPr="00F03CF9" w:rsidTr="0079343E">
        <w:tc>
          <w:tcPr>
            <w:tcW w:w="2427" w:type="pct"/>
          </w:tcPr>
          <w:p w:rsidR="0079343E" w:rsidRPr="00FA6366" w:rsidRDefault="0079343E" w:rsidP="0079343E">
            <w:pPr>
              <w:jc w:val="both"/>
              <w:rPr>
                <w:rFonts w:eastAsia="Calibri"/>
                <w:sz w:val="20"/>
                <w:lang w:val="fr-CA"/>
              </w:rPr>
            </w:pPr>
            <w:r w:rsidRPr="00FA6366">
              <w:rPr>
                <w:rFonts w:eastAsia="Calibri"/>
                <w:sz w:val="20"/>
                <w:lang w:val="fr-CA"/>
              </w:rPr>
              <w:t xml:space="preserve">22 mars 2010 </w:t>
            </w:r>
          </w:p>
          <w:p w:rsidR="0079343E" w:rsidRPr="00FA6366" w:rsidRDefault="0079343E" w:rsidP="0079343E">
            <w:pPr>
              <w:jc w:val="both"/>
              <w:rPr>
                <w:rFonts w:eastAsia="Calibri"/>
                <w:sz w:val="20"/>
                <w:lang w:val="fr-CA"/>
              </w:rPr>
            </w:pPr>
            <w:r w:rsidRPr="00FA6366">
              <w:rPr>
                <w:rFonts w:eastAsia="Calibri"/>
                <w:sz w:val="20"/>
                <w:lang w:val="fr-CA"/>
              </w:rPr>
              <w:t xml:space="preserve">Cour supérieure de justice de l’Ontario </w:t>
            </w:r>
          </w:p>
          <w:p w:rsidR="0079343E" w:rsidRPr="00FA6366" w:rsidRDefault="0079343E" w:rsidP="0079343E">
            <w:pPr>
              <w:jc w:val="both"/>
              <w:rPr>
                <w:rFonts w:eastAsia="Calibri"/>
                <w:sz w:val="20"/>
                <w:lang w:val="fr-CA"/>
              </w:rPr>
            </w:pPr>
            <w:r w:rsidRPr="00FA6366">
              <w:rPr>
                <w:rFonts w:eastAsia="Calibri"/>
                <w:sz w:val="20"/>
                <w:lang w:val="fr-CA"/>
              </w:rPr>
              <w:t>(Juge Pattillo)</w:t>
            </w:r>
          </w:p>
          <w:p w:rsidR="0079343E" w:rsidRPr="00FA6366" w:rsidRDefault="0079343E" w:rsidP="0079343E">
            <w:pPr>
              <w:jc w:val="both"/>
              <w:rPr>
                <w:rFonts w:eastAsia="Calibri"/>
                <w:sz w:val="20"/>
                <w:lang w:val="fr-CA"/>
              </w:rPr>
            </w:pPr>
            <w:r w:rsidRPr="00FA6366">
              <w:rPr>
                <w:rFonts w:eastAsia="Calibri"/>
                <w:sz w:val="20"/>
                <w:lang w:val="fr-CA"/>
              </w:rPr>
              <w:t>2010 ONSC 1693</w:t>
            </w:r>
          </w:p>
          <w:p w:rsidR="0079343E" w:rsidRPr="00FA6366" w:rsidRDefault="0079343E" w:rsidP="0079343E">
            <w:pPr>
              <w:jc w:val="both"/>
              <w:rPr>
                <w:rFonts w:eastAsia="Calibri"/>
                <w:sz w:val="20"/>
                <w:lang w:val="fr-CA"/>
              </w:rPr>
            </w:pPr>
          </w:p>
        </w:tc>
        <w:tc>
          <w:tcPr>
            <w:tcW w:w="243" w:type="pct"/>
          </w:tcPr>
          <w:p w:rsidR="0079343E" w:rsidRPr="00FA6366" w:rsidRDefault="0079343E" w:rsidP="0079343E">
            <w:pPr>
              <w:jc w:val="both"/>
              <w:rPr>
                <w:rFonts w:eastAsia="Calibri"/>
                <w:sz w:val="20"/>
                <w:lang w:val="fr-CA"/>
              </w:rPr>
            </w:pPr>
          </w:p>
        </w:tc>
        <w:tc>
          <w:tcPr>
            <w:tcW w:w="2330" w:type="pct"/>
          </w:tcPr>
          <w:p w:rsidR="0079343E" w:rsidRDefault="0079343E" w:rsidP="0079343E">
            <w:pPr>
              <w:jc w:val="both"/>
              <w:rPr>
                <w:rFonts w:eastAsia="Calibri"/>
                <w:sz w:val="20"/>
                <w:lang w:val="fr-CA"/>
              </w:rPr>
            </w:pPr>
            <w:r w:rsidRPr="00FA6366">
              <w:rPr>
                <w:rFonts w:eastAsia="Calibri"/>
                <w:sz w:val="20"/>
                <w:lang w:val="fr-CA"/>
              </w:rPr>
              <w:t>Motion incidente des demandeurs pour contraindre les intimés, Paul F. Ryan et Marco Visentini, de faire des copies de documents qui se trouvent dans leurs dossiers relativement à quatre actions intentées contre Teresa DiNunzio, rejetée</w:t>
            </w:r>
          </w:p>
          <w:p w:rsidR="003E032E" w:rsidRPr="00FA6366" w:rsidRDefault="003E032E" w:rsidP="0079343E">
            <w:pPr>
              <w:jc w:val="both"/>
              <w:rPr>
                <w:rFonts w:eastAsia="Calibri"/>
                <w:sz w:val="20"/>
                <w:lang w:val="fr-CA"/>
              </w:rPr>
            </w:pPr>
          </w:p>
        </w:tc>
      </w:tr>
      <w:tr w:rsidR="0079343E" w:rsidRPr="00F03CF9" w:rsidTr="0079343E">
        <w:tc>
          <w:tcPr>
            <w:tcW w:w="2427" w:type="pct"/>
          </w:tcPr>
          <w:p w:rsidR="0079343E" w:rsidRPr="00FA6366" w:rsidRDefault="0079343E" w:rsidP="0079343E">
            <w:pPr>
              <w:jc w:val="both"/>
              <w:rPr>
                <w:rFonts w:eastAsia="Calibri"/>
                <w:sz w:val="20"/>
                <w:lang w:val="fr-CA"/>
              </w:rPr>
            </w:pPr>
            <w:r w:rsidRPr="00FA6366">
              <w:rPr>
                <w:rFonts w:eastAsia="Calibri"/>
                <w:sz w:val="20"/>
                <w:lang w:val="fr-CA"/>
              </w:rPr>
              <w:t>12 juillet 2010</w:t>
            </w:r>
          </w:p>
          <w:p w:rsidR="0079343E" w:rsidRPr="00FA6366" w:rsidRDefault="0079343E" w:rsidP="0079343E">
            <w:pPr>
              <w:jc w:val="both"/>
              <w:rPr>
                <w:rFonts w:eastAsia="Calibri"/>
                <w:sz w:val="20"/>
                <w:lang w:val="fr-CA"/>
              </w:rPr>
            </w:pPr>
            <w:r w:rsidRPr="00FA6366">
              <w:rPr>
                <w:rFonts w:eastAsia="Calibri"/>
                <w:sz w:val="20"/>
                <w:lang w:val="fr-CA"/>
              </w:rPr>
              <w:t xml:space="preserve">Cour supérieure de justice de l’Ontario </w:t>
            </w:r>
          </w:p>
          <w:p w:rsidR="0079343E" w:rsidRPr="00FA6366" w:rsidRDefault="0079343E" w:rsidP="0079343E">
            <w:pPr>
              <w:jc w:val="both"/>
              <w:rPr>
                <w:rFonts w:eastAsia="Calibri"/>
                <w:sz w:val="20"/>
                <w:lang w:val="fr-CA"/>
              </w:rPr>
            </w:pPr>
            <w:r w:rsidRPr="00FA6366">
              <w:rPr>
                <w:rFonts w:eastAsia="Calibri"/>
                <w:sz w:val="20"/>
                <w:lang w:val="fr-CA"/>
              </w:rPr>
              <w:t>(Juge Pattillo)</w:t>
            </w:r>
          </w:p>
          <w:p w:rsidR="0079343E" w:rsidRPr="00FA6366" w:rsidRDefault="0079343E" w:rsidP="0079343E">
            <w:pPr>
              <w:jc w:val="both"/>
              <w:rPr>
                <w:rFonts w:eastAsia="Calibri"/>
                <w:sz w:val="20"/>
                <w:lang w:val="fr-CA"/>
              </w:rPr>
            </w:pPr>
            <w:r w:rsidRPr="00FA6366">
              <w:rPr>
                <w:rFonts w:eastAsia="Calibri"/>
                <w:sz w:val="20"/>
                <w:lang w:val="fr-CA"/>
              </w:rPr>
              <w:t>2010 ONSC 3631</w:t>
            </w:r>
          </w:p>
          <w:p w:rsidR="0079343E" w:rsidRPr="00FA6366" w:rsidRDefault="0079343E" w:rsidP="0079343E">
            <w:pPr>
              <w:jc w:val="both"/>
              <w:rPr>
                <w:rFonts w:eastAsia="Calibri"/>
                <w:sz w:val="20"/>
                <w:lang w:val="fr-CA"/>
              </w:rPr>
            </w:pPr>
          </w:p>
        </w:tc>
        <w:tc>
          <w:tcPr>
            <w:tcW w:w="243" w:type="pct"/>
          </w:tcPr>
          <w:p w:rsidR="0079343E" w:rsidRPr="00FA6366" w:rsidRDefault="0079343E" w:rsidP="0079343E">
            <w:pPr>
              <w:jc w:val="both"/>
              <w:rPr>
                <w:rFonts w:eastAsia="Calibri"/>
                <w:sz w:val="20"/>
                <w:lang w:val="fr-CA"/>
              </w:rPr>
            </w:pPr>
          </w:p>
        </w:tc>
        <w:tc>
          <w:tcPr>
            <w:tcW w:w="2330" w:type="pct"/>
          </w:tcPr>
          <w:p w:rsidR="0079343E" w:rsidRPr="00FA6366" w:rsidRDefault="0079343E" w:rsidP="0079343E">
            <w:pPr>
              <w:jc w:val="both"/>
              <w:rPr>
                <w:rFonts w:eastAsia="Calibri"/>
                <w:sz w:val="20"/>
                <w:lang w:val="fr-CA"/>
              </w:rPr>
            </w:pPr>
            <w:r w:rsidRPr="00FA6366">
              <w:rPr>
                <w:rFonts w:eastAsia="Calibri"/>
                <w:sz w:val="20"/>
                <w:lang w:val="fr-CA"/>
              </w:rPr>
              <w:t>Motion des intimés en rejet de l’action des demandeurs, accueillie</w:t>
            </w:r>
          </w:p>
        </w:tc>
      </w:tr>
      <w:tr w:rsidR="0079343E" w:rsidRPr="00FA6366" w:rsidTr="0079343E">
        <w:tc>
          <w:tcPr>
            <w:tcW w:w="2427" w:type="pct"/>
          </w:tcPr>
          <w:p w:rsidR="0079343E" w:rsidRPr="00FA6366" w:rsidRDefault="0079343E" w:rsidP="0079343E">
            <w:pPr>
              <w:jc w:val="both"/>
              <w:rPr>
                <w:rFonts w:eastAsia="Calibri"/>
                <w:sz w:val="20"/>
                <w:lang w:val="fr-CA"/>
              </w:rPr>
            </w:pPr>
            <w:r w:rsidRPr="00FA6366">
              <w:rPr>
                <w:rFonts w:eastAsia="Calibri"/>
                <w:sz w:val="20"/>
                <w:lang w:val="fr-CA"/>
              </w:rPr>
              <w:t>24 janvier 2011</w:t>
            </w:r>
          </w:p>
          <w:p w:rsidR="0079343E" w:rsidRPr="00FA6366" w:rsidRDefault="0079343E" w:rsidP="0079343E">
            <w:pPr>
              <w:jc w:val="both"/>
              <w:rPr>
                <w:rFonts w:eastAsia="Calibri"/>
                <w:sz w:val="20"/>
                <w:lang w:val="fr-CA"/>
              </w:rPr>
            </w:pPr>
            <w:r w:rsidRPr="00FA6366">
              <w:rPr>
                <w:rFonts w:eastAsia="Calibri"/>
                <w:sz w:val="20"/>
                <w:lang w:val="fr-CA"/>
              </w:rPr>
              <w:t>Cour d’appel de l’Ontario</w:t>
            </w:r>
          </w:p>
          <w:p w:rsidR="0079343E" w:rsidRPr="00FA6366" w:rsidRDefault="0079343E" w:rsidP="0079343E">
            <w:pPr>
              <w:jc w:val="both"/>
              <w:rPr>
                <w:rFonts w:eastAsia="Calibri"/>
                <w:sz w:val="20"/>
                <w:lang w:val="fr-CA"/>
              </w:rPr>
            </w:pPr>
            <w:r w:rsidRPr="00FA6366">
              <w:rPr>
                <w:rFonts w:eastAsia="Calibri"/>
                <w:sz w:val="20"/>
                <w:lang w:val="fr-CA"/>
              </w:rPr>
              <w:t>(Juges Laskin, Lang et LaForme)</w:t>
            </w:r>
          </w:p>
          <w:p w:rsidR="0079343E" w:rsidRPr="00FA6366" w:rsidRDefault="0079343E" w:rsidP="0079343E">
            <w:pPr>
              <w:jc w:val="both"/>
              <w:rPr>
                <w:rFonts w:eastAsia="Calibri"/>
                <w:sz w:val="20"/>
                <w:lang w:val="fr-CA"/>
              </w:rPr>
            </w:pPr>
          </w:p>
        </w:tc>
        <w:tc>
          <w:tcPr>
            <w:tcW w:w="243" w:type="pct"/>
          </w:tcPr>
          <w:p w:rsidR="0079343E" w:rsidRPr="00FA6366" w:rsidRDefault="0079343E" w:rsidP="0079343E">
            <w:pPr>
              <w:jc w:val="both"/>
              <w:rPr>
                <w:rFonts w:eastAsia="Calibri"/>
                <w:sz w:val="20"/>
                <w:lang w:val="fr-CA"/>
              </w:rPr>
            </w:pPr>
          </w:p>
        </w:tc>
        <w:tc>
          <w:tcPr>
            <w:tcW w:w="2330" w:type="pct"/>
          </w:tcPr>
          <w:p w:rsidR="0079343E" w:rsidRPr="00FA6366" w:rsidRDefault="0079343E" w:rsidP="0079343E">
            <w:pPr>
              <w:jc w:val="both"/>
              <w:rPr>
                <w:rFonts w:eastAsia="Calibri"/>
                <w:sz w:val="20"/>
                <w:lang w:val="fr-CA"/>
              </w:rPr>
            </w:pPr>
            <w:r w:rsidRPr="00FA6366">
              <w:rPr>
                <w:rFonts w:eastAsia="Calibri"/>
                <w:sz w:val="20"/>
                <w:lang w:val="fr-CA"/>
              </w:rPr>
              <w:t>Appel rejeté</w:t>
            </w:r>
          </w:p>
          <w:p w:rsidR="0079343E" w:rsidRPr="00FA6366" w:rsidRDefault="0079343E" w:rsidP="0079343E">
            <w:pPr>
              <w:jc w:val="both"/>
              <w:rPr>
                <w:rFonts w:eastAsia="Calibri"/>
                <w:sz w:val="20"/>
                <w:lang w:val="fr-CA"/>
              </w:rPr>
            </w:pPr>
          </w:p>
        </w:tc>
      </w:tr>
      <w:tr w:rsidR="0079343E" w:rsidRPr="00FA6366" w:rsidTr="0079343E">
        <w:tc>
          <w:tcPr>
            <w:tcW w:w="2427" w:type="pct"/>
          </w:tcPr>
          <w:p w:rsidR="0079343E" w:rsidRPr="00FA6366" w:rsidRDefault="0079343E" w:rsidP="0079343E">
            <w:pPr>
              <w:jc w:val="both"/>
              <w:rPr>
                <w:rFonts w:eastAsia="Calibri"/>
                <w:sz w:val="20"/>
                <w:lang w:val="fr-CA"/>
              </w:rPr>
            </w:pPr>
            <w:r w:rsidRPr="00FA6366">
              <w:rPr>
                <w:rFonts w:eastAsia="Calibri"/>
                <w:sz w:val="20"/>
                <w:lang w:val="fr-CA"/>
              </w:rPr>
              <w:t>25 mars 2011</w:t>
            </w:r>
          </w:p>
          <w:p w:rsidR="0079343E" w:rsidRPr="00FA6366" w:rsidRDefault="0079343E" w:rsidP="0079343E">
            <w:pPr>
              <w:jc w:val="both"/>
              <w:rPr>
                <w:rFonts w:eastAsia="Calibri"/>
                <w:sz w:val="20"/>
                <w:lang w:val="fr-CA"/>
              </w:rPr>
            </w:pPr>
            <w:r w:rsidRPr="00FA6366">
              <w:rPr>
                <w:rFonts w:eastAsia="Calibri"/>
                <w:sz w:val="20"/>
                <w:lang w:val="fr-CA"/>
              </w:rPr>
              <w:t>Cour suprême du Canada</w:t>
            </w:r>
          </w:p>
        </w:tc>
        <w:tc>
          <w:tcPr>
            <w:tcW w:w="243" w:type="pct"/>
          </w:tcPr>
          <w:p w:rsidR="0079343E" w:rsidRPr="00FA6366" w:rsidRDefault="0079343E" w:rsidP="0079343E">
            <w:pPr>
              <w:jc w:val="both"/>
              <w:rPr>
                <w:rFonts w:eastAsia="Calibri"/>
                <w:sz w:val="20"/>
                <w:lang w:val="fr-CA"/>
              </w:rPr>
            </w:pPr>
          </w:p>
        </w:tc>
        <w:tc>
          <w:tcPr>
            <w:tcW w:w="2330" w:type="pct"/>
          </w:tcPr>
          <w:p w:rsidR="0079343E" w:rsidRPr="00FA6366" w:rsidRDefault="0079343E" w:rsidP="0079343E">
            <w:pPr>
              <w:jc w:val="both"/>
              <w:rPr>
                <w:rFonts w:eastAsia="Calibri"/>
                <w:sz w:val="20"/>
                <w:lang w:val="fr-CA"/>
              </w:rPr>
            </w:pPr>
            <w:r w:rsidRPr="00FA6366">
              <w:rPr>
                <w:rFonts w:eastAsia="Calibri"/>
                <w:sz w:val="20"/>
                <w:lang w:val="fr-CA"/>
              </w:rPr>
              <w:t>Demande d’autorisation d’appel, déposée.</w:t>
            </w: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55"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E032E" w:rsidRPr="00D513DF" w:rsidTr="000326AA">
        <w:trPr>
          <w:cantSplit/>
        </w:trPr>
        <w:tc>
          <w:tcPr>
            <w:tcW w:w="1458" w:type="dxa"/>
          </w:tcPr>
          <w:p w:rsidR="003E032E" w:rsidRPr="00D513DF" w:rsidRDefault="003E032E" w:rsidP="000326AA">
            <w:pPr>
              <w:rPr>
                <w:rFonts w:cs="Times New Roman"/>
                <w:sz w:val="20"/>
                <w:szCs w:val="20"/>
              </w:rPr>
            </w:pPr>
            <w:r w:rsidRPr="00D513DF">
              <w:rPr>
                <w:rStyle w:val="SCCFileNumberChar"/>
                <w:rFonts w:cs="Times New Roman"/>
                <w:sz w:val="20"/>
                <w:szCs w:val="20"/>
              </w:rPr>
              <w:t>34172</w:t>
            </w:r>
          </w:p>
          <w:p w:rsidR="003E032E" w:rsidRPr="00D513DF" w:rsidRDefault="003E032E" w:rsidP="000326AA">
            <w:pPr>
              <w:rPr>
                <w:rFonts w:cs="Times New Roman"/>
                <w:b/>
                <w:sz w:val="20"/>
                <w:szCs w:val="20"/>
                <w:lang w:val="fr-CA"/>
              </w:rPr>
            </w:pPr>
          </w:p>
        </w:tc>
        <w:tc>
          <w:tcPr>
            <w:tcW w:w="8118" w:type="dxa"/>
          </w:tcPr>
          <w:p w:rsidR="003E032E" w:rsidRPr="00D513DF" w:rsidRDefault="003E032E" w:rsidP="000326AA">
            <w:pPr>
              <w:rPr>
                <w:rFonts w:cs="Times New Roman"/>
                <w:sz w:val="20"/>
                <w:szCs w:val="20"/>
              </w:rPr>
            </w:pPr>
            <w:r w:rsidRPr="003E032E">
              <w:rPr>
                <w:rStyle w:val="SCCLsocChar"/>
                <w:rFonts w:cs="Times New Roman"/>
                <w:sz w:val="20"/>
                <w:szCs w:val="20"/>
                <w:lang w:val="en-CA"/>
              </w:rPr>
              <w:t>:Nanya-Shaabu: El v. Kenyouth Lucien Henry</w:t>
            </w:r>
            <w:r w:rsidRPr="00D513DF">
              <w:rPr>
                <w:rFonts w:cs="Times New Roman"/>
                <w:sz w:val="20"/>
                <w:szCs w:val="20"/>
              </w:rPr>
              <w:t xml:space="preserve"> (Alta.) (Civil) (By Leave)</w:t>
            </w:r>
          </w:p>
          <w:p w:rsidR="003E032E" w:rsidRPr="00D513DF" w:rsidRDefault="003E032E" w:rsidP="000326AA">
            <w:pPr>
              <w:rPr>
                <w:rFonts w:cs="Times New Roman"/>
                <w:sz w:val="20"/>
                <w:szCs w:val="20"/>
              </w:rPr>
            </w:pPr>
          </w:p>
        </w:tc>
      </w:tr>
      <w:tr w:rsidR="003E032E" w:rsidRPr="00D513DF" w:rsidTr="000326AA">
        <w:trPr>
          <w:cantSplit/>
        </w:trPr>
        <w:tc>
          <w:tcPr>
            <w:tcW w:w="1458" w:type="dxa"/>
          </w:tcPr>
          <w:p w:rsidR="003E032E" w:rsidRPr="00D513DF" w:rsidRDefault="003E032E" w:rsidP="000326AA">
            <w:pPr>
              <w:rPr>
                <w:rFonts w:cs="Times New Roman"/>
                <w:sz w:val="20"/>
                <w:szCs w:val="20"/>
              </w:rPr>
            </w:pPr>
            <w:r w:rsidRPr="00D513DF">
              <w:rPr>
                <w:rFonts w:cs="Times New Roman"/>
                <w:sz w:val="20"/>
                <w:szCs w:val="20"/>
              </w:rPr>
              <w:t>Coram :</w:t>
            </w:r>
          </w:p>
        </w:tc>
        <w:tc>
          <w:tcPr>
            <w:tcW w:w="8118" w:type="dxa"/>
          </w:tcPr>
          <w:p w:rsidR="003E032E" w:rsidRPr="00D513DF" w:rsidRDefault="003E032E" w:rsidP="000326AA">
            <w:pPr>
              <w:rPr>
                <w:rFonts w:cs="Times New Roman"/>
                <w:sz w:val="20"/>
                <w:szCs w:val="20"/>
              </w:rPr>
            </w:pPr>
            <w:r w:rsidRPr="003E032E">
              <w:rPr>
                <w:rStyle w:val="SCCCoramChar"/>
                <w:rFonts w:cs="Times New Roman"/>
                <w:sz w:val="20"/>
                <w:szCs w:val="20"/>
                <w:lang w:val="en-CA"/>
              </w:rPr>
              <w:t>Binnie, Abella and Rothstein JJ.</w:t>
            </w:r>
          </w:p>
          <w:p w:rsidR="003E032E" w:rsidRPr="00D513DF" w:rsidRDefault="003E032E" w:rsidP="000326AA">
            <w:pPr>
              <w:rPr>
                <w:rFonts w:cs="Times New Roman"/>
                <w:sz w:val="20"/>
                <w:szCs w:val="20"/>
                <w:u w:val="single"/>
              </w:rPr>
            </w:pPr>
          </w:p>
        </w:tc>
      </w:tr>
      <w:tr w:rsidR="003E032E" w:rsidRPr="00F03CF9" w:rsidTr="000326AA">
        <w:trPr>
          <w:cantSplit/>
        </w:trPr>
        <w:tc>
          <w:tcPr>
            <w:tcW w:w="9576" w:type="dxa"/>
            <w:gridSpan w:val="2"/>
          </w:tcPr>
          <w:p w:rsidR="003E032E" w:rsidRPr="00D513DF" w:rsidRDefault="003E032E" w:rsidP="000326AA">
            <w:pPr>
              <w:pStyle w:val="SCCShortJudgment"/>
              <w:rPr>
                <w:rFonts w:cs="Times New Roman"/>
                <w:szCs w:val="20"/>
              </w:rPr>
            </w:pPr>
            <w:r w:rsidRPr="00D513DF">
              <w:rPr>
                <w:rFonts w:cs="Times New Roman"/>
                <w:szCs w:val="20"/>
              </w:rPr>
              <w:lastRenderedPageBreak/>
              <w:t>The miscellaneous motion is dismissed without costs.  The application for leave to appeal from the judgment of the Court of Appeal of Alberta (Edmonton), Number 1003-0045-AC, 2010 ABCA 312, dated October 14, 2010, is dismissed with costs for lack of jurisdiction.</w:t>
            </w:r>
          </w:p>
          <w:p w:rsidR="003E032E" w:rsidRPr="00D513DF" w:rsidRDefault="003E032E" w:rsidP="000326AA">
            <w:pPr>
              <w:pStyle w:val="SCCShortJudgment"/>
              <w:ind w:firstLine="0"/>
              <w:rPr>
                <w:rFonts w:cs="Times New Roman"/>
                <w:szCs w:val="20"/>
              </w:rPr>
            </w:pPr>
          </w:p>
          <w:p w:rsidR="003E032E" w:rsidRPr="00D513DF" w:rsidRDefault="003E032E" w:rsidP="000326AA">
            <w:pPr>
              <w:pStyle w:val="SCCShortJudgment"/>
              <w:rPr>
                <w:rFonts w:cs="Times New Roman"/>
                <w:szCs w:val="20"/>
                <w:lang w:val="fr-CA"/>
              </w:rPr>
            </w:pPr>
            <w:r w:rsidRPr="00D513DF">
              <w:rPr>
                <w:rFonts w:cs="Times New Roman"/>
                <w:szCs w:val="20"/>
                <w:lang w:val="fr-CA"/>
              </w:rPr>
              <w:t>La requête diverse est rejetée sans dépens.  La demande d’autorisation d’appel de l’arrêt de la Cour d’appel de l’Alberta (Edmonton), numéro 1003-0045-AC, 2010 ABCA 312, daté du 14 octobre 2010, est rejetée avec dépens pour cause d’absence de compétence.</w:t>
            </w:r>
          </w:p>
        </w:tc>
      </w:tr>
    </w:tbl>
    <w:p w:rsidR="003E032E" w:rsidRPr="003E032E" w:rsidRDefault="003E032E"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343E" w:rsidRPr="00FA6366" w:rsidTr="0079343E">
        <w:tc>
          <w:tcPr>
            <w:tcW w:w="5000" w:type="pct"/>
            <w:gridSpan w:val="3"/>
          </w:tcPr>
          <w:p w:rsidR="0079343E" w:rsidRPr="00FA6366" w:rsidRDefault="0079343E" w:rsidP="0079343E">
            <w:pPr>
              <w:jc w:val="both"/>
              <w:rPr>
                <w:rFonts w:eastAsia="Calibri"/>
                <w:sz w:val="20"/>
              </w:rPr>
            </w:pPr>
            <w:r w:rsidRPr="00FA6366">
              <w:rPr>
                <w:rFonts w:eastAsia="Calibri"/>
                <w:sz w:val="20"/>
              </w:rPr>
              <w:t>Civil procedure — Vexatious litigant proceedings — Security for costs — Whether the Court of Appeal erred in making vexatious litigant declaration, ordering security for costs or prohibiting applicant from commencing or continuing any appeal, action or proceeding against the respondent, or for administration or probate of his late father’s estate, without leave of the court.</w:t>
            </w:r>
          </w:p>
          <w:p w:rsidR="0079343E" w:rsidRPr="00FA6366" w:rsidRDefault="0079343E" w:rsidP="0079343E">
            <w:pPr>
              <w:jc w:val="both"/>
              <w:rPr>
                <w:rFonts w:eastAsia="Calibri"/>
                <w:sz w:val="20"/>
              </w:rPr>
            </w:pPr>
          </w:p>
        </w:tc>
      </w:tr>
      <w:tr w:rsidR="0079343E" w:rsidRPr="00FA6366" w:rsidTr="0079343E">
        <w:tc>
          <w:tcPr>
            <w:tcW w:w="5000" w:type="pct"/>
            <w:gridSpan w:val="3"/>
          </w:tcPr>
          <w:p w:rsidR="0079343E" w:rsidRPr="00FA6366" w:rsidRDefault="0079343E" w:rsidP="0079343E">
            <w:pPr>
              <w:jc w:val="both"/>
              <w:rPr>
                <w:rFonts w:eastAsia="Calibri"/>
                <w:sz w:val="20"/>
              </w:rPr>
            </w:pPr>
            <w:r w:rsidRPr="00FA6366">
              <w:rPr>
                <w:rFonts w:eastAsia="Calibri"/>
                <w:sz w:val="20"/>
              </w:rPr>
              <w:t xml:space="preserve">The applicant, Mr. El, is the respondent’s nephew.  Mr. El and his mother sued the respondent and several others, claiming that they were somehow responsible for or liable in damages for the death of Mr. El’s father, the respondent’s brother, who died of a heart attack shortly after being released from hospital.  On motion of the respondent, the Court of Queen’s Bench struck out the statement of claim and dismissed the action.  Mr. El commenced an appeal of that order. </w:t>
            </w:r>
          </w:p>
          <w:p w:rsidR="0079343E" w:rsidRPr="00FA6366" w:rsidRDefault="0079343E" w:rsidP="0079343E">
            <w:pPr>
              <w:jc w:val="both"/>
              <w:rPr>
                <w:rFonts w:eastAsia="Calibri"/>
                <w:sz w:val="20"/>
              </w:rPr>
            </w:pPr>
          </w:p>
          <w:p w:rsidR="0079343E" w:rsidRPr="00FA6366" w:rsidRDefault="0079343E" w:rsidP="0079343E">
            <w:pPr>
              <w:jc w:val="both"/>
              <w:rPr>
                <w:rFonts w:eastAsia="Calibri"/>
                <w:sz w:val="20"/>
              </w:rPr>
            </w:pPr>
            <w:r w:rsidRPr="00FA6366">
              <w:rPr>
                <w:rFonts w:eastAsia="Calibri"/>
                <w:sz w:val="20"/>
              </w:rPr>
              <w:t xml:space="preserve">On motion by the Respondent, a single judge of the Alberta Court of Appeal, </w:t>
            </w:r>
            <w:r w:rsidRPr="00FA6366">
              <w:rPr>
                <w:rFonts w:eastAsia="Calibri"/>
                <w:i/>
                <w:sz w:val="20"/>
              </w:rPr>
              <w:t>inter alia</w:t>
            </w:r>
            <w:r w:rsidRPr="00FA6366">
              <w:rPr>
                <w:rFonts w:eastAsia="Calibri"/>
                <w:sz w:val="20"/>
              </w:rPr>
              <w:t>, declared the Applicant, Mr. El, to be a vexatious litigant, prohibited him from commencing or continuing any appeal, action or proceeding against the respondent without leave of the court, and ordered that he pay security for costs in respect of any continuation of his appeal from the order of the Queen’s Bench.  Leave to appeal from that order to a panel in the Court of Appeal was not sought.</w:t>
            </w:r>
          </w:p>
          <w:p w:rsidR="0079343E" w:rsidRPr="00FA6366" w:rsidRDefault="0079343E" w:rsidP="0079343E">
            <w:pPr>
              <w:jc w:val="both"/>
              <w:rPr>
                <w:rFonts w:eastAsia="Calibri"/>
                <w:sz w:val="20"/>
              </w:rPr>
            </w:pPr>
          </w:p>
        </w:tc>
      </w:tr>
      <w:tr w:rsidR="0079343E" w:rsidRPr="00FA6366" w:rsidTr="0079343E">
        <w:tc>
          <w:tcPr>
            <w:tcW w:w="2427" w:type="pct"/>
          </w:tcPr>
          <w:p w:rsidR="0079343E" w:rsidRPr="00FA6366" w:rsidRDefault="0079343E" w:rsidP="0079343E">
            <w:pPr>
              <w:jc w:val="both"/>
              <w:rPr>
                <w:rFonts w:eastAsia="Calibri"/>
                <w:sz w:val="20"/>
              </w:rPr>
            </w:pPr>
            <w:r w:rsidRPr="00FA6366">
              <w:rPr>
                <w:rFonts w:eastAsia="Calibri"/>
                <w:sz w:val="20"/>
              </w:rPr>
              <w:t>February 4, 2010</w:t>
            </w:r>
          </w:p>
          <w:p w:rsidR="0079343E" w:rsidRPr="00FA6366" w:rsidRDefault="0079343E" w:rsidP="0079343E">
            <w:pPr>
              <w:jc w:val="both"/>
              <w:rPr>
                <w:rFonts w:eastAsia="Calibri"/>
                <w:sz w:val="20"/>
              </w:rPr>
            </w:pPr>
            <w:r w:rsidRPr="00FA6366">
              <w:rPr>
                <w:rFonts w:eastAsia="Calibri"/>
                <w:sz w:val="20"/>
              </w:rPr>
              <w:t>Court of Queen’s Bench of Alberta</w:t>
            </w:r>
          </w:p>
          <w:p w:rsidR="0079343E" w:rsidRPr="00FA6366" w:rsidRDefault="0079343E" w:rsidP="0079343E">
            <w:pPr>
              <w:jc w:val="both"/>
              <w:rPr>
                <w:rFonts w:eastAsia="Calibri"/>
                <w:sz w:val="20"/>
              </w:rPr>
            </w:pPr>
            <w:r w:rsidRPr="00FA6366">
              <w:rPr>
                <w:rFonts w:eastAsia="Calibri"/>
                <w:sz w:val="20"/>
              </w:rPr>
              <w:t>(Sanderman J.)</w:t>
            </w:r>
          </w:p>
          <w:p w:rsidR="0079343E" w:rsidRPr="00FA6366" w:rsidRDefault="0079343E" w:rsidP="0079343E">
            <w:pPr>
              <w:jc w:val="both"/>
              <w:rPr>
                <w:rFonts w:eastAsia="Calibri"/>
                <w:sz w:val="20"/>
              </w:rPr>
            </w:pPr>
          </w:p>
        </w:tc>
        <w:tc>
          <w:tcPr>
            <w:tcW w:w="243" w:type="pct"/>
          </w:tcPr>
          <w:p w:rsidR="0079343E" w:rsidRPr="00FA6366" w:rsidRDefault="0079343E" w:rsidP="0079343E">
            <w:pPr>
              <w:jc w:val="both"/>
              <w:rPr>
                <w:rFonts w:eastAsia="Calibri"/>
                <w:sz w:val="20"/>
              </w:rPr>
            </w:pPr>
          </w:p>
        </w:tc>
        <w:tc>
          <w:tcPr>
            <w:tcW w:w="2330" w:type="pct"/>
          </w:tcPr>
          <w:p w:rsidR="0079343E" w:rsidRPr="00FA6366" w:rsidRDefault="0079343E" w:rsidP="0079343E">
            <w:pPr>
              <w:jc w:val="both"/>
              <w:rPr>
                <w:rFonts w:eastAsia="Calibri"/>
                <w:sz w:val="20"/>
              </w:rPr>
            </w:pPr>
            <w:r w:rsidRPr="00FA6366">
              <w:rPr>
                <w:rFonts w:eastAsia="Calibri"/>
                <w:sz w:val="20"/>
              </w:rPr>
              <w:t>Respondent’s motion to strike Applicant’s statement of claim, granted; Applicant’s claim, dismissed.</w:t>
            </w:r>
          </w:p>
          <w:p w:rsidR="0079343E" w:rsidRPr="00FA6366" w:rsidRDefault="0079343E" w:rsidP="0079343E">
            <w:pPr>
              <w:jc w:val="both"/>
              <w:rPr>
                <w:rFonts w:eastAsia="Calibri"/>
                <w:sz w:val="20"/>
              </w:rPr>
            </w:pPr>
          </w:p>
        </w:tc>
      </w:tr>
      <w:tr w:rsidR="0079343E" w:rsidRPr="00FA6366" w:rsidTr="0079343E">
        <w:tc>
          <w:tcPr>
            <w:tcW w:w="2427" w:type="pct"/>
          </w:tcPr>
          <w:p w:rsidR="0079343E" w:rsidRPr="00FA6366" w:rsidRDefault="0079343E" w:rsidP="0079343E">
            <w:pPr>
              <w:jc w:val="both"/>
              <w:rPr>
                <w:rFonts w:eastAsia="Calibri"/>
                <w:sz w:val="20"/>
              </w:rPr>
            </w:pPr>
            <w:r w:rsidRPr="00FA6366">
              <w:rPr>
                <w:rFonts w:eastAsia="Calibri"/>
                <w:sz w:val="20"/>
              </w:rPr>
              <w:t>October 14, 2010</w:t>
            </w:r>
          </w:p>
          <w:p w:rsidR="0079343E" w:rsidRPr="00FA6366" w:rsidRDefault="0079343E" w:rsidP="0079343E">
            <w:pPr>
              <w:jc w:val="both"/>
              <w:rPr>
                <w:rFonts w:eastAsia="Calibri"/>
                <w:sz w:val="20"/>
              </w:rPr>
            </w:pPr>
            <w:r w:rsidRPr="00FA6366">
              <w:rPr>
                <w:rFonts w:eastAsia="Calibri"/>
                <w:sz w:val="20"/>
              </w:rPr>
              <w:t>Court of Appeal of Alberta (Edmonton)</w:t>
            </w:r>
          </w:p>
          <w:p w:rsidR="0079343E" w:rsidRPr="00FA6366" w:rsidRDefault="0079343E" w:rsidP="0079343E">
            <w:pPr>
              <w:jc w:val="both"/>
              <w:rPr>
                <w:rFonts w:eastAsia="Calibri"/>
                <w:sz w:val="20"/>
              </w:rPr>
            </w:pPr>
            <w:r w:rsidRPr="00FA6366">
              <w:rPr>
                <w:rFonts w:eastAsia="Calibri"/>
                <w:sz w:val="20"/>
              </w:rPr>
              <w:t>(Slatter J.A.)</w:t>
            </w:r>
          </w:p>
          <w:p w:rsidR="0079343E" w:rsidRPr="00FA6366" w:rsidRDefault="0079343E" w:rsidP="0079343E">
            <w:pPr>
              <w:jc w:val="both"/>
              <w:rPr>
                <w:rFonts w:eastAsia="Calibri"/>
                <w:sz w:val="20"/>
              </w:rPr>
            </w:pPr>
            <w:r w:rsidRPr="00FA6366">
              <w:rPr>
                <w:rFonts w:eastAsia="Calibri"/>
                <w:sz w:val="20"/>
              </w:rPr>
              <w:t xml:space="preserve">Neutral citation: 2010 ABCA 312 </w:t>
            </w:r>
          </w:p>
          <w:p w:rsidR="0079343E" w:rsidRPr="00FA6366" w:rsidRDefault="0079343E" w:rsidP="0079343E">
            <w:pPr>
              <w:jc w:val="both"/>
              <w:rPr>
                <w:rFonts w:eastAsia="Calibri"/>
                <w:sz w:val="20"/>
              </w:rPr>
            </w:pPr>
          </w:p>
        </w:tc>
        <w:tc>
          <w:tcPr>
            <w:tcW w:w="243" w:type="pct"/>
          </w:tcPr>
          <w:p w:rsidR="0079343E" w:rsidRPr="00FA6366" w:rsidRDefault="0079343E" w:rsidP="0079343E">
            <w:pPr>
              <w:jc w:val="both"/>
              <w:rPr>
                <w:rFonts w:eastAsia="Calibri"/>
                <w:sz w:val="20"/>
              </w:rPr>
            </w:pPr>
          </w:p>
        </w:tc>
        <w:tc>
          <w:tcPr>
            <w:tcW w:w="2330" w:type="pct"/>
          </w:tcPr>
          <w:p w:rsidR="0079343E" w:rsidRPr="00FA6366" w:rsidRDefault="0079343E" w:rsidP="0079343E">
            <w:pPr>
              <w:jc w:val="both"/>
              <w:rPr>
                <w:rFonts w:eastAsia="Calibri"/>
                <w:sz w:val="20"/>
              </w:rPr>
            </w:pPr>
            <w:r w:rsidRPr="00FA6366">
              <w:rPr>
                <w:rFonts w:eastAsia="Calibri"/>
                <w:sz w:val="20"/>
              </w:rPr>
              <w:t xml:space="preserve">Respondent’s motion for order, </w:t>
            </w:r>
            <w:r w:rsidRPr="00FA6366">
              <w:rPr>
                <w:rFonts w:eastAsia="Calibri"/>
                <w:i/>
                <w:sz w:val="20"/>
              </w:rPr>
              <w:t>inter alia</w:t>
            </w:r>
            <w:r w:rsidRPr="00FA6366">
              <w:rPr>
                <w:rFonts w:eastAsia="Calibri"/>
                <w:sz w:val="20"/>
              </w:rPr>
              <w:t>, declaring Applicant a vexatious litigant, granted.</w:t>
            </w:r>
          </w:p>
          <w:p w:rsidR="0079343E" w:rsidRPr="00FA6366" w:rsidRDefault="0079343E" w:rsidP="0079343E">
            <w:pPr>
              <w:jc w:val="both"/>
              <w:rPr>
                <w:rFonts w:eastAsia="Calibri"/>
                <w:sz w:val="20"/>
              </w:rPr>
            </w:pPr>
          </w:p>
        </w:tc>
      </w:tr>
      <w:tr w:rsidR="0079343E" w:rsidRPr="00FA6366" w:rsidTr="0079343E">
        <w:tc>
          <w:tcPr>
            <w:tcW w:w="2427" w:type="pct"/>
          </w:tcPr>
          <w:p w:rsidR="0079343E" w:rsidRPr="00FA6366" w:rsidRDefault="0079343E" w:rsidP="0079343E">
            <w:pPr>
              <w:jc w:val="both"/>
              <w:rPr>
                <w:rFonts w:eastAsia="Calibri"/>
                <w:sz w:val="20"/>
              </w:rPr>
            </w:pPr>
            <w:r w:rsidRPr="00FA6366">
              <w:rPr>
                <w:rFonts w:eastAsia="Calibri"/>
                <w:sz w:val="20"/>
              </w:rPr>
              <w:t>February 24, 2011</w:t>
            </w:r>
          </w:p>
          <w:p w:rsidR="0079343E" w:rsidRPr="00FA6366" w:rsidRDefault="0079343E" w:rsidP="0079343E">
            <w:pPr>
              <w:jc w:val="both"/>
              <w:rPr>
                <w:rFonts w:eastAsia="Calibri"/>
                <w:sz w:val="20"/>
              </w:rPr>
            </w:pPr>
            <w:r w:rsidRPr="00FA6366">
              <w:rPr>
                <w:rFonts w:eastAsia="Calibri"/>
                <w:sz w:val="20"/>
              </w:rPr>
              <w:t>Supreme Court of Canada</w:t>
            </w:r>
          </w:p>
        </w:tc>
        <w:tc>
          <w:tcPr>
            <w:tcW w:w="243" w:type="pct"/>
          </w:tcPr>
          <w:p w:rsidR="0079343E" w:rsidRPr="00FA6366" w:rsidRDefault="0079343E" w:rsidP="0079343E">
            <w:pPr>
              <w:jc w:val="both"/>
              <w:rPr>
                <w:rFonts w:eastAsia="Calibri"/>
                <w:sz w:val="20"/>
              </w:rPr>
            </w:pPr>
          </w:p>
        </w:tc>
        <w:tc>
          <w:tcPr>
            <w:tcW w:w="2330" w:type="pct"/>
          </w:tcPr>
          <w:p w:rsidR="0079343E" w:rsidRPr="00FA6366" w:rsidRDefault="0079343E" w:rsidP="0079343E">
            <w:pPr>
              <w:jc w:val="both"/>
              <w:rPr>
                <w:rFonts w:eastAsia="Calibri"/>
                <w:sz w:val="20"/>
              </w:rPr>
            </w:pPr>
            <w:r w:rsidRPr="00FA6366">
              <w:rPr>
                <w:rFonts w:eastAsia="Calibri"/>
                <w:sz w:val="20"/>
              </w:rPr>
              <w:t>Application for leave to appeal, filed (previously filed November 30, 2010).</w:t>
            </w: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56"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9343E" w:rsidRPr="00F03CF9" w:rsidTr="0079343E">
        <w:tc>
          <w:tcPr>
            <w:tcW w:w="5000" w:type="pct"/>
            <w:gridSpan w:val="3"/>
          </w:tcPr>
          <w:p w:rsidR="0079343E" w:rsidRPr="00FA6366" w:rsidRDefault="0079343E" w:rsidP="0079343E">
            <w:pPr>
              <w:jc w:val="both"/>
              <w:rPr>
                <w:rFonts w:eastAsia="Calibri"/>
                <w:sz w:val="20"/>
                <w:lang w:val="fr-CA"/>
              </w:rPr>
            </w:pPr>
            <w:r w:rsidRPr="00FA6366">
              <w:rPr>
                <w:rFonts w:eastAsia="Calibri"/>
                <w:sz w:val="20"/>
                <w:lang w:val="fr-CA"/>
              </w:rPr>
              <w:t>Procédure civile — Plaideur vexatoire — Cautionnement pour frais — La Cour d’appel a</w:t>
            </w:r>
            <w:r w:rsidRPr="00FA6366">
              <w:rPr>
                <w:rFonts w:eastAsia="Calibri"/>
                <w:sz w:val="20"/>
                <w:lang w:val="fr-CA"/>
              </w:rPr>
              <w:noBreakHyphen/>
              <w:t>t</w:t>
            </w:r>
            <w:r w:rsidRPr="00FA6366">
              <w:rPr>
                <w:rFonts w:eastAsia="Calibri"/>
                <w:sz w:val="20"/>
                <w:lang w:val="fr-CA"/>
              </w:rPr>
              <w:noBreakHyphen/>
              <w:t>elle eu tort de déclarer le demandeur plaideur vexatoire, d’ordonner un cautionnement pour frais ou d’interdire au demandeur d’introduire ou de poursuivre l’instance en appel ou en demande contre l’intimé ou relativement à l’administration ou l’homologation de la succession de son défunt père, sans l’autorisation de la cour?</w:t>
            </w:r>
          </w:p>
          <w:p w:rsidR="0079343E" w:rsidRPr="00FA6366" w:rsidRDefault="0079343E" w:rsidP="0079343E">
            <w:pPr>
              <w:jc w:val="both"/>
              <w:rPr>
                <w:rFonts w:eastAsia="Calibri"/>
                <w:sz w:val="20"/>
                <w:lang w:val="fr-CA"/>
              </w:rPr>
            </w:pPr>
          </w:p>
        </w:tc>
      </w:tr>
      <w:tr w:rsidR="0079343E" w:rsidRPr="00F03CF9" w:rsidTr="0079343E">
        <w:tc>
          <w:tcPr>
            <w:tcW w:w="5000" w:type="pct"/>
            <w:gridSpan w:val="3"/>
          </w:tcPr>
          <w:p w:rsidR="0079343E" w:rsidRPr="00FA6366" w:rsidRDefault="0079343E" w:rsidP="0079343E">
            <w:pPr>
              <w:jc w:val="both"/>
              <w:rPr>
                <w:rFonts w:eastAsia="Calibri"/>
                <w:sz w:val="20"/>
                <w:lang w:val="fr-CA"/>
              </w:rPr>
            </w:pPr>
            <w:r w:rsidRPr="00FA6366">
              <w:rPr>
                <w:rFonts w:eastAsia="Calibri"/>
                <w:sz w:val="20"/>
                <w:lang w:val="fr-CA"/>
              </w:rPr>
              <w:t>Le demandeur, M. El, est le neveu de l’intimé.  Monsieur El et sa mère ont poursuivi l’intimé et plusieurs autres personnes, alléguant qu’ils étaient en quelque sorte responsables en dommages</w:t>
            </w:r>
            <w:r w:rsidRPr="00FA6366">
              <w:rPr>
                <w:rFonts w:eastAsia="Calibri"/>
                <w:sz w:val="20"/>
                <w:lang w:val="fr-CA"/>
              </w:rPr>
              <w:noBreakHyphen/>
              <w:t xml:space="preserve">intérêts du décès du père de M. El, le frère de l’intimé, décédé d’une crise cardiaque peu de temps après avoir obtenu son congé de l’hôpital.  Sur motion de </w:t>
            </w:r>
            <w:r w:rsidRPr="00FA6366">
              <w:rPr>
                <w:rFonts w:eastAsia="Calibri"/>
                <w:sz w:val="20"/>
                <w:lang w:val="fr-CA"/>
              </w:rPr>
              <w:lastRenderedPageBreak/>
              <w:t xml:space="preserve">l’intimé, la Cour du Banc de la Reine a radié la déclaration et rejeté l’action.  Monsieur El a interjeté appel de cette ordonnance. </w:t>
            </w:r>
          </w:p>
          <w:p w:rsidR="0079343E" w:rsidRPr="00FA6366" w:rsidRDefault="0079343E" w:rsidP="0079343E">
            <w:pPr>
              <w:jc w:val="both"/>
              <w:rPr>
                <w:rFonts w:eastAsia="Calibri"/>
                <w:sz w:val="20"/>
                <w:lang w:val="fr-CA"/>
              </w:rPr>
            </w:pPr>
          </w:p>
          <w:p w:rsidR="0079343E" w:rsidRPr="00FA6366" w:rsidRDefault="0079343E" w:rsidP="0079343E">
            <w:pPr>
              <w:jc w:val="both"/>
              <w:rPr>
                <w:rFonts w:eastAsia="Calibri"/>
                <w:sz w:val="20"/>
                <w:lang w:val="fr-CA"/>
              </w:rPr>
            </w:pPr>
            <w:r w:rsidRPr="00FA6366">
              <w:rPr>
                <w:rFonts w:eastAsia="Calibri"/>
                <w:sz w:val="20"/>
                <w:lang w:val="fr-CA"/>
              </w:rPr>
              <w:t>Sur une motion de l’intimé, un juge de la Cour d’appel de l’Alberta siégeant seul a, entre autres, déclaré le demandeur, M. El, plaideur vexatoire, lui interdisant d’introduire ou de poursuivre une instance en appel ou en demande contre l’intimé sans l’autorisation de la cour, et lui a ordonné de payer un cautionnement pour frais relativement à toute poursuite de l’instance dans son appel de l’ordonnance de la Cour du Banc de la Reine.  L’autorisation d’appel de cette ordonnance à une formation de juges de la Cour d’appel n’a pas été demandée.</w:t>
            </w:r>
          </w:p>
          <w:p w:rsidR="0079343E" w:rsidRPr="00FA6366" w:rsidRDefault="0079343E" w:rsidP="0079343E">
            <w:pPr>
              <w:jc w:val="both"/>
              <w:rPr>
                <w:rFonts w:eastAsia="Calibri"/>
                <w:sz w:val="20"/>
                <w:lang w:val="fr-CA"/>
              </w:rPr>
            </w:pPr>
          </w:p>
        </w:tc>
      </w:tr>
      <w:tr w:rsidR="0079343E" w:rsidRPr="00F03CF9" w:rsidTr="0079343E">
        <w:tc>
          <w:tcPr>
            <w:tcW w:w="2427" w:type="pct"/>
          </w:tcPr>
          <w:p w:rsidR="0079343E" w:rsidRPr="00FA6366" w:rsidRDefault="0079343E" w:rsidP="0079343E">
            <w:pPr>
              <w:jc w:val="both"/>
              <w:rPr>
                <w:rFonts w:eastAsia="Calibri"/>
                <w:sz w:val="20"/>
                <w:lang w:val="fr-CA"/>
              </w:rPr>
            </w:pPr>
            <w:r w:rsidRPr="00FA6366">
              <w:rPr>
                <w:rFonts w:eastAsia="Calibri"/>
                <w:sz w:val="20"/>
                <w:lang w:val="fr-CA"/>
              </w:rPr>
              <w:lastRenderedPageBreak/>
              <w:t>4 février 2010</w:t>
            </w:r>
          </w:p>
          <w:p w:rsidR="0079343E" w:rsidRPr="00FA6366" w:rsidRDefault="0079343E" w:rsidP="0079343E">
            <w:pPr>
              <w:jc w:val="both"/>
              <w:rPr>
                <w:rFonts w:eastAsia="Calibri"/>
                <w:sz w:val="20"/>
                <w:lang w:val="fr-CA"/>
              </w:rPr>
            </w:pPr>
            <w:r w:rsidRPr="00FA6366">
              <w:rPr>
                <w:rFonts w:eastAsia="Calibri"/>
                <w:sz w:val="20"/>
                <w:lang w:val="fr-CA"/>
              </w:rPr>
              <w:t xml:space="preserve">Cour du Banc de la Reine de l’Alberta </w:t>
            </w:r>
          </w:p>
          <w:p w:rsidR="0079343E" w:rsidRPr="00FA6366" w:rsidRDefault="0079343E" w:rsidP="0079343E">
            <w:pPr>
              <w:jc w:val="both"/>
              <w:rPr>
                <w:rFonts w:eastAsia="Calibri"/>
                <w:sz w:val="20"/>
                <w:lang w:val="fr-CA"/>
              </w:rPr>
            </w:pPr>
            <w:r w:rsidRPr="00FA6366">
              <w:rPr>
                <w:rFonts w:eastAsia="Calibri"/>
                <w:sz w:val="20"/>
                <w:lang w:val="fr-CA"/>
              </w:rPr>
              <w:t>(Juge Sanderman)</w:t>
            </w:r>
          </w:p>
          <w:p w:rsidR="0079343E" w:rsidRPr="00FA6366" w:rsidRDefault="0079343E" w:rsidP="0079343E">
            <w:pPr>
              <w:jc w:val="both"/>
              <w:rPr>
                <w:rFonts w:eastAsia="Calibri"/>
                <w:sz w:val="20"/>
                <w:lang w:val="fr-CA"/>
              </w:rPr>
            </w:pPr>
          </w:p>
        </w:tc>
        <w:tc>
          <w:tcPr>
            <w:tcW w:w="243" w:type="pct"/>
          </w:tcPr>
          <w:p w:rsidR="0079343E" w:rsidRPr="00FA6366" w:rsidRDefault="0079343E" w:rsidP="0079343E">
            <w:pPr>
              <w:jc w:val="both"/>
              <w:rPr>
                <w:rFonts w:eastAsia="Calibri"/>
                <w:sz w:val="20"/>
                <w:lang w:val="fr-CA"/>
              </w:rPr>
            </w:pPr>
          </w:p>
        </w:tc>
        <w:tc>
          <w:tcPr>
            <w:tcW w:w="2330" w:type="pct"/>
          </w:tcPr>
          <w:p w:rsidR="0079343E" w:rsidRPr="00FA6366" w:rsidRDefault="0079343E" w:rsidP="0079343E">
            <w:pPr>
              <w:jc w:val="both"/>
              <w:rPr>
                <w:rFonts w:eastAsia="Calibri"/>
                <w:sz w:val="20"/>
                <w:lang w:val="fr-CA"/>
              </w:rPr>
            </w:pPr>
            <w:r w:rsidRPr="00FA6366">
              <w:rPr>
                <w:rFonts w:eastAsia="Calibri"/>
                <w:sz w:val="20"/>
                <w:lang w:val="fr-CA"/>
              </w:rPr>
              <w:t>Motion de l’intimé en radiation de la déclaration du demandeur, accueillie; demande du demandeur, rejetée.</w:t>
            </w:r>
          </w:p>
          <w:p w:rsidR="0079343E" w:rsidRPr="00FA6366" w:rsidRDefault="0079343E" w:rsidP="0079343E">
            <w:pPr>
              <w:jc w:val="both"/>
              <w:rPr>
                <w:rFonts w:eastAsia="Calibri"/>
                <w:sz w:val="20"/>
                <w:lang w:val="fr-CA"/>
              </w:rPr>
            </w:pPr>
          </w:p>
        </w:tc>
      </w:tr>
      <w:tr w:rsidR="0079343E" w:rsidRPr="00F03CF9" w:rsidTr="0079343E">
        <w:tc>
          <w:tcPr>
            <w:tcW w:w="2427" w:type="pct"/>
          </w:tcPr>
          <w:p w:rsidR="0079343E" w:rsidRPr="00FA6366" w:rsidRDefault="0079343E" w:rsidP="0079343E">
            <w:pPr>
              <w:jc w:val="both"/>
              <w:rPr>
                <w:rFonts w:eastAsia="Calibri"/>
                <w:sz w:val="20"/>
                <w:lang w:val="fr-CA"/>
              </w:rPr>
            </w:pPr>
            <w:r w:rsidRPr="00FA6366">
              <w:rPr>
                <w:rFonts w:eastAsia="Calibri"/>
                <w:sz w:val="20"/>
                <w:lang w:val="fr-CA"/>
              </w:rPr>
              <w:t>14 octobre 2010</w:t>
            </w:r>
          </w:p>
          <w:p w:rsidR="0079343E" w:rsidRPr="00FA6366" w:rsidRDefault="0079343E" w:rsidP="0079343E">
            <w:pPr>
              <w:jc w:val="both"/>
              <w:rPr>
                <w:rFonts w:eastAsia="Calibri"/>
                <w:sz w:val="20"/>
                <w:lang w:val="fr-CA"/>
              </w:rPr>
            </w:pPr>
            <w:r w:rsidRPr="00FA6366">
              <w:rPr>
                <w:rFonts w:eastAsia="Calibri"/>
                <w:sz w:val="20"/>
                <w:lang w:val="fr-CA"/>
              </w:rPr>
              <w:t>Cour d’appel de l’Alberta (Edmonton)</w:t>
            </w:r>
          </w:p>
          <w:p w:rsidR="0079343E" w:rsidRPr="00FA6366" w:rsidRDefault="0079343E" w:rsidP="0079343E">
            <w:pPr>
              <w:jc w:val="both"/>
              <w:rPr>
                <w:rFonts w:eastAsia="Calibri"/>
                <w:sz w:val="20"/>
                <w:lang w:val="fr-CA"/>
              </w:rPr>
            </w:pPr>
            <w:r w:rsidRPr="00FA6366">
              <w:rPr>
                <w:rFonts w:eastAsia="Calibri"/>
                <w:sz w:val="20"/>
                <w:lang w:val="fr-CA"/>
              </w:rPr>
              <w:t>(Juge Slatter)</w:t>
            </w:r>
          </w:p>
          <w:p w:rsidR="0079343E" w:rsidRPr="00FA6366" w:rsidRDefault="0079343E" w:rsidP="0079343E">
            <w:pPr>
              <w:jc w:val="both"/>
              <w:rPr>
                <w:rFonts w:eastAsia="Calibri"/>
                <w:sz w:val="20"/>
                <w:lang w:val="fr-CA"/>
              </w:rPr>
            </w:pPr>
            <w:r w:rsidRPr="00FA6366">
              <w:rPr>
                <w:rFonts w:eastAsia="Calibri"/>
                <w:sz w:val="20"/>
                <w:lang w:val="fr-CA"/>
              </w:rPr>
              <w:t xml:space="preserve">Référence neutre : 2010 ABCA 312 </w:t>
            </w:r>
          </w:p>
          <w:p w:rsidR="0079343E" w:rsidRPr="00FA6366" w:rsidRDefault="0079343E" w:rsidP="0079343E">
            <w:pPr>
              <w:jc w:val="both"/>
              <w:rPr>
                <w:rFonts w:eastAsia="Calibri"/>
                <w:sz w:val="20"/>
                <w:lang w:val="fr-CA"/>
              </w:rPr>
            </w:pPr>
          </w:p>
        </w:tc>
        <w:tc>
          <w:tcPr>
            <w:tcW w:w="243" w:type="pct"/>
          </w:tcPr>
          <w:p w:rsidR="0079343E" w:rsidRPr="00FA6366" w:rsidRDefault="0079343E" w:rsidP="0079343E">
            <w:pPr>
              <w:jc w:val="both"/>
              <w:rPr>
                <w:rFonts w:eastAsia="Calibri"/>
                <w:sz w:val="20"/>
                <w:lang w:val="fr-CA"/>
              </w:rPr>
            </w:pPr>
          </w:p>
        </w:tc>
        <w:tc>
          <w:tcPr>
            <w:tcW w:w="2330" w:type="pct"/>
          </w:tcPr>
          <w:p w:rsidR="0079343E" w:rsidRPr="00FA6366" w:rsidRDefault="0079343E" w:rsidP="0079343E">
            <w:pPr>
              <w:jc w:val="both"/>
              <w:rPr>
                <w:rFonts w:eastAsia="Calibri"/>
                <w:sz w:val="20"/>
                <w:lang w:val="fr-CA"/>
              </w:rPr>
            </w:pPr>
            <w:r w:rsidRPr="00FA6366">
              <w:rPr>
                <w:rFonts w:eastAsia="Calibri"/>
                <w:sz w:val="20"/>
                <w:lang w:val="fr-CA"/>
              </w:rPr>
              <w:t>Motion de l’intimé en vue d’obtenir, entre autres, une ordonnance déclarant le demandeur plaideur vexatoire, accueillie.</w:t>
            </w:r>
          </w:p>
          <w:p w:rsidR="0079343E" w:rsidRPr="00FA6366" w:rsidRDefault="0079343E" w:rsidP="0079343E">
            <w:pPr>
              <w:jc w:val="both"/>
              <w:rPr>
                <w:rFonts w:eastAsia="Calibri"/>
                <w:sz w:val="20"/>
                <w:lang w:val="fr-CA"/>
              </w:rPr>
            </w:pPr>
          </w:p>
        </w:tc>
      </w:tr>
      <w:tr w:rsidR="0079343E" w:rsidRPr="00F03CF9" w:rsidTr="0079343E">
        <w:tc>
          <w:tcPr>
            <w:tcW w:w="2427" w:type="pct"/>
          </w:tcPr>
          <w:p w:rsidR="0079343E" w:rsidRPr="00FA6366" w:rsidRDefault="0079343E" w:rsidP="0079343E">
            <w:pPr>
              <w:jc w:val="both"/>
              <w:rPr>
                <w:rFonts w:eastAsia="Calibri"/>
                <w:sz w:val="20"/>
                <w:lang w:val="fr-CA"/>
              </w:rPr>
            </w:pPr>
            <w:r w:rsidRPr="00FA6366">
              <w:rPr>
                <w:rFonts w:eastAsia="Calibri"/>
                <w:sz w:val="20"/>
                <w:lang w:val="fr-CA"/>
              </w:rPr>
              <w:t>24 février 2011</w:t>
            </w:r>
          </w:p>
          <w:p w:rsidR="0079343E" w:rsidRPr="00FA6366" w:rsidRDefault="0079343E" w:rsidP="0079343E">
            <w:pPr>
              <w:jc w:val="both"/>
              <w:rPr>
                <w:rFonts w:eastAsia="Calibri"/>
                <w:sz w:val="20"/>
                <w:lang w:val="fr-CA"/>
              </w:rPr>
            </w:pPr>
            <w:r w:rsidRPr="00FA6366">
              <w:rPr>
                <w:rFonts w:eastAsia="Calibri"/>
                <w:sz w:val="20"/>
                <w:lang w:val="fr-CA"/>
              </w:rPr>
              <w:t>Cour suprême du Canada</w:t>
            </w:r>
          </w:p>
        </w:tc>
        <w:tc>
          <w:tcPr>
            <w:tcW w:w="243" w:type="pct"/>
          </w:tcPr>
          <w:p w:rsidR="0079343E" w:rsidRPr="00FA6366" w:rsidRDefault="0079343E" w:rsidP="0079343E">
            <w:pPr>
              <w:jc w:val="both"/>
              <w:rPr>
                <w:rFonts w:eastAsia="Calibri"/>
                <w:sz w:val="20"/>
                <w:lang w:val="fr-CA"/>
              </w:rPr>
            </w:pPr>
          </w:p>
        </w:tc>
        <w:tc>
          <w:tcPr>
            <w:tcW w:w="2330" w:type="pct"/>
          </w:tcPr>
          <w:p w:rsidR="0079343E" w:rsidRPr="00FA6366" w:rsidRDefault="0079343E" w:rsidP="0079343E">
            <w:pPr>
              <w:jc w:val="both"/>
              <w:rPr>
                <w:rFonts w:eastAsia="Calibri"/>
                <w:sz w:val="20"/>
                <w:lang w:val="fr-CA"/>
              </w:rPr>
            </w:pPr>
            <w:r w:rsidRPr="00FA6366">
              <w:rPr>
                <w:rFonts w:eastAsia="Calibri"/>
                <w:sz w:val="20"/>
                <w:lang w:val="fr-CA"/>
              </w:rPr>
              <w:t>Demande d’autorisation d’appel, déposée (déposée précédemment le 30 novembre 2010).</w:t>
            </w:r>
          </w:p>
        </w:tc>
      </w:tr>
    </w:tbl>
    <w:p w:rsidR="00D73FFD" w:rsidRPr="0079343E" w:rsidRDefault="00D73FFD" w:rsidP="00D73FFD">
      <w:pPr>
        <w:rPr>
          <w:sz w:val="20"/>
          <w:szCs w:val="20"/>
          <w:lang w:val="fr-CA"/>
        </w:rPr>
      </w:pPr>
    </w:p>
    <w:p w:rsidR="00D73FFD" w:rsidRDefault="00EE1200" w:rsidP="00D73FFD">
      <w:pPr>
        <w:rPr>
          <w:sz w:val="20"/>
          <w:szCs w:val="20"/>
          <w:lang w:val="fr-CA"/>
        </w:rPr>
      </w:pPr>
      <w:r w:rsidRPr="00EE1200">
        <w:rPr>
          <w:sz w:val="20"/>
          <w:szCs w:val="20"/>
          <w:lang w:val="fr-CA"/>
        </w:rPr>
        <w:pict>
          <v:rect id="_x0000_i1057"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B51F8" w:rsidRPr="002B51F8" w:rsidTr="000326AA">
        <w:trPr>
          <w:cantSplit/>
        </w:trPr>
        <w:tc>
          <w:tcPr>
            <w:tcW w:w="1458" w:type="dxa"/>
          </w:tcPr>
          <w:p w:rsidR="002B51F8" w:rsidRPr="002B51F8" w:rsidRDefault="002B51F8" w:rsidP="000326AA">
            <w:pPr>
              <w:rPr>
                <w:rFonts w:cs="Times New Roman"/>
                <w:sz w:val="20"/>
                <w:szCs w:val="20"/>
              </w:rPr>
            </w:pPr>
            <w:r w:rsidRPr="002B51F8">
              <w:rPr>
                <w:rStyle w:val="SCCFileNumberChar"/>
                <w:rFonts w:cs="Times New Roman"/>
                <w:sz w:val="20"/>
                <w:szCs w:val="20"/>
              </w:rPr>
              <w:t>34177</w:t>
            </w:r>
          </w:p>
          <w:p w:rsidR="002B51F8" w:rsidRPr="002B51F8" w:rsidRDefault="002B51F8" w:rsidP="000326AA">
            <w:pPr>
              <w:rPr>
                <w:rFonts w:cs="Times New Roman"/>
                <w:b/>
                <w:sz w:val="20"/>
                <w:szCs w:val="20"/>
                <w:lang w:val="fr-CA"/>
              </w:rPr>
            </w:pPr>
          </w:p>
        </w:tc>
        <w:tc>
          <w:tcPr>
            <w:tcW w:w="8118" w:type="dxa"/>
          </w:tcPr>
          <w:p w:rsidR="002B51F8" w:rsidRPr="002B51F8" w:rsidRDefault="002B51F8" w:rsidP="002B51F8">
            <w:pPr>
              <w:jc w:val="both"/>
              <w:rPr>
                <w:rFonts w:cs="Times New Roman"/>
                <w:sz w:val="20"/>
                <w:szCs w:val="20"/>
              </w:rPr>
            </w:pPr>
            <w:r w:rsidRPr="002B51F8">
              <w:rPr>
                <w:rStyle w:val="SCCLsocChar"/>
                <w:rFonts w:cs="Times New Roman"/>
                <w:sz w:val="20"/>
                <w:szCs w:val="20"/>
                <w:lang w:val="en-CA"/>
              </w:rPr>
              <w:t>Nicole Labossiere-Clark, as litigation guardian for Melissa Annie Clark and Kayla Nikki Clark v. Gavin Wood, as administrator for the estate of Remi Joseph Labossiere, Jerome Labossiere, Claudette Lucienne Grenier and Labmar Construction Ltd.</w:t>
            </w:r>
            <w:r w:rsidRPr="002B51F8">
              <w:rPr>
                <w:rFonts w:cs="Times New Roman"/>
                <w:sz w:val="20"/>
                <w:szCs w:val="20"/>
              </w:rPr>
              <w:t xml:space="preserve"> (Man.) (Civil) (</w:t>
            </w:r>
            <w:r w:rsidRPr="002B51F8">
              <w:rPr>
                <w:sz w:val="20"/>
                <w:szCs w:val="20"/>
              </w:rPr>
              <w:t>By</w:t>
            </w:r>
            <w:r>
              <w:rPr>
                <w:sz w:val="20"/>
                <w:szCs w:val="20"/>
              </w:rPr>
              <w:t xml:space="preserve"> </w:t>
            </w:r>
            <w:r w:rsidRPr="002B51F8">
              <w:rPr>
                <w:sz w:val="20"/>
                <w:szCs w:val="20"/>
              </w:rPr>
              <w:t>Leave</w:t>
            </w:r>
            <w:r w:rsidRPr="002B51F8">
              <w:rPr>
                <w:rFonts w:cs="Times New Roman"/>
                <w:sz w:val="20"/>
                <w:szCs w:val="20"/>
              </w:rPr>
              <w:t>)</w:t>
            </w:r>
          </w:p>
          <w:p w:rsidR="002B51F8" w:rsidRPr="002B51F8" w:rsidRDefault="002B51F8" w:rsidP="000326AA">
            <w:pPr>
              <w:rPr>
                <w:rFonts w:cs="Times New Roman"/>
                <w:sz w:val="20"/>
                <w:szCs w:val="20"/>
              </w:rPr>
            </w:pPr>
          </w:p>
        </w:tc>
      </w:tr>
      <w:tr w:rsidR="002B51F8" w:rsidRPr="002B51F8" w:rsidTr="000326AA">
        <w:trPr>
          <w:cantSplit/>
        </w:trPr>
        <w:tc>
          <w:tcPr>
            <w:tcW w:w="1458" w:type="dxa"/>
          </w:tcPr>
          <w:p w:rsidR="002B51F8" w:rsidRPr="002B51F8" w:rsidRDefault="002B51F8" w:rsidP="000326AA">
            <w:pPr>
              <w:rPr>
                <w:rFonts w:cs="Times New Roman"/>
                <w:sz w:val="20"/>
                <w:szCs w:val="20"/>
              </w:rPr>
            </w:pPr>
            <w:r w:rsidRPr="002B51F8">
              <w:rPr>
                <w:rFonts w:cs="Times New Roman"/>
                <w:sz w:val="20"/>
                <w:szCs w:val="20"/>
              </w:rPr>
              <w:t>Coram :</w:t>
            </w:r>
          </w:p>
        </w:tc>
        <w:tc>
          <w:tcPr>
            <w:tcW w:w="8118" w:type="dxa"/>
          </w:tcPr>
          <w:p w:rsidR="002B51F8" w:rsidRPr="002B51F8" w:rsidRDefault="002B51F8" w:rsidP="000326AA">
            <w:pPr>
              <w:rPr>
                <w:rFonts w:cs="Times New Roman"/>
                <w:sz w:val="20"/>
                <w:szCs w:val="20"/>
              </w:rPr>
            </w:pPr>
            <w:r w:rsidRPr="002B51F8">
              <w:rPr>
                <w:rStyle w:val="SCCCoramChar"/>
                <w:rFonts w:cs="Times New Roman"/>
                <w:sz w:val="20"/>
                <w:szCs w:val="20"/>
                <w:lang w:val="en-CA"/>
              </w:rPr>
              <w:t>Binnie, Abella and Rothstein JJ.</w:t>
            </w:r>
          </w:p>
          <w:p w:rsidR="002B51F8" w:rsidRPr="002B51F8" w:rsidRDefault="002B51F8" w:rsidP="000326AA">
            <w:pPr>
              <w:rPr>
                <w:rFonts w:cs="Times New Roman"/>
                <w:sz w:val="20"/>
                <w:szCs w:val="20"/>
                <w:u w:val="single"/>
              </w:rPr>
            </w:pPr>
          </w:p>
        </w:tc>
      </w:tr>
      <w:tr w:rsidR="002B51F8" w:rsidRPr="00F03CF9" w:rsidTr="000326AA">
        <w:trPr>
          <w:cantSplit/>
        </w:trPr>
        <w:tc>
          <w:tcPr>
            <w:tcW w:w="9576" w:type="dxa"/>
            <w:gridSpan w:val="2"/>
          </w:tcPr>
          <w:p w:rsidR="002B51F8" w:rsidRPr="002B51F8" w:rsidRDefault="002B51F8" w:rsidP="000326AA">
            <w:pPr>
              <w:pStyle w:val="SCCShortJudgment"/>
              <w:rPr>
                <w:rFonts w:cs="Times New Roman"/>
                <w:szCs w:val="20"/>
              </w:rPr>
            </w:pPr>
            <w:r w:rsidRPr="002B51F8">
              <w:rPr>
                <w:rFonts w:cs="Times New Roman"/>
                <w:szCs w:val="20"/>
              </w:rPr>
              <w:t>The motion for an extension of time to serve  the application for leave to appeal is granted.  The application for leave to appeal from the judgment of the Court of Appeal of Manitoba, Number AI 10-30-07424, 2011 MBCA 7, dated January 27, 2011, is dismissed without costs.</w:t>
            </w:r>
          </w:p>
          <w:p w:rsidR="002B51F8" w:rsidRPr="002B51F8" w:rsidRDefault="002B51F8" w:rsidP="000326AA">
            <w:pPr>
              <w:pStyle w:val="SCCShortJudgment"/>
              <w:ind w:firstLine="0"/>
              <w:rPr>
                <w:rFonts w:cs="Times New Roman"/>
                <w:szCs w:val="20"/>
              </w:rPr>
            </w:pPr>
          </w:p>
          <w:p w:rsidR="002B51F8" w:rsidRPr="002B51F8" w:rsidRDefault="002B51F8" w:rsidP="000326AA">
            <w:pPr>
              <w:pStyle w:val="SCCShortJudgment"/>
              <w:rPr>
                <w:rFonts w:cs="Times New Roman"/>
                <w:szCs w:val="20"/>
                <w:lang w:val="fr-CA"/>
              </w:rPr>
            </w:pPr>
            <w:r w:rsidRPr="002B51F8">
              <w:rPr>
                <w:rFonts w:cs="Times New Roman"/>
                <w:szCs w:val="20"/>
                <w:lang w:val="fr-CA"/>
              </w:rPr>
              <w:t>La requête en prorogation du délai de signification de la demande d’autorisation d’appel est accordée.  La demande d’autorisation d’appel de l’arrêt de la Cour d’appel du Manitoba, numéro AI 10-30-07424, 2011 MBCA 7, daté du 27 janvier 2011, est rejetée sans dépens.</w:t>
            </w:r>
          </w:p>
        </w:tc>
      </w:tr>
    </w:tbl>
    <w:p w:rsidR="002B51F8" w:rsidRPr="002B51F8" w:rsidRDefault="002B51F8"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3"/>
        <w:gridCol w:w="463"/>
        <w:gridCol w:w="4441"/>
      </w:tblGrid>
      <w:tr w:rsidR="00760244" w:rsidRPr="00FA6366" w:rsidTr="00331DF5">
        <w:tc>
          <w:tcPr>
            <w:tcW w:w="5000" w:type="pct"/>
            <w:gridSpan w:val="3"/>
          </w:tcPr>
          <w:p w:rsidR="00760244" w:rsidRPr="00FA6366" w:rsidRDefault="00760244" w:rsidP="00331DF5">
            <w:pPr>
              <w:jc w:val="both"/>
              <w:rPr>
                <w:rFonts w:eastAsia="Calibri"/>
                <w:sz w:val="20"/>
              </w:rPr>
            </w:pPr>
            <w:r w:rsidRPr="00FA6366">
              <w:rPr>
                <w:rFonts w:eastAsia="Calibri"/>
                <w:sz w:val="20"/>
              </w:rPr>
              <w:t>Property — Real property — Trusts — Constructive trusts — Doctrine preventing wrongdoers from profiting from their own criminal acts — Civil procedure — Motion to strike statement of claim — Whether a court of equity should permit a wrongdoer to benefit or be unjustly enriched as a result of wrongdoer’s misconduct — Whether a constructive trust can be imposed by a court when there has been an unjust enrichment of a wrongdoer, but no loss or deprivation was suffered by plaintiff or applicant — Whether a statement of claim seeking declaratory and equitable relief and disclosing no other cause of action should be dismissed.</w:t>
            </w:r>
          </w:p>
          <w:p w:rsidR="00760244" w:rsidRPr="00FA6366" w:rsidRDefault="00760244" w:rsidP="00331DF5">
            <w:pPr>
              <w:jc w:val="both"/>
              <w:rPr>
                <w:rFonts w:eastAsia="Calibri"/>
                <w:sz w:val="20"/>
              </w:rPr>
            </w:pPr>
          </w:p>
        </w:tc>
      </w:tr>
      <w:tr w:rsidR="00760244" w:rsidRPr="00FA6366" w:rsidTr="00331DF5">
        <w:tc>
          <w:tcPr>
            <w:tcW w:w="5000" w:type="pct"/>
            <w:gridSpan w:val="3"/>
          </w:tcPr>
          <w:p w:rsidR="00760244" w:rsidRPr="00FA6366" w:rsidRDefault="00760244" w:rsidP="00331DF5">
            <w:pPr>
              <w:jc w:val="both"/>
              <w:rPr>
                <w:rFonts w:eastAsia="Calibri"/>
                <w:sz w:val="20"/>
              </w:rPr>
            </w:pPr>
            <w:r w:rsidRPr="00FA6366">
              <w:rPr>
                <w:rFonts w:eastAsia="Calibri"/>
                <w:sz w:val="20"/>
              </w:rPr>
              <w:t>Remi Joseph Labossiere and his parents were murdered in November 2005.  The respondent Jerome Labossiere, Remi’s brother, was charged with the three murders and subsequently also charged with counselling to murder the applicant Nicole Labossiere</w:t>
            </w:r>
            <w:r w:rsidRPr="00FA6366">
              <w:rPr>
                <w:rFonts w:eastAsia="Calibri"/>
                <w:sz w:val="20"/>
              </w:rPr>
              <w:noBreakHyphen/>
              <w:t xml:space="preserve">Clark, his sister.  At the time of the murders, Remi and the respondent Claudette Lucienne </w:t>
            </w:r>
            <w:r w:rsidRPr="00FA6366">
              <w:rPr>
                <w:rFonts w:eastAsia="Calibri"/>
                <w:sz w:val="20"/>
              </w:rPr>
              <w:lastRenderedPageBreak/>
              <w:t>Grenier, Jerome's wife, each owned an undivided half</w:t>
            </w:r>
            <w:r w:rsidRPr="00FA6366">
              <w:rPr>
                <w:rFonts w:eastAsia="Calibri"/>
                <w:sz w:val="20"/>
              </w:rPr>
              <w:noBreakHyphen/>
              <w:t xml:space="preserve">interest in two quarter sections of land.  There were substantial mortgages on the land which were paid and discharged as a result of mortgage insurance that Remi had taken out on his own life.  The two applicants represented by their litigation guardian, Nicole, are Remi's nieces and, pursuant to his will, are two of the beneficiaries of Remi's estate.  They commenced an action seeking, </w:t>
            </w:r>
            <w:r w:rsidRPr="00FA6366">
              <w:rPr>
                <w:rFonts w:eastAsia="Calibri"/>
                <w:i/>
                <w:sz w:val="20"/>
              </w:rPr>
              <w:t>inter alia</w:t>
            </w:r>
            <w:r w:rsidRPr="00FA6366">
              <w:rPr>
                <w:rFonts w:eastAsia="Calibri"/>
                <w:sz w:val="20"/>
              </w:rPr>
              <w:t>, a declaration that Jerome was disentitled to any benefit from the land.  Claudette’s motion for an order dismissing the action as failing to disclose a reasonable cause of action against her was granted.  The Court of Appeal upheld that decision.</w:t>
            </w:r>
          </w:p>
          <w:p w:rsidR="00760244" w:rsidRPr="00FA6366" w:rsidRDefault="00760244" w:rsidP="00331DF5">
            <w:pPr>
              <w:jc w:val="both"/>
              <w:rPr>
                <w:rFonts w:eastAsia="Calibri"/>
                <w:sz w:val="20"/>
              </w:rPr>
            </w:pPr>
          </w:p>
        </w:tc>
      </w:tr>
      <w:tr w:rsidR="00760244" w:rsidRPr="00FA6366" w:rsidTr="00331DF5">
        <w:tc>
          <w:tcPr>
            <w:tcW w:w="2426" w:type="pct"/>
          </w:tcPr>
          <w:p w:rsidR="00760244" w:rsidRPr="00FA6366" w:rsidRDefault="00760244" w:rsidP="00331DF5">
            <w:pPr>
              <w:jc w:val="both"/>
              <w:rPr>
                <w:rFonts w:eastAsia="Calibri"/>
                <w:sz w:val="20"/>
              </w:rPr>
            </w:pPr>
            <w:r w:rsidRPr="00FA6366">
              <w:rPr>
                <w:rFonts w:eastAsia="Calibri"/>
                <w:sz w:val="20"/>
              </w:rPr>
              <w:lastRenderedPageBreak/>
              <w:t>June 24, 2010</w:t>
            </w:r>
          </w:p>
          <w:p w:rsidR="00760244" w:rsidRPr="00FA6366" w:rsidRDefault="00760244" w:rsidP="00331DF5">
            <w:pPr>
              <w:jc w:val="both"/>
              <w:rPr>
                <w:rFonts w:eastAsia="Calibri"/>
                <w:sz w:val="20"/>
              </w:rPr>
            </w:pPr>
            <w:r w:rsidRPr="00FA6366">
              <w:rPr>
                <w:rFonts w:eastAsia="Calibri"/>
                <w:sz w:val="20"/>
              </w:rPr>
              <w:t>Court of Queen’s Bench of Manitoba</w:t>
            </w:r>
          </w:p>
          <w:p w:rsidR="00760244" w:rsidRPr="00FA6366" w:rsidRDefault="00760244" w:rsidP="00331DF5">
            <w:pPr>
              <w:jc w:val="both"/>
              <w:rPr>
                <w:rFonts w:eastAsia="Calibri"/>
                <w:sz w:val="20"/>
              </w:rPr>
            </w:pPr>
            <w:r w:rsidRPr="00FA6366">
              <w:rPr>
                <w:rFonts w:eastAsia="Calibri"/>
                <w:sz w:val="20"/>
              </w:rPr>
              <w:t>(Burnett J.)</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1" w:type="pct"/>
          </w:tcPr>
          <w:p w:rsidR="00760244" w:rsidRPr="00FA6366" w:rsidRDefault="00760244" w:rsidP="00331DF5">
            <w:pPr>
              <w:jc w:val="both"/>
              <w:rPr>
                <w:rFonts w:eastAsia="Calibri"/>
                <w:sz w:val="20"/>
              </w:rPr>
            </w:pPr>
            <w:r w:rsidRPr="00FA6366">
              <w:rPr>
                <w:rFonts w:eastAsia="Calibri"/>
                <w:sz w:val="20"/>
              </w:rPr>
              <w:t>Motion to dismiss action granted</w:t>
            </w:r>
          </w:p>
          <w:p w:rsidR="00760244" w:rsidRPr="00FA6366" w:rsidRDefault="00760244" w:rsidP="00331DF5">
            <w:pPr>
              <w:jc w:val="both"/>
              <w:rPr>
                <w:rFonts w:eastAsia="Calibri"/>
                <w:sz w:val="20"/>
              </w:rPr>
            </w:pPr>
          </w:p>
        </w:tc>
      </w:tr>
      <w:tr w:rsidR="00760244" w:rsidRPr="00FA6366" w:rsidTr="00331DF5">
        <w:tc>
          <w:tcPr>
            <w:tcW w:w="2426" w:type="pct"/>
          </w:tcPr>
          <w:p w:rsidR="00760244" w:rsidRPr="00FA6366" w:rsidRDefault="00760244" w:rsidP="00331DF5">
            <w:pPr>
              <w:jc w:val="both"/>
              <w:rPr>
                <w:rFonts w:eastAsia="Calibri"/>
                <w:sz w:val="20"/>
              </w:rPr>
            </w:pPr>
            <w:r w:rsidRPr="00FA6366">
              <w:rPr>
                <w:rFonts w:eastAsia="Calibri"/>
                <w:sz w:val="20"/>
              </w:rPr>
              <w:t>January 27, 2011</w:t>
            </w:r>
          </w:p>
          <w:p w:rsidR="00760244" w:rsidRPr="00FA6366" w:rsidRDefault="00760244" w:rsidP="00331DF5">
            <w:pPr>
              <w:jc w:val="both"/>
              <w:rPr>
                <w:rFonts w:eastAsia="Calibri"/>
                <w:sz w:val="20"/>
              </w:rPr>
            </w:pPr>
            <w:r w:rsidRPr="00FA6366">
              <w:rPr>
                <w:rFonts w:eastAsia="Calibri"/>
                <w:sz w:val="20"/>
              </w:rPr>
              <w:t>Court of Appeal of Manitoba</w:t>
            </w:r>
          </w:p>
          <w:p w:rsidR="00760244" w:rsidRPr="00FA6366" w:rsidRDefault="00760244" w:rsidP="00331DF5">
            <w:pPr>
              <w:jc w:val="both"/>
              <w:rPr>
                <w:rFonts w:eastAsia="Calibri"/>
                <w:sz w:val="20"/>
              </w:rPr>
            </w:pPr>
            <w:r w:rsidRPr="00FA6366">
              <w:rPr>
                <w:rFonts w:eastAsia="Calibri"/>
                <w:sz w:val="20"/>
              </w:rPr>
              <w:t>(Scott C.J.M., Steel and Freedman JJ.A.)</w:t>
            </w:r>
          </w:p>
          <w:p w:rsidR="00760244" w:rsidRPr="00FA6366" w:rsidRDefault="00760244" w:rsidP="00331DF5">
            <w:pPr>
              <w:jc w:val="both"/>
              <w:rPr>
                <w:rFonts w:eastAsia="Calibri"/>
                <w:sz w:val="20"/>
              </w:rPr>
            </w:pPr>
            <w:r w:rsidRPr="00FA6366">
              <w:rPr>
                <w:rFonts w:eastAsia="Calibri"/>
                <w:sz w:val="20"/>
              </w:rPr>
              <w:t>2011 MBCA 7</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1" w:type="pct"/>
          </w:tcPr>
          <w:p w:rsidR="00760244" w:rsidRPr="00FA6366" w:rsidRDefault="00760244" w:rsidP="00331DF5">
            <w:pPr>
              <w:jc w:val="both"/>
              <w:rPr>
                <w:rFonts w:eastAsia="Calibri"/>
                <w:sz w:val="20"/>
              </w:rPr>
            </w:pPr>
            <w:r w:rsidRPr="00FA6366">
              <w:rPr>
                <w:rFonts w:eastAsia="Calibri"/>
                <w:sz w:val="20"/>
              </w:rPr>
              <w:t>Appeal dismissed</w:t>
            </w:r>
          </w:p>
          <w:p w:rsidR="00760244" w:rsidRPr="00FA6366" w:rsidRDefault="00760244" w:rsidP="00331DF5">
            <w:pPr>
              <w:jc w:val="both"/>
              <w:rPr>
                <w:rFonts w:eastAsia="Calibri"/>
                <w:sz w:val="20"/>
              </w:rPr>
            </w:pPr>
          </w:p>
        </w:tc>
      </w:tr>
      <w:tr w:rsidR="00760244" w:rsidRPr="00FA6366" w:rsidTr="00331DF5">
        <w:tc>
          <w:tcPr>
            <w:tcW w:w="2426" w:type="pct"/>
          </w:tcPr>
          <w:p w:rsidR="00760244" w:rsidRPr="00FA6366" w:rsidRDefault="00760244" w:rsidP="00331DF5">
            <w:pPr>
              <w:jc w:val="both"/>
              <w:rPr>
                <w:rFonts w:eastAsia="Calibri"/>
                <w:sz w:val="20"/>
              </w:rPr>
            </w:pPr>
            <w:r w:rsidRPr="00FA6366">
              <w:rPr>
                <w:rFonts w:eastAsia="Calibri"/>
                <w:sz w:val="20"/>
              </w:rPr>
              <w:t>March 28, 2011</w:t>
            </w:r>
          </w:p>
          <w:p w:rsidR="00760244" w:rsidRPr="00FA6366" w:rsidRDefault="00760244" w:rsidP="00331DF5">
            <w:pPr>
              <w:jc w:val="both"/>
              <w:rPr>
                <w:rFonts w:eastAsia="Calibri"/>
                <w:sz w:val="20"/>
              </w:rPr>
            </w:pPr>
            <w:r w:rsidRPr="00FA6366">
              <w:rPr>
                <w:rFonts w:eastAsia="Calibri"/>
                <w:sz w:val="20"/>
              </w:rPr>
              <w:t>Supreme Court of Canada</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1" w:type="pct"/>
          </w:tcPr>
          <w:p w:rsidR="00760244" w:rsidRPr="00FA6366" w:rsidRDefault="00760244" w:rsidP="00331DF5">
            <w:pPr>
              <w:jc w:val="both"/>
              <w:rPr>
                <w:rFonts w:eastAsia="Calibri"/>
                <w:sz w:val="20"/>
              </w:rPr>
            </w:pPr>
            <w:r w:rsidRPr="00FA6366">
              <w:rPr>
                <w:rFonts w:eastAsia="Calibri"/>
                <w:sz w:val="20"/>
              </w:rPr>
              <w:t>Application for leave to appeal filed</w:t>
            </w:r>
          </w:p>
          <w:p w:rsidR="00760244" w:rsidRPr="00FA6366" w:rsidRDefault="00760244" w:rsidP="00331DF5">
            <w:pPr>
              <w:jc w:val="both"/>
              <w:rPr>
                <w:rFonts w:eastAsia="Calibri"/>
                <w:sz w:val="20"/>
              </w:rPr>
            </w:pPr>
          </w:p>
        </w:tc>
      </w:tr>
      <w:tr w:rsidR="00760244" w:rsidRPr="00FA6366" w:rsidTr="00331DF5">
        <w:tc>
          <w:tcPr>
            <w:tcW w:w="2426" w:type="pct"/>
          </w:tcPr>
          <w:p w:rsidR="00760244" w:rsidRPr="00FA6366" w:rsidRDefault="00760244" w:rsidP="00331DF5">
            <w:pPr>
              <w:jc w:val="both"/>
              <w:rPr>
                <w:rFonts w:eastAsia="Calibri"/>
                <w:sz w:val="20"/>
              </w:rPr>
            </w:pPr>
            <w:r w:rsidRPr="00FA6366">
              <w:rPr>
                <w:rFonts w:eastAsia="Calibri"/>
                <w:sz w:val="20"/>
              </w:rPr>
              <w:t>March 31, 2011</w:t>
            </w:r>
          </w:p>
          <w:p w:rsidR="00760244" w:rsidRPr="00FA6366" w:rsidRDefault="00760244" w:rsidP="00331DF5">
            <w:pPr>
              <w:jc w:val="both"/>
              <w:rPr>
                <w:rFonts w:eastAsia="Calibri"/>
                <w:sz w:val="20"/>
              </w:rPr>
            </w:pPr>
            <w:r w:rsidRPr="00FA6366">
              <w:rPr>
                <w:rFonts w:eastAsia="Calibri"/>
                <w:sz w:val="20"/>
              </w:rPr>
              <w:t>Supreme Court of Canada</w:t>
            </w:r>
          </w:p>
        </w:tc>
        <w:tc>
          <w:tcPr>
            <w:tcW w:w="243" w:type="pct"/>
          </w:tcPr>
          <w:p w:rsidR="00760244" w:rsidRPr="00FA6366" w:rsidRDefault="00760244" w:rsidP="00331DF5">
            <w:pPr>
              <w:jc w:val="both"/>
              <w:rPr>
                <w:rFonts w:eastAsia="Calibri"/>
                <w:sz w:val="20"/>
              </w:rPr>
            </w:pPr>
          </w:p>
        </w:tc>
        <w:tc>
          <w:tcPr>
            <w:tcW w:w="2331" w:type="pct"/>
          </w:tcPr>
          <w:p w:rsidR="00760244" w:rsidRPr="00FA6366" w:rsidRDefault="00760244" w:rsidP="00331DF5">
            <w:pPr>
              <w:jc w:val="both"/>
              <w:rPr>
                <w:rFonts w:eastAsia="Calibri"/>
                <w:sz w:val="20"/>
              </w:rPr>
            </w:pPr>
            <w:r w:rsidRPr="00FA6366">
              <w:rPr>
                <w:rFonts w:eastAsia="Calibri"/>
                <w:sz w:val="20"/>
              </w:rPr>
              <w:t>Motion for extension of time to serve application for leave to appeal filed</w:t>
            </w: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58"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3"/>
        <w:gridCol w:w="463"/>
        <w:gridCol w:w="4441"/>
      </w:tblGrid>
      <w:tr w:rsidR="00760244" w:rsidRPr="00F03CF9" w:rsidTr="00331DF5">
        <w:tc>
          <w:tcPr>
            <w:tcW w:w="5000" w:type="pct"/>
            <w:gridSpan w:val="3"/>
          </w:tcPr>
          <w:p w:rsidR="00760244" w:rsidRPr="00FA6366" w:rsidRDefault="00760244" w:rsidP="00331DF5">
            <w:pPr>
              <w:jc w:val="both"/>
              <w:rPr>
                <w:rFonts w:eastAsia="Calibri"/>
                <w:sz w:val="20"/>
                <w:lang w:val="fr-CA"/>
              </w:rPr>
            </w:pPr>
            <w:r w:rsidRPr="00FA6366">
              <w:rPr>
                <w:rFonts w:eastAsia="Calibri"/>
                <w:sz w:val="20"/>
                <w:lang w:val="fr-CA"/>
              </w:rPr>
              <w:t>Biens — Biens réels — Fiducies — Fiducies par interprétation — Principe empêchant les transgresseurs de profiter de leurs propres actes criminels — Procédure — Requête en radiation de déclaration — Un tribunal d’equity devrait</w:t>
            </w:r>
            <w:r w:rsidRPr="00FA6366">
              <w:rPr>
                <w:rFonts w:eastAsia="Calibri"/>
                <w:sz w:val="20"/>
                <w:lang w:val="fr-CA"/>
              </w:rPr>
              <w:noBreakHyphen/>
              <w:t>il permettre à un transgresseur de profiter de sa faute ou d’en tirer un enrichissement sans cause? — Une fiducie par interprétation peut</w:t>
            </w:r>
            <w:r w:rsidRPr="00FA6366">
              <w:rPr>
                <w:rFonts w:eastAsia="Calibri"/>
                <w:sz w:val="20"/>
                <w:lang w:val="fr-CA"/>
              </w:rPr>
              <w:noBreakHyphen/>
              <w:t>elle être imposée par un tribunal lorsqu’il y a eu enrichissement sans cause d’un transgresseur sans que le demandeur ne subisse de perte ou de privation? — Une déclaration sollicitant un jugement déclaratoire et un redressement en equity et qui ne révèle aucune autre cause d’action devrait</w:t>
            </w:r>
            <w:r w:rsidRPr="00FA6366">
              <w:rPr>
                <w:rFonts w:eastAsia="Calibri"/>
                <w:sz w:val="20"/>
                <w:lang w:val="fr-CA"/>
              </w:rPr>
              <w:noBreakHyphen/>
              <w:t>elle être rejetée?</w:t>
            </w:r>
          </w:p>
          <w:p w:rsidR="00760244" w:rsidRPr="00FA6366" w:rsidRDefault="00760244" w:rsidP="00331DF5">
            <w:pPr>
              <w:jc w:val="both"/>
              <w:rPr>
                <w:rFonts w:eastAsia="Calibri"/>
                <w:sz w:val="20"/>
                <w:lang w:val="fr-CA"/>
              </w:rPr>
            </w:pPr>
          </w:p>
        </w:tc>
      </w:tr>
      <w:tr w:rsidR="00760244" w:rsidRPr="00FA6366" w:rsidTr="00331DF5">
        <w:tc>
          <w:tcPr>
            <w:tcW w:w="5000" w:type="pct"/>
            <w:gridSpan w:val="3"/>
          </w:tcPr>
          <w:p w:rsidR="00760244" w:rsidRPr="00FA6366" w:rsidRDefault="00760244" w:rsidP="00331DF5">
            <w:pPr>
              <w:jc w:val="both"/>
              <w:rPr>
                <w:rFonts w:eastAsia="Calibri"/>
                <w:sz w:val="20"/>
                <w:lang w:val="fr-CA"/>
              </w:rPr>
            </w:pPr>
            <w:r w:rsidRPr="00FA6366">
              <w:rPr>
                <w:rFonts w:eastAsia="Calibri"/>
                <w:sz w:val="20"/>
                <w:lang w:val="fr-CA"/>
              </w:rPr>
              <w:t>Rémi Joseph Labossière et ses parents ont été assassinés en novembre 2005.  L’intimé Jérôme Labossière, le frère de Rémi, a été accusé des trois meurtres et il a également été accusé par la suite d’avoir conseillé le meurtre de la demanderesse Nicole Labossière</w:t>
            </w:r>
            <w:r w:rsidRPr="00FA6366">
              <w:rPr>
                <w:rFonts w:eastAsia="Calibri"/>
                <w:sz w:val="20"/>
                <w:lang w:val="fr-CA"/>
              </w:rPr>
              <w:noBreakHyphen/>
              <w:t>Clark, sa sœur.  À l’époque des meurtres, Rémi et l’intimée Claudette Lucienne Grenier, l’épouse de Jérôme, étaient chacun propriétaires d’une moitié indivise de deux quarts de section de terrain.  Le terrain était grevé d’hypothèques importantes qui ont été payées et libérées par le produit d’une assurance hypothèque que Rémi avait souscrite sur sa propre vie.  Les deux demanderesses, représentées par leur tutrice à l’instance, Nicole, sont les nièces de Rémi et, aux termes de son testament, sont deux des bénéficiaires de sa succession.  Elles ont intenté une action sollicitant entre autres un jugement déclarant que Jérôme était privé de tout droit à un avantage tiré du terrain.  La motion de Claudette en vue d’obtenir une ordonnance rejetant l’action parce qu’elle ne révélait aucune cause raisonnable d’action contre elle a été accueillie.  La Cour d’appel a confirmé cette décision.</w:t>
            </w:r>
          </w:p>
          <w:p w:rsidR="00760244" w:rsidRPr="00FA6366" w:rsidRDefault="00760244" w:rsidP="00331DF5">
            <w:pPr>
              <w:jc w:val="both"/>
              <w:rPr>
                <w:rFonts w:eastAsia="Calibri"/>
                <w:sz w:val="20"/>
                <w:lang w:val="fr-CA"/>
              </w:rPr>
            </w:pPr>
          </w:p>
        </w:tc>
      </w:tr>
      <w:tr w:rsidR="00760244" w:rsidRPr="00F03CF9" w:rsidTr="00331DF5">
        <w:tc>
          <w:tcPr>
            <w:tcW w:w="2426" w:type="pct"/>
          </w:tcPr>
          <w:p w:rsidR="00760244" w:rsidRPr="00FA6366" w:rsidRDefault="00760244" w:rsidP="00331DF5">
            <w:pPr>
              <w:jc w:val="both"/>
              <w:rPr>
                <w:rFonts w:eastAsia="Calibri"/>
                <w:sz w:val="20"/>
                <w:lang w:val="fr-CA"/>
              </w:rPr>
            </w:pPr>
            <w:r w:rsidRPr="00FA6366">
              <w:rPr>
                <w:rFonts w:eastAsia="Calibri"/>
                <w:sz w:val="20"/>
                <w:lang w:val="fr-CA"/>
              </w:rPr>
              <w:t>24 juin 2010</w:t>
            </w:r>
          </w:p>
          <w:p w:rsidR="00760244" w:rsidRPr="00FA6366" w:rsidRDefault="00760244" w:rsidP="00331DF5">
            <w:pPr>
              <w:jc w:val="both"/>
              <w:rPr>
                <w:rFonts w:eastAsia="Calibri"/>
                <w:sz w:val="20"/>
                <w:lang w:val="fr-CA"/>
              </w:rPr>
            </w:pPr>
            <w:r w:rsidRPr="00FA6366">
              <w:rPr>
                <w:rFonts w:eastAsia="Calibri"/>
                <w:sz w:val="20"/>
                <w:lang w:val="fr-CA"/>
              </w:rPr>
              <w:t>Bour du Banc de la Reine du Manitoba</w:t>
            </w:r>
          </w:p>
          <w:p w:rsidR="00760244" w:rsidRPr="00FA6366" w:rsidRDefault="00760244" w:rsidP="00331DF5">
            <w:pPr>
              <w:jc w:val="both"/>
              <w:rPr>
                <w:rFonts w:eastAsia="Calibri"/>
                <w:sz w:val="20"/>
                <w:lang w:val="fr-CA"/>
              </w:rPr>
            </w:pPr>
            <w:r w:rsidRPr="00FA6366">
              <w:rPr>
                <w:rFonts w:eastAsia="Calibri"/>
                <w:sz w:val="20"/>
                <w:lang w:val="fr-CA"/>
              </w:rPr>
              <w:t>(Juge Burnett)</w:t>
            </w:r>
          </w:p>
          <w:p w:rsidR="00760244" w:rsidRPr="00FA6366" w:rsidRDefault="00760244" w:rsidP="00331DF5">
            <w:pPr>
              <w:jc w:val="both"/>
              <w:rPr>
                <w:rFonts w:eastAsia="Calibri"/>
                <w:sz w:val="20"/>
                <w:lang w:val="fr-CA"/>
              </w:rPr>
            </w:pPr>
          </w:p>
        </w:tc>
        <w:tc>
          <w:tcPr>
            <w:tcW w:w="243" w:type="pct"/>
          </w:tcPr>
          <w:p w:rsidR="00760244" w:rsidRPr="00FA6366" w:rsidRDefault="00760244" w:rsidP="00331DF5">
            <w:pPr>
              <w:jc w:val="both"/>
              <w:rPr>
                <w:rFonts w:eastAsia="Calibri"/>
                <w:sz w:val="20"/>
                <w:lang w:val="fr-CA"/>
              </w:rPr>
            </w:pPr>
          </w:p>
        </w:tc>
        <w:tc>
          <w:tcPr>
            <w:tcW w:w="2331" w:type="pct"/>
          </w:tcPr>
          <w:p w:rsidR="00760244" w:rsidRPr="00FA6366" w:rsidRDefault="00760244" w:rsidP="00331DF5">
            <w:pPr>
              <w:jc w:val="both"/>
              <w:rPr>
                <w:rFonts w:eastAsia="Calibri"/>
                <w:sz w:val="20"/>
                <w:lang w:val="fr-CA"/>
              </w:rPr>
            </w:pPr>
            <w:r w:rsidRPr="00FA6366">
              <w:rPr>
                <w:rFonts w:eastAsia="Calibri"/>
                <w:sz w:val="20"/>
                <w:lang w:val="fr-CA"/>
              </w:rPr>
              <w:t>Motion en rejet de l’action, accueillie</w:t>
            </w:r>
          </w:p>
          <w:p w:rsidR="00760244" w:rsidRPr="00FA6366" w:rsidRDefault="00760244" w:rsidP="00331DF5">
            <w:pPr>
              <w:jc w:val="both"/>
              <w:rPr>
                <w:rFonts w:eastAsia="Calibri"/>
                <w:sz w:val="20"/>
                <w:lang w:val="fr-CA"/>
              </w:rPr>
            </w:pPr>
          </w:p>
        </w:tc>
      </w:tr>
    </w:tbl>
    <w:p w:rsidR="002B51F8" w:rsidRPr="00C60606" w:rsidRDefault="002B51F8">
      <w:pPr>
        <w:rPr>
          <w:lang w:val="fr-CA"/>
        </w:rPr>
      </w:pPr>
    </w:p>
    <w:tbl>
      <w:tblPr>
        <w:tblW w:w="4952" w:type="pct"/>
        <w:tblLayout w:type="fixed"/>
        <w:tblCellMar>
          <w:left w:w="0" w:type="dxa"/>
          <w:bottom w:w="99" w:type="dxa"/>
          <w:right w:w="0" w:type="dxa"/>
        </w:tblCellMar>
        <w:tblLook w:val="00A0"/>
      </w:tblPr>
      <w:tblGrid>
        <w:gridCol w:w="4623"/>
        <w:gridCol w:w="463"/>
        <w:gridCol w:w="4441"/>
      </w:tblGrid>
      <w:tr w:rsidR="00760244" w:rsidRPr="00FA6366" w:rsidTr="002B51F8">
        <w:trPr>
          <w:cantSplit/>
        </w:trPr>
        <w:tc>
          <w:tcPr>
            <w:tcW w:w="2426" w:type="pct"/>
          </w:tcPr>
          <w:p w:rsidR="00760244" w:rsidRPr="00FA6366" w:rsidRDefault="00760244" w:rsidP="00331DF5">
            <w:pPr>
              <w:jc w:val="both"/>
              <w:rPr>
                <w:rFonts w:eastAsia="Calibri"/>
                <w:sz w:val="20"/>
                <w:lang w:val="fr-CA"/>
              </w:rPr>
            </w:pPr>
            <w:r w:rsidRPr="00FA6366">
              <w:rPr>
                <w:rFonts w:eastAsia="Calibri"/>
                <w:sz w:val="20"/>
                <w:lang w:val="fr-CA"/>
              </w:rPr>
              <w:lastRenderedPageBreak/>
              <w:t>27 janvier 2011</w:t>
            </w:r>
          </w:p>
          <w:p w:rsidR="00760244" w:rsidRPr="00FA6366" w:rsidRDefault="00760244" w:rsidP="00331DF5">
            <w:pPr>
              <w:jc w:val="both"/>
              <w:rPr>
                <w:rFonts w:eastAsia="Calibri"/>
                <w:sz w:val="20"/>
                <w:lang w:val="fr-CA"/>
              </w:rPr>
            </w:pPr>
            <w:r w:rsidRPr="00FA6366">
              <w:rPr>
                <w:rFonts w:eastAsia="Calibri"/>
                <w:sz w:val="20"/>
                <w:lang w:val="fr-CA"/>
              </w:rPr>
              <w:t>Cour d’appel du Manitoba</w:t>
            </w:r>
          </w:p>
          <w:p w:rsidR="00760244" w:rsidRPr="00FA6366" w:rsidRDefault="00760244" w:rsidP="00331DF5">
            <w:pPr>
              <w:jc w:val="both"/>
              <w:rPr>
                <w:rFonts w:eastAsia="Calibri"/>
                <w:sz w:val="20"/>
                <w:lang w:val="fr-CA"/>
              </w:rPr>
            </w:pPr>
            <w:r w:rsidRPr="00FA6366">
              <w:rPr>
                <w:rFonts w:eastAsia="Calibri"/>
                <w:sz w:val="20"/>
                <w:lang w:val="fr-CA"/>
              </w:rPr>
              <w:t>(Juge en chef Scott, juges Steel et Freedman)</w:t>
            </w:r>
          </w:p>
          <w:p w:rsidR="00760244" w:rsidRPr="00FA6366" w:rsidRDefault="00760244" w:rsidP="00331DF5">
            <w:pPr>
              <w:jc w:val="both"/>
              <w:rPr>
                <w:rFonts w:eastAsia="Calibri"/>
                <w:sz w:val="20"/>
                <w:lang w:val="fr-CA"/>
              </w:rPr>
            </w:pPr>
            <w:r w:rsidRPr="00FA6366">
              <w:rPr>
                <w:rFonts w:eastAsia="Calibri"/>
                <w:sz w:val="20"/>
                <w:lang w:val="fr-CA"/>
              </w:rPr>
              <w:t>2011 MBCA 7</w:t>
            </w:r>
          </w:p>
          <w:p w:rsidR="00760244" w:rsidRPr="00FA6366" w:rsidRDefault="00760244" w:rsidP="00331DF5">
            <w:pPr>
              <w:jc w:val="both"/>
              <w:rPr>
                <w:rFonts w:eastAsia="Calibri"/>
                <w:sz w:val="20"/>
                <w:lang w:val="fr-CA"/>
              </w:rPr>
            </w:pPr>
          </w:p>
        </w:tc>
        <w:tc>
          <w:tcPr>
            <w:tcW w:w="243" w:type="pct"/>
          </w:tcPr>
          <w:p w:rsidR="00760244" w:rsidRPr="00FA6366" w:rsidRDefault="00760244" w:rsidP="00331DF5">
            <w:pPr>
              <w:jc w:val="both"/>
              <w:rPr>
                <w:rFonts w:eastAsia="Calibri"/>
                <w:sz w:val="20"/>
                <w:lang w:val="fr-CA"/>
              </w:rPr>
            </w:pPr>
          </w:p>
        </w:tc>
        <w:tc>
          <w:tcPr>
            <w:tcW w:w="2331" w:type="pct"/>
          </w:tcPr>
          <w:p w:rsidR="00760244" w:rsidRPr="00FA6366" w:rsidRDefault="00760244" w:rsidP="00331DF5">
            <w:pPr>
              <w:jc w:val="both"/>
              <w:rPr>
                <w:rFonts w:eastAsia="Calibri"/>
                <w:sz w:val="20"/>
                <w:lang w:val="fr-CA"/>
              </w:rPr>
            </w:pPr>
            <w:r w:rsidRPr="00FA6366">
              <w:rPr>
                <w:rFonts w:eastAsia="Calibri"/>
                <w:sz w:val="20"/>
                <w:lang w:val="fr-CA"/>
              </w:rPr>
              <w:t>Appel rejeté</w:t>
            </w:r>
          </w:p>
          <w:p w:rsidR="00760244" w:rsidRPr="00FA6366" w:rsidRDefault="00760244" w:rsidP="00331DF5">
            <w:pPr>
              <w:jc w:val="both"/>
              <w:rPr>
                <w:rFonts w:eastAsia="Calibri"/>
                <w:sz w:val="20"/>
                <w:lang w:val="fr-CA"/>
              </w:rPr>
            </w:pPr>
          </w:p>
        </w:tc>
      </w:tr>
      <w:tr w:rsidR="00760244" w:rsidRPr="00FA6366" w:rsidTr="002B51F8">
        <w:trPr>
          <w:cantSplit/>
        </w:trPr>
        <w:tc>
          <w:tcPr>
            <w:tcW w:w="2426" w:type="pct"/>
          </w:tcPr>
          <w:p w:rsidR="00760244" w:rsidRPr="00FA6366" w:rsidRDefault="00760244" w:rsidP="00331DF5">
            <w:pPr>
              <w:jc w:val="both"/>
              <w:rPr>
                <w:rFonts w:eastAsia="Calibri"/>
                <w:sz w:val="20"/>
                <w:lang w:val="fr-CA"/>
              </w:rPr>
            </w:pPr>
            <w:r w:rsidRPr="00FA6366">
              <w:rPr>
                <w:rFonts w:eastAsia="Calibri"/>
                <w:sz w:val="20"/>
                <w:lang w:val="fr-CA"/>
              </w:rPr>
              <w:t>28 mars 2011</w:t>
            </w:r>
          </w:p>
          <w:p w:rsidR="00760244" w:rsidRPr="00FA6366" w:rsidRDefault="00760244" w:rsidP="00331DF5">
            <w:pPr>
              <w:jc w:val="both"/>
              <w:rPr>
                <w:rFonts w:eastAsia="Calibri"/>
                <w:sz w:val="20"/>
                <w:lang w:val="fr-CA"/>
              </w:rPr>
            </w:pPr>
            <w:r w:rsidRPr="00FA6366">
              <w:rPr>
                <w:rFonts w:eastAsia="Calibri"/>
                <w:sz w:val="20"/>
                <w:lang w:val="fr-CA"/>
              </w:rPr>
              <w:t>Cour suprême du Canada</w:t>
            </w:r>
          </w:p>
          <w:p w:rsidR="00760244" w:rsidRPr="00FA6366" w:rsidRDefault="00760244" w:rsidP="00331DF5">
            <w:pPr>
              <w:jc w:val="both"/>
              <w:rPr>
                <w:rFonts w:eastAsia="Calibri"/>
                <w:sz w:val="20"/>
                <w:lang w:val="fr-CA"/>
              </w:rPr>
            </w:pPr>
          </w:p>
        </w:tc>
        <w:tc>
          <w:tcPr>
            <w:tcW w:w="243" w:type="pct"/>
          </w:tcPr>
          <w:p w:rsidR="00760244" w:rsidRPr="00FA6366" w:rsidRDefault="00760244" w:rsidP="00331DF5">
            <w:pPr>
              <w:jc w:val="both"/>
              <w:rPr>
                <w:rFonts w:eastAsia="Calibri"/>
                <w:sz w:val="20"/>
                <w:lang w:val="fr-CA"/>
              </w:rPr>
            </w:pPr>
          </w:p>
        </w:tc>
        <w:tc>
          <w:tcPr>
            <w:tcW w:w="2331" w:type="pct"/>
          </w:tcPr>
          <w:p w:rsidR="00760244" w:rsidRPr="00FA6366" w:rsidRDefault="00760244" w:rsidP="00331DF5">
            <w:pPr>
              <w:jc w:val="both"/>
              <w:rPr>
                <w:rFonts w:eastAsia="Calibri"/>
                <w:sz w:val="20"/>
                <w:lang w:val="fr-CA"/>
              </w:rPr>
            </w:pPr>
            <w:r w:rsidRPr="00FA6366">
              <w:rPr>
                <w:rFonts w:eastAsia="Calibri"/>
                <w:sz w:val="20"/>
                <w:lang w:val="fr-CA"/>
              </w:rPr>
              <w:t>Demande d’autorisation d’appel, déposée</w:t>
            </w:r>
          </w:p>
          <w:p w:rsidR="00760244" w:rsidRPr="00FA6366" w:rsidRDefault="00760244" w:rsidP="00331DF5">
            <w:pPr>
              <w:jc w:val="both"/>
              <w:rPr>
                <w:rFonts w:eastAsia="Calibri"/>
                <w:sz w:val="20"/>
                <w:lang w:val="fr-CA"/>
              </w:rPr>
            </w:pPr>
          </w:p>
        </w:tc>
      </w:tr>
      <w:tr w:rsidR="00760244" w:rsidRPr="00F03CF9" w:rsidTr="002B51F8">
        <w:trPr>
          <w:cantSplit/>
        </w:trPr>
        <w:tc>
          <w:tcPr>
            <w:tcW w:w="2426" w:type="pct"/>
          </w:tcPr>
          <w:p w:rsidR="00760244" w:rsidRPr="00FA6366" w:rsidRDefault="00760244" w:rsidP="00331DF5">
            <w:pPr>
              <w:jc w:val="both"/>
              <w:rPr>
                <w:rFonts w:eastAsia="Calibri"/>
                <w:sz w:val="20"/>
                <w:lang w:val="fr-CA"/>
              </w:rPr>
            </w:pPr>
            <w:r w:rsidRPr="00FA6366">
              <w:rPr>
                <w:rFonts w:eastAsia="Calibri"/>
                <w:sz w:val="20"/>
                <w:lang w:val="fr-CA"/>
              </w:rPr>
              <w:t>31 mars 2011</w:t>
            </w:r>
          </w:p>
          <w:p w:rsidR="00760244" w:rsidRPr="00FA6366" w:rsidRDefault="00760244" w:rsidP="00331DF5">
            <w:pPr>
              <w:jc w:val="both"/>
              <w:rPr>
                <w:rFonts w:eastAsia="Calibri"/>
                <w:sz w:val="20"/>
                <w:lang w:val="fr-CA"/>
              </w:rPr>
            </w:pPr>
            <w:r w:rsidRPr="00FA6366">
              <w:rPr>
                <w:rFonts w:eastAsia="Calibri"/>
                <w:sz w:val="20"/>
                <w:lang w:val="fr-CA"/>
              </w:rPr>
              <w:t>Cour suprême du Canada</w:t>
            </w:r>
          </w:p>
        </w:tc>
        <w:tc>
          <w:tcPr>
            <w:tcW w:w="243" w:type="pct"/>
          </w:tcPr>
          <w:p w:rsidR="00760244" w:rsidRPr="00FA6366" w:rsidRDefault="00760244" w:rsidP="00331DF5">
            <w:pPr>
              <w:jc w:val="both"/>
              <w:rPr>
                <w:rFonts w:eastAsia="Calibri"/>
                <w:sz w:val="20"/>
                <w:lang w:val="fr-CA"/>
              </w:rPr>
            </w:pPr>
          </w:p>
        </w:tc>
        <w:tc>
          <w:tcPr>
            <w:tcW w:w="2331" w:type="pct"/>
          </w:tcPr>
          <w:p w:rsidR="00760244" w:rsidRPr="00FA6366" w:rsidRDefault="00760244" w:rsidP="00331DF5">
            <w:pPr>
              <w:jc w:val="both"/>
              <w:rPr>
                <w:rFonts w:eastAsia="Calibri"/>
                <w:sz w:val="20"/>
                <w:lang w:val="fr-CA"/>
              </w:rPr>
            </w:pPr>
            <w:r w:rsidRPr="00FA6366">
              <w:rPr>
                <w:rFonts w:eastAsia="Calibri"/>
                <w:sz w:val="20"/>
                <w:lang w:val="fr-CA"/>
              </w:rPr>
              <w:t>Requête en prorogation du délai de signification et demande d’autorisation d’appel, déposées</w:t>
            </w:r>
          </w:p>
        </w:tc>
      </w:tr>
    </w:tbl>
    <w:p w:rsidR="00D73FFD" w:rsidRPr="00760244" w:rsidRDefault="00D73FFD" w:rsidP="00D73FFD">
      <w:pPr>
        <w:rPr>
          <w:sz w:val="20"/>
          <w:szCs w:val="20"/>
          <w:lang w:val="fr-CA"/>
        </w:rPr>
      </w:pPr>
    </w:p>
    <w:p w:rsidR="00D73FFD" w:rsidRDefault="00EE1200" w:rsidP="00D73FFD">
      <w:pPr>
        <w:rPr>
          <w:sz w:val="20"/>
          <w:szCs w:val="20"/>
          <w:lang w:val="fr-CA"/>
        </w:rPr>
      </w:pPr>
      <w:r w:rsidRPr="00EE1200">
        <w:rPr>
          <w:sz w:val="20"/>
          <w:szCs w:val="20"/>
          <w:lang w:val="fr-CA"/>
        </w:rPr>
        <w:pict>
          <v:rect id="_x0000_i1059"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B51F8" w:rsidRPr="002B51F8" w:rsidTr="000326AA">
        <w:trPr>
          <w:cantSplit/>
        </w:trPr>
        <w:tc>
          <w:tcPr>
            <w:tcW w:w="1458" w:type="dxa"/>
          </w:tcPr>
          <w:p w:rsidR="002B51F8" w:rsidRPr="002B51F8" w:rsidRDefault="002B51F8" w:rsidP="000326AA">
            <w:pPr>
              <w:rPr>
                <w:rFonts w:cs="Times New Roman"/>
                <w:sz w:val="20"/>
                <w:szCs w:val="20"/>
              </w:rPr>
            </w:pPr>
            <w:r w:rsidRPr="002B51F8">
              <w:rPr>
                <w:rStyle w:val="SCCFileNumberChar"/>
                <w:rFonts w:cs="Times New Roman"/>
                <w:sz w:val="20"/>
                <w:szCs w:val="20"/>
              </w:rPr>
              <w:t>34207</w:t>
            </w:r>
          </w:p>
          <w:p w:rsidR="002B51F8" w:rsidRPr="002B51F8" w:rsidRDefault="002B51F8" w:rsidP="000326AA">
            <w:pPr>
              <w:rPr>
                <w:rFonts w:cs="Times New Roman"/>
                <w:b/>
                <w:sz w:val="20"/>
                <w:szCs w:val="20"/>
                <w:lang w:val="fr-CA"/>
              </w:rPr>
            </w:pPr>
          </w:p>
        </w:tc>
        <w:tc>
          <w:tcPr>
            <w:tcW w:w="8118" w:type="dxa"/>
          </w:tcPr>
          <w:p w:rsidR="002B51F8" w:rsidRPr="002B51F8" w:rsidRDefault="002B51F8" w:rsidP="002B51F8">
            <w:pPr>
              <w:jc w:val="both"/>
              <w:rPr>
                <w:rFonts w:cs="Times New Roman"/>
                <w:sz w:val="20"/>
                <w:szCs w:val="20"/>
              </w:rPr>
            </w:pPr>
            <w:r w:rsidRPr="002B51F8">
              <w:rPr>
                <w:rStyle w:val="SCCLsocChar"/>
                <w:rFonts w:cs="Times New Roman"/>
                <w:sz w:val="20"/>
                <w:szCs w:val="20"/>
                <w:lang w:val="en-CA"/>
              </w:rPr>
              <w:t>Bostjan Soba v. Republic of Slovenia, Minister of Justice and Attorney General of Canada</w:t>
            </w:r>
            <w:r w:rsidRPr="002B51F8">
              <w:rPr>
                <w:rFonts w:cs="Times New Roman"/>
                <w:sz w:val="20"/>
                <w:szCs w:val="20"/>
              </w:rPr>
              <w:t xml:space="preserve"> (Ont.) (Criminal) (By Leave)</w:t>
            </w:r>
          </w:p>
          <w:p w:rsidR="002B51F8" w:rsidRPr="002B51F8" w:rsidRDefault="002B51F8" w:rsidP="000326AA">
            <w:pPr>
              <w:rPr>
                <w:rFonts w:cs="Times New Roman"/>
                <w:sz w:val="20"/>
                <w:szCs w:val="20"/>
              </w:rPr>
            </w:pPr>
          </w:p>
        </w:tc>
      </w:tr>
      <w:tr w:rsidR="002B51F8" w:rsidRPr="002B51F8" w:rsidTr="000326AA">
        <w:trPr>
          <w:cantSplit/>
        </w:trPr>
        <w:tc>
          <w:tcPr>
            <w:tcW w:w="1458" w:type="dxa"/>
          </w:tcPr>
          <w:p w:rsidR="002B51F8" w:rsidRPr="002B51F8" w:rsidRDefault="002B51F8" w:rsidP="000326AA">
            <w:pPr>
              <w:rPr>
                <w:rFonts w:cs="Times New Roman"/>
                <w:sz w:val="20"/>
                <w:szCs w:val="20"/>
              </w:rPr>
            </w:pPr>
            <w:r w:rsidRPr="002B51F8">
              <w:rPr>
                <w:rFonts w:cs="Times New Roman"/>
                <w:sz w:val="20"/>
                <w:szCs w:val="20"/>
              </w:rPr>
              <w:t>Coram :</w:t>
            </w:r>
          </w:p>
        </w:tc>
        <w:tc>
          <w:tcPr>
            <w:tcW w:w="8118" w:type="dxa"/>
          </w:tcPr>
          <w:p w:rsidR="002B51F8" w:rsidRPr="002B51F8" w:rsidRDefault="002B51F8" w:rsidP="000326AA">
            <w:pPr>
              <w:rPr>
                <w:rFonts w:cs="Times New Roman"/>
                <w:sz w:val="20"/>
                <w:szCs w:val="20"/>
              </w:rPr>
            </w:pPr>
            <w:r w:rsidRPr="002B51F8">
              <w:rPr>
                <w:rStyle w:val="SCCCoramChar"/>
                <w:rFonts w:cs="Times New Roman"/>
                <w:sz w:val="20"/>
                <w:szCs w:val="20"/>
                <w:lang w:val="en-CA"/>
              </w:rPr>
              <w:t>McLachlin C.J. and Deschamps and Charron JJ.</w:t>
            </w:r>
          </w:p>
          <w:p w:rsidR="002B51F8" w:rsidRPr="002B51F8" w:rsidRDefault="002B51F8" w:rsidP="000326AA">
            <w:pPr>
              <w:rPr>
                <w:rFonts w:cs="Times New Roman"/>
                <w:sz w:val="20"/>
                <w:szCs w:val="20"/>
                <w:u w:val="single"/>
              </w:rPr>
            </w:pPr>
          </w:p>
        </w:tc>
      </w:tr>
      <w:tr w:rsidR="002B51F8" w:rsidRPr="00F03CF9" w:rsidTr="000326AA">
        <w:trPr>
          <w:cantSplit/>
        </w:trPr>
        <w:tc>
          <w:tcPr>
            <w:tcW w:w="9576" w:type="dxa"/>
            <w:gridSpan w:val="2"/>
          </w:tcPr>
          <w:p w:rsidR="002B51F8" w:rsidRPr="002B51F8" w:rsidRDefault="002B51F8" w:rsidP="000326AA">
            <w:pPr>
              <w:pStyle w:val="SCCShortJudgment"/>
              <w:rPr>
                <w:rFonts w:cs="Times New Roman"/>
                <w:szCs w:val="20"/>
              </w:rPr>
            </w:pPr>
            <w:r w:rsidRPr="002B51F8">
              <w:rPr>
                <w:rFonts w:cs="Times New Roman"/>
                <w:szCs w:val="20"/>
              </w:rPr>
              <w:t>The motion to file a joint application for leave to appeal is granted.  The application for leave to appeal from the judgment of the Court of Appeal for Ontario, Numbers C52024 and C52023, 2011 ONCA 137, dated February 17, 2011, is dismissed with costs.</w:t>
            </w:r>
          </w:p>
          <w:p w:rsidR="002B51F8" w:rsidRPr="002B51F8" w:rsidRDefault="002B51F8" w:rsidP="000326AA">
            <w:pPr>
              <w:pStyle w:val="SCCShortJudgment"/>
              <w:ind w:firstLine="0"/>
              <w:rPr>
                <w:rFonts w:cs="Times New Roman"/>
                <w:szCs w:val="20"/>
              </w:rPr>
            </w:pPr>
          </w:p>
          <w:p w:rsidR="002B51F8" w:rsidRPr="002B51F8" w:rsidRDefault="002B51F8" w:rsidP="000326AA">
            <w:pPr>
              <w:pStyle w:val="SCCShortJudgment"/>
              <w:rPr>
                <w:rFonts w:cs="Times New Roman"/>
                <w:szCs w:val="20"/>
                <w:lang w:val="fr-CA"/>
              </w:rPr>
            </w:pPr>
            <w:r w:rsidRPr="002B51F8">
              <w:rPr>
                <w:rFonts w:cs="Times New Roman"/>
                <w:szCs w:val="20"/>
                <w:lang w:val="fr-CA"/>
              </w:rPr>
              <w:t>La requête pour déposer une demande d’autorisation d’appel conjointe est accordée.  La demande d’autorisation d’appel de l’arrêt de la Cour d’appel de l’Ontario, numéros C52024 et C52023, 2011 ONCA 137, daté du 17 février 2011, est rejetée avec dépens.</w:t>
            </w:r>
          </w:p>
        </w:tc>
      </w:tr>
    </w:tbl>
    <w:p w:rsidR="002B51F8" w:rsidRPr="002B51F8" w:rsidRDefault="002B51F8"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0244" w:rsidRPr="00FA6366" w:rsidTr="00331DF5">
        <w:tc>
          <w:tcPr>
            <w:tcW w:w="5000" w:type="pct"/>
            <w:gridSpan w:val="3"/>
          </w:tcPr>
          <w:p w:rsidR="00760244" w:rsidRPr="00FA6366" w:rsidRDefault="00760244" w:rsidP="00331DF5">
            <w:pPr>
              <w:jc w:val="both"/>
              <w:rPr>
                <w:rFonts w:eastAsia="Calibri"/>
                <w:sz w:val="20"/>
              </w:rPr>
            </w:pPr>
            <w:r w:rsidRPr="00FA6366">
              <w:rPr>
                <w:rFonts w:eastAsia="Calibri"/>
                <w:sz w:val="20"/>
              </w:rPr>
              <w:t xml:space="preserve">Extradition — Committal — Surrender — Authority to Proceed — Whether Minister had authority to issue Authority to Proceed and to order applicant’s surrender — Whether there is an applicable extradition agreement </w:t>
            </w:r>
          </w:p>
          <w:p w:rsidR="00760244" w:rsidRPr="00FA6366" w:rsidRDefault="00760244" w:rsidP="00331DF5">
            <w:pPr>
              <w:jc w:val="both"/>
              <w:rPr>
                <w:rFonts w:eastAsia="Calibri"/>
                <w:sz w:val="20"/>
              </w:rPr>
            </w:pPr>
          </w:p>
        </w:tc>
      </w:tr>
      <w:tr w:rsidR="00760244" w:rsidRPr="00FA6366" w:rsidTr="00331DF5">
        <w:tc>
          <w:tcPr>
            <w:tcW w:w="5000" w:type="pct"/>
            <w:gridSpan w:val="3"/>
          </w:tcPr>
          <w:p w:rsidR="00760244" w:rsidRPr="00FA6366" w:rsidRDefault="00760244" w:rsidP="00331DF5">
            <w:pPr>
              <w:jc w:val="both"/>
              <w:rPr>
                <w:rFonts w:eastAsia="Calibri"/>
                <w:sz w:val="20"/>
              </w:rPr>
            </w:pPr>
            <w:r w:rsidRPr="00FA6366">
              <w:rPr>
                <w:rFonts w:eastAsia="Calibri"/>
                <w:sz w:val="20"/>
              </w:rPr>
              <w:t xml:space="preserve">The Republic of Slovenia seeks the applicant’s extradition to stand trial on corruption charges related to alleged abuse of office and forging official documents. Allegedly, he and others misappropriated government funds by arranging for corporations to receive government subsidies in return for kickbacks.   The Authority to Proceed names the Canadian offences of fraud on the government, breach of trust of a public officer, forgery and fraud. The applicant, a refugee claimant, was committed for extradition.  Canada and Slovenia are not parties to an extradition treaty, however, the Minister cited the </w:t>
            </w:r>
            <w:r w:rsidRPr="00FA6366">
              <w:rPr>
                <w:rFonts w:eastAsia="Calibri"/>
                <w:i/>
                <w:sz w:val="20"/>
              </w:rPr>
              <w:t>United Nations Convention Against Transnational Organized Crime</w:t>
            </w:r>
            <w:r w:rsidRPr="00FA6366">
              <w:rPr>
                <w:rFonts w:eastAsia="Calibri"/>
                <w:sz w:val="20"/>
              </w:rPr>
              <w:t xml:space="preserve"> (General Assembly Resolution 55/25, 15 November 2000), to which both Canada and Slovenia are signatories, as authority to issue the Authority to Proceed and to order the applicant’s surrender to the Republic of Slovenia.  The Court of Appeal dismissed an application for judicial review of the surrender decision and an appeal from committal.  </w:t>
            </w:r>
          </w:p>
          <w:p w:rsidR="00760244" w:rsidRPr="00FA6366" w:rsidRDefault="00760244" w:rsidP="00331DF5">
            <w:pPr>
              <w:jc w:val="both"/>
              <w:rPr>
                <w:rFonts w:eastAsia="Calibri"/>
                <w:sz w:val="20"/>
              </w:rPr>
            </w:pPr>
          </w:p>
        </w:tc>
      </w:tr>
      <w:tr w:rsidR="00760244" w:rsidRPr="00FA6366" w:rsidTr="00331DF5">
        <w:tc>
          <w:tcPr>
            <w:tcW w:w="2427" w:type="pct"/>
          </w:tcPr>
          <w:p w:rsidR="00760244" w:rsidRPr="00FA6366" w:rsidRDefault="00760244" w:rsidP="00331DF5">
            <w:pPr>
              <w:jc w:val="both"/>
              <w:rPr>
                <w:rFonts w:eastAsia="Calibri"/>
                <w:sz w:val="20"/>
              </w:rPr>
            </w:pPr>
            <w:r w:rsidRPr="00FA6366">
              <w:rPr>
                <w:rFonts w:eastAsia="Calibri"/>
                <w:sz w:val="20"/>
              </w:rPr>
              <w:t>February 17, 2009</w:t>
            </w:r>
          </w:p>
          <w:p w:rsidR="00760244" w:rsidRPr="00FA6366" w:rsidRDefault="00760244" w:rsidP="00331DF5">
            <w:pPr>
              <w:jc w:val="both"/>
              <w:rPr>
                <w:rFonts w:eastAsia="Calibri"/>
                <w:sz w:val="20"/>
              </w:rPr>
            </w:pPr>
            <w:r w:rsidRPr="00FA6366">
              <w:rPr>
                <w:rFonts w:eastAsia="Calibri"/>
                <w:sz w:val="20"/>
              </w:rPr>
              <w:t>Ontario Superior Court of Justice</w:t>
            </w:r>
          </w:p>
          <w:p w:rsidR="00760244" w:rsidRPr="00FA6366" w:rsidRDefault="00760244" w:rsidP="00331DF5">
            <w:pPr>
              <w:jc w:val="both"/>
              <w:rPr>
                <w:rFonts w:eastAsia="Calibri"/>
                <w:sz w:val="20"/>
              </w:rPr>
            </w:pPr>
            <w:r w:rsidRPr="00FA6366">
              <w:rPr>
                <w:rFonts w:eastAsia="Calibri"/>
                <w:sz w:val="20"/>
              </w:rPr>
              <w:t xml:space="preserve">(Low J) </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Order committing applicant into custody for extradition</w:t>
            </w:r>
          </w:p>
        </w:tc>
      </w:tr>
      <w:tr w:rsidR="00760244" w:rsidRPr="00FA6366" w:rsidTr="00331DF5">
        <w:tc>
          <w:tcPr>
            <w:tcW w:w="2427" w:type="pct"/>
          </w:tcPr>
          <w:p w:rsidR="00760244" w:rsidRPr="00FA6366" w:rsidRDefault="00760244" w:rsidP="00331DF5">
            <w:pPr>
              <w:jc w:val="both"/>
              <w:rPr>
                <w:rFonts w:eastAsia="Calibri"/>
                <w:sz w:val="20"/>
              </w:rPr>
            </w:pPr>
            <w:r w:rsidRPr="00FA6366">
              <w:rPr>
                <w:rFonts w:eastAsia="Calibri"/>
                <w:sz w:val="20"/>
              </w:rPr>
              <w:t>July 16, 2009</w:t>
            </w:r>
          </w:p>
          <w:p w:rsidR="00760244" w:rsidRPr="00FA6366" w:rsidRDefault="00760244" w:rsidP="00331DF5">
            <w:pPr>
              <w:jc w:val="both"/>
              <w:rPr>
                <w:rFonts w:eastAsia="Calibri"/>
                <w:sz w:val="20"/>
              </w:rPr>
            </w:pPr>
            <w:r w:rsidRPr="00FA6366">
              <w:rPr>
                <w:rFonts w:eastAsia="Calibri"/>
                <w:sz w:val="20"/>
              </w:rPr>
              <w:t>Minister of Justice</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Order to surrender applicant to Republic of Slovenia</w:t>
            </w:r>
          </w:p>
        </w:tc>
      </w:tr>
    </w:tbl>
    <w:p w:rsidR="002B51F8" w:rsidRDefault="002B51F8"/>
    <w:tbl>
      <w:tblPr>
        <w:tblW w:w="4952" w:type="pct"/>
        <w:tblLayout w:type="fixed"/>
        <w:tblCellMar>
          <w:left w:w="0" w:type="dxa"/>
          <w:bottom w:w="99" w:type="dxa"/>
          <w:right w:w="0" w:type="dxa"/>
        </w:tblCellMar>
        <w:tblLook w:val="04A0"/>
      </w:tblPr>
      <w:tblGrid>
        <w:gridCol w:w="4624"/>
        <w:gridCol w:w="463"/>
        <w:gridCol w:w="4440"/>
      </w:tblGrid>
      <w:tr w:rsidR="00760244" w:rsidRPr="00FA6366" w:rsidTr="002B51F8">
        <w:trPr>
          <w:cantSplit/>
        </w:trPr>
        <w:tc>
          <w:tcPr>
            <w:tcW w:w="2427" w:type="pct"/>
          </w:tcPr>
          <w:p w:rsidR="00760244" w:rsidRPr="00FA6366" w:rsidRDefault="00760244" w:rsidP="00331DF5">
            <w:pPr>
              <w:jc w:val="both"/>
              <w:rPr>
                <w:rFonts w:eastAsia="Calibri"/>
                <w:sz w:val="20"/>
              </w:rPr>
            </w:pPr>
            <w:r w:rsidRPr="00FA6366">
              <w:rPr>
                <w:rFonts w:eastAsia="Calibri"/>
                <w:sz w:val="20"/>
              </w:rPr>
              <w:lastRenderedPageBreak/>
              <w:t>February 18, 2011</w:t>
            </w:r>
          </w:p>
          <w:p w:rsidR="00760244" w:rsidRPr="00FA6366" w:rsidRDefault="00760244" w:rsidP="00331DF5">
            <w:pPr>
              <w:jc w:val="both"/>
              <w:rPr>
                <w:rFonts w:eastAsia="Calibri"/>
                <w:sz w:val="20"/>
              </w:rPr>
            </w:pPr>
            <w:r w:rsidRPr="00FA6366">
              <w:rPr>
                <w:rFonts w:eastAsia="Calibri"/>
                <w:sz w:val="20"/>
              </w:rPr>
              <w:t>Court of Appeal for Ontario</w:t>
            </w:r>
          </w:p>
          <w:p w:rsidR="00760244" w:rsidRPr="00FA6366" w:rsidRDefault="00760244" w:rsidP="00331DF5">
            <w:pPr>
              <w:jc w:val="both"/>
              <w:rPr>
                <w:rFonts w:eastAsia="Calibri"/>
                <w:sz w:val="20"/>
              </w:rPr>
            </w:pPr>
            <w:r w:rsidRPr="00FA6366">
              <w:rPr>
                <w:rFonts w:eastAsia="Calibri"/>
                <w:sz w:val="20"/>
              </w:rPr>
              <w:t>(Laskin, Feldman, Armstrong JJ.A.)</w:t>
            </w:r>
          </w:p>
          <w:p w:rsidR="00760244" w:rsidRPr="00FA6366" w:rsidRDefault="00760244" w:rsidP="00331DF5">
            <w:pPr>
              <w:jc w:val="both"/>
              <w:rPr>
                <w:rFonts w:eastAsia="Calibri"/>
                <w:sz w:val="20"/>
              </w:rPr>
            </w:pPr>
            <w:r w:rsidRPr="00FA6366">
              <w:rPr>
                <w:rFonts w:eastAsia="Calibri"/>
                <w:sz w:val="20"/>
              </w:rPr>
              <w:t>2011 ONCA 137</w:t>
            </w:r>
          </w:p>
          <w:p w:rsidR="00760244" w:rsidRPr="00FA6366" w:rsidRDefault="00760244" w:rsidP="00331DF5">
            <w:pPr>
              <w:jc w:val="both"/>
              <w:rPr>
                <w:rFonts w:eastAsia="Calibri"/>
                <w:sz w:val="20"/>
              </w:rPr>
            </w:pPr>
            <w:r w:rsidRPr="00FA6366">
              <w:rPr>
                <w:rFonts w:eastAsia="Calibri"/>
                <w:sz w:val="20"/>
              </w:rPr>
              <w:t xml:space="preserve">C52024 </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Appeal from committal decision dismissed</w:t>
            </w:r>
          </w:p>
          <w:p w:rsidR="00760244" w:rsidRPr="00FA6366" w:rsidRDefault="00760244" w:rsidP="00331DF5">
            <w:pPr>
              <w:jc w:val="both"/>
              <w:rPr>
                <w:rFonts w:eastAsia="Calibri"/>
                <w:sz w:val="20"/>
              </w:rPr>
            </w:pPr>
          </w:p>
        </w:tc>
      </w:tr>
      <w:tr w:rsidR="00760244" w:rsidRPr="00FA6366" w:rsidTr="002B51F8">
        <w:trPr>
          <w:cantSplit/>
        </w:trPr>
        <w:tc>
          <w:tcPr>
            <w:tcW w:w="2427" w:type="pct"/>
          </w:tcPr>
          <w:p w:rsidR="00760244" w:rsidRPr="00FA6366" w:rsidRDefault="00760244" w:rsidP="00331DF5">
            <w:pPr>
              <w:jc w:val="both"/>
              <w:rPr>
                <w:rFonts w:eastAsia="Calibri"/>
                <w:sz w:val="20"/>
              </w:rPr>
            </w:pPr>
            <w:r w:rsidRPr="00FA6366">
              <w:rPr>
                <w:rFonts w:eastAsia="Calibri"/>
                <w:sz w:val="20"/>
              </w:rPr>
              <w:t>March 15, 2011</w:t>
            </w:r>
          </w:p>
          <w:p w:rsidR="00760244" w:rsidRPr="00FA6366" w:rsidRDefault="00760244" w:rsidP="00331DF5">
            <w:pPr>
              <w:jc w:val="both"/>
              <w:rPr>
                <w:rFonts w:eastAsia="Calibri"/>
                <w:sz w:val="20"/>
              </w:rPr>
            </w:pPr>
            <w:r w:rsidRPr="00FA6366">
              <w:rPr>
                <w:rFonts w:eastAsia="Calibri"/>
                <w:sz w:val="20"/>
              </w:rPr>
              <w:t>Court of Appeal for Ontario</w:t>
            </w:r>
          </w:p>
          <w:p w:rsidR="00760244" w:rsidRPr="00FA6366" w:rsidRDefault="00760244" w:rsidP="00331DF5">
            <w:pPr>
              <w:jc w:val="both"/>
              <w:rPr>
                <w:rFonts w:eastAsia="Calibri"/>
                <w:sz w:val="20"/>
              </w:rPr>
            </w:pPr>
            <w:r w:rsidRPr="00FA6366">
              <w:rPr>
                <w:rFonts w:eastAsia="Calibri"/>
                <w:sz w:val="20"/>
              </w:rPr>
              <w:t>(Laskin, Feldman, Armstrong JJ.A.)</w:t>
            </w:r>
          </w:p>
          <w:p w:rsidR="00760244" w:rsidRPr="00FA6366" w:rsidRDefault="00760244" w:rsidP="00331DF5">
            <w:pPr>
              <w:jc w:val="both"/>
              <w:rPr>
                <w:rFonts w:eastAsia="Calibri"/>
                <w:sz w:val="20"/>
              </w:rPr>
            </w:pPr>
            <w:r w:rsidRPr="00FA6366">
              <w:rPr>
                <w:rFonts w:eastAsia="Calibri"/>
                <w:sz w:val="20"/>
              </w:rPr>
              <w:t>2011 ONCA 206</w:t>
            </w:r>
          </w:p>
          <w:p w:rsidR="00760244" w:rsidRPr="00FA6366" w:rsidRDefault="00760244" w:rsidP="00331DF5">
            <w:pPr>
              <w:jc w:val="both"/>
              <w:rPr>
                <w:rFonts w:eastAsia="Calibri"/>
                <w:sz w:val="20"/>
              </w:rPr>
            </w:pPr>
            <w:r w:rsidRPr="00FA6366">
              <w:rPr>
                <w:rFonts w:eastAsia="Calibri"/>
                <w:sz w:val="20"/>
              </w:rPr>
              <w:t xml:space="preserve">C52023 </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Application for judicial review of surrender decision dismissed</w:t>
            </w:r>
          </w:p>
        </w:tc>
      </w:tr>
      <w:tr w:rsidR="00760244" w:rsidRPr="00FA6366" w:rsidTr="002B51F8">
        <w:trPr>
          <w:cantSplit/>
        </w:trPr>
        <w:tc>
          <w:tcPr>
            <w:tcW w:w="2427" w:type="pct"/>
          </w:tcPr>
          <w:p w:rsidR="00760244" w:rsidRPr="00FA6366" w:rsidRDefault="00760244" w:rsidP="00331DF5">
            <w:pPr>
              <w:jc w:val="both"/>
              <w:rPr>
                <w:rFonts w:eastAsia="Calibri"/>
                <w:sz w:val="20"/>
              </w:rPr>
            </w:pPr>
            <w:r w:rsidRPr="00FA6366">
              <w:rPr>
                <w:rFonts w:eastAsia="Calibri"/>
                <w:sz w:val="20"/>
              </w:rPr>
              <w:t>April 18, 2011</w:t>
            </w:r>
          </w:p>
          <w:p w:rsidR="00760244" w:rsidRPr="00FA6366" w:rsidRDefault="00760244" w:rsidP="00331DF5">
            <w:pPr>
              <w:jc w:val="both"/>
              <w:rPr>
                <w:rFonts w:eastAsia="Calibri"/>
                <w:sz w:val="20"/>
              </w:rPr>
            </w:pPr>
            <w:r w:rsidRPr="00FA6366">
              <w:rPr>
                <w:rFonts w:eastAsia="Calibri"/>
                <w:sz w:val="20"/>
              </w:rPr>
              <w:t>Supreme Court of Canada</w:t>
            </w: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Motion to file joint Application for Leave   to Appeal and Application for leave to appeal filed</w:t>
            </w: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60"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0244" w:rsidRPr="00F03CF9" w:rsidTr="00331DF5">
        <w:tc>
          <w:tcPr>
            <w:tcW w:w="5000" w:type="pct"/>
            <w:gridSpan w:val="3"/>
          </w:tcPr>
          <w:p w:rsidR="00760244" w:rsidRPr="00FA6366" w:rsidRDefault="00760244" w:rsidP="00331DF5">
            <w:pPr>
              <w:jc w:val="both"/>
              <w:rPr>
                <w:rFonts w:eastAsia="Calibri"/>
                <w:sz w:val="20"/>
                <w:lang w:val="fr-CA"/>
              </w:rPr>
            </w:pPr>
            <w:r w:rsidRPr="00FA6366">
              <w:rPr>
                <w:rFonts w:eastAsia="Calibri"/>
                <w:sz w:val="20"/>
                <w:lang w:val="fr-CA"/>
              </w:rPr>
              <w:t>Extradition — Incarcération — Arrêté introductif d’instance — Le ministre avait-il compétence pour prendre un arrêté introductif d’instance et ordonner l’extradition du demandeur? — Existe</w:t>
            </w:r>
            <w:r w:rsidRPr="00FA6366">
              <w:rPr>
                <w:rFonts w:eastAsia="Calibri"/>
                <w:sz w:val="20"/>
                <w:lang w:val="fr-CA"/>
              </w:rPr>
              <w:noBreakHyphen/>
              <w:t>t</w:t>
            </w:r>
            <w:r w:rsidRPr="00FA6366">
              <w:rPr>
                <w:rFonts w:eastAsia="Calibri"/>
                <w:sz w:val="20"/>
                <w:lang w:val="fr-CA"/>
              </w:rPr>
              <w:noBreakHyphen/>
              <w:t xml:space="preserve">il un accord d’extradition applicable? </w:t>
            </w:r>
          </w:p>
          <w:p w:rsidR="00760244" w:rsidRPr="00FA6366" w:rsidRDefault="00760244" w:rsidP="00331DF5">
            <w:pPr>
              <w:jc w:val="both"/>
              <w:rPr>
                <w:rFonts w:eastAsia="Calibri"/>
                <w:sz w:val="20"/>
                <w:lang w:val="fr-CA"/>
              </w:rPr>
            </w:pPr>
          </w:p>
        </w:tc>
      </w:tr>
      <w:tr w:rsidR="00760244" w:rsidRPr="00F03CF9" w:rsidTr="00331DF5">
        <w:tc>
          <w:tcPr>
            <w:tcW w:w="5000" w:type="pct"/>
            <w:gridSpan w:val="3"/>
          </w:tcPr>
          <w:p w:rsidR="00760244" w:rsidRPr="00FA6366" w:rsidRDefault="00760244" w:rsidP="00331DF5">
            <w:pPr>
              <w:jc w:val="both"/>
              <w:rPr>
                <w:rFonts w:eastAsia="Calibri"/>
                <w:sz w:val="20"/>
                <w:lang w:val="fr-CA"/>
              </w:rPr>
            </w:pPr>
            <w:r w:rsidRPr="00FA6366">
              <w:rPr>
                <w:rFonts w:eastAsia="Calibri"/>
                <w:sz w:val="20"/>
                <w:lang w:val="fr-CA"/>
              </w:rPr>
              <w:t xml:space="preserve">La République de Slovénie demande l’extradition de Monsieur Soba (« le demandeur ») pour qu’il subisse son procès relativement à des accusations d’abus de pouvoir et de contrefaçon de documents officiels.  Le demandeur ainsi que d’autres personnes auraient détourné des fonds de l’État en veillant à ce que des sociétés reçoivent des subventions gouvernementales en échange de pots-de-vin.  L’arrêté introductif d’instance fait mention des infractions punissables au Canada suivantes qui correspondent aux infractions reprochées à l’accusé en Slovénie : fraude envers le gouvernement, abus de confiance par un fonctionnaire, fabrication de faux et fraude.  Monsieur Soba, qui demandait l’asile, a été incarcéré en vue de son extradition.  Le Canada et la Slovénie n’ont conclu aucun traité d’extradition, toutefois, le ministre a renvoyé à la </w:t>
            </w:r>
            <w:r w:rsidRPr="00FA6366">
              <w:rPr>
                <w:rFonts w:eastAsia="Calibri"/>
                <w:i/>
                <w:color w:val="000000"/>
                <w:sz w:val="20"/>
                <w:lang w:val="fr-CA"/>
              </w:rPr>
              <w:t>Convention des Nations Unies contre la criminalité transnational organisée</w:t>
            </w:r>
            <w:r w:rsidRPr="00FA6366">
              <w:rPr>
                <w:rFonts w:eastAsia="Calibri"/>
                <w:sz w:val="20"/>
                <w:lang w:val="fr-CA"/>
              </w:rPr>
              <w:t xml:space="preserve"> (adoptée par l’Assemblée générale dans sa résolution 55/25 du 15 novembre 2000), dont le Canada et la Slovénie sont signataires, comme conférant le pouvoir de prendre l’arrêté introductif d’instance et d’ordonner l’extradition du demandeur vers la République de Slovénie.  La Cour d’appel a rejeté une demande de contrôle judiciaire de la décision d’extradition et un appel de la décision d’incarcération.  </w:t>
            </w:r>
          </w:p>
          <w:p w:rsidR="00760244" w:rsidRPr="00FA6366" w:rsidRDefault="00760244" w:rsidP="00331DF5">
            <w:pPr>
              <w:jc w:val="both"/>
              <w:rPr>
                <w:rFonts w:eastAsia="Calibri"/>
                <w:sz w:val="20"/>
                <w:lang w:val="fr-CA"/>
              </w:rPr>
            </w:pPr>
          </w:p>
        </w:tc>
      </w:tr>
      <w:tr w:rsidR="00760244" w:rsidRPr="00F03CF9" w:rsidTr="00331DF5">
        <w:tc>
          <w:tcPr>
            <w:tcW w:w="2427" w:type="pct"/>
          </w:tcPr>
          <w:p w:rsidR="00760244" w:rsidRPr="00FA6366" w:rsidRDefault="00760244" w:rsidP="00331DF5">
            <w:pPr>
              <w:jc w:val="both"/>
              <w:rPr>
                <w:rFonts w:eastAsia="Calibri"/>
                <w:sz w:val="20"/>
                <w:lang w:val="fr-CA"/>
              </w:rPr>
            </w:pPr>
            <w:r w:rsidRPr="00FA6366">
              <w:rPr>
                <w:rFonts w:eastAsia="Calibri"/>
                <w:sz w:val="20"/>
                <w:lang w:val="fr-CA"/>
              </w:rPr>
              <w:t>17 février 2009</w:t>
            </w:r>
          </w:p>
          <w:p w:rsidR="00760244" w:rsidRPr="00FA6366" w:rsidRDefault="00760244" w:rsidP="00331DF5">
            <w:pPr>
              <w:jc w:val="both"/>
              <w:rPr>
                <w:rFonts w:eastAsia="Calibri"/>
                <w:sz w:val="20"/>
                <w:lang w:val="fr-CA"/>
              </w:rPr>
            </w:pPr>
            <w:r w:rsidRPr="00FA6366">
              <w:rPr>
                <w:rFonts w:eastAsia="Calibri"/>
                <w:sz w:val="20"/>
                <w:lang w:val="fr-CA"/>
              </w:rPr>
              <w:t>Cour supérieure de justice de l’Ontario</w:t>
            </w:r>
          </w:p>
          <w:p w:rsidR="00760244" w:rsidRPr="00FA6366" w:rsidRDefault="00760244" w:rsidP="00331DF5">
            <w:pPr>
              <w:jc w:val="both"/>
              <w:rPr>
                <w:rFonts w:eastAsia="Calibri"/>
                <w:sz w:val="20"/>
                <w:lang w:val="fr-CA"/>
              </w:rPr>
            </w:pPr>
            <w:r w:rsidRPr="00FA6366">
              <w:rPr>
                <w:rFonts w:eastAsia="Calibri"/>
                <w:sz w:val="20"/>
                <w:lang w:val="fr-CA"/>
              </w:rPr>
              <w:t xml:space="preserve">(Juge Low) </w:t>
            </w:r>
          </w:p>
          <w:p w:rsidR="00760244" w:rsidRPr="00FA6366" w:rsidRDefault="00760244" w:rsidP="00331DF5">
            <w:pPr>
              <w:jc w:val="both"/>
              <w:rPr>
                <w:rFonts w:eastAsia="Calibri"/>
                <w:sz w:val="20"/>
                <w:lang w:val="fr-CA"/>
              </w:rPr>
            </w:pPr>
          </w:p>
        </w:tc>
        <w:tc>
          <w:tcPr>
            <w:tcW w:w="243" w:type="pct"/>
          </w:tcPr>
          <w:p w:rsidR="00760244" w:rsidRPr="00FA6366" w:rsidRDefault="00760244" w:rsidP="00331DF5">
            <w:pPr>
              <w:jc w:val="both"/>
              <w:rPr>
                <w:rFonts w:eastAsia="Calibri"/>
                <w:sz w:val="20"/>
                <w:lang w:val="fr-CA"/>
              </w:rPr>
            </w:pPr>
          </w:p>
        </w:tc>
        <w:tc>
          <w:tcPr>
            <w:tcW w:w="2330" w:type="pct"/>
          </w:tcPr>
          <w:p w:rsidR="00760244" w:rsidRPr="00FA6366" w:rsidRDefault="00760244" w:rsidP="00331DF5">
            <w:pPr>
              <w:jc w:val="both"/>
              <w:rPr>
                <w:rFonts w:eastAsia="Calibri"/>
                <w:sz w:val="20"/>
                <w:lang w:val="fr-CA"/>
              </w:rPr>
            </w:pPr>
            <w:r w:rsidRPr="00FA6366">
              <w:rPr>
                <w:rFonts w:eastAsia="Calibri"/>
                <w:sz w:val="20"/>
                <w:lang w:val="fr-CA"/>
              </w:rPr>
              <w:t>Ordonnance d’incarcération du demandeur en vue de son extradition</w:t>
            </w:r>
          </w:p>
        </w:tc>
      </w:tr>
      <w:tr w:rsidR="00760244" w:rsidRPr="00F03CF9" w:rsidTr="00331DF5">
        <w:tc>
          <w:tcPr>
            <w:tcW w:w="2427" w:type="pct"/>
          </w:tcPr>
          <w:p w:rsidR="00760244" w:rsidRPr="00FA6366" w:rsidRDefault="00760244" w:rsidP="00331DF5">
            <w:pPr>
              <w:jc w:val="both"/>
              <w:rPr>
                <w:rFonts w:eastAsia="Calibri"/>
                <w:sz w:val="20"/>
                <w:lang w:val="fr-CA"/>
              </w:rPr>
            </w:pPr>
            <w:r w:rsidRPr="00FA6366">
              <w:rPr>
                <w:rFonts w:eastAsia="Calibri"/>
                <w:sz w:val="20"/>
                <w:lang w:val="fr-CA"/>
              </w:rPr>
              <w:t>16 juillet 2009</w:t>
            </w:r>
          </w:p>
          <w:p w:rsidR="00760244" w:rsidRPr="00FA6366" w:rsidRDefault="00760244" w:rsidP="00331DF5">
            <w:pPr>
              <w:jc w:val="both"/>
              <w:rPr>
                <w:rFonts w:eastAsia="Calibri"/>
                <w:sz w:val="20"/>
                <w:lang w:val="fr-CA"/>
              </w:rPr>
            </w:pPr>
            <w:r w:rsidRPr="00FA6366">
              <w:rPr>
                <w:rFonts w:eastAsia="Calibri"/>
                <w:sz w:val="20"/>
                <w:lang w:val="fr-CA"/>
              </w:rPr>
              <w:t>Ministre de la Justice</w:t>
            </w:r>
          </w:p>
        </w:tc>
        <w:tc>
          <w:tcPr>
            <w:tcW w:w="243" w:type="pct"/>
          </w:tcPr>
          <w:p w:rsidR="00760244" w:rsidRPr="00FA6366" w:rsidRDefault="00760244" w:rsidP="00331DF5">
            <w:pPr>
              <w:jc w:val="both"/>
              <w:rPr>
                <w:rFonts w:eastAsia="Calibri"/>
                <w:sz w:val="20"/>
                <w:lang w:val="fr-CA"/>
              </w:rPr>
            </w:pPr>
          </w:p>
        </w:tc>
        <w:tc>
          <w:tcPr>
            <w:tcW w:w="2330" w:type="pct"/>
          </w:tcPr>
          <w:p w:rsidR="00760244" w:rsidRPr="00FA6366" w:rsidRDefault="00760244" w:rsidP="00331DF5">
            <w:pPr>
              <w:jc w:val="both"/>
              <w:rPr>
                <w:rFonts w:eastAsia="Calibri"/>
                <w:sz w:val="20"/>
                <w:lang w:val="fr-CA"/>
              </w:rPr>
            </w:pPr>
            <w:r w:rsidRPr="00FA6366">
              <w:rPr>
                <w:rFonts w:eastAsia="Calibri"/>
                <w:sz w:val="20"/>
                <w:lang w:val="fr-CA"/>
              </w:rPr>
              <w:t>Ordonnance d’extradition du demandeur vers la République de Slovénie</w:t>
            </w:r>
          </w:p>
          <w:p w:rsidR="00760244" w:rsidRPr="00FA6366" w:rsidRDefault="00760244" w:rsidP="00331DF5">
            <w:pPr>
              <w:jc w:val="both"/>
              <w:rPr>
                <w:rFonts w:eastAsia="Calibri"/>
                <w:sz w:val="20"/>
                <w:lang w:val="fr-CA"/>
              </w:rPr>
            </w:pPr>
          </w:p>
        </w:tc>
      </w:tr>
      <w:tr w:rsidR="00760244" w:rsidRPr="00F03CF9" w:rsidTr="00331DF5">
        <w:tc>
          <w:tcPr>
            <w:tcW w:w="2427" w:type="pct"/>
          </w:tcPr>
          <w:p w:rsidR="00760244" w:rsidRPr="00FA6366" w:rsidRDefault="00760244" w:rsidP="00331DF5">
            <w:pPr>
              <w:jc w:val="both"/>
              <w:rPr>
                <w:rFonts w:eastAsia="Calibri"/>
                <w:sz w:val="20"/>
                <w:lang w:val="fr-CA"/>
              </w:rPr>
            </w:pPr>
            <w:r w:rsidRPr="00FA6366">
              <w:rPr>
                <w:rFonts w:eastAsia="Calibri"/>
                <w:sz w:val="20"/>
                <w:lang w:val="fr-CA"/>
              </w:rPr>
              <w:t>18 février 2011</w:t>
            </w:r>
          </w:p>
          <w:p w:rsidR="00760244" w:rsidRPr="00FA6366" w:rsidRDefault="00760244" w:rsidP="00331DF5">
            <w:pPr>
              <w:jc w:val="both"/>
              <w:rPr>
                <w:rFonts w:eastAsia="Calibri"/>
                <w:sz w:val="20"/>
                <w:lang w:val="fr-CA"/>
              </w:rPr>
            </w:pPr>
            <w:r w:rsidRPr="00FA6366">
              <w:rPr>
                <w:rFonts w:eastAsia="Calibri"/>
                <w:sz w:val="20"/>
                <w:lang w:val="fr-CA"/>
              </w:rPr>
              <w:t>Cour d’appel de l’Ontario</w:t>
            </w:r>
          </w:p>
          <w:p w:rsidR="00760244" w:rsidRPr="00FA6366" w:rsidRDefault="00760244" w:rsidP="00331DF5">
            <w:pPr>
              <w:jc w:val="both"/>
              <w:rPr>
                <w:rFonts w:eastAsia="Calibri"/>
                <w:sz w:val="20"/>
                <w:lang w:val="fr-CA"/>
              </w:rPr>
            </w:pPr>
            <w:r w:rsidRPr="00FA6366">
              <w:rPr>
                <w:rFonts w:eastAsia="Calibri"/>
                <w:sz w:val="20"/>
                <w:lang w:val="fr-CA"/>
              </w:rPr>
              <w:t>(Juges Laskin, Feldman et Armstrong)</w:t>
            </w:r>
          </w:p>
          <w:p w:rsidR="00760244" w:rsidRPr="00FA6366" w:rsidRDefault="00760244" w:rsidP="00331DF5">
            <w:pPr>
              <w:jc w:val="both"/>
              <w:rPr>
                <w:rFonts w:eastAsia="Calibri"/>
                <w:sz w:val="20"/>
                <w:lang w:val="fr-CA"/>
              </w:rPr>
            </w:pPr>
            <w:r w:rsidRPr="00FA6366">
              <w:rPr>
                <w:rFonts w:eastAsia="Calibri"/>
                <w:sz w:val="20"/>
                <w:lang w:val="fr-CA"/>
              </w:rPr>
              <w:t>2011 ONCA 137</w:t>
            </w:r>
          </w:p>
          <w:p w:rsidR="00760244" w:rsidRPr="00FA6366" w:rsidRDefault="00760244" w:rsidP="00331DF5">
            <w:pPr>
              <w:jc w:val="both"/>
              <w:rPr>
                <w:rFonts w:eastAsia="Calibri"/>
                <w:sz w:val="20"/>
                <w:lang w:val="fr-CA"/>
              </w:rPr>
            </w:pPr>
            <w:r w:rsidRPr="00FA6366">
              <w:rPr>
                <w:rFonts w:eastAsia="Calibri"/>
                <w:sz w:val="20"/>
                <w:lang w:val="fr-CA"/>
              </w:rPr>
              <w:t xml:space="preserve">C52024 </w:t>
            </w:r>
          </w:p>
          <w:p w:rsidR="00760244" w:rsidRPr="00FA6366" w:rsidRDefault="00760244" w:rsidP="00331DF5">
            <w:pPr>
              <w:jc w:val="both"/>
              <w:rPr>
                <w:rFonts w:eastAsia="Calibri"/>
                <w:sz w:val="20"/>
                <w:lang w:val="fr-CA"/>
              </w:rPr>
            </w:pPr>
          </w:p>
        </w:tc>
        <w:tc>
          <w:tcPr>
            <w:tcW w:w="243" w:type="pct"/>
          </w:tcPr>
          <w:p w:rsidR="00760244" w:rsidRPr="00FA6366" w:rsidRDefault="00760244" w:rsidP="00331DF5">
            <w:pPr>
              <w:jc w:val="both"/>
              <w:rPr>
                <w:rFonts w:eastAsia="Calibri"/>
                <w:sz w:val="20"/>
                <w:lang w:val="fr-CA"/>
              </w:rPr>
            </w:pPr>
          </w:p>
        </w:tc>
        <w:tc>
          <w:tcPr>
            <w:tcW w:w="2330" w:type="pct"/>
          </w:tcPr>
          <w:p w:rsidR="00760244" w:rsidRPr="00FA6366" w:rsidRDefault="00760244" w:rsidP="00331DF5">
            <w:pPr>
              <w:jc w:val="both"/>
              <w:rPr>
                <w:rFonts w:eastAsia="Calibri"/>
                <w:sz w:val="20"/>
                <w:lang w:val="fr-CA"/>
              </w:rPr>
            </w:pPr>
            <w:r w:rsidRPr="00FA6366">
              <w:rPr>
                <w:rFonts w:eastAsia="Calibri"/>
                <w:sz w:val="20"/>
                <w:lang w:val="fr-CA"/>
              </w:rPr>
              <w:t>Appel de la décision d’incarcération rejetée</w:t>
            </w:r>
          </w:p>
          <w:p w:rsidR="00760244" w:rsidRPr="00FA6366" w:rsidRDefault="00760244" w:rsidP="00331DF5">
            <w:pPr>
              <w:jc w:val="both"/>
              <w:rPr>
                <w:rFonts w:eastAsia="Calibri"/>
                <w:sz w:val="20"/>
                <w:lang w:val="fr-CA"/>
              </w:rPr>
            </w:pPr>
          </w:p>
        </w:tc>
      </w:tr>
      <w:tr w:rsidR="00760244" w:rsidRPr="00F03CF9" w:rsidTr="002B51F8">
        <w:trPr>
          <w:cantSplit/>
        </w:trPr>
        <w:tc>
          <w:tcPr>
            <w:tcW w:w="2427" w:type="pct"/>
          </w:tcPr>
          <w:p w:rsidR="00760244" w:rsidRPr="00FA6366" w:rsidRDefault="00760244" w:rsidP="00331DF5">
            <w:pPr>
              <w:jc w:val="both"/>
              <w:rPr>
                <w:rFonts w:eastAsia="Calibri"/>
                <w:sz w:val="20"/>
                <w:lang w:val="fr-CA"/>
              </w:rPr>
            </w:pPr>
            <w:r w:rsidRPr="00FA6366">
              <w:rPr>
                <w:rFonts w:eastAsia="Calibri"/>
                <w:sz w:val="20"/>
                <w:lang w:val="fr-CA"/>
              </w:rPr>
              <w:lastRenderedPageBreak/>
              <w:t>15 mars 2011</w:t>
            </w:r>
          </w:p>
          <w:p w:rsidR="00760244" w:rsidRPr="00FA6366" w:rsidRDefault="00760244" w:rsidP="00331DF5">
            <w:pPr>
              <w:jc w:val="both"/>
              <w:rPr>
                <w:rFonts w:eastAsia="Calibri"/>
                <w:sz w:val="20"/>
                <w:lang w:val="fr-CA"/>
              </w:rPr>
            </w:pPr>
            <w:r w:rsidRPr="00FA6366">
              <w:rPr>
                <w:rFonts w:eastAsia="Calibri"/>
                <w:sz w:val="20"/>
                <w:lang w:val="fr-CA"/>
              </w:rPr>
              <w:t>Cour d’appel de l’Ontario</w:t>
            </w:r>
          </w:p>
          <w:p w:rsidR="00760244" w:rsidRPr="00FA6366" w:rsidRDefault="00760244" w:rsidP="00331DF5">
            <w:pPr>
              <w:jc w:val="both"/>
              <w:rPr>
                <w:rFonts w:eastAsia="Calibri"/>
                <w:sz w:val="20"/>
                <w:lang w:val="fr-CA"/>
              </w:rPr>
            </w:pPr>
            <w:r w:rsidRPr="00FA6366">
              <w:rPr>
                <w:rFonts w:eastAsia="Calibri"/>
                <w:sz w:val="20"/>
                <w:lang w:val="fr-CA"/>
              </w:rPr>
              <w:t>(Juges Laskin, Feldman et Armstrong)</w:t>
            </w:r>
          </w:p>
          <w:p w:rsidR="00760244" w:rsidRPr="00FA6366" w:rsidRDefault="00760244" w:rsidP="00331DF5">
            <w:pPr>
              <w:jc w:val="both"/>
              <w:rPr>
                <w:rFonts w:eastAsia="Calibri"/>
                <w:sz w:val="20"/>
                <w:lang w:val="fr-CA"/>
              </w:rPr>
            </w:pPr>
            <w:r w:rsidRPr="00FA6366">
              <w:rPr>
                <w:rFonts w:eastAsia="Calibri"/>
                <w:sz w:val="20"/>
                <w:lang w:val="fr-CA"/>
              </w:rPr>
              <w:t>2011 ONCA 206</w:t>
            </w:r>
          </w:p>
          <w:p w:rsidR="00760244" w:rsidRPr="00FA6366" w:rsidRDefault="00760244" w:rsidP="00331DF5">
            <w:pPr>
              <w:jc w:val="both"/>
              <w:rPr>
                <w:rFonts w:eastAsia="Calibri"/>
                <w:sz w:val="20"/>
                <w:lang w:val="fr-CA"/>
              </w:rPr>
            </w:pPr>
            <w:r w:rsidRPr="00FA6366">
              <w:rPr>
                <w:rFonts w:eastAsia="Calibri"/>
                <w:sz w:val="20"/>
                <w:lang w:val="fr-CA"/>
              </w:rPr>
              <w:t xml:space="preserve">C52023 </w:t>
            </w:r>
          </w:p>
          <w:p w:rsidR="00760244" w:rsidRPr="00FA6366" w:rsidRDefault="00760244" w:rsidP="00331DF5">
            <w:pPr>
              <w:jc w:val="both"/>
              <w:rPr>
                <w:rFonts w:eastAsia="Calibri"/>
                <w:sz w:val="20"/>
                <w:lang w:val="fr-CA"/>
              </w:rPr>
            </w:pPr>
          </w:p>
        </w:tc>
        <w:tc>
          <w:tcPr>
            <w:tcW w:w="243" w:type="pct"/>
          </w:tcPr>
          <w:p w:rsidR="00760244" w:rsidRPr="00FA6366" w:rsidRDefault="00760244" w:rsidP="00331DF5">
            <w:pPr>
              <w:jc w:val="both"/>
              <w:rPr>
                <w:rFonts w:eastAsia="Calibri"/>
                <w:sz w:val="20"/>
                <w:lang w:val="fr-CA"/>
              </w:rPr>
            </w:pPr>
          </w:p>
        </w:tc>
        <w:tc>
          <w:tcPr>
            <w:tcW w:w="2330" w:type="pct"/>
          </w:tcPr>
          <w:p w:rsidR="00760244" w:rsidRPr="00FA6366" w:rsidRDefault="00760244" w:rsidP="00331DF5">
            <w:pPr>
              <w:jc w:val="both"/>
              <w:rPr>
                <w:rFonts w:eastAsia="Calibri"/>
                <w:sz w:val="20"/>
                <w:lang w:val="fr-CA"/>
              </w:rPr>
            </w:pPr>
            <w:r w:rsidRPr="00FA6366">
              <w:rPr>
                <w:rFonts w:eastAsia="Calibri"/>
                <w:sz w:val="20"/>
                <w:lang w:val="fr-CA"/>
              </w:rPr>
              <w:t>Demande de contrôle judiciaire de la décision d’extradition rejetée</w:t>
            </w:r>
          </w:p>
        </w:tc>
      </w:tr>
      <w:tr w:rsidR="00760244" w:rsidRPr="00F03CF9" w:rsidTr="002B51F8">
        <w:trPr>
          <w:cantSplit/>
        </w:trPr>
        <w:tc>
          <w:tcPr>
            <w:tcW w:w="2427" w:type="pct"/>
          </w:tcPr>
          <w:p w:rsidR="00760244" w:rsidRPr="00FA6366" w:rsidRDefault="00760244" w:rsidP="00331DF5">
            <w:pPr>
              <w:jc w:val="both"/>
              <w:rPr>
                <w:rFonts w:eastAsia="Calibri"/>
                <w:sz w:val="20"/>
                <w:lang w:val="fr-CA"/>
              </w:rPr>
            </w:pPr>
            <w:r w:rsidRPr="00FA6366">
              <w:rPr>
                <w:rFonts w:eastAsia="Calibri"/>
                <w:sz w:val="20"/>
                <w:lang w:val="fr-CA"/>
              </w:rPr>
              <w:t>18 avril 2011</w:t>
            </w:r>
          </w:p>
          <w:p w:rsidR="00760244" w:rsidRPr="00FA6366" w:rsidRDefault="00760244" w:rsidP="00331DF5">
            <w:pPr>
              <w:jc w:val="both"/>
              <w:rPr>
                <w:rFonts w:eastAsia="Calibri"/>
                <w:sz w:val="20"/>
                <w:lang w:val="fr-CA"/>
              </w:rPr>
            </w:pPr>
            <w:r w:rsidRPr="00FA6366">
              <w:rPr>
                <w:rFonts w:eastAsia="Calibri"/>
                <w:sz w:val="20"/>
                <w:lang w:val="fr-CA"/>
              </w:rPr>
              <w:t>Cour suprême du Canada</w:t>
            </w:r>
          </w:p>
        </w:tc>
        <w:tc>
          <w:tcPr>
            <w:tcW w:w="243" w:type="pct"/>
          </w:tcPr>
          <w:p w:rsidR="00760244" w:rsidRPr="00FA6366" w:rsidRDefault="00760244" w:rsidP="00331DF5">
            <w:pPr>
              <w:jc w:val="both"/>
              <w:rPr>
                <w:rFonts w:eastAsia="Calibri"/>
                <w:sz w:val="20"/>
                <w:lang w:val="fr-CA"/>
              </w:rPr>
            </w:pPr>
          </w:p>
        </w:tc>
        <w:tc>
          <w:tcPr>
            <w:tcW w:w="2330" w:type="pct"/>
          </w:tcPr>
          <w:p w:rsidR="00760244" w:rsidRPr="00FA6366" w:rsidRDefault="00760244" w:rsidP="00331DF5">
            <w:pPr>
              <w:jc w:val="both"/>
              <w:rPr>
                <w:rFonts w:eastAsia="Calibri"/>
                <w:sz w:val="20"/>
                <w:lang w:val="fr-CA"/>
              </w:rPr>
            </w:pPr>
            <w:r w:rsidRPr="00FA6366">
              <w:rPr>
                <w:rFonts w:eastAsia="Calibri"/>
                <w:sz w:val="20"/>
                <w:lang w:val="fr-CA"/>
              </w:rPr>
              <w:t>Dépôt d’une requête en vue d’obtenir l’autorisation de présenter une seule demande d’autorisation d’appel pour deux dossiers et dépôt d’une demande d’autorisation d’appel</w:t>
            </w:r>
          </w:p>
        </w:tc>
      </w:tr>
    </w:tbl>
    <w:p w:rsidR="00D73FFD" w:rsidRPr="00760244" w:rsidRDefault="00D73FFD" w:rsidP="00D73FFD">
      <w:pPr>
        <w:rPr>
          <w:sz w:val="20"/>
          <w:szCs w:val="20"/>
          <w:lang w:val="fr-CA"/>
        </w:rPr>
      </w:pPr>
    </w:p>
    <w:p w:rsidR="00D73FFD" w:rsidRDefault="00EE1200" w:rsidP="00D73FFD">
      <w:pPr>
        <w:rPr>
          <w:sz w:val="20"/>
          <w:szCs w:val="20"/>
          <w:lang w:val="fr-CA"/>
        </w:rPr>
      </w:pPr>
      <w:r w:rsidRPr="00EE1200">
        <w:rPr>
          <w:sz w:val="20"/>
          <w:szCs w:val="20"/>
          <w:lang w:val="fr-CA"/>
        </w:rPr>
        <w:pict>
          <v:rect id="_x0000_i1061"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B51F8" w:rsidRPr="002B51F8" w:rsidTr="000326AA">
        <w:trPr>
          <w:cantSplit/>
        </w:trPr>
        <w:tc>
          <w:tcPr>
            <w:tcW w:w="1458" w:type="dxa"/>
          </w:tcPr>
          <w:p w:rsidR="002B51F8" w:rsidRPr="002B51F8" w:rsidRDefault="002B51F8" w:rsidP="000326AA">
            <w:pPr>
              <w:rPr>
                <w:rFonts w:cs="Times New Roman"/>
                <w:sz w:val="20"/>
                <w:szCs w:val="20"/>
              </w:rPr>
            </w:pPr>
            <w:r w:rsidRPr="002B51F8">
              <w:rPr>
                <w:rStyle w:val="SCCFileNumberChar"/>
                <w:rFonts w:cs="Times New Roman"/>
                <w:sz w:val="20"/>
                <w:szCs w:val="20"/>
              </w:rPr>
              <w:t>34211</w:t>
            </w:r>
          </w:p>
          <w:p w:rsidR="002B51F8" w:rsidRPr="002B51F8" w:rsidRDefault="002B51F8" w:rsidP="000326AA">
            <w:pPr>
              <w:rPr>
                <w:rFonts w:cs="Times New Roman"/>
                <w:b/>
                <w:sz w:val="20"/>
                <w:szCs w:val="20"/>
                <w:lang w:val="fr-CA"/>
              </w:rPr>
            </w:pPr>
          </w:p>
        </w:tc>
        <w:tc>
          <w:tcPr>
            <w:tcW w:w="8118" w:type="dxa"/>
          </w:tcPr>
          <w:p w:rsidR="002B51F8" w:rsidRPr="002B51F8" w:rsidRDefault="002B51F8" w:rsidP="002B51F8">
            <w:pPr>
              <w:jc w:val="both"/>
              <w:rPr>
                <w:rFonts w:cs="Times New Roman"/>
                <w:sz w:val="20"/>
                <w:szCs w:val="20"/>
              </w:rPr>
            </w:pPr>
            <w:r w:rsidRPr="002B51F8">
              <w:rPr>
                <w:rStyle w:val="SCCLsocChar"/>
                <w:rFonts w:cs="Times New Roman"/>
                <w:sz w:val="20"/>
                <w:szCs w:val="20"/>
                <w:lang w:val="en-CA"/>
              </w:rPr>
              <w:t>Robert Donald Gibson v. Hugh Waddell, 926749 Ontario Ltd.</w:t>
            </w:r>
            <w:r>
              <w:rPr>
                <w:rStyle w:val="SCCLsocChar"/>
                <w:rFonts w:cs="Times New Roman"/>
                <w:sz w:val="20"/>
                <w:szCs w:val="20"/>
                <w:lang w:val="en-CA"/>
              </w:rPr>
              <w:t xml:space="preserve"> and</w:t>
            </w:r>
            <w:r w:rsidRPr="002B51F8">
              <w:rPr>
                <w:rStyle w:val="SCCLsocChar"/>
                <w:rFonts w:cs="Times New Roman"/>
                <w:sz w:val="20"/>
                <w:szCs w:val="20"/>
                <w:lang w:val="en-CA"/>
              </w:rPr>
              <w:t xml:space="preserve"> Northbridge Estates Inc.</w:t>
            </w:r>
            <w:r w:rsidRPr="002B51F8">
              <w:rPr>
                <w:rFonts w:cs="Times New Roman"/>
                <w:sz w:val="20"/>
                <w:szCs w:val="20"/>
              </w:rPr>
              <w:t xml:space="preserve"> (Ont.) (Civil) (By Leave)</w:t>
            </w:r>
          </w:p>
          <w:p w:rsidR="002B51F8" w:rsidRPr="002B51F8" w:rsidRDefault="002B51F8" w:rsidP="000326AA">
            <w:pPr>
              <w:rPr>
                <w:rFonts w:cs="Times New Roman"/>
                <w:sz w:val="20"/>
                <w:szCs w:val="20"/>
              </w:rPr>
            </w:pPr>
          </w:p>
        </w:tc>
      </w:tr>
      <w:tr w:rsidR="002B51F8" w:rsidRPr="002B51F8" w:rsidTr="000326AA">
        <w:trPr>
          <w:cantSplit/>
        </w:trPr>
        <w:tc>
          <w:tcPr>
            <w:tcW w:w="1458" w:type="dxa"/>
          </w:tcPr>
          <w:p w:rsidR="002B51F8" w:rsidRPr="002B51F8" w:rsidRDefault="002B51F8" w:rsidP="000326AA">
            <w:pPr>
              <w:rPr>
                <w:rFonts w:cs="Times New Roman"/>
                <w:sz w:val="20"/>
                <w:szCs w:val="20"/>
              </w:rPr>
            </w:pPr>
            <w:r w:rsidRPr="002B51F8">
              <w:rPr>
                <w:rFonts w:cs="Times New Roman"/>
                <w:sz w:val="20"/>
                <w:szCs w:val="20"/>
              </w:rPr>
              <w:t>Coram :</w:t>
            </w:r>
          </w:p>
        </w:tc>
        <w:tc>
          <w:tcPr>
            <w:tcW w:w="8118" w:type="dxa"/>
          </w:tcPr>
          <w:p w:rsidR="002B51F8" w:rsidRPr="002B51F8" w:rsidRDefault="002B51F8" w:rsidP="000326AA">
            <w:pPr>
              <w:rPr>
                <w:rFonts w:cs="Times New Roman"/>
                <w:sz w:val="20"/>
                <w:szCs w:val="20"/>
              </w:rPr>
            </w:pPr>
            <w:r w:rsidRPr="002B51F8">
              <w:rPr>
                <w:rStyle w:val="SCCCoramChar"/>
                <w:rFonts w:cs="Times New Roman"/>
                <w:sz w:val="20"/>
                <w:szCs w:val="20"/>
                <w:lang w:val="en-CA"/>
              </w:rPr>
              <w:t>McLachlin C.J. and Deschamps and Charron JJ.</w:t>
            </w:r>
          </w:p>
          <w:p w:rsidR="002B51F8" w:rsidRPr="002B51F8" w:rsidRDefault="002B51F8" w:rsidP="000326AA">
            <w:pPr>
              <w:rPr>
                <w:rFonts w:cs="Times New Roman"/>
                <w:sz w:val="20"/>
                <w:szCs w:val="20"/>
                <w:u w:val="single"/>
              </w:rPr>
            </w:pPr>
          </w:p>
        </w:tc>
      </w:tr>
      <w:tr w:rsidR="002B51F8" w:rsidRPr="00F03CF9" w:rsidTr="000326AA">
        <w:trPr>
          <w:cantSplit/>
        </w:trPr>
        <w:tc>
          <w:tcPr>
            <w:tcW w:w="9576" w:type="dxa"/>
            <w:gridSpan w:val="2"/>
          </w:tcPr>
          <w:p w:rsidR="002B51F8" w:rsidRPr="002B51F8" w:rsidRDefault="002B51F8" w:rsidP="000326AA">
            <w:pPr>
              <w:pStyle w:val="SCCShortJudgment"/>
              <w:rPr>
                <w:rFonts w:cs="Times New Roman"/>
                <w:szCs w:val="20"/>
              </w:rPr>
            </w:pPr>
            <w:r w:rsidRPr="002B51F8">
              <w:rPr>
                <w:rFonts w:cs="Times New Roman"/>
                <w:szCs w:val="20"/>
              </w:rPr>
              <w:t>The motion for an extension of time to serve and file an amended notice of application for leave to appeal is granted.  The application for leave to appeal from the judgment of the Court of Appeal for Ontario, Number M38992, 2010 ONCA 777, dated November 16, 2010, is dismissed with costs.</w:t>
            </w:r>
          </w:p>
          <w:p w:rsidR="002B51F8" w:rsidRPr="002B51F8" w:rsidRDefault="002B51F8" w:rsidP="000326AA">
            <w:pPr>
              <w:pStyle w:val="SCCShortJudgment"/>
              <w:ind w:firstLine="0"/>
              <w:rPr>
                <w:rFonts w:cs="Times New Roman"/>
                <w:szCs w:val="20"/>
              </w:rPr>
            </w:pPr>
          </w:p>
          <w:p w:rsidR="002B51F8" w:rsidRPr="002B51F8" w:rsidRDefault="002B51F8" w:rsidP="000326AA">
            <w:pPr>
              <w:pStyle w:val="SCCShortJudgment"/>
              <w:rPr>
                <w:rFonts w:cs="Times New Roman"/>
                <w:szCs w:val="20"/>
                <w:lang w:val="fr-CA"/>
              </w:rPr>
            </w:pPr>
            <w:r w:rsidRPr="002B51F8">
              <w:rPr>
                <w:rFonts w:cs="Times New Roman"/>
                <w:szCs w:val="20"/>
                <w:lang w:val="fr-CA"/>
              </w:rPr>
              <w:t>La requête en prorogation du délai de signification et de dépôt de l’avis amendé de la demande d’autorisation d’appel est accordée.  La demande d’autorisation d’appel de l’arrêt de la Cour d’appel de l’Ontario, numéro M38992, 2010 ONCA 777, daté du 16 novembre 2010, est rejetée avec dépens.</w:t>
            </w:r>
          </w:p>
        </w:tc>
      </w:tr>
    </w:tbl>
    <w:p w:rsidR="002B51F8" w:rsidRPr="002B51F8" w:rsidRDefault="002B51F8"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0244" w:rsidRPr="00FA6366" w:rsidTr="00331DF5">
        <w:tc>
          <w:tcPr>
            <w:tcW w:w="5000" w:type="pct"/>
            <w:gridSpan w:val="3"/>
          </w:tcPr>
          <w:p w:rsidR="00760244" w:rsidRPr="00FA6366" w:rsidRDefault="00760244" w:rsidP="00331DF5">
            <w:pPr>
              <w:jc w:val="both"/>
              <w:rPr>
                <w:rFonts w:eastAsia="Calibri"/>
                <w:sz w:val="20"/>
              </w:rPr>
            </w:pPr>
            <w:r w:rsidRPr="00FA6366">
              <w:rPr>
                <w:rFonts w:eastAsia="Calibri"/>
                <w:sz w:val="20"/>
              </w:rPr>
              <w:t>Procedural law — Whether lower courts erred in disposition of the case.</w:t>
            </w:r>
          </w:p>
          <w:p w:rsidR="00760244" w:rsidRPr="00FA6366" w:rsidRDefault="00760244" w:rsidP="00331DF5">
            <w:pPr>
              <w:jc w:val="both"/>
              <w:rPr>
                <w:rFonts w:eastAsia="Calibri"/>
                <w:sz w:val="20"/>
              </w:rPr>
            </w:pPr>
          </w:p>
        </w:tc>
      </w:tr>
      <w:tr w:rsidR="00760244" w:rsidRPr="00FA6366" w:rsidTr="00331DF5">
        <w:tc>
          <w:tcPr>
            <w:tcW w:w="5000" w:type="pct"/>
            <w:gridSpan w:val="3"/>
          </w:tcPr>
          <w:p w:rsidR="00760244" w:rsidRPr="00FA6366" w:rsidRDefault="00760244" w:rsidP="00331DF5">
            <w:pPr>
              <w:jc w:val="both"/>
              <w:rPr>
                <w:rFonts w:eastAsia="Calibri"/>
                <w:sz w:val="20"/>
              </w:rPr>
            </w:pPr>
            <w:r w:rsidRPr="00FA6366">
              <w:rPr>
                <w:rFonts w:eastAsia="Calibri"/>
                <w:sz w:val="20"/>
              </w:rPr>
              <w:t xml:space="preserve">Lack J. gave an oppression remedy to the respondents, formerly business partners of the applicant.  Both sides appealed to the Divisional Court, and both the appeal and cross-appeal were dismissed.  The applicant tried to appeal to the Court of Appeal for Ontario, but he was late and his motion to extend time was denied by Goudge J.A.  A motion to extend time to appeal the order of Goudge J.A. was denied by Epstein J.A.  A panel of three judges of the Court of Appeal dismissed a motion for review of the order of Epstein J.A. </w:t>
            </w:r>
          </w:p>
          <w:p w:rsidR="00760244" w:rsidRPr="00FA6366" w:rsidRDefault="00760244" w:rsidP="00331DF5">
            <w:pPr>
              <w:jc w:val="both"/>
              <w:rPr>
                <w:rFonts w:eastAsia="Calibri"/>
                <w:sz w:val="20"/>
              </w:rPr>
            </w:pPr>
          </w:p>
        </w:tc>
      </w:tr>
      <w:tr w:rsidR="00760244" w:rsidRPr="00FA6366" w:rsidTr="00331DF5">
        <w:tc>
          <w:tcPr>
            <w:tcW w:w="2427" w:type="pct"/>
          </w:tcPr>
          <w:p w:rsidR="00760244" w:rsidRPr="00FA6366" w:rsidRDefault="00760244" w:rsidP="00331DF5">
            <w:pPr>
              <w:jc w:val="both"/>
              <w:rPr>
                <w:rFonts w:eastAsia="Calibri"/>
                <w:sz w:val="20"/>
              </w:rPr>
            </w:pPr>
            <w:r w:rsidRPr="00FA6366">
              <w:rPr>
                <w:rFonts w:eastAsia="Calibri"/>
                <w:sz w:val="20"/>
              </w:rPr>
              <w:t>April 15, 2009</w:t>
            </w:r>
          </w:p>
          <w:p w:rsidR="00760244" w:rsidRPr="00FA6366" w:rsidRDefault="00760244" w:rsidP="00331DF5">
            <w:pPr>
              <w:jc w:val="both"/>
              <w:rPr>
                <w:rFonts w:eastAsia="Calibri"/>
                <w:sz w:val="20"/>
              </w:rPr>
            </w:pPr>
            <w:r w:rsidRPr="00FA6366">
              <w:rPr>
                <w:rFonts w:eastAsia="Calibri"/>
                <w:sz w:val="20"/>
              </w:rPr>
              <w:t>Ontario Superior Court of Justice</w:t>
            </w:r>
          </w:p>
          <w:p w:rsidR="00760244" w:rsidRPr="00FA6366" w:rsidRDefault="00760244" w:rsidP="00331DF5">
            <w:pPr>
              <w:jc w:val="both"/>
              <w:rPr>
                <w:rFonts w:eastAsia="Calibri"/>
                <w:sz w:val="20"/>
              </w:rPr>
            </w:pPr>
            <w:r w:rsidRPr="00FA6366">
              <w:rPr>
                <w:rFonts w:eastAsia="Calibri"/>
                <w:sz w:val="20"/>
              </w:rPr>
              <w:t>(Lack J.)</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 xml:space="preserve">Judgment in favour of respondents </w:t>
            </w:r>
          </w:p>
        </w:tc>
      </w:tr>
      <w:tr w:rsidR="00760244" w:rsidRPr="00FA6366" w:rsidTr="00331DF5">
        <w:tc>
          <w:tcPr>
            <w:tcW w:w="2427" w:type="pct"/>
          </w:tcPr>
          <w:p w:rsidR="00760244" w:rsidRPr="00FA6366" w:rsidRDefault="00760244" w:rsidP="00331DF5">
            <w:pPr>
              <w:jc w:val="both"/>
              <w:rPr>
                <w:rFonts w:eastAsia="Calibri"/>
                <w:sz w:val="20"/>
              </w:rPr>
            </w:pPr>
            <w:r w:rsidRPr="00FA6366">
              <w:rPr>
                <w:rFonts w:eastAsia="Calibri"/>
                <w:sz w:val="20"/>
              </w:rPr>
              <w:t>March 11, 2010</w:t>
            </w:r>
          </w:p>
          <w:p w:rsidR="00760244" w:rsidRPr="00FA6366" w:rsidRDefault="00760244" w:rsidP="00331DF5">
            <w:pPr>
              <w:jc w:val="both"/>
              <w:rPr>
                <w:rFonts w:eastAsia="Calibri"/>
                <w:sz w:val="20"/>
              </w:rPr>
            </w:pPr>
            <w:r w:rsidRPr="00FA6366">
              <w:rPr>
                <w:rFonts w:eastAsia="Calibri"/>
                <w:sz w:val="20"/>
              </w:rPr>
              <w:t>Ontario Superior Court of Justice</w:t>
            </w:r>
          </w:p>
          <w:p w:rsidR="00760244" w:rsidRPr="00FA6366" w:rsidRDefault="00760244" w:rsidP="00331DF5">
            <w:pPr>
              <w:jc w:val="both"/>
              <w:rPr>
                <w:rFonts w:eastAsia="Calibri"/>
                <w:sz w:val="20"/>
              </w:rPr>
            </w:pPr>
            <w:r w:rsidRPr="00FA6366">
              <w:rPr>
                <w:rFonts w:eastAsia="Calibri"/>
                <w:sz w:val="20"/>
              </w:rPr>
              <w:t>(Divisional Court)</w:t>
            </w:r>
          </w:p>
          <w:p w:rsidR="00760244" w:rsidRPr="00FA6366" w:rsidRDefault="00760244" w:rsidP="00331DF5">
            <w:pPr>
              <w:jc w:val="both"/>
              <w:rPr>
                <w:rFonts w:eastAsia="Calibri"/>
                <w:sz w:val="20"/>
              </w:rPr>
            </w:pPr>
            <w:r w:rsidRPr="00FA6366">
              <w:rPr>
                <w:rFonts w:eastAsia="Calibri"/>
                <w:sz w:val="20"/>
              </w:rPr>
              <w:t>(Matlow, Taliano and Donohue JJ.)</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Appeal and cross appeal dismissed</w:t>
            </w:r>
          </w:p>
        </w:tc>
      </w:tr>
      <w:tr w:rsidR="00760244" w:rsidRPr="00FA6366" w:rsidTr="00331DF5">
        <w:tc>
          <w:tcPr>
            <w:tcW w:w="2427" w:type="pct"/>
          </w:tcPr>
          <w:p w:rsidR="00760244" w:rsidRPr="00FA6366" w:rsidRDefault="00760244" w:rsidP="00331DF5">
            <w:pPr>
              <w:jc w:val="both"/>
              <w:rPr>
                <w:rFonts w:eastAsia="Calibri"/>
                <w:sz w:val="20"/>
              </w:rPr>
            </w:pPr>
            <w:r w:rsidRPr="00FA6366">
              <w:rPr>
                <w:rFonts w:eastAsia="Calibri"/>
                <w:sz w:val="20"/>
              </w:rPr>
              <w:t>June 10, 2010</w:t>
            </w:r>
          </w:p>
          <w:p w:rsidR="00760244" w:rsidRPr="00FA6366" w:rsidRDefault="00760244" w:rsidP="00331DF5">
            <w:pPr>
              <w:jc w:val="both"/>
              <w:rPr>
                <w:rFonts w:eastAsia="Calibri"/>
                <w:sz w:val="20"/>
              </w:rPr>
            </w:pPr>
            <w:r w:rsidRPr="00FA6366">
              <w:rPr>
                <w:rFonts w:eastAsia="Calibri"/>
                <w:sz w:val="20"/>
              </w:rPr>
              <w:t xml:space="preserve">Court of Appeal for Ontario </w:t>
            </w:r>
          </w:p>
          <w:p w:rsidR="00760244" w:rsidRPr="00FA6366" w:rsidRDefault="00760244" w:rsidP="00331DF5">
            <w:pPr>
              <w:jc w:val="both"/>
              <w:rPr>
                <w:rFonts w:eastAsia="Calibri"/>
                <w:sz w:val="20"/>
              </w:rPr>
            </w:pPr>
            <w:r w:rsidRPr="00FA6366">
              <w:rPr>
                <w:rFonts w:eastAsia="Calibri"/>
                <w:sz w:val="20"/>
              </w:rPr>
              <w:t>(Goudge J.A.)</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Motion to extend time to apply for leave to appeal dismissed</w:t>
            </w:r>
          </w:p>
        </w:tc>
      </w:tr>
      <w:tr w:rsidR="00760244" w:rsidRPr="00FA6366" w:rsidTr="002B51F8">
        <w:trPr>
          <w:cantSplit/>
        </w:trPr>
        <w:tc>
          <w:tcPr>
            <w:tcW w:w="2427" w:type="pct"/>
          </w:tcPr>
          <w:p w:rsidR="00760244" w:rsidRPr="00FA6366" w:rsidRDefault="00760244" w:rsidP="00331DF5">
            <w:pPr>
              <w:jc w:val="both"/>
              <w:rPr>
                <w:rFonts w:eastAsia="Calibri"/>
                <w:sz w:val="20"/>
              </w:rPr>
            </w:pPr>
            <w:r w:rsidRPr="00FA6366">
              <w:rPr>
                <w:rFonts w:eastAsia="Calibri"/>
                <w:sz w:val="20"/>
              </w:rPr>
              <w:lastRenderedPageBreak/>
              <w:t>July 7, 2010</w:t>
            </w:r>
          </w:p>
          <w:p w:rsidR="00760244" w:rsidRPr="00FA6366" w:rsidRDefault="00760244" w:rsidP="00331DF5">
            <w:pPr>
              <w:jc w:val="both"/>
              <w:rPr>
                <w:rFonts w:eastAsia="Calibri"/>
                <w:sz w:val="20"/>
              </w:rPr>
            </w:pPr>
            <w:r w:rsidRPr="00FA6366">
              <w:rPr>
                <w:rFonts w:eastAsia="Calibri"/>
                <w:sz w:val="20"/>
              </w:rPr>
              <w:t>Court of Appeal for Ontario</w:t>
            </w:r>
          </w:p>
          <w:p w:rsidR="00760244" w:rsidRPr="00FA6366" w:rsidRDefault="00760244" w:rsidP="00331DF5">
            <w:pPr>
              <w:jc w:val="both"/>
              <w:rPr>
                <w:rFonts w:eastAsia="Calibri"/>
                <w:sz w:val="20"/>
              </w:rPr>
            </w:pPr>
            <w:r w:rsidRPr="00FA6366">
              <w:rPr>
                <w:rFonts w:eastAsia="Calibri"/>
                <w:sz w:val="20"/>
              </w:rPr>
              <w:t>(Epstein J.A.)</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Motion for an extension of time to apply for a reconsideration of the order of Goudge J.A. by a panel of three judges dismissed</w:t>
            </w:r>
          </w:p>
        </w:tc>
      </w:tr>
      <w:tr w:rsidR="00760244" w:rsidRPr="00FA6366" w:rsidTr="002B51F8">
        <w:trPr>
          <w:cantSplit/>
        </w:trPr>
        <w:tc>
          <w:tcPr>
            <w:tcW w:w="2427" w:type="pct"/>
          </w:tcPr>
          <w:p w:rsidR="00760244" w:rsidRPr="00FA6366" w:rsidRDefault="00760244" w:rsidP="00331DF5">
            <w:pPr>
              <w:jc w:val="both"/>
              <w:rPr>
                <w:rFonts w:eastAsia="Calibri"/>
                <w:sz w:val="20"/>
              </w:rPr>
            </w:pPr>
            <w:r w:rsidRPr="00FA6366">
              <w:rPr>
                <w:rFonts w:eastAsia="Calibri"/>
                <w:sz w:val="20"/>
              </w:rPr>
              <w:t>November 16, 2010</w:t>
            </w:r>
          </w:p>
          <w:p w:rsidR="00760244" w:rsidRPr="00FA6366" w:rsidRDefault="00760244" w:rsidP="00331DF5">
            <w:pPr>
              <w:jc w:val="both"/>
              <w:rPr>
                <w:rFonts w:eastAsia="Calibri"/>
                <w:sz w:val="20"/>
              </w:rPr>
            </w:pPr>
            <w:r w:rsidRPr="00FA6366">
              <w:rPr>
                <w:rFonts w:eastAsia="Calibri"/>
                <w:sz w:val="20"/>
              </w:rPr>
              <w:t>Court of Appeal for Ontario</w:t>
            </w:r>
          </w:p>
          <w:p w:rsidR="00760244" w:rsidRPr="00FA6366" w:rsidRDefault="00760244" w:rsidP="00331DF5">
            <w:pPr>
              <w:jc w:val="both"/>
              <w:rPr>
                <w:rFonts w:eastAsia="Calibri"/>
                <w:sz w:val="20"/>
              </w:rPr>
            </w:pPr>
            <w:r w:rsidRPr="00FA6366">
              <w:rPr>
                <w:rFonts w:eastAsia="Calibri"/>
                <w:sz w:val="20"/>
              </w:rPr>
              <w:t>(Feldman, Juriansz, and LaForme JJ.A.)</w:t>
            </w:r>
          </w:p>
          <w:p w:rsidR="00760244" w:rsidRPr="00FA6366" w:rsidRDefault="00760244" w:rsidP="00331DF5">
            <w:pPr>
              <w:jc w:val="both"/>
              <w:rPr>
                <w:rFonts w:eastAsia="Calibri"/>
                <w:sz w:val="20"/>
              </w:rPr>
            </w:pPr>
            <w:r w:rsidRPr="00FA6366">
              <w:rPr>
                <w:rFonts w:eastAsia="Calibri"/>
                <w:sz w:val="20"/>
              </w:rPr>
              <w:t>Neutral citation: 2010 ONCA 777</w:t>
            </w:r>
          </w:p>
          <w:p w:rsidR="00760244" w:rsidRPr="00FA6366" w:rsidRDefault="00760244" w:rsidP="00331DF5">
            <w:pPr>
              <w:jc w:val="both"/>
              <w:rPr>
                <w:rFonts w:eastAsia="Calibri"/>
                <w:sz w:val="20"/>
              </w:rPr>
            </w:pP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Motion for review of decision of Epstein J.A. dismissed</w:t>
            </w:r>
          </w:p>
          <w:p w:rsidR="00760244" w:rsidRPr="00FA6366" w:rsidRDefault="00760244" w:rsidP="00331DF5">
            <w:pPr>
              <w:jc w:val="both"/>
              <w:rPr>
                <w:rFonts w:eastAsia="Calibri"/>
                <w:sz w:val="20"/>
              </w:rPr>
            </w:pPr>
          </w:p>
        </w:tc>
      </w:tr>
      <w:tr w:rsidR="00760244" w:rsidRPr="00FA6366" w:rsidTr="002B51F8">
        <w:trPr>
          <w:cantSplit/>
        </w:trPr>
        <w:tc>
          <w:tcPr>
            <w:tcW w:w="2427" w:type="pct"/>
          </w:tcPr>
          <w:p w:rsidR="00760244" w:rsidRPr="00FA6366" w:rsidRDefault="00760244" w:rsidP="00331DF5">
            <w:pPr>
              <w:jc w:val="both"/>
              <w:rPr>
                <w:rFonts w:eastAsia="Calibri"/>
                <w:sz w:val="20"/>
              </w:rPr>
            </w:pPr>
            <w:r w:rsidRPr="00FA6366">
              <w:rPr>
                <w:rFonts w:eastAsia="Calibri"/>
                <w:sz w:val="20"/>
              </w:rPr>
              <w:t>January 10, 2011</w:t>
            </w:r>
          </w:p>
          <w:p w:rsidR="00760244" w:rsidRPr="00FA6366" w:rsidRDefault="00760244" w:rsidP="00A1379E">
            <w:pPr>
              <w:jc w:val="both"/>
              <w:rPr>
                <w:rFonts w:eastAsia="Calibri"/>
                <w:sz w:val="20"/>
              </w:rPr>
            </w:pPr>
            <w:r w:rsidRPr="00FA6366">
              <w:rPr>
                <w:rFonts w:eastAsia="Calibri"/>
                <w:sz w:val="20"/>
              </w:rPr>
              <w:t>Supreme Court of Canada</w:t>
            </w:r>
          </w:p>
        </w:tc>
        <w:tc>
          <w:tcPr>
            <w:tcW w:w="243" w:type="pct"/>
          </w:tcPr>
          <w:p w:rsidR="00760244" w:rsidRPr="00FA6366" w:rsidRDefault="00760244" w:rsidP="00331DF5">
            <w:pPr>
              <w:jc w:val="both"/>
              <w:rPr>
                <w:rFonts w:eastAsia="Calibri"/>
                <w:sz w:val="20"/>
              </w:rPr>
            </w:pPr>
          </w:p>
        </w:tc>
        <w:tc>
          <w:tcPr>
            <w:tcW w:w="2330" w:type="pct"/>
          </w:tcPr>
          <w:p w:rsidR="00760244" w:rsidRPr="00FA6366" w:rsidRDefault="00760244" w:rsidP="00331DF5">
            <w:pPr>
              <w:jc w:val="both"/>
              <w:rPr>
                <w:rFonts w:eastAsia="Calibri"/>
                <w:sz w:val="20"/>
              </w:rPr>
            </w:pPr>
            <w:r w:rsidRPr="00FA6366">
              <w:rPr>
                <w:rFonts w:eastAsia="Calibri"/>
                <w:sz w:val="20"/>
              </w:rPr>
              <w:t>Application for leave to appeal filed</w:t>
            </w: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62"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819" w:type="pct"/>
        <w:tblLayout w:type="fixed"/>
        <w:tblCellMar>
          <w:left w:w="0" w:type="dxa"/>
          <w:bottom w:w="99" w:type="dxa"/>
          <w:right w:w="0" w:type="dxa"/>
        </w:tblCellMar>
        <w:tblLook w:val="00A0"/>
      </w:tblPr>
      <w:tblGrid>
        <w:gridCol w:w="4501"/>
        <w:gridCol w:w="452"/>
        <w:gridCol w:w="4318"/>
      </w:tblGrid>
      <w:tr w:rsidR="00B6782A" w:rsidRPr="00F03CF9" w:rsidTr="00331DF5">
        <w:tc>
          <w:tcPr>
            <w:tcW w:w="5000" w:type="pct"/>
            <w:gridSpan w:val="3"/>
          </w:tcPr>
          <w:p w:rsidR="00B6782A" w:rsidRPr="00FA6366" w:rsidRDefault="00B6782A" w:rsidP="00331DF5">
            <w:pPr>
              <w:jc w:val="both"/>
              <w:rPr>
                <w:rFonts w:eastAsia="Calibri"/>
                <w:sz w:val="20"/>
                <w:lang w:val="fr-CA"/>
              </w:rPr>
            </w:pPr>
            <w:r w:rsidRPr="00FA6366">
              <w:rPr>
                <w:rFonts w:eastAsia="Calibri"/>
                <w:sz w:val="20"/>
                <w:lang w:val="fr-CA"/>
              </w:rPr>
              <w:t>Procédure — Les tribunaux d'instance inférieure ont-ils commis une erreur dans la façon dont ils ont statué sur l'affaire?</w:t>
            </w:r>
          </w:p>
          <w:p w:rsidR="00B6782A" w:rsidRPr="00FA6366" w:rsidRDefault="00B6782A" w:rsidP="00331DF5">
            <w:pPr>
              <w:jc w:val="both"/>
              <w:rPr>
                <w:rFonts w:eastAsia="Calibri"/>
                <w:sz w:val="20"/>
                <w:lang w:val="fr-CA"/>
              </w:rPr>
            </w:pPr>
          </w:p>
        </w:tc>
      </w:tr>
      <w:tr w:rsidR="00B6782A" w:rsidRPr="00F03CF9" w:rsidTr="00331DF5">
        <w:tc>
          <w:tcPr>
            <w:tcW w:w="5000" w:type="pct"/>
            <w:gridSpan w:val="3"/>
          </w:tcPr>
          <w:p w:rsidR="00B6782A" w:rsidRPr="00FA6366" w:rsidRDefault="00B6782A" w:rsidP="00331DF5">
            <w:pPr>
              <w:jc w:val="both"/>
              <w:rPr>
                <w:rFonts w:eastAsia="Calibri"/>
                <w:sz w:val="20"/>
                <w:lang w:val="fr-CA"/>
              </w:rPr>
            </w:pPr>
            <w:r w:rsidRPr="00FA6366">
              <w:rPr>
                <w:rFonts w:eastAsia="Calibri"/>
                <w:sz w:val="20"/>
                <w:lang w:val="fr-CA"/>
              </w:rPr>
              <w:t xml:space="preserve">Le juge Lack a accordé un redressement pour abus aux intimés, d'anciens partenaires d'affaires du demandeur.  Les deux parties ont interjeté appel à la Cour divisionnaire; l'appel et l'appel incident ont été rejetés.  Le demandeur a cherché à interjeter appel à la Cour d'appel d'Ontario, mais il a agi tardivement et sa motion en prorogation de délai a été rejetée par le juge Goudge.  Le juge Epstein a rejeté une motion en prorogation du délai d'appel de l'ordonnance du juge Goudge.  Une formation de trois juges de la Cour d'appel a rejeté une motion en révision de l'ordonnance du juge Epstein. </w:t>
            </w:r>
          </w:p>
          <w:p w:rsidR="00B6782A" w:rsidRPr="00FA6366" w:rsidRDefault="00B6782A" w:rsidP="00331DF5">
            <w:pPr>
              <w:jc w:val="both"/>
              <w:rPr>
                <w:rFonts w:eastAsia="Calibri"/>
                <w:sz w:val="20"/>
                <w:lang w:val="fr-CA"/>
              </w:rPr>
            </w:pPr>
          </w:p>
        </w:tc>
      </w:tr>
      <w:tr w:rsidR="00B6782A" w:rsidRPr="00F03CF9" w:rsidTr="002B51F8">
        <w:tc>
          <w:tcPr>
            <w:tcW w:w="2427" w:type="pct"/>
          </w:tcPr>
          <w:p w:rsidR="00B6782A" w:rsidRPr="00FA6366" w:rsidRDefault="00B6782A" w:rsidP="00331DF5">
            <w:pPr>
              <w:jc w:val="both"/>
              <w:rPr>
                <w:rFonts w:eastAsia="Calibri"/>
                <w:sz w:val="20"/>
                <w:lang w:val="fr-CA"/>
              </w:rPr>
            </w:pPr>
            <w:r w:rsidRPr="00FA6366">
              <w:rPr>
                <w:rFonts w:eastAsia="Calibri"/>
                <w:sz w:val="20"/>
                <w:lang w:val="fr-CA"/>
              </w:rPr>
              <w:t>15 avril 2009</w:t>
            </w:r>
          </w:p>
          <w:p w:rsidR="00B6782A" w:rsidRPr="00FA6366" w:rsidRDefault="00B6782A" w:rsidP="00331DF5">
            <w:pPr>
              <w:jc w:val="both"/>
              <w:rPr>
                <w:rFonts w:eastAsia="Calibri"/>
                <w:sz w:val="20"/>
                <w:lang w:val="fr-CA"/>
              </w:rPr>
            </w:pPr>
            <w:r w:rsidRPr="00FA6366">
              <w:rPr>
                <w:rFonts w:eastAsia="Calibri"/>
                <w:sz w:val="20"/>
                <w:lang w:val="fr-CA"/>
              </w:rPr>
              <w:t>Cour supérieure de justice de l'Ontario</w:t>
            </w:r>
          </w:p>
          <w:p w:rsidR="00B6782A" w:rsidRPr="00FA6366" w:rsidRDefault="00B6782A" w:rsidP="00331DF5">
            <w:pPr>
              <w:jc w:val="both"/>
              <w:rPr>
                <w:rFonts w:eastAsia="Calibri"/>
                <w:sz w:val="20"/>
                <w:lang w:val="fr-CA"/>
              </w:rPr>
            </w:pPr>
            <w:r w:rsidRPr="00FA6366">
              <w:rPr>
                <w:rFonts w:eastAsia="Calibri"/>
                <w:sz w:val="20"/>
                <w:lang w:val="fr-CA"/>
              </w:rPr>
              <w:t>(Juge Lack)</w:t>
            </w:r>
          </w:p>
          <w:p w:rsidR="00B6782A" w:rsidRPr="00FA6366" w:rsidRDefault="00B6782A" w:rsidP="00331DF5">
            <w:pPr>
              <w:jc w:val="both"/>
              <w:rPr>
                <w:rFonts w:eastAsia="Calibri"/>
                <w:sz w:val="20"/>
                <w:lang w:val="fr-CA"/>
              </w:rPr>
            </w:pPr>
          </w:p>
        </w:tc>
        <w:tc>
          <w:tcPr>
            <w:tcW w:w="244" w:type="pct"/>
          </w:tcPr>
          <w:p w:rsidR="00B6782A" w:rsidRPr="00FA6366" w:rsidRDefault="00B6782A" w:rsidP="00331DF5">
            <w:pPr>
              <w:jc w:val="both"/>
              <w:rPr>
                <w:rFonts w:eastAsia="Calibri"/>
                <w:sz w:val="20"/>
                <w:lang w:val="fr-CA"/>
              </w:rPr>
            </w:pPr>
          </w:p>
        </w:tc>
        <w:tc>
          <w:tcPr>
            <w:tcW w:w="2329" w:type="pct"/>
          </w:tcPr>
          <w:p w:rsidR="00B6782A" w:rsidRPr="00FA6366" w:rsidRDefault="00B6782A" w:rsidP="00331DF5">
            <w:pPr>
              <w:jc w:val="both"/>
              <w:rPr>
                <w:rFonts w:eastAsia="Calibri"/>
                <w:sz w:val="20"/>
                <w:lang w:val="fr-CA"/>
              </w:rPr>
            </w:pPr>
            <w:r w:rsidRPr="00FA6366">
              <w:rPr>
                <w:rFonts w:eastAsia="Calibri"/>
                <w:sz w:val="20"/>
                <w:lang w:val="fr-CA"/>
              </w:rPr>
              <w:t>Jugement en faveur des intimés</w:t>
            </w:r>
          </w:p>
        </w:tc>
      </w:tr>
      <w:tr w:rsidR="00B6782A" w:rsidRPr="00F03CF9" w:rsidTr="002B51F8">
        <w:tc>
          <w:tcPr>
            <w:tcW w:w="2427" w:type="pct"/>
          </w:tcPr>
          <w:p w:rsidR="00B6782A" w:rsidRPr="00FA6366" w:rsidRDefault="00B6782A" w:rsidP="00331DF5">
            <w:pPr>
              <w:jc w:val="both"/>
              <w:rPr>
                <w:rFonts w:eastAsia="Calibri"/>
                <w:sz w:val="20"/>
                <w:lang w:val="fr-CA"/>
              </w:rPr>
            </w:pPr>
            <w:r w:rsidRPr="00FA6366">
              <w:rPr>
                <w:rFonts w:eastAsia="Calibri"/>
                <w:sz w:val="20"/>
                <w:lang w:val="fr-CA"/>
              </w:rPr>
              <w:t>11 mars 2010</w:t>
            </w:r>
          </w:p>
          <w:p w:rsidR="00B6782A" w:rsidRPr="00FA6366" w:rsidRDefault="00B6782A" w:rsidP="00331DF5">
            <w:pPr>
              <w:jc w:val="both"/>
              <w:rPr>
                <w:rFonts w:eastAsia="Calibri"/>
                <w:sz w:val="20"/>
                <w:lang w:val="fr-CA"/>
              </w:rPr>
            </w:pPr>
            <w:r w:rsidRPr="00FA6366">
              <w:rPr>
                <w:rFonts w:eastAsia="Calibri"/>
                <w:sz w:val="20"/>
                <w:lang w:val="fr-CA"/>
              </w:rPr>
              <w:t xml:space="preserve">Cour supérieure de justice de l'Ontario </w:t>
            </w:r>
          </w:p>
          <w:p w:rsidR="00B6782A" w:rsidRPr="00FA6366" w:rsidRDefault="00B6782A" w:rsidP="00331DF5">
            <w:pPr>
              <w:jc w:val="both"/>
              <w:rPr>
                <w:rFonts w:eastAsia="Calibri"/>
                <w:sz w:val="20"/>
                <w:lang w:val="fr-CA"/>
              </w:rPr>
            </w:pPr>
            <w:r w:rsidRPr="00FA6366">
              <w:rPr>
                <w:rFonts w:eastAsia="Calibri"/>
                <w:sz w:val="20"/>
                <w:lang w:val="fr-CA"/>
              </w:rPr>
              <w:t>(Cour divisionnaire)</w:t>
            </w:r>
          </w:p>
          <w:p w:rsidR="00B6782A" w:rsidRPr="00FA6366" w:rsidRDefault="00B6782A" w:rsidP="00331DF5">
            <w:pPr>
              <w:jc w:val="both"/>
              <w:rPr>
                <w:rFonts w:eastAsia="Calibri"/>
                <w:sz w:val="20"/>
                <w:lang w:val="fr-CA"/>
              </w:rPr>
            </w:pPr>
            <w:r w:rsidRPr="00FA6366">
              <w:rPr>
                <w:rFonts w:eastAsia="Calibri"/>
                <w:sz w:val="20"/>
                <w:lang w:val="fr-CA"/>
              </w:rPr>
              <w:t>(Juges Matlow, Taliano et Donohue)</w:t>
            </w:r>
          </w:p>
          <w:p w:rsidR="00B6782A" w:rsidRPr="00FA6366" w:rsidRDefault="00B6782A" w:rsidP="00331DF5">
            <w:pPr>
              <w:jc w:val="both"/>
              <w:rPr>
                <w:rFonts w:eastAsia="Calibri"/>
                <w:sz w:val="20"/>
                <w:lang w:val="fr-CA"/>
              </w:rPr>
            </w:pPr>
          </w:p>
        </w:tc>
        <w:tc>
          <w:tcPr>
            <w:tcW w:w="244" w:type="pct"/>
          </w:tcPr>
          <w:p w:rsidR="00B6782A" w:rsidRPr="00FA6366" w:rsidRDefault="00B6782A" w:rsidP="00331DF5">
            <w:pPr>
              <w:jc w:val="both"/>
              <w:rPr>
                <w:rFonts w:eastAsia="Calibri"/>
                <w:sz w:val="20"/>
                <w:lang w:val="fr-CA"/>
              </w:rPr>
            </w:pPr>
          </w:p>
        </w:tc>
        <w:tc>
          <w:tcPr>
            <w:tcW w:w="2329" w:type="pct"/>
          </w:tcPr>
          <w:p w:rsidR="00B6782A" w:rsidRPr="00FA6366" w:rsidRDefault="00B6782A" w:rsidP="00331DF5">
            <w:pPr>
              <w:jc w:val="both"/>
              <w:rPr>
                <w:rFonts w:eastAsia="Calibri"/>
                <w:sz w:val="20"/>
                <w:lang w:val="fr-CA"/>
              </w:rPr>
            </w:pPr>
            <w:r w:rsidRPr="00FA6366">
              <w:rPr>
                <w:rFonts w:eastAsia="Calibri"/>
                <w:sz w:val="20"/>
                <w:lang w:val="fr-CA"/>
              </w:rPr>
              <w:t>Appel et appel incident, rejetés</w:t>
            </w:r>
          </w:p>
        </w:tc>
      </w:tr>
      <w:tr w:rsidR="00B6782A" w:rsidRPr="00F03CF9" w:rsidTr="002B51F8">
        <w:tc>
          <w:tcPr>
            <w:tcW w:w="2427" w:type="pct"/>
          </w:tcPr>
          <w:p w:rsidR="00B6782A" w:rsidRPr="00FA6366" w:rsidRDefault="00B6782A" w:rsidP="00331DF5">
            <w:pPr>
              <w:jc w:val="both"/>
              <w:rPr>
                <w:rFonts w:eastAsia="Calibri"/>
                <w:sz w:val="20"/>
                <w:lang w:val="fr-CA"/>
              </w:rPr>
            </w:pPr>
            <w:r w:rsidRPr="00FA6366">
              <w:rPr>
                <w:rFonts w:eastAsia="Calibri"/>
                <w:sz w:val="20"/>
                <w:lang w:val="fr-CA"/>
              </w:rPr>
              <w:t>10 juin 2010</w:t>
            </w:r>
          </w:p>
          <w:p w:rsidR="00B6782A" w:rsidRPr="00FA6366" w:rsidRDefault="00B6782A" w:rsidP="00331DF5">
            <w:pPr>
              <w:jc w:val="both"/>
              <w:rPr>
                <w:rFonts w:eastAsia="Calibri"/>
                <w:sz w:val="20"/>
                <w:lang w:val="fr-CA"/>
              </w:rPr>
            </w:pPr>
            <w:r w:rsidRPr="00FA6366">
              <w:rPr>
                <w:rFonts w:eastAsia="Calibri"/>
                <w:sz w:val="20"/>
                <w:lang w:val="fr-CA"/>
              </w:rPr>
              <w:t xml:space="preserve">Cour d'appel de l'Ontario </w:t>
            </w:r>
          </w:p>
          <w:p w:rsidR="00B6782A" w:rsidRPr="00FA6366" w:rsidRDefault="00B6782A" w:rsidP="00331DF5">
            <w:pPr>
              <w:jc w:val="both"/>
              <w:rPr>
                <w:rFonts w:eastAsia="Calibri"/>
                <w:sz w:val="20"/>
                <w:lang w:val="fr-CA"/>
              </w:rPr>
            </w:pPr>
            <w:r w:rsidRPr="00FA6366">
              <w:rPr>
                <w:rFonts w:eastAsia="Calibri"/>
                <w:sz w:val="20"/>
                <w:lang w:val="fr-CA"/>
              </w:rPr>
              <w:t>(Juge Goudge)</w:t>
            </w:r>
          </w:p>
          <w:p w:rsidR="00B6782A" w:rsidRPr="00FA6366" w:rsidRDefault="00B6782A" w:rsidP="00331DF5">
            <w:pPr>
              <w:jc w:val="both"/>
              <w:rPr>
                <w:rFonts w:eastAsia="Calibri"/>
                <w:sz w:val="20"/>
                <w:lang w:val="fr-CA"/>
              </w:rPr>
            </w:pPr>
          </w:p>
        </w:tc>
        <w:tc>
          <w:tcPr>
            <w:tcW w:w="244" w:type="pct"/>
          </w:tcPr>
          <w:p w:rsidR="00B6782A" w:rsidRPr="00FA6366" w:rsidRDefault="00B6782A" w:rsidP="00331DF5">
            <w:pPr>
              <w:jc w:val="both"/>
              <w:rPr>
                <w:rFonts w:eastAsia="Calibri"/>
                <w:sz w:val="20"/>
                <w:lang w:val="fr-CA"/>
              </w:rPr>
            </w:pPr>
          </w:p>
        </w:tc>
        <w:tc>
          <w:tcPr>
            <w:tcW w:w="2329" w:type="pct"/>
          </w:tcPr>
          <w:p w:rsidR="00B6782A" w:rsidRPr="00FA6366" w:rsidRDefault="00B6782A" w:rsidP="00331DF5">
            <w:pPr>
              <w:jc w:val="both"/>
              <w:rPr>
                <w:rFonts w:eastAsia="Calibri"/>
                <w:sz w:val="20"/>
                <w:lang w:val="fr-CA"/>
              </w:rPr>
            </w:pPr>
            <w:r w:rsidRPr="00FA6366">
              <w:rPr>
                <w:rFonts w:eastAsia="Calibri"/>
                <w:sz w:val="20"/>
                <w:lang w:val="fr-CA"/>
              </w:rPr>
              <w:t>Motion en prorogation de délai pour présenter une demande d'autorisation d'appel, rejetée</w:t>
            </w:r>
          </w:p>
        </w:tc>
      </w:tr>
      <w:tr w:rsidR="00B6782A" w:rsidRPr="00F03CF9" w:rsidTr="002B51F8">
        <w:tc>
          <w:tcPr>
            <w:tcW w:w="2427" w:type="pct"/>
          </w:tcPr>
          <w:p w:rsidR="00B6782A" w:rsidRPr="00FA6366" w:rsidRDefault="00B6782A" w:rsidP="00331DF5">
            <w:pPr>
              <w:jc w:val="both"/>
              <w:rPr>
                <w:rFonts w:eastAsia="Calibri"/>
                <w:sz w:val="20"/>
                <w:lang w:val="fr-CA"/>
              </w:rPr>
            </w:pPr>
            <w:r w:rsidRPr="00FA6366">
              <w:rPr>
                <w:rFonts w:eastAsia="Calibri"/>
                <w:sz w:val="20"/>
                <w:lang w:val="fr-CA"/>
              </w:rPr>
              <w:t>7 juillet 2010</w:t>
            </w:r>
          </w:p>
          <w:p w:rsidR="00B6782A" w:rsidRPr="00FA6366" w:rsidRDefault="00B6782A" w:rsidP="00331DF5">
            <w:pPr>
              <w:jc w:val="both"/>
              <w:rPr>
                <w:rFonts w:eastAsia="Calibri"/>
                <w:sz w:val="20"/>
                <w:lang w:val="fr-CA"/>
              </w:rPr>
            </w:pPr>
            <w:r w:rsidRPr="00FA6366">
              <w:rPr>
                <w:rFonts w:eastAsia="Calibri"/>
                <w:sz w:val="20"/>
                <w:lang w:val="fr-CA"/>
              </w:rPr>
              <w:t xml:space="preserve">Cour d'appel de l'Ontario </w:t>
            </w:r>
          </w:p>
          <w:p w:rsidR="00B6782A" w:rsidRPr="00FA6366" w:rsidRDefault="00B6782A" w:rsidP="00331DF5">
            <w:pPr>
              <w:jc w:val="both"/>
              <w:rPr>
                <w:rFonts w:eastAsia="Calibri"/>
                <w:sz w:val="20"/>
                <w:lang w:val="fr-CA"/>
              </w:rPr>
            </w:pPr>
            <w:r w:rsidRPr="00FA6366">
              <w:rPr>
                <w:rFonts w:eastAsia="Calibri"/>
                <w:sz w:val="20"/>
                <w:lang w:val="fr-CA"/>
              </w:rPr>
              <w:t>(Juge Epstein)</w:t>
            </w:r>
          </w:p>
          <w:p w:rsidR="00B6782A" w:rsidRPr="00FA6366" w:rsidRDefault="00B6782A" w:rsidP="00331DF5">
            <w:pPr>
              <w:jc w:val="both"/>
              <w:rPr>
                <w:rFonts w:eastAsia="Calibri"/>
                <w:sz w:val="20"/>
                <w:lang w:val="fr-CA"/>
              </w:rPr>
            </w:pPr>
          </w:p>
        </w:tc>
        <w:tc>
          <w:tcPr>
            <w:tcW w:w="244" w:type="pct"/>
          </w:tcPr>
          <w:p w:rsidR="00B6782A" w:rsidRPr="00FA6366" w:rsidRDefault="00B6782A" w:rsidP="00331DF5">
            <w:pPr>
              <w:jc w:val="both"/>
              <w:rPr>
                <w:rFonts w:eastAsia="Calibri"/>
                <w:sz w:val="20"/>
                <w:lang w:val="fr-CA"/>
              </w:rPr>
            </w:pPr>
          </w:p>
        </w:tc>
        <w:tc>
          <w:tcPr>
            <w:tcW w:w="2329" w:type="pct"/>
          </w:tcPr>
          <w:p w:rsidR="00B6782A" w:rsidRPr="00FA6366" w:rsidRDefault="00B6782A" w:rsidP="00331DF5">
            <w:pPr>
              <w:jc w:val="both"/>
              <w:rPr>
                <w:rFonts w:eastAsia="Calibri"/>
                <w:sz w:val="20"/>
                <w:lang w:val="fr-CA"/>
              </w:rPr>
            </w:pPr>
            <w:r w:rsidRPr="00FA6366">
              <w:rPr>
                <w:rFonts w:eastAsia="Calibri"/>
                <w:sz w:val="20"/>
                <w:lang w:val="fr-CA"/>
              </w:rPr>
              <w:t>Motion en prorogation de délai pour présenter une demande de réexamen de l'ordonnance du juge Goudge par une formation de trois juges, rejetée</w:t>
            </w:r>
          </w:p>
          <w:p w:rsidR="00B6782A" w:rsidRPr="00FA6366" w:rsidRDefault="00B6782A" w:rsidP="00331DF5">
            <w:pPr>
              <w:jc w:val="both"/>
              <w:rPr>
                <w:rFonts w:eastAsia="Calibri"/>
                <w:sz w:val="20"/>
                <w:lang w:val="fr-CA"/>
              </w:rPr>
            </w:pPr>
          </w:p>
        </w:tc>
      </w:tr>
      <w:tr w:rsidR="00B6782A" w:rsidRPr="00F03CF9" w:rsidTr="002B51F8">
        <w:tc>
          <w:tcPr>
            <w:tcW w:w="2427" w:type="pct"/>
          </w:tcPr>
          <w:p w:rsidR="00B6782A" w:rsidRPr="00FA6366" w:rsidRDefault="00B6782A" w:rsidP="00331DF5">
            <w:pPr>
              <w:jc w:val="both"/>
              <w:rPr>
                <w:rFonts w:eastAsia="Calibri"/>
                <w:sz w:val="20"/>
                <w:lang w:val="fr-CA"/>
              </w:rPr>
            </w:pPr>
            <w:r w:rsidRPr="00FA6366">
              <w:rPr>
                <w:rFonts w:eastAsia="Calibri"/>
                <w:sz w:val="20"/>
                <w:lang w:val="fr-CA"/>
              </w:rPr>
              <w:t>16 novembre 2010</w:t>
            </w:r>
          </w:p>
          <w:p w:rsidR="00B6782A" w:rsidRPr="00FA6366" w:rsidRDefault="00B6782A" w:rsidP="00331DF5">
            <w:pPr>
              <w:jc w:val="both"/>
              <w:rPr>
                <w:rFonts w:eastAsia="Calibri"/>
                <w:sz w:val="20"/>
                <w:lang w:val="fr-CA"/>
              </w:rPr>
            </w:pPr>
            <w:r w:rsidRPr="00FA6366">
              <w:rPr>
                <w:rFonts w:eastAsia="Calibri"/>
                <w:sz w:val="20"/>
                <w:lang w:val="fr-CA"/>
              </w:rPr>
              <w:t xml:space="preserve">Cour d'appel de l'Ontario </w:t>
            </w:r>
          </w:p>
          <w:p w:rsidR="00B6782A" w:rsidRPr="00FA6366" w:rsidRDefault="00B6782A" w:rsidP="00331DF5">
            <w:pPr>
              <w:jc w:val="both"/>
              <w:rPr>
                <w:rFonts w:eastAsia="Calibri"/>
                <w:sz w:val="20"/>
                <w:lang w:val="fr-CA"/>
              </w:rPr>
            </w:pPr>
            <w:r w:rsidRPr="00FA6366">
              <w:rPr>
                <w:rFonts w:eastAsia="Calibri"/>
                <w:sz w:val="20"/>
                <w:lang w:val="fr-CA"/>
              </w:rPr>
              <w:t>(Juges Feldman, Juriansz et LaForme)</w:t>
            </w:r>
          </w:p>
          <w:p w:rsidR="00B6782A" w:rsidRPr="00FA6366" w:rsidRDefault="00B6782A" w:rsidP="00331DF5">
            <w:pPr>
              <w:jc w:val="both"/>
              <w:rPr>
                <w:rFonts w:eastAsia="Calibri"/>
                <w:sz w:val="20"/>
                <w:lang w:val="fr-CA"/>
              </w:rPr>
            </w:pPr>
            <w:r w:rsidRPr="00FA6366">
              <w:rPr>
                <w:rFonts w:eastAsia="Calibri"/>
                <w:sz w:val="20"/>
                <w:lang w:val="fr-CA"/>
              </w:rPr>
              <w:t>Référence neutre : 2010 ONCA 777</w:t>
            </w:r>
          </w:p>
          <w:p w:rsidR="00B6782A" w:rsidRPr="00FA6366" w:rsidRDefault="00B6782A" w:rsidP="00331DF5">
            <w:pPr>
              <w:jc w:val="both"/>
              <w:rPr>
                <w:rFonts w:eastAsia="Calibri"/>
                <w:sz w:val="20"/>
                <w:lang w:val="fr-CA"/>
              </w:rPr>
            </w:pPr>
          </w:p>
        </w:tc>
        <w:tc>
          <w:tcPr>
            <w:tcW w:w="244" w:type="pct"/>
          </w:tcPr>
          <w:p w:rsidR="00B6782A" w:rsidRPr="00FA6366" w:rsidRDefault="00B6782A" w:rsidP="00331DF5">
            <w:pPr>
              <w:jc w:val="both"/>
              <w:rPr>
                <w:rFonts w:eastAsia="Calibri"/>
                <w:sz w:val="20"/>
                <w:lang w:val="fr-CA"/>
              </w:rPr>
            </w:pPr>
          </w:p>
        </w:tc>
        <w:tc>
          <w:tcPr>
            <w:tcW w:w="2329" w:type="pct"/>
          </w:tcPr>
          <w:p w:rsidR="00B6782A" w:rsidRPr="00FA6366" w:rsidRDefault="00B6782A" w:rsidP="00331DF5">
            <w:pPr>
              <w:jc w:val="both"/>
              <w:rPr>
                <w:rFonts w:eastAsia="Calibri"/>
                <w:sz w:val="20"/>
                <w:lang w:val="fr-CA"/>
              </w:rPr>
            </w:pPr>
            <w:r w:rsidRPr="00FA6366">
              <w:rPr>
                <w:rFonts w:eastAsia="Calibri"/>
                <w:sz w:val="20"/>
                <w:lang w:val="fr-CA"/>
              </w:rPr>
              <w:t>Motion en révision de la décision du juge Epstein, rejetée</w:t>
            </w:r>
          </w:p>
          <w:p w:rsidR="00B6782A" w:rsidRPr="00FA6366" w:rsidRDefault="00B6782A" w:rsidP="00331DF5">
            <w:pPr>
              <w:jc w:val="both"/>
              <w:rPr>
                <w:rFonts w:eastAsia="Calibri"/>
                <w:sz w:val="20"/>
                <w:lang w:val="fr-CA"/>
              </w:rPr>
            </w:pPr>
          </w:p>
        </w:tc>
      </w:tr>
    </w:tbl>
    <w:p w:rsidR="00A1379E" w:rsidRPr="004705E9" w:rsidRDefault="00A1379E">
      <w:pPr>
        <w:rPr>
          <w:lang w:val="fr-CA"/>
        </w:rPr>
      </w:pPr>
    </w:p>
    <w:p w:rsidR="00A1379E" w:rsidRPr="004705E9" w:rsidRDefault="00A1379E">
      <w:pPr>
        <w:rPr>
          <w:lang w:val="fr-CA"/>
        </w:rPr>
      </w:pPr>
      <w:r w:rsidRPr="004705E9">
        <w:rPr>
          <w:lang w:val="fr-CA"/>
        </w:rPr>
        <w:br w:type="page"/>
      </w:r>
    </w:p>
    <w:tbl>
      <w:tblPr>
        <w:tblW w:w="4819" w:type="pct"/>
        <w:tblLayout w:type="fixed"/>
        <w:tblCellMar>
          <w:left w:w="0" w:type="dxa"/>
          <w:bottom w:w="99" w:type="dxa"/>
          <w:right w:w="0" w:type="dxa"/>
        </w:tblCellMar>
        <w:tblLook w:val="00A0"/>
      </w:tblPr>
      <w:tblGrid>
        <w:gridCol w:w="4501"/>
        <w:gridCol w:w="452"/>
        <w:gridCol w:w="4318"/>
      </w:tblGrid>
      <w:tr w:rsidR="00B6782A" w:rsidRPr="00FA6366" w:rsidTr="002B51F8">
        <w:trPr>
          <w:cantSplit/>
        </w:trPr>
        <w:tc>
          <w:tcPr>
            <w:tcW w:w="2427" w:type="pct"/>
          </w:tcPr>
          <w:p w:rsidR="00B6782A" w:rsidRPr="00FA6366" w:rsidRDefault="00B6782A" w:rsidP="00331DF5">
            <w:pPr>
              <w:jc w:val="both"/>
              <w:rPr>
                <w:rFonts w:eastAsia="Calibri"/>
                <w:sz w:val="20"/>
                <w:lang w:val="fr-CA"/>
              </w:rPr>
            </w:pPr>
            <w:r w:rsidRPr="00FA6366">
              <w:rPr>
                <w:rFonts w:eastAsia="Calibri"/>
                <w:sz w:val="20"/>
                <w:lang w:val="fr-CA"/>
              </w:rPr>
              <w:lastRenderedPageBreak/>
              <w:t>10 janvier 2011</w:t>
            </w:r>
          </w:p>
          <w:p w:rsidR="00B6782A" w:rsidRPr="00FA6366" w:rsidRDefault="00B6782A" w:rsidP="00331DF5">
            <w:pPr>
              <w:jc w:val="both"/>
              <w:rPr>
                <w:rFonts w:eastAsia="Calibri"/>
                <w:sz w:val="20"/>
                <w:lang w:val="fr-CA"/>
              </w:rPr>
            </w:pPr>
            <w:r w:rsidRPr="00FA6366">
              <w:rPr>
                <w:rFonts w:eastAsia="Calibri"/>
                <w:sz w:val="20"/>
                <w:lang w:val="fr-CA"/>
              </w:rPr>
              <w:t>Cour suprême du Canada</w:t>
            </w:r>
          </w:p>
        </w:tc>
        <w:tc>
          <w:tcPr>
            <w:tcW w:w="244" w:type="pct"/>
          </w:tcPr>
          <w:p w:rsidR="00B6782A" w:rsidRPr="00FA6366" w:rsidRDefault="00B6782A" w:rsidP="00331DF5">
            <w:pPr>
              <w:jc w:val="both"/>
              <w:rPr>
                <w:rFonts w:eastAsia="Calibri"/>
                <w:sz w:val="20"/>
                <w:lang w:val="fr-CA"/>
              </w:rPr>
            </w:pPr>
          </w:p>
        </w:tc>
        <w:tc>
          <w:tcPr>
            <w:tcW w:w="2329" w:type="pct"/>
          </w:tcPr>
          <w:p w:rsidR="00B6782A" w:rsidRPr="00FA6366" w:rsidRDefault="00B6782A" w:rsidP="00331DF5">
            <w:pPr>
              <w:jc w:val="both"/>
              <w:rPr>
                <w:rFonts w:eastAsia="Calibri"/>
                <w:sz w:val="20"/>
                <w:lang w:val="fr-CA"/>
              </w:rPr>
            </w:pPr>
            <w:r w:rsidRPr="00FA6366">
              <w:rPr>
                <w:rFonts w:eastAsia="Calibri"/>
                <w:sz w:val="20"/>
                <w:lang w:val="fr-CA"/>
              </w:rPr>
              <w:t>Demande d'autorisation d'appel, déposée</w:t>
            </w: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63" style="width:2in;height:1pt" o:hrpct="0" o:hralign="center" o:hrstd="t" o:hrnoshade="t" o:hr="t" fillcolor="black [3213]" stroked="f"/>
        </w:pict>
      </w:r>
    </w:p>
    <w:p w:rsidR="00D73FFD" w:rsidRDefault="00D73FFD" w:rsidP="00D73F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B51F8" w:rsidRPr="002B51F8" w:rsidTr="000326AA">
        <w:trPr>
          <w:cantSplit/>
        </w:trPr>
        <w:tc>
          <w:tcPr>
            <w:tcW w:w="1458" w:type="dxa"/>
          </w:tcPr>
          <w:p w:rsidR="002B51F8" w:rsidRPr="002B51F8" w:rsidRDefault="002B51F8" w:rsidP="000326AA">
            <w:pPr>
              <w:rPr>
                <w:rFonts w:cs="Times New Roman"/>
                <w:sz w:val="20"/>
                <w:szCs w:val="20"/>
              </w:rPr>
            </w:pPr>
            <w:r w:rsidRPr="002B51F8">
              <w:rPr>
                <w:rStyle w:val="SCCFileNumberChar"/>
                <w:rFonts w:cs="Times New Roman"/>
                <w:sz w:val="20"/>
                <w:szCs w:val="20"/>
              </w:rPr>
              <w:t>34217</w:t>
            </w:r>
          </w:p>
          <w:p w:rsidR="002B51F8" w:rsidRPr="002B51F8" w:rsidRDefault="002B51F8" w:rsidP="000326AA">
            <w:pPr>
              <w:rPr>
                <w:rFonts w:cs="Times New Roman"/>
                <w:b/>
                <w:sz w:val="20"/>
                <w:szCs w:val="20"/>
                <w:lang w:val="fr-CA"/>
              </w:rPr>
            </w:pPr>
          </w:p>
        </w:tc>
        <w:tc>
          <w:tcPr>
            <w:tcW w:w="8118" w:type="dxa"/>
          </w:tcPr>
          <w:p w:rsidR="002B51F8" w:rsidRPr="002B51F8" w:rsidRDefault="002B51F8" w:rsidP="000326AA">
            <w:pPr>
              <w:rPr>
                <w:rFonts w:cs="Times New Roman"/>
                <w:sz w:val="20"/>
                <w:szCs w:val="20"/>
              </w:rPr>
            </w:pPr>
            <w:r w:rsidRPr="002B51F8">
              <w:rPr>
                <w:rStyle w:val="SCCLsocChar"/>
                <w:rFonts w:cs="Times New Roman"/>
                <w:sz w:val="20"/>
                <w:szCs w:val="20"/>
                <w:lang w:val="en-CA"/>
              </w:rPr>
              <w:t>A.O. v. Her Majesty the Queen</w:t>
            </w:r>
            <w:r w:rsidRPr="002B51F8">
              <w:rPr>
                <w:rFonts w:cs="Times New Roman"/>
                <w:sz w:val="20"/>
                <w:szCs w:val="20"/>
              </w:rPr>
              <w:t xml:space="preserve"> (Ont.) (Criminal) (By Leave)</w:t>
            </w:r>
          </w:p>
          <w:p w:rsidR="002B51F8" w:rsidRPr="002B51F8" w:rsidRDefault="002B51F8" w:rsidP="000326AA">
            <w:pPr>
              <w:rPr>
                <w:rFonts w:cs="Times New Roman"/>
                <w:sz w:val="20"/>
                <w:szCs w:val="20"/>
              </w:rPr>
            </w:pPr>
          </w:p>
        </w:tc>
      </w:tr>
      <w:tr w:rsidR="002B51F8" w:rsidRPr="002B51F8" w:rsidTr="000326AA">
        <w:trPr>
          <w:cantSplit/>
        </w:trPr>
        <w:tc>
          <w:tcPr>
            <w:tcW w:w="1458" w:type="dxa"/>
          </w:tcPr>
          <w:p w:rsidR="002B51F8" w:rsidRPr="002B51F8" w:rsidRDefault="002B51F8" w:rsidP="000326AA">
            <w:pPr>
              <w:rPr>
                <w:rFonts w:cs="Times New Roman"/>
                <w:sz w:val="20"/>
                <w:szCs w:val="20"/>
              </w:rPr>
            </w:pPr>
            <w:r w:rsidRPr="002B51F8">
              <w:rPr>
                <w:rFonts w:cs="Times New Roman"/>
                <w:sz w:val="20"/>
                <w:szCs w:val="20"/>
              </w:rPr>
              <w:t>Coram :</w:t>
            </w:r>
          </w:p>
        </w:tc>
        <w:tc>
          <w:tcPr>
            <w:tcW w:w="8118" w:type="dxa"/>
          </w:tcPr>
          <w:p w:rsidR="002B51F8" w:rsidRPr="002B51F8" w:rsidRDefault="002B51F8" w:rsidP="000326AA">
            <w:pPr>
              <w:rPr>
                <w:rFonts w:cs="Times New Roman"/>
                <w:sz w:val="20"/>
                <w:szCs w:val="20"/>
              </w:rPr>
            </w:pPr>
            <w:r w:rsidRPr="002B51F8">
              <w:rPr>
                <w:rStyle w:val="SCCCoramChar"/>
                <w:rFonts w:cs="Times New Roman"/>
                <w:sz w:val="20"/>
                <w:szCs w:val="20"/>
                <w:lang w:val="en-CA"/>
              </w:rPr>
              <w:t>LeBel, Fish and Cromwell JJ.</w:t>
            </w:r>
          </w:p>
          <w:p w:rsidR="002B51F8" w:rsidRPr="002B51F8" w:rsidRDefault="002B51F8" w:rsidP="000326AA">
            <w:pPr>
              <w:rPr>
                <w:rFonts w:cs="Times New Roman"/>
                <w:sz w:val="20"/>
                <w:szCs w:val="20"/>
                <w:u w:val="single"/>
              </w:rPr>
            </w:pPr>
          </w:p>
        </w:tc>
      </w:tr>
      <w:tr w:rsidR="002B51F8" w:rsidRPr="00F03CF9" w:rsidTr="000326AA">
        <w:trPr>
          <w:cantSplit/>
        </w:trPr>
        <w:tc>
          <w:tcPr>
            <w:tcW w:w="9576" w:type="dxa"/>
            <w:gridSpan w:val="2"/>
          </w:tcPr>
          <w:p w:rsidR="002B51F8" w:rsidRPr="002B51F8" w:rsidRDefault="002B51F8" w:rsidP="000326AA">
            <w:pPr>
              <w:pStyle w:val="SCCShortJudgment"/>
              <w:rPr>
                <w:rFonts w:cs="Times New Roman"/>
                <w:szCs w:val="20"/>
              </w:rPr>
            </w:pPr>
            <w:r w:rsidRPr="002B51F8">
              <w:rPr>
                <w:rFonts w:cs="Times New Roman"/>
                <w:szCs w:val="20"/>
              </w:rPr>
              <w:t>The request for an oral hearing is dismissed. The application for leave to appeal from the judgment of the Court of Appeal for Ontario, Number C43725, 2011 ONCA 145, dated February 25, 2011, is dismissed without costs.</w:t>
            </w:r>
          </w:p>
          <w:p w:rsidR="002B51F8" w:rsidRPr="002B51F8" w:rsidRDefault="002B51F8" w:rsidP="000326AA">
            <w:pPr>
              <w:pStyle w:val="SCCShortJudgment"/>
              <w:ind w:firstLine="0"/>
              <w:rPr>
                <w:rFonts w:cs="Times New Roman"/>
                <w:szCs w:val="20"/>
              </w:rPr>
            </w:pPr>
          </w:p>
          <w:p w:rsidR="002B51F8" w:rsidRPr="002B51F8" w:rsidRDefault="002B51F8" w:rsidP="000326AA">
            <w:pPr>
              <w:pStyle w:val="SCCShortJudgment"/>
              <w:rPr>
                <w:rFonts w:cs="Times New Roman"/>
                <w:szCs w:val="20"/>
                <w:lang w:val="fr-CA"/>
              </w:rPr>
            </w:pPr>
            <w:r w:rsidRPr="002B51F8">
              <w:rPr>
                <w:rFonts w:cs="Times New Roman"/>
                <w:szCs w:val="20"/>
                <w:lang w:val="fr-CA"/>
              </w:rPr>
              <w:t>La demande pour la tenue d’une audience est rejetée. La demande d’autorisation d’appel de l’arrêt de la Cour d’appel de l’Ontario, numéro C43725, 2011 ONCA 145, daté du 25 février 2011, est rejetée sans dépens.</w:t>
            </w:r>
          </w:p>
        </w:tc>
      </w:tr>
    </w:tbl>
    <w:p w:rsidR="002B51F8" w:rsidRPr="002B51F8" w:rsidRDefault="002B51F8"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6782A" w:rsidRPr="00FA6366" w:rsidTr="00331DF5">
        <w:tc>
          <w:tcPr>
            <w:tcW w:w="5000" w:type="pct"/>
            <w:gridSpan w:val="3"/>
          </w:tcPr>
          <w:p w:rsidR="00B6782A" w:rsidRPr="00FA6366" w:rsidRDefault="00B6782A" w:rsidP="00331DF5">
            <w:pPr>
              <w:jc w:val="both"/>
              <w:rPr>
                <w:rFonts w:eastAsia="Calibri"/>
                <w:smallCaps/>
                <w:sz w:val="20"/>
              </w:rPr>
            </w:pPr>
            <w:r w:rsidRPr="00FA6366">
              <w:rPr>
                <w:rFonts w:eastAsia="Calibri"/>
                <w:smallCaps/>
                <w:sz w:val="20"/>
              </w:rPr>
              <w:t>(Publication ban in case) (Publication ban on party)</w:t>
            </w:r>
          </w:p>
          <w:p w:rsidR="00B6782A" w:rsidRPr="00FA6366" w:rsidRDefault="00B6782A" w:rsidP="00331DF5">
            <w:pPr>
              <w:jc w:val="both"/>
              <w:rPr>
                <w:rFonts w:eastAsia="Calibri"/>
                <w:i/>
                <w:sz w:val="20"/>
              </w:rPr>
            </w:pPr>
          </w:p>
          <w:p w:rsidR="00B6782A" w:rsidRPr="00FA6366" w:rsidRDefault="00B6782A" w:rsidP="00331DF5">
            <w:pPr>
              <w:jc w:val="both"/>
              <w:rPr>
                <w:rFonts w:eastAsia="Calibri"/>
                <w:sz w:val="20"/>
              </w:rPr>
            </w:pPr>
            <w:r w:rsidRPr="00FA6366">
              <w:rPr>
                <w:rFonts w:eastAsia="Calibri"/>
                <w:i/>
                <w:sz w:val="20"/>
              </w:rPr>
              <w:t>Charter of Rights and Freedoms</w:t>
            </w:r>
            <w:r w:rsidRPr="00FA6366">
              <w:rPr>
                <w:rFonts w:eastAsia="Calibri"/>
                <w:sz w:val="20"/>
              </w:rPr>
              <w:t xml:space="preserve"> — Appeal — Jurisdiction — Courts</w:t>
            </w:r>
            <w:r w:rsidRPr="00FA6366">
              <w:rPr>
                <w:rFonts w:eastAsia="Calibri"/>
                <w:i/>
                <w:iCs/>
                <w:color w:val="000000"/>
                <w:sz w:val="20"/>
              </w:rPr>
              <w:t xml:space="preserve"> </w:t>
            </w:r>
            <w:r w:rsidRPr="00FA6366">
              <w:rPr>
                <w:rFonts w:eastAsia="Calibri"/>
                <w:sz w:val="20"/>
              </w:rPr>
              <w:t>— Whether, having admitted fresh evidence and having concluded that there was no scientific evidence supporting a charge of rendering a stupefying drug, the Court of Appeal was required to enter an acquittal — Whether inconsistency between admitting fresh evidence and judgment of Court of Appeal provides a basis for granting leave to appeal — Whether a constitutional question gives rise to a basis for granting leave to appeal — Whether failure to enter an acquittal in the circumstances of this case is by its nature of such significance to warrant granting leave to appeal.</w:t>
            </w:r>
          </w:p>
          <w:p w:rsidR="00B6782A" w:rsidRPr="00FA6366" w:rsidRDefault="00B6782A" w:rsidP="00331DF5">
            <w:pPr>
              <w:jc w:val="both"/>
              <w:rPr>
                <w:rFonts w:eastAsia="Calibri"/>
                <w:sz w:val="20"/>
              </w:rPr>
            </w:pPr>
          </w:p>
        </w:tc>
      </w:tr>
      <w:tr w:rsidR="00B6782A" w:rsidRPr="00FA6366" w:rsidTr="00331DF5">
        <w:tc>
          <w:tcPr>
            <w:tcW w:w="5000" w:type="pct"/>
            <w:gridSpan w:val="3"/>
          </w:tcPr>
          <w:p w:rsidR="00B6782A" w:rsidRPr="00FA6366" w:rsidRDefault="00B6782A" w:rsidP="00331DF5">
            <w:pPr>
              <w:jc w:val="both"/>
              <w:rPr>
                <w:rFonts w:eastAsia="Calibri"/>
                <w:sz w:val="20"/>
              </w:rPr>
            </w:pPr>
            <w:r w:rsidRPr="00FA6366">
              <w:rPr>
                <w:rFonts w:eastAsia="Calibri"/>
                <w:sz w:val="20"/>
              </w:rPr>
              <w:t>The applicant was convicted by a jury on three counts of sexual assault and one count of administering a stupefying drug.  Three separate complainants unknown to each other gave similar evidence about alleged symptoms after ingesting wine provided to them by the applicant and particulars of alleged sexual assaults.  The Crown’s case depended on the complainants’ testimony and the presence of GHB, a drug that can be used as a date</w:t>
            </w:r>
            <w:r w:rsidRPr="00FA6366">
              <w:rPr>
                <w:rFonts w:eastAsia="Calibri"/>
                <w:sz w:val="20"/>
              </w:rPr>
              <w:noBreakHyphen/>
              <w:t>rape drug, detected in one of two empty red wine bottles and swabs seized from the applicant’s business premises.  Crown counsel suggested to the jury in closing argument that the presence in only one bottle implied that the applicant had spiked that bottle.  On appeal, the Court of Appeal allowed the applicant to admit fresh evidence that GHB occurs naturally in all red wine and evidence of quantitative testing of the GHB content in the same brand and vintage as the red wine in issue.  The Court of Appeal held that, with the new evidence, there would have been no scientific evidence that the complainants’ wine was laced with non</w:t>
            </w:r>
            <w:r w:rsidRPr="00FA6366">
              <w:rPr>
                <w:rFonts w:eastAsia="Calibri"/>
                <w:sz w:val="20"/>
              </w:rPr>
              <w:noBreakHyphen/>
              <w:t>naturally occurring GHB and it could reasonably be expected this may have affected the jury’s willingness to act on the evidence of the complainants.  It set aside the convictions and ordered a new trial on all counts.</w:t>
            </w:r>
          </w:p>
          <w:p w:rsidR="00B6782A" w:rsidRPr="00FA6366" w:rsidRDefault="00B6782A" w:rsidP="00331DF5">
            <w:pPr>
              <w:jc w:val="both"/>
              <w:rPr>
                <w:rFonts w:eastAsia="Calibri"/>
                <w:sz w:val="20"/>
              </w:rPr>
            </w:pPr>
          </w:p>
        </w:tc>
      </w:tr>
      <w:tr w:rsidR="00B6782A" w:rsidRPr="00FA6366" w:rsidTr="00331DF5">
        <w:tc>
          <w:tcPr>
            <w:tcW w:w="2427" w:type="pct"/>
          </w:tcPr>
          <w:p w:rsidR="00B6782A" w:rsidRPr="00FA6366" w:rsidRDefault="00B6782A" w:rsidP="00331DF5">
            <w:pPr>
              <w:jc w:val="both"/>
              <w:rPr>
                <w:rFonts w:eastAsia="Calibri"/>
                <w:sz w:val="20"/>
              </w:rPr>
            </w:pPr>
            <w:r w:rsidRPr="00FA6366">
              <w:rPr>
                <w:rFonts w:eastAsia="Calibri"/>
                <w:sz w:val="20"/>
              </w:rPr>
              <w:t>June 1, 2005</w:t>
            </w:r>
          </w:p>
          <w:p w:rsidR="00B6782A" w:rsidRPr="00FA6366" w:rsidRDefault="00B6782A" w:rsidP="00331DF5">
            <w:pPr>
              <w:jc w:val="both"/>
              <w:rPr>
                <w:rFonts w:eastAsia="Calibri"/>
                <w:sz w:val="20"/>
              </w:rPr>
            </w:pPr>
            <w:r w:rsidRPr="00FA6366">
              <w:rPr>
                <w:rFonts w:eastAsia="Calibri"/>
                <w:sz w:val="20"/>
              </w:rPr>
              <w:t>Ontario Superior Court of Justice</w:t>
            </w:r>
          </w:p>
          <w:p w:rsidR="00B6782A" w:rsidRPr="00FA6366" w:rsidRDefault="00B6782A" w:rsidP="00331DF5">
            <w:pPr>
              <w:jc w:val="both"/>
              <w:rPr>
                <w:rFonts w:eastAsia="Calibri"/>
                <w:sz w:val="20"/>
              </w:rPr>
            </w:pPr>
            <w:r w:rsidRPr="00FA6366">
              <w:rPr>
                <w:rFonts w:eastAsia="Calibri"/>
                <w:sz w:val="20"/>
              </w:rPr>
              <w:t xml:space="preserve">(Kiteley J.) </w:t>
            </w:r>
          </w:p>
          <w:p w:rsidR="00B6782A" w:rsidRPr="00FA6366" w:rsidRDefault="00B6782A" w:rsidP="00331DF5">
            <w:pPr>
              <w:jc w:val="both"/>
              <w:rPr>
                <w:rFonts w:eastAsia="Calibri"/>
                <w:sz w:val="20"/>
              </w:rPr>
            </w:pPr>
          </w:p>
        </w:tc>
        <w:tc>
          <w:tcPr>
            <w:tcW w:w="243" w:type="pct"/>
          </w:tcPr>
          <w:p w:rsidR="00B6782A" w:rsidRPr="00FA6366" w:rsidRDefault="00B6782A" w:rsidP="00331DF5">
            <w:pPr>
              <w:jc w:val="both"/>
              <w:rPr>
                <w:rFonts w:eastAsia="Calibri"/>
                <w:sz w:val="20"/>
              </w:rPr>
            </w:pPr>
          </w:p>
        </w:tc>
        <w:tc>
          <w:tcPr>
            <w:tcW w:w="2330" w:type="pct"/>
          </w:tcPr>
          <w:p w:rsidR="00B6782A" w:rsidRPr="00FA6366" w:rsidRDefault="00B6782A" w:rsidP="00331DF5">
            <w:pPr>
              <w:jc w:val="both"/>
              <w:rPr>
                <w:rFonts w:eastAsia="Calibri"/>
                <w:sz w:val="20"/>
              </w:rPr>
            </w:pPr>
            <w:r w:rsidRPr="00FA6366">
              <w:rPr>
                <w:rFonts w:eastAsia="Calibri"/>
                <w:sz w:val="20"/>
              </w:rPr>
              <w:t>Convictions by jury for sexual assault (3 counts) and administering a stupefying drug (1 count)</w:t>
            </w:r>
          </w:p>
          <w:p w:rsidR="00B6782A" w:rsidRPr="00FA6366" w:rsidRDefault="00B6782A" w:rsidP="00331DF5">
            <w:pPr>
              <w:jc w:val="both"/>
              <w:rPr>
                <w:rFonts w:eastAsia="Calibri"/>
                <w:sz w:val="20"/>
              </w:rPr>
            </w:pPr>
          </w:p>
        </w:tc>
      </w:tr>
      <w:tr w:rsidR="00B6782A" w:rsidRPr="00FA6366" w:rsidTr="00331DF5">
        <w:tc>
          <w:tcPr>
            <w:tcW w:w="2427" w:type="pct"/>
          </w:tcPr>
          <w:p w:rsidR="00B6782A" w:rsidRPr="00FA6366" w:rsidRDefault="00B6782A" w:rsidP="00331DF5">
            <w:pPr>
              <w:jc w:val="both"/>
              <w:rPr>
                <w:rFonts w:eastAsia="Calibri"/>
                <w:sz w:val="20"/>
              </w:rPr>
            </w:pPr>
            <w:r w:rsidRPr="00FA6366">
              <w:rPr>
                <w:rFonts w:eastAsia="Calibri"/>
                <w:sz w:val="20"/>
              </w:rPr>
              <w:t>February 25, 2011</w:t>
            </w:r>
          </w:p>
          <w:p w:rsidR="00B6782A" w:rsidRPr="00FA6366" w:rsidRDefault="00B6782A" w:rsidP="00331DF5">
            <w:pPr>
              <w:jc w:val="both"/>
              <w:rPr>
                <w:rFonts w:eastAsia="Calibri"/>
                <w:sz w:val="20"/>
              </w:rPr>
            </w:pPr>
            <w:r w:rsidRPr="00FA6366">
              <w:rPr>
                <w:rFonts w:eastAsia="Calibri"/>
                <w:sz w:val="20"/>
              </w:rPr>
              <w:t>Court of Appeal for Ontario</w:t>
            </w:r>
          </w:p>
          <w:p w:rsidR="00B6782A" w:rsidRPr="00FA6366" w:rsidRDefault="00B6782A" w:rsidP="00331DF5">
            <w:pPr>
              <w:jc w:val="both"/>
              <w:rPr>
                <w:rFonts w:eastAsia="Calibri"/>
                <w:sz w:val="20"/>
              </w:rPr>
            </w:pPr>
            <w:r w:rsidRPr="00FA6366">
              <w:rPr>
                <w:rFonts w:eastAsia="Calibri"/>
                <w:sz w:val="20"/>
              </w:rPr>
              <w:t>(Moldaver, Cronk, Lang JJ.A.)</w:t>
            </w:r>
          </w:p>
          <w:p w:rsidR="00B6782A" w:rsidRPr="00FA6366" w:rsidRDefault="00B6782A" w:rsidP="00331DF5">
            <w:pPr>
              <w:jc w:val="both"/>
              <w:rPr>
                <w:rFonts w:eastAsia="Calibri"/>
                <w:sz w:val="20"/>
              </w:rPr>
            </w:pPr>
            <w:r w:rsidRPr="00FA6366">
              <w:rPr>
                <w:rFonts w:eastAsia="Calibri"/>
                <w:sz w:val="20"/>
              </w:rPr>
              <w:t>2011 ONCA 145</w:t>
            </w:r>
          </w:p>
          <w:p w:rsidR="00B6782A" w:rsidRPr="00FA6366" w:rsidRDefault="00B6782A" w:rsidP="00331DF5">
            <w:pPr>
              <w:jc w:val="both"/>
              <w:rPr>
                <w:rFonts w:eastAsia="Calibri"/>
                <w:sz w:val="20"/>
              </w:rPr>
            </w:pPr>
            <w:r w:rsidRPr="00FA6366">
              <w:rPr>
                <w:rFonts w:eastAsia="Calibri"/>
                <w:sz w:val="20"/>
              </w:rPr>
              <w:t>C43725</w:t>
            </w:r>
          </w:p>
          <w:p w:rsidR="00B6782A" w:rsidRPr="00FA6366" w:rsidRDefault="00B6782A" w:rsidP="00331DF5">
            <w:pPr>
              <w:jc w:val="both"/>
              <w:rPr>
                <w:rFonts w:eastAsia="Calibri"/>
                <w:sz w:val="20"/>
              </w:rPr>
            </w:pPr>
          </w:p>
        </w:tc>
        <w:tc>
          <w:tcPr>
            <w:tcW w:w="243" w:type="pct"/>
          </w:tcPr>
          <w:p w:rsidR="00B6782A" w:rsidRPr="00FA6366" w:rsidRDefault="00B6782A" w:rsidP="00331DF5">
            <w:pPr>
              <w:jc w:val="both"/>
              <w:rPr>
                <w:rFonts w:eastAsia="Calibri"/>
                <w:sz w:val="20"/>
              </w:rPr>
            </w:pPr>
          </w:p>
        </w:tc>
        <w:tc>
          <w:tcPr>
            <w:tcW w:w="2330" w:type="pct"/>
          </w:tcPr>
          <w:p w:rsidR="00B6782A" w:rsidRPr="00FA6366" w:rsidRDefault="00B6782A" w:rsidP="00331DF5">
            <w:pPr>
              <w:jc w:val="both"/>
              <w:rPr>
                <w:rFonts w:eastAsia="Calibri"/>
                <w:sz w:val="20"/>
              </w:rPr>
            </w:pPr>
            <w:r w:rsidRPr="00FA6366">
              <w:rPr>
                <w:rFonts w:eastAsia="Calibri"/>
                <w:sz w:val="20"/>
              </w:rPr>
              <w:t>Fresh evidence admitted, appeal allowed, convictions set aside, new trial ordered on all counts</w:t>
            </w:r>
          </w:p>
          <w:p w:rsidR="00B6782A" w:rsidRPr="00FA6366" w:rsidRDefault="00B6782A" w:rsidP="00331DF5">
            <w:pPr>
              <w:jc w:val="both"/>
              <w:rPr>
                <w:rFonts w:eastAsia="Calibri"/>
                <w:sz w:val="20"/>
              </w:rPr>
            </w:pPr>
          </w:p>
        </w:tc>
      </w:tr>
      <w:tr w:rsidR="00B6782A" w:rsidRPr="00FA6366" w:rsidTr="002B51F8">
        <w:trPr>
          <w:cantSplit/>
        </w:trPr>
        <w:tc>
          <w:tcPr>
            <w:tcW w:w="2427" w:type="pct"/>
          </w:tcPr>
          <w:p w:rsidR="00B6782A" w:rsidRPr="00FA6366" w:rsidRDefault="00B6782A" w:rsidP="00331DF5">
            <w:pPr>
              <w:jc w:val="both"/>
              <w:rPr>
                <w:rFonts w:eastAsia="Calibri"/>
                <w:sz w:val="20"/>
              </w:rPr>
            </w:pPr>
            <w:r w:rsidRPr="00FA6366">
              <w:rPr>
                <w:rFonts w:eastAsia="Calibri"/>
                <w:sz w:val="20"/>
              </w:rPr>
              <w:lastRenderedPageBreak/>
              <w:t>April 21, 2011</w:t>
            </w:r>
          </w:p>
          <w:p w:rsidR="00B6782A" w:rsidRPr="00FA6366" w:rsidRDefault="00B6782A" w:rsidP="00331DF5">
            <w:pPr>
              <w:jc w:val="both"/>
              <w:rPr>
                <w:rFonts w:eastAsia="Calibri"/>
                <w:sz w:val="20"/>
              </w:rPr>
            </w:pPr>
            <w:r w:rsidRPr="00FA6366">
              <w:rPr>
                <w:rFonts w:eastAsia="Calibri"/>
                <w:sz w:val="20"/>
              </w:rPr>
              <w:t>Supreme Court of Canada</w:t>
            </w:r>
          </w:p>
        </w:tc>
        <w:tc>
          <w:tcPr>
            <w:tcW w:w="243" w:type="pct"/>
          </w:tcPr>
          <w:p w:rsidR="00B6782A" w:rsidRPr="00FA6366" w:rsidRDefault="00B6782A" w:rsidP="00331DF5">
            <w:pPr>
              <w:jc w:val="both"/>
              <w:rPr>
                <w:rFonts w:eastAsia="Calibri"/>
                <w:sz w:val="20"/>
              </w:rPr>
            </w:pPr>
          </w:p>
        </w:tc>
        <w:tc>
          <w:tcPr>
            <w:tcW w:w="2330" w:type="pct"/>
          </w:tcPr>
          <w:p w:rsidR="00B6782A" w:rsidRPr="00FA6366" w:rsidRDefault="00B6782A" w:rsidP="00331DF5">
            <w:pPr>
              <w:jc w:val="both"/>
              <w:rPr>
                <w:rFonts w:eastAsia="Calibri"/>
                <w:sz w:val="20"/>
              </w:rPr>
            </w:pPr>
            <w:r w:rsidRPr="00FA6366">
              <w:rPr>
                <w:rFonts w:eastAsia="Calibri"/>
                <w:sz w:val="20"/>
              </w:rPr>
              <w:t>Application for leave to appeal filed</w:t>
            </w:r>
          </w:p>
          <w:p w:rsidR="00B6782A" w:rsidRPr="00FA6366" w:rsidRDefault="00B6782A" w:rsidP="00331DF5">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64"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6782A" w:rsidRPr="00F03CF9" w:rsidTr="00331DF5">
        <w:tc>
          <w:tcPr>
            <w:tcW w:w="5000" w:type="pct"/>
            <w:gridSpan w:val="3"/>
          </w:tcPr>
          <w:p w:rsidR="00B6782A" w:rsidRPr="00FA6366" w:rsidRDefault="00B6782A" w:rsidP="00331DF5">
            <w:pPr>
              <w:jc w:val="both"/>
              <w:rPr>
                <w:rFonts w:eastAsia="Calibri"/>
                <w:smallCaps/>
                <w:sz w:val="20"/>
                <w:lang w:val="fr-CA"/>
              </w:rPr>
            </w:pPr>
            <w:r w:rsidRPr="00FA6366">
              <w:rPr>
                <w:rFonts w:eastAsia="Calibri"/>
                <w:smallCaps/>
                <w:sz w:val="20"/>
                <w:lang w:val="fr-CA"/>
              </w:rPr>
              <w:t>(Ordonnance de non</w:t>
            </w:r>
            <w:r w:rsidRPr="00FA6366">
              <w:rPr>
                <w:rFonts w:eastAsia="Calibri"/>
                <w:smallCaps/>
                <w:sz w:val="20"/>
                <w:lang w:val="fr-CA"/>
              </w:rPr>
              <w:noBreakHyphen/>
              <w:t>publication dans le dossier) (ordonnance de non</w:t>
            </w:r>
            <w:r w:rsidRPr="00FA6366">
              <w:rPr>
                <w:rFonts w:eastAsia="Calibri"/>
                <w:smallCaps/>
                <w:sz w:val="20"/>
                <w:lang w:val="fr-CA"/>
              </w:rPr>
              <w:noBreakHyphen/>
              <w:t>publication visant une partie)</w:t>
            </w:r>
          </w:p>
          <w:p w:rsidR="00B6782A" w:rsidRPr="00FA6366" w:rsidRDefault="00B6782A" w:rsidP="00331DF5">
            <w:pPr>
              <w:jc w:val="both"/>
              <w:rPr>
                <w:rFonts w:eastAsia="Calibri"/>
                <w:i/>
                <w:sz w:val="20"/>
                <w:lang w:val="fr-CA"/>
              </w:rPr>
            </w:pPr>
          </w:p>
          <w:p w:rsidR="00B6782A" w:rsidRPr="00FA6366" w:rsidRDefault="00B6782A" w:rsidP="00331DF5">
            <w:pPr>
              <w:jc w:val="both"/>
              <w:rPr>
                <w:rFonts w:eastAsia="Calibri"/>
                <w:sz w:val="20"/>
                <w:lang w:val="fr-CA"/>
              </w:rPr>
            </w:pPr>
            <w:r w:rsidRPr="00FA6366">
              <w:rPr>
                <w:rFonts w:eastAsia="Calibri"/>
                <w:i/>
                <w:sz w:val="20"/>
                <w:lang w:val="fr-CA"/>
              </w:rPr>
              <w:t>Charte des droits et libertés —</w:t>
            </w:r>
            <w:r w:rsidRPr="00FA6366">
              <w:rPr>
                <w:rFonts w:eastAsia="Calibri"/>
                <w:sz w:val="20"/>
                <w:lang w:val="fr-CA"/>
              </w:rPr>
              <w:t xml:space="preserve"> Appel — Compétence — Tribunaux — La Cour d’appel était</w:t>
            </w:r>
            <w:r w:rsidRPr="00FA6366">
              <w:rPr>
                <w:rFonts w:eastAsia="Calibri"/>
                <w:sz w:val="20"/>
                <w:lang w:val="fr-CA"/>
              </w:rPr>
              <w:noBreakHyphen/>
              <w:t>elle tenue d’inscrire un acquittement, ayant admis de nouveaux éléments de preuve et ayant conclu qu’il n’y avait aucune preuve scientifique à l’appui d’une accusation d’avoir administré une drogue stupéfiante? — L’incompatibilité entre l’admission de nouveaux éléments de preuve et l’arrêt de la Cour d’appel constitue</w:t>
            </w:r>
            <w:r w:rsidRPr="00FA6366">
              <w:rPr>
                <w:rFonts w:eastAsia="Calibri"/>
                <w:sz w:val="20"/>
                <w:lang w:val="fr-CA"/>
              </w:rPr>
              <w:noBreakHyphen/>
              <w:t>t</w:t>
            </w:r>
            <w:r w:rsidRPr="00FA6366">
              <w:rPr>
                <w:rFonts w:eastAsia="Calibri"/>
                <w:sz w:val="20"/>
                <w:lang w:val="fr-CA"/>
              </w:rPr>
              <w:noBreakHyphen/>
              <w:t>elle un motif pour accorder l’autorisation d’appel? — Une question constitutionnelle donne</w:t>
            </w:r>
            <w:r w:rsidRPr="00FA6366">
              <w:rPr>
                <w:rFonts w:eastAsia="Calibri"/>
                <w:sz w:val="20"/>
                <w:lang w:val="fr-CA"/>
              </w:rPr>
              <w:noBreakHyphen/>
              <w:t>t</w:t>
            </w:r>
            <w:r w:rsidRPr="00FA6366">
              <w:rPr>
                <w:rFonts w:eastAsia="Calibri"/>
                <w:sz w:val="20"/>
                <w:lang w:val="fr-CA"/>
              </w:rPr>
              <w:noBreakHyphen/>
              <w:t>elle lieu à un motif d’accorder l’autorisation d’appel? — Le fait de ne pas avoir inscrit un acquittement en l’espèce revêt</w:t>
            </w:r>
            <w:r w:rsidRPr="00FA6366">
              <w:rPr>
                <w:rFonts w:eastAsia="Calibri"/>
                <w:sz w:val="20"/>
                <w:lang w:val="fr-CA"/>
              </w:rPr>
              <w:noBreakHyphen/>
              <w:t>il une importance telle qu’il est justifié d’accorder l’autorisation d’appel?</w:t>
            </w:r>
          </w:p>
          <w:p w:rsidR="00B6782A" w:rsidRPr="00FA6366" w:rsidRDefault="00B6782A" w:rsidP="00331DF5">
            <w:pPr>
              <w:jc w:val="both"/>
              <w:rPr>
                <w:rFonts w:eastAsia="Calibri"/>
                <w:sz w:val="20"/>
                <w:lang w:val="fr-CA"/>
              </w:rPr>
            </w:pPr>
          </w:p>
        </w:tc>
      </w:tr>
      <w:tr w:rsidR="00B6782A" w:rsidRPr="00F03CF9" w:rsidTr="00331DF5">
        <w:tc>
          <w:tcPr>
            <w:tcW w:w="5000" w:type="pct"/>
            <w:gridSpan w:val="3"/>
          </w:tcPr>
          <w:p w:rsidR="00B6782A" w:rsidRPr="00FA6366" w:rsidRDefault="00B6782A" w:rsidP="00331DF5">
            <w:pPr>
              <w:jc w:val="both"/>
              <w:rPr>
                <w:rFonts w:eastAsia="Calibri"/>
                <w:sz w:val="20"/>
                <w:lang w:val="fr-CA"/>
              </w:rPr>
            </w:pPr>
            <w:r w:rsidRPr="00FA6366">
              <w:rPr>
                <w:rFonts w:eastAsia="Calibri"/>
                <w:sz w:val="20"/>
                <w:lang w:val="fr-CA"/>
              </w:rPr>
              <w:t>Le demandeur a été déclaré coupable par un jury sous trois chefs d’agression sexuelle et un chef d’avoir administré une drogue stupéfiante.  Trois plaignantes qui ne se connaissaient pas ont témoigné dans le même sens sur les symptômes qu’elles auraient eus après avoir ingéré du vin qui leur avait été offert par le demandeur et sur des détails concernant les agressions sexuelles présumées.  La preuve de la Couronne dépendait des témoignages des plaignantes et de la présence de GHB, une drogue qui peut être utilisée comme drogue du viol, détectée dans une des deux bouteilles de vin rouge vides et d’écouvillonnages saisis du lieu d’affaires du demandeur.  L’avocat de la Couronne a affirmé au jury dans ses conclusions finales que la présence de cette drogue dans une seule bouteille laissait entendre que le demandeur l’avait trafiquée.  En appel, la Cour d’appel a permis au demandeur de présenter de nouveaux éléments de preuve comme quoi le GHB se trouve naturellement dans tous les vins rouges et une preuve d’essais quantitatifs du contenu de GHB dans le vin de la même marque et du même millésime que le vin rouge en cause.  La Cour d’appel a statué qu’avec les nouveaux éléments de preuve, il n’y aurait eu aucune preuve scientifique comme quoi le vin des plaignantes avait été trafiqué avec du GHB d’origine autre que naturelle et que l’on pouvait raisonnablement s’attendre à ce que ceci ait pu avoir une incidence sur la volonté du jury d’agir sur la foi de cette preuve des plaignantes.  La Cour a annulé les déclarations de culpabilité et ordonnée un nouveau procès sur tous les chefs.</w:t>
            </w:r>
          </w:p>
          <w:p w:rsidR="00B6782A" w:rsidRPr="00FA6366" w:rsidRDefault="00B6782A" w:rsidP="00331DF5">
            <w:pPr>
              <w:jc w:val="both"/>
              <w:rPr>
                <w:rFonts w:eastAsia="Calibri"/>
                <w:sz w:val="20"/>
                <w:lang w:val="fr-CA"/>
              </w:rPr>
            </w:pPr>
          </w:p>
        </w:tc>
      </w:tr>
      <w:tr w:rsidR="00B6782A" w:rsidRPr="00F03CF9" w:rsidTr="00331DF5">
        <w:tc>
          <w:tcPr>
            <w:tcW w:w="2427" w:type="pct"/>
          </w:tcPr>
          <w:p w:rsidR="00B6782A" w:rsidRPr="00FA6366" w:rsidRDefault="00B6782A" w:rsidP="00331DF5">
            <w:pPr>
              <w:jc w:val="both"/>
              <w:rPr>
                <w:rFonts w:eastAsia="Calibri"/>
                <w:sz w:val="20"/>
                <w:lang w:val="fr-CA"/>
              </w:rPr>
            </w:pPr>
            <w:r w:rsidRPr="00FA6366">
              <w:rPr>
                <w:rFonts w:eastAsia="Calibri"/>
                <w:sz w:val="20"/>
                <w:lang w:val="fr-CA"/>
              </w:rPr>
              <w:t>1</w:t>
            </w:r>
            <w:r w:rsidRPr="00FA6366">
              <w:rPr>
                <w:rFonts w:eastAsia="Calibri"/>
                <w:sz w:val="20"/>
                <w:vertAlign w:val="superscript"/>
                <w:lang w:val="fr-CA"/>
              </w:rPr>
              <w:t>er</w:t>
            </w:r>
            <w:r w:rsidRPr="00FA6366">
              <w:rPr>
                <w:rFonts w:eastAsia="Calibri"/>
                <w:sz w:val="20"/>
                <w:lang w:val="fr-CA"/>
              </w:rPr>
              <w:t xml:space="preserve"> juin 2005</w:t>
            </w:r>
          </w:p>
          <w:p w:rsidR="00B6782A" w:rsidRPr="00FA6366" w:rsidRDefault="00B6782A" w:rsidP="00331DF5">
            <w:pPr>
              <w:jc w:val="both"/>
              <w:rPr>
                <w:rFonts w:eastAsia="Calibri"/>
                <w:sz w:val="20"/>
                <w:lang w:val="fr-CA"/>
              </w:rPr>
            </w:pPr>
            <w:r w:rsidRPr="00FA6366">
              <w:rPr>
                <w:rFonts w:eastAsia="Calibri"/>
                <w:sz w:val="20"/>
                <w:lang w:val="fr-CA"/>
              </w:rPr>
              <w:t xml:space="preserve">Cour supérieure de justice de l’Ontario </w:t>
            </w:r>
          </w:p>
          <w:p w:rsidR="00B6782A" w:rsidRPr="00FA6366" w:rsidRDefault="00B6782A" w:rsidP="00331DF5">
            <w:pPr>
              <w:jc w:val="both"/>
              <w:rPr>
                <w:rFonts w:eastAsia="Calibri"/>
                <w:sz w:val="20"/>
                <w:lang w:val="fr-CA"/>
              </w:rPr>
            </w:pPr>
            <w:r w:rsidRPr="00FA6366">
              <w:rPr>
                <w:rFonts w:eastAsia="Calibri"/>
                <w:sz w:val="20"/>
                <w:lang w:val="fr-CA"/>
              </w:rPr>
              <w:t xml:space="preserve">(Juge Kiteley) </w:t>
            </w:r>
          </w:p>
          <w:p w:rsidR="00B6782A" w:rsidRPr="00FA6366" w:rsidRDefault="00B6782A" w:rsidP="00331DF5">
            <w:pPr>
              <w:jc w:val="both"/>
              <w:rPr>
                <w:rFonts w:eastAsia="Calibri"/>
                <w:sz w:val="20"/>
                <w:lang w:val="fr-CA"/>
              </w:rPr>
            </w:pPr>
          </w:p>
        </w:tc>
        <w:tc>
          <w:tcPr>
            <w:tcW w:w="243" w:type="pct"/>
          </w:tcPr>
          <w:p w:rsidR="00B6782A" w:rsidRPr="00FA6366" w:rsidRDefault="00B6782A" w:rsidP="00331DF5">
            <w:pPr>
              <w:jc w:val="both"/>
              <w:rPr>
                <w:rFonts w:eastAsia="Calibri"/>
                <w:sz w:val="20"/>
                <w:lang w:val="fr-CA"/>
              </w:rPr>
            </w:pPr>
          </w:p>
        </w:tc>
        <w:tc>
          <w:tcPr>
            <w:tcW w:w="2330" w:type="pct"/>
          </w:tcPr>
          <w:p w:rsidR="00B6782A" w:rsidRPr="00FA6366" w:rsidRDefault="00B6782A" w:rsidP="00331DF5">
            <w:pPr>
              <w:jc w:val="both"/>
              <w:rPr>
                <w:rFonts w:eastAsia="Calibri"/>
                <w:sz w:val="20"/>
                <w:lang w:val="fr-CA"/>
              </w:rPr>
            </w:pPr>
            <w:r w:rsidRPr="00FA6366">
              <w:rPr>
                <w:rFonts w:eastAsia="Calibri"/>
                <w:sz w:val="20"/>
                <w:lang w:val="fr-CA"/>
              </w:rPr>
              <w:t>Déclarations de culpabilité par un jury d’agression sexuelle (trois chefs) et d’avoir administré une drogue stupéfiante (un chef)</w:t>
            </w:r>
          </w:p>
          <w:p w:rsidR="00B6782A" w:rsidRPr="00FA6366" w:rsidRDefault="00B6782A" w:rsidP="00331DF5">
            <w:pPr>
              <w:jc w:val="both"/>
              <w:rPr>
                <w:rFonts w:eastAsia="Calibri"/>
                <w:sz w:val="20"/>
                <w:lang w:val="fr-CA"/>
              </w:rPr>
            </w:pPr>
          </w:p>
        </w:tc>
      </w:tr>
      <w:tr w:rsidR="00B6782A" w:rsidRPr="00F03CF9" w:rsidTr="00331DF5">
        <w:tc>
          <w:tcPr>
            <w:tcW w:w="2427" w:type="pct"/>
          </w:tcPr>
          <w:p w:rsidR="00B6782A" w:rsidRPr="00FA6366" w:rsidRDefault="00B6782A" w:rsidP="00331DF5">
            <w:pPr>
              <w:jc w:val="both"/>
              <w:rPr>
                <w:rFonts w:eastAsia="Calibri"/>
                <w:sz w:val="20"/>
                <w:lang w:val="fr-CA"/>
              </w:rPr>
            </w:pPr>
            <w:r w:rsidRPr="00FA6366">
              <w:rPr>
                <w:rFonts w:eastAsia="Calibri"/>
                <w:sz w:val="20"/>
                <w:lang w:val="fr-CA"/>
              </w:rPr>
              <w:t>25 février 2011</w:t>
            </w:r>
          </w:p>
          <w:p w:rsidR="00B6782A" w:rsidRPr="00FA6366" w:rsidRDefault="00B6782A" w:rsidP="00331DF5">
            <w:pPr>
              <w:jc w:val="both"/>
              <w:rPr>
                <w:rFonts w:eastAsia="Calibri"/>
                <w:sz w:val="20"/>
                <w:lang w:val="fr-CA"/>
              </w:rPr>
            </w:pPr>
            <w:r w:rsidRPr="00FA6366">
              <w:rPr>
                <w:rFonts w:eastAsia="Calibri"/>
                <w:sz w:val="20"/>
                <w:lang w:val="fr-CA"/>
              </w:rPr>
              <w:t>Cour d’appel de l’Ontario</w:t>
            </w:r>
          </w:p>
          <w:p w:rsidR="00B6782A" w:rsidRPr="00FA6366" w:rsidRDefault="00B6782A" w:rsidP="00331DF5">
            <w:pPr>
              <w:jc w:val="both"/>
              <w:rPr>
                <w:rFonts w:eastAsia="Calibri"/>
                <w:sz w:val="20"/>
                <w:lang w:val="fr-CA"/>
              </w:rPr>
            </w:pPr>
            <w:r w:rsidRPr="00FA6366">
              <w:rPr>
                <w:rFonts w:eastAsia="Calibri"/>
                <w:sz w:val="20"/>
                <w:lang w:val="fr-CA"/>
              </w:rPr>
              <w:t>(Juges Moldaver, Cronk et Lang)</w:t>
            </w:r>
          </w:p>
          <w:p w:rsidR="00B6782A" w:rsidRPr="00FA6366" w:rsidRDefault="00B6782A" w:rsidP="00331DF5">
            <w:pPr>
              <w:jc w:val="both"/>
              <w:rPr>
                <w:rFonts w:eastAsia="Calibri"/>
                <w:sz w:val="20"/>
                <w:lang w:val="fr-CA"/>
              </w:rPr>
            </w:pPr>
            <w:r w:rsidRPr="00FA6366">
              <w:rPr>
                <w:rFonts w:eastAsia="Calibri"/>
                <w:sz w:val="20"/>
                <w:lang w:val="fr-CA"/>
              </w:rPr>
              <w:t>2011 ONCA 145</w:t>
            </w:r>
          </w:p>
          <w:p w:rsidR="00B6782A" w:rsidRPr="00FA6366" w:rsidRDefault="00B6782A" w:rsidP="00331DF5">
            <w:pPr>
              <w:jc w:val="both"/>
              <w:rPr>
                <w:rFonts w:eastAsia="Calibri"/>
                <w:sz w:val="20"/>
                <w:lang w:val="fr-CA"/>
              </w:rPr>
            </w:pPr>
            <w:r w:rsidRPr="00FA6366">
              <w:rPr>
                <w:rFonts w:eastAsia="Calibri"/>
                <w:sz w:val="20"/>
                <w:lang w:val="fr-CA"/>
              </w:rPr>
              <w:t>C43725</w:t>
            </w:r>
          </w:p>
          <w:p w:rsidR="00B6782A" w:rsidRPr="00FA6366" w:rsidRDefault="00B6782A" w:rsidP="00331DF5">
            <w:pPr>
              <w:jc w:val="both"/>
              <w:rPr>
                <w:rFonts w:eastAsia="Calibri"/>
                <w:sz w:val="20"/>
                <w:lang w:val="fr-CA"/>
              </w:rPr>
            </w:pPr>
          </w:p>
        </w:tc>
        <w:tc>
          <w:tcPr>
            <w:tcW w:w="243" w:type="pct"/>
          </w:tcPr>
          <w:p w:rsidR="00B6782A" w:rsidRPr="00FA6366" w:rsidRDefault="00B6782A" w:rsidP="00331DF5">
            <w:pPr>
              <w:jc w:val="both"/>
              <w:rPr>
                <w:rFonts w:eastAsia="Calibri"/>
                <w:sz w:val="20"/>
                <w:lang w:val="fr-CA"/>
              </w:rPr>
            </w:pPr>
          </w:p>
        </w:tc>
        <w:tc>
          <w:tcPr>
            <w:tcW w:w="2330" w:type="pct"/>
          </w:tcPr>
          <w:p w:rsidR="00B6782A" w:rsidRPr="00FA6366" w:rsidRDefault="00B6782A" w:rsidP="00331DF5">
            <w:pPr>
              <w:jc w:val="both"/>
              <w:rPr>
                <w:rFonts w:eastAsia="Calibri"/>
                <w:sz w:val="20"/>
                <w:lang w:val="fr-CA"/>
              </w:rPr>
            </w:pPr>
            <w:r w:rsidRPr="00FA6366">
              <w:rPr>
                <w:rFonts w:eastAsia="Calibri"/>
                <w:sz w:val="20"/>
                <w:lang w:val="fr-CA"/>
              </w:rPr>
              <w:t>Nouveaux éléments de preuve admis, appel accueilli, déclarations de culpabilité annulées, nouveau procès ordonné sous tous les chefs</w:t>
            </w:r>
          </w:p>
          <w:p w:rsidR="00B6782A" w:rsidRPr="00FA6366" w:rsidRDefault="00B6782A" w:rsidP="00331DF5">
            <w:pPr>
              <w:jc w:val="both"/>
              <w:rPr>
                <w:rFonts w:eastAsia="Calibri"/>
                <w:sz w:val="20"/>
                <w:lang w:val="fr-CA"/>
              </w:rPr>
            </w:pPr>
          </w:p>
        </w:tc>
      </w:tr>
      <w:tr w:rsidR="00B6782A" w:rsidRPr="00FA6366" w:rsidTr="00331DF5">
        <w:tc>
          <w:tcPr>
            <w:tcW w:w="2427" w:type="pct"/>
          </w:tcPr>
          <w:p w:rsidR="00B6782A" w:rsidRPr="00FA6366" w:rsidRDefault="00B6782A" w:rsidP="00331DF5">
            <w:pPr>
              <w:jc w:val="both"/>
              <w:rPr>
                <w:rFonts w:eastAsia="Calibri"/>
                <w:sz w:val="20"/>
                <w:lang w:val="fr-CA"/>
              </w:rPr>
            </w:pPr>
            <w:r w:rsidRPr="00FA6366">
              <w:rPr>
                <w:rFonts w:eastAsia="Calibri"/>
                <w:sz w:val="20"/>
                <w:lang w:val="fr-CA"/>
              </w:rPr>
              <w:t>21 avril 2011</w:t>
            </w:r>
          </w:p>
          <w:p w:rsidR="00B6782A" w:rsidRPr="00FA6366" w:rsidRDefault="00B6782A" w:rsidP="00331DF5">
            <w:pPr>
              <w:jc w:val="both"/>
              <w:rPr>
                <w:rFonts w:eastAsia="Calibri"/>
                <w:sz w:val="20"/>
                <w:lang w:val="fr-CA"/>
              </w:rPr>
            </w:pPr>
            <w:r w:rsidRPr="00FA6366">
              <w:rPr>
                <w:rFonts w:eastAsia="Calibri"/>
                <w:sz w:val="20"/>
                <w:lang w:val="fr-CA"/>
              </w:rPr>
              <w:t>Cour suprême du Canada</w:t>
            </w:r>
          </w:p>
        </w:tc>
        <w:tc>
          <w:tcPr>
            <w:tcW w:w="243" w:type="pct"/>
          </w:tcPr>
          <w:p w:rsidR="00B6782A" w:rsidRPr="00FA6366" w:rsidRDefault="00B6782A" w:rsidP="00331DF5">
            <w:pPr>
              <w:jc w:val="both"/>
              <w:rPr>
                <w:rFonts w:eastAsia="Calibri"/>
                <w:sz w:val="20"/>
                <w:lang w:val="fr-CA"/>
              </w:rPr>
            </w:pPr>
          </w:p>
        </w:tc>
        <w:tc>
          <w:tcPr>
            <w:tcW w:w="2330" w:type="pct"/>
          </w:tcPr>
          <w:p w:rsidR="00B6782A" w:rsidRPr="00FA6366" w:rsidRDefault="00B6782A" w:rsidP="00331DF5">
            <w:pPr>
              <w:jc w:val="both"/>
              <w:rPr>
                <w:rFonts w:eastAsia="Calibri"/>
                <w:sz w:val="20"/>
                <w:lang w:val="fr-CA"/>
              </w:rPr>
            </w:pPr>
            <w:r w:rsidRPr="00FA6366">
              <w:rPr>
                <w:rFonts w:eastAsia="Calibri"/>
                <w:sz w:val="20"/>
                <w:lang w:val="fr-CA"/>
              </w:rPr>
              <w:t>Demande d’autorisation d’appel, déposée</w:t>
            </w:r>
          </w:p>
          <w:p w:rsidR="00B6782A" w:rsidRPr="00FA6366" w:rsidRDefault="00B6782A" w:rsidP="00331DF5">
            <w:pPr>
              <w:jc w:val="both"/>
              <w:rPr>
                <w:rFonts w:eastAsia="Calibri"/>
                <w:sz w:val="20"/>
                <w:lang w:val="fr-CA"/>
              </w:rPr>
            </w:pP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65" style="width:2in;height:1pt" o:hrpct="0" o:hralign="center" o:hrstd="t" o:hrnoshade="t" o:hr="t" fillcolor="black [3213]" stroked="f"/>
        </w:pict>
      </w:r>
    </w:p>
    <w:p w:rsidR="00A1379E" w:rsidRDefault="00A1379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578C" w:rsidRPr="001B578C" w:rsidTr="000326AA">
        <w:trPr>
          <w:cantSplit/>
        </w:trPr>
        <w:tc>
          <w:tcPr>
            <w:tcW w:w="1458" w:type="dxa"/>
          </w:tcPr>
          <w:p w:rsidR="001B578C" w:rsidRPr="001B578C" w:rsidRDefault="001B578C" w:rsidP="000326AA">
            <w:pPr>
              <w:rPr>
                <w:rFonts w:cs="Times New Roman"/>
                <w:sz w:val="20"/>
                <w:szCs w:val="20"/>
              </w:rPr>
            </w:pPr>
            <w:r w:rsidRPr="001B578C">
              <w:rPr>
                <w:rStyle w:val="SCCFileNumberChar"/>
                <w:rFonts w:cs="Times New Roman"/>
                <w:sz w:val="20"/>
                <w:szCs w:val="20"/>
              </w:rPr>
              <w:lastRenderedPageBreak/>
              <w:t>34245</w:t>
            </w:r>
          </w:p>
          <w:p w:rsidR="001B578C" w:rsidRPr="001B578C" w:rsidRDefault="001B578C" w:rsidP="000326AA">
            <w:pPr>
              <w:rPr>
                <w:rFonts w:cs="Times New Roman"/>
                <w:b/>
                <w:sz w:val="20"/>
                <w:szCs w:val="20"/>
                <w:lang w:val="fr-CA"/>
              </w:rPr>
            </w:pPr>
          </w:p>
        </w:tc>
        <w:tc>
          <w:tcPr>
            <w:tcW w:w="8118" w:type="dxa"/>
          </w:tcPr>
          <w:p w:rsidR="001B578C" w:rsidRPr="001B578C" w:rsidRDefault="001B578C" w:rsidP="000326AA">
            <w:pPr>
              <w:rPr>
                <w:rFonts w:cs="Times New Roman"/>
                <w:sz w:val="20"/>
                <w:szCs w:val="20"/>
              </w:rPr>
            </w:pPr>
            <w:r w:rsidRPr="001B578C">
              <w:rPr>
                <w:rStyle w:val="SCCLsocChar"/>
                <w:rFonts w:cs="Times New Roman"/>
                <w:sz w:val="20"/>
                <w:szCs w:val="20"/>
                <w:lang w:val="en-CA"/>
              </w:rPr>
              <w:t>Her Majesty the Queen v. Frank Ralph Ladue</w:t>
            </w:r>
            <w:r w:rsidRPr="001B578C">
              <w:rPr>
                <w:rFonts w:cs="Times New Roman"/>
                <w:sz w:val="20"/>
                <w:szCs w:val="20"/>
              </w:rPr>
              <w:t xml:space="preserve"> (B.C.) (Criminal) (By Leave)</w:t>
            </w:r>
          </w:p>
          <w:p w:rsidR="001B578C" w:rsidRPr="001B578C" w:rsidRDefault="001B578C" w:rsidP="000326AA">
            <w:pPr>
              <w:rPr>
                <w:rFonts w:cs="Times New Roman"/>
                <w:sz w:val="20"/>
                <w:szCs w:val="20"/>
              </w:rPr>
            </w:pPr>
          </w:p>
        </w:tc>
      </w:tr>
      <w:tr w:rsidR="001B578C" w:rsidRPr="001B578C" w:rsidTr="000326AA">
        <w:trPr>
          <w:cantSplit/>
        </w:trPr>
        <w:tc>
          <w:tcPr>
            <w:tcW w:w="1458" w:type="dxa"/>
          </w:tcPr>
          <w:p w:rsidR="001B578C" w:rsidRPr="001B578C" w:rsidRDefault="001B578C" w:rsidP="000326AA">
            <w:pPr>
              <w:rPr>
                <w:rFonts w:cs="Times New Roman"/>
                <w:sz w:val="20"/>
                <w:szCs w:val="20"/>
              </w:rPr>
            </w:pPr>
            <w:r w:rsidRPr="001B578C">
              <w:rPr>
                <w:rFonts w:cs="Times New Roman"/>
                <w:sz w:val="20"/>
                <w:szCs w:val="20"/>
              </w:rPr>
              <w:t>Coram :</w:t>
            </w:r>
          </w:p>
        </w:tc>
        <w:tc>
          <w:tcPr>
            <w:tcW w:w="8118" w:type="dxa"/>
          </w:tcPr>
          <w:p w:rsidR="001B578C" w:rsidRPr="001B578C" w:rsidRDefault="001B578C" w:rsidP="000326AA">
            <w:pPr>
              <w:rPr>
                <w:rFonts w:cs="Times New Roman"/>
                <w:sz w:val="20"/>
                <w:szCs w:val="20"/>
              </w:rPr>
            </w:pPr>
            <w:r w:rsidRPr="001B578C">
              <w:rPr>
                <w:rStyle w:val="SCCCoramChar"/>
                <w:rFonts w:cs="Times New Roman"/>
                <w:sz w:val="20"/>
                <w:szCs w:val="20"/>
                <w:lang w:val="en-CA"/>
              </w:rPr>
              <w:t>Binnie, Abella and Rothstein JJ.</w:t>
            </w:r>
          </w:p>
          <w:p w:rsidR="001B578C" w:rsidRPr="001B578C" w:rsidRDefault="001B578C" w:rsidP="000326AA">
            <w:pPr>
              <w:rPr>
                <w:rFonts w:cs="Times New Roman"/>
                <w:sz w:val="20"/>
                <w:szCs w:val="20"/>
                <w:u w:val="single"/>
              </w:rPr>
            </w:pPr>
          </w:p>
        </w:tc>
      </w:tr>
      <w:tr w:rsidR="001B578C" w:rsidRPr="00F03CF9" w:rsidTr="000326AA">
        <w:trPr>
          <w:cantSplit/>
        </w:trPr>
        <w:tc>
          <w:tcPr>
            <w:tcW w:w="9576" w:type="dxa"/>
            <w:gridSpan w:val="2"/>
          </w:tcPr>
          <w:p w:rsidR="001B578C" w:rsidRPr="001B578C" w:rsidRDefault="001B578C" w:rsidP="000326AA">
            <w:pPr>
              <w:pStyle w:val="SCCShortJudgment"/>
              <w:rPr>
                <w:rFonts w:cs="Times New Roman"/>
                <w:szCs w:val="20"/>
              </w:rPr>
            </w:pPr>
            <w:r w:rsidRPr="001B578C">
              <w:rPr>
                <w:rFonts w:cs="Times New Roman"/>
                <w:szCs w:val="20"/>
              </w:rPr>
              <w:t xml:space="preserve">The motion to expedite the application for leave to appeal is granted.  The application for leave to appeal from the judgment of the Court of Appeal for British Columbia (Vancouver), Number CA038126, 2011 BCCA 101, dated March 8, 2011, is granted without costs.  This appeal will be heard on October 18, 2011 with </w:t>
            </w:r>
            <w:r w:rsidRPr="001B578C">
              <w:rPr>
                <w:rFonts w:cs="Times New Roman"/>
                <w:i/>
                <w:szCs w:val="20"/>
              </w:rPr>
              <w:t>Manasie Ipeelee v. Her Majesty the Queen</w:t>
            </w:r>
            <w:r w:rsidRPr="001B578C">
              <w:rPr>
                <w:rFonts w:cs="Times New Roman"/>
                <w:szCs w:val="20"/>
              </w:rPr>
              <w:t xml:space="preserve"> (33650).  The schedule for serving and filing material will be set by the Registrar.</w:t>
            </w:r>
          </w:p>
          <w:p w:rsidR="001B578C" w:rsidRPr="001B578C" w:rsidRDefault="001B578C" w:rsidP="000326AA">
            <w:pPr>
              <w:pStyle w:val="SCCShortJudgment"/>
              <w:ind w:firstLine="0"/>
              <w:rPr>
                <w:rFonts w:cs="Times New Roman"/>
                <w:szCs w:val="20"/>
              </w:rPr>
            </w:pPr>
          </w:p>
          <w:p w:rsidR="001B578C" w:rsidRPr="001B578C" w:rsidRDefault="001B578C" w:rsidP="000326AA">
            <w:pPr>
              <w:pStyle w:val="SCCShortJudgment"/>
              <w:rPr>
                <w:rFonts w:cs="Times New Roman"/>
                <w:szCs w:val="20"/>
                <w:lang w:val="fr-CA"/>
              </w:rPr>
            </w:pPr>
            <w:r w:rsidRPr="001B578C">
              <w:rPr>
                <w:rFonts w:cs="Times New Roman"/>
                <w:szCs w:val="20"/>
                <w:lang w:val="fr-CA"/>
              </w:rPr>
              <w:t xml:space="preserve">La requête visant le traitement accéléré de la demande d’autorisation d’appel est accordée.  La demande d’autorisation d’appel de l’arrêt de la Cour d’appel de la Colombie-Britannique (Vancouver), numéro CA038126, 2011 BCCA 101, daté du 8 mars 2011, est accordée sans dépens.  Cet appel sera entendu le 18 octobre 2011 avec </w:t>
            </w:r>
            <w:r w:rsidRPr="001B578C">
              <w:rPr>
                <w:rFonts w:cs="Times New Roman"/>
                <w:i/>
                <w:szCs w:val="20"/>
                <w:lang w:val="fr-CA"/>
              </w:rPr>
              <w:t>Manasie Ipeelee c. Sa Majesté la Reine</w:t>
            </w:r>
            <w:r w:rsidRPr="001B578C">
              <w:rPr>
                <w:rFonts w:cs="Times New Roman"/>
                <w:szCs w:val="20"/>
                <w:lang w:val="fr-CA"/>
              </w:rPr>
              <w:t xml:space="preserve"> (33650).  L’échéancier pour la signification et le dépôt des documents sera fixé par le Registraire.</w:t>
            </w:r>
          </w:p>
        </w:tc>
      </w:tr>
    </w:tbl>
    <w:p w:rsidR="001B578C" w:rsidRPr="001B578C" w:rsidRDefault="001B578C"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3"/>
        <w:gridCol w:w="463"/>
        <w:gridCol w:w="4441"/>
      </w:tblGrid>
      <w:tr w:rsidR="00B6782A" w:rsidRPr="00FA6366" w:rsidTr="00331DF5">
        <w:tc>
          <w:tcPr>
            <w:tcW w:w="5000" w:type="pct"/>
            <w:gridSpan w:val="3"/>
          </w:tcPr>
          <w:p w:rsidR="00B6782A" w:rsidRPr="00FA6366" w:rsidRDefault="00B6782A" w:rsidP="00331DF5">
            <w:pPr>
              <w:jc w:val="both"/>
              <w:rPr>
                <w:rFonts w:eastAsia="Calibri"/>
                <w:sz w:val="20"/>
              </w:rPr>
            </w:pPr>
            <w:r w:rsidRPr="00FA6366">
              <w:rPr>
                <w:rFonts w:eastAsia="Calibri"/>
                <w:sz w:val="20"/>
              </w:rPr>
              <w:t>Criminal law — Sentencing — Aboriginal Offenders — Effect of an offender’s Aboriginal heritage when sentencing the offender for breaching a term of a long-term supervision order — Paramount sentencing principle when sentencing for breach of a long-term supervision order</w:t>
            </w:r>
          </w:p>
          <w:p w:rsidR="00B6782A" w:rsidRPr="00FA6366" w:rsidRDefault="00B6782A" w:rsidP="00331DF5">
            <w:pPr>
              <w:jc w:val="both"/>
              <w:rPr>
                <w:rFonts w:eastAsia="Calibri"/>
                <w:sz w:val="20"/>
              </w:rPr>
            </w:pPr>
          </w:p>
        </w:tc>
      </w:tr>
      <w:tr w:rsidR="00B6782A" w:rsidRPr="00FA6366" w:rsidTr="00331DF5">
        <w:tc>
          <w:tcPr>
            <w:tcW w:w="5000" w:type="pct"/>
            <w:gridSpan w:val="3"/>
          </w:tcPr>
          <w:p w:rsidR="00B6782A" w:rsidRPr="00FA6366" w:rsidRDefault="00B6782A" w:rsidP="00331DF5">
            <w:pPr>
              <w:jc w:val="both"/>
              <w:rPr>
                <w:rFonts w:eastAsia="Calibri"/>
                <w:sz w:val="20"/>
              </w:rPr>
            </w:pPr>
            <w:r w:rsidRPr="00FA6366">
              <w:rPr>
                <w:rFonts w:eastAsia="Calibri"/>
                <w:sz w:val="20"/>
              </w:rPr>
              <w:t>The</w:t>
            </w:r>
            <w:r w:rsidRPr="00FA6366">
              <w:rPr>
                <w:rFonts w:eastAsia="Calibri"/>
                <w:bCs/>
                <w:sz w:val="20"/>
              </w:rPr>
              <w:t xml:space="preserve"> respondent </w:t>
            </w:r>
            <w:r w:rsidRPr="00FA6366">
              <w:rPr>
                <w:rFonts w:eastAsia="Calibri"/>
                <w:sz w:val="20"/>
              </w:rPr>
              <w:t>was convicted of break and enter and sexual assault, and released from custody in 2003 on a long-term supervision order.  The long-term supervision order requires that he abstain from intoxicants.  A urinalysis in 2009 revealed that he had consumed morphine and cocaine and the respondent admitted to occasional consumption of both substances.  He was charged with breach of his supervision order.  On March 19, 2010, he</w:t>
            </w:r>
            <w:r w:rsidRPr="00FA6366">
              <w:rPr>
                <w:rFonts w:eastAsia="Calibri"/>
                <w:bCs/>
                <w:sz w:val="20"/>
              </w:rPr>
              <w:t xml:space="preserve"> </w:t>
            </w:r>
            <w:r w:rsidRPr="00FA6366">
              <w:rPr>
                <w:rFonts w:eastAsia="Calibri"/>
                <w:sz w:val="20"/>
              </w:rPr>
              <w:t xml:space="preserve">pleaded guilty to one count of failing to comply with his long term supervision order contrary to s. 753(1) of the </w:t>
            </w:r>
            <w:r w:rsidRPr="00FA6366">
              <w:rPr>
                <w:rFonts w:eastAsia="Calibri"/>
                <w:i/>
                <w:sz w:val="20"/>
              </w:rPr>
              <w:t>Criminal Code</w:t>
            </w:r>
            <w:r w:rsidRPr="00FA6366">
              <w:rPr>
                <w:rFonts w:eastAsia="Calibri"/>
                <w:sz w:val="20"/>
              </w:rPr>
              <w:t>.  The sentencing judge, in part emphasizing the need to protect the public from the risk that the respondent will re-offend, sentenced him to 3 years of incarceration.  The respondent is of Aboriginal heritage.  He grew up in Ross River, Yukon Territory.  His parents, who died when he was very young, suffered from substance abuse problems.  He lived with his grandparents until he was sent to residential school at the age of five, where he suffered from physical, sexual, emotional and spiritual abuse.  He returned to Ross River when he was nine years old and has abused drugs and alcohol for most of his life since then, with the exception of a six-year period of sobriety during the 1990s.  A majority of the Court of Appeal held that the sentencing judge failed to properly consider the respondent’s Aboriginal heritage and failed to properly emphasize rehabilitation.  It reduced the sentence to one year.</w:t>
            </w:r>
          </w:p>
          <w:p w:rsidR="00B6782A" w:rsidRPr="00FA6366" w:rsidRDefault="00B6782A" w:rsidP="00331DF5">
            <w:pPr>
              <w:jc w:val="both"/>
              <w:rPr>
                <w:rFonts w:eastAsia="Calibri"/>
                <w:sz w:val="20"/>
              </w:rPr>
            </w:pPr>
          </w:p>
        </w:tc>
      </w:tr>
      <w:tr w:rsidR="00B6782A" w:rsidRPr="00FA6366" w:rsidTr="00331DF5">
        <w:tc>
          <w:tcPr>
            <w:tcW w:w="2426" w:type="pct"/>
          </w:tcPr>
          <w:p w:rsidR="00B6782A" w:rsidRPr="00FA6366" w:rsidRDefault="00B6782A" w:rsidP="00331DF5">
            <w:pPr>
              <w:jc w:val="both"/>
              <w:rPr>
                <w:rFonts w:eastAsia="Calibri"/>
                <w:sz w:val="20"/>
              </w:rPr>
            </w:pPr>
            <w:r w:rsidRPr="00FA6366">
              <w:rPr>
                <w:rFonts w:eastAsia="Calibri"/>
                <w:sz w:val="20"/>
              </w:rPr>
              <w:t>April 21, 2010</w:t>
            </w:r>
          </w:p>
          <w:p w:rsidR="00B6782A" w:rsidRPr="00FA6366" w:rsidRDefault="00B6782A" w:rsidP="00331DF5">
            <w:pPr>
              <w:jc w:val="both"/>
              <w:rPr>
                <w:rFonts w:eastAsia="Calibri"/>
                <w:sz w:val="20"/>
              </w:rPr>
            </w:pPr>
            <w:r w:rsidRPr="00FA6366">
              <w:rPr>
                <w:rFonts w:eastAsia="Calibri"/>
                <w:sz w:val="20"/>
              </w:rPr>
              <w:t>Provincial Court of British Columbia</w:t>
            </w:r>
          </w:p>
          <w:p w:rsidR="00B6782A" w:rsidRPr="00FA6366" w:rsidRDefault="00B6782A" w:rsidP="00331DF5">
            <w:pPr>
              <w:jc w:val="both"/>
              <w:rPr>
                <w:rFonts w:eastAsia="Calibri"/>
                <w:sz w:val="20"/>
              </w:rPr>
            </w:pPr>
            <w:r w:rsidRPr="00FA6366">
              <w:rPr>
                <w:rFonts w:eastAsia="Calibri"/>
                <w:sz w:val="20"/>
              </w:rPr>
              <w:t>(Bagnall J.)</w:t>
            </w:r>
          </w:p>
          <w:p w:rsidR="00B6782A" w:rsidRPr="00FA6366" w:rsidRDefault="00B6782A" w:rsidP="00331DF5">
            <w:pPr>
              <w:jc w:val="both"/>
              <w:rPr>
                <w:rFonts w:eastAsia="Calibri"/>
                <w:sz w:val="20"/>
              </w:rPr>
            </w:pPr>
            <w:r w:rsidRPr="00FA6366">
              <w:rPr>
                <w:rFonts w:eastAsia="Calibri"/>
                <w:sz w:val="20"/>
              </w:rPr>
              <w:t>2010 BCPC 410</w:t>
            </w:r>
          </w:p>
          <w:p w:rsidR="00B6782A" w:rsidRPr="00FA6366" w:rsidRDefault="00B6782A" w:rsidP="00331DF5">
            <w:pPr>
              <w:jc w:val="both"/>
              <w:rPr>
                <w:rFonts w:eastAsia="Calibri"/>
                <w:sz w:val="20"/>
              </w:rPr>
            </w:pPr>
          </w:p>
        </w:tc>
        <w:tc>
          <w:tcPr>
            <w:tcW w:w="243" w:type="pct"/>
          </w:tcPr>
          <w:p w:rsidR="00B6782A" w:rsidRPr="00FA6366" w:rsidRDefault="00B6782A" w:rsidP="00331DF5">
            <w:pPr>
              <w:jc w:val="both"/>
              <w:rPr>
                <w:rFonts w:eastAsia="Calibri"/>
                <w:sz w:val="20"/>
              </w:rPr>
            </w:pPr>
          </w:p>
        </w:tc>
        <w:tc>
          <w:tcPr>
            <w:tcW w:w="2331" w:type="pct"/>
          </w:tcPr>
          <w:p w:rsidR="00B6782A" w:rsidRPr="00FA6366" w:rsidRDefault="00B6782A" w:rsidP="00331DF5">
            <w:pPr>
              <w:jc w:val="both"/>
              <w:rPr>
                <w:rFonts w:eastAsia="Calibri"/>
                <w:sz w:val="20"/>
              </w:rPr>
            </w:pPr>
            <w:r w:rsidRPr="00FA6366">
              <w:rPr>
                <w:rFonts w:eastAsia="Calibri"/>
                <w:sz w:val="20"/>
              </w:rPr>
              <w:t xml:space="preserve">Sentence to 3 years imprisonment for breach of </w:t>
            </w:r>
            <w:r w:rsidRPr="00FA6366">
              <w:rPr>
                <w:rFonts w:eastAsia="Calibri"/>
                <w:bCs/>
                <w:sz w:val="20"/>
              </w:rPr>
              <w:t>long-term supervision order</w:t>
            </w:r>
          </w:p>
          <w:p w:rsidR="00B6782A" w:rsidRPr="00FA6366" w:rsidRDefault="00B6782A" w:rsidP="00331DF5">
            <w:pPr>
              <w:jc w:val="both"/>
              <w:rPr>
                <w:rFonts w:eastAsia="Calibri"/>
                <w:sz w:val="20"/>
              </w:rPr>
            </w:pPr>
          </w:p>
        </w:tc>
      </w:tr>
      <w:tr w:rsidR="00B6782A" w:rsidRPr="00FA6366" w:rsidTr="00331DF5">
        <w:tc>
          <w:tcPr>
            <w:tcW w:w="2426" w:type="pct"/>
          </w:tcPr>
          <w:p w:rsidR="00B6782A" w:rsidRPr="00FA6366" w:rsidRDefault="00B6782A" w:rsidP="00331DF5">
            <w:pPr>
              <w:jc w:val="both"/>
              <w:rPr>
                <w:rFonts w:eastAsia="Calibri"/>
                <w:sz w:val="20"/>
              </w:rPr>
            </w:pPr>
            <w:r w:rsidRPr="00FA6366">
              <w:rPr>
                <w:rFonts w:eastAsia="Calibri"/>
                <w:sz w:val="20"/>
              </w:rPr>
              <w:t>March 8, 2011</w:t>
            </w:r>
          </w:p>
          <w:p w:rsidR="00B6782A" w:rsidRPr="00FA6366" w:rsidRDefault="00B6782A" w:rsidP="00331DF5">
            <w:pPr>
              <w:jc w:val="both"/>
              <w:rPr>
                <w:rFonts w:eastAsia="Calibri"/>
                <w:sz w:val="20"/>
              </w:rPr>
            </w:pPr>
            <w:r w:rsidRPr="00FA6366">
              <w:rPr>
                <w:rFonts w:eastAsia="Calibri"/>
                <w:sz w:val="20"/>
              </w:rPr>
              <w:t xml:space="preserve">Court of Appeal for British Columbia </w:t>
            </w:r>
          </w:p>
          <w:p w:rsidR="00B6782A" w:rsidRPr="00FA6366" w:rsidRDefault="00B6782A" w:rsidP="00331DF5">
            <w:pPr>
              <w:jc w:val="both"/>
              <w:rPr>
                <w:rFonts w:eastAsia="Calibri"/>
                <w:sz w:val="20"/>
              </w:rPr>
            </w:pPr>
            <w:r w:rsidRPr="00FA6366">
              <w:rPr>
                <w:rFonts w:eastAsia="Calibri"/>
                <w:sz w:val="20"/>
              </w:rPr>
              <w:t>(Vancouver)</w:t>
            </w:r>
          </w:p>
          <w:p w:rsidR="00B6782A" w:rsidRPr="00FA6366" w:rsidRDefault="00B6782A" w:rsidP="00331DF5">
            <w:pPr>
              <w:jc w:val="both"/>
              <w:rPr>
                <w:rFonts w:eastAsia="Calibri"/>
                <w:sz w:val="20"/>
              </w:rPr>
            </w:pPr>
            <w:r w:rsidRPr="00FA6366">
              <w:rPr>
                <w:rFonts w:eastAsia="Calibri"/>
                <w:sz w:val="20"/>
              </w:rPr>
              <w:t>(Levine, Chiasson [dissenting], Bennett JJ.A.)</w:t>
            </w:r>
          </w:p>
          <w:p w:rsidR="00B6782A" w:rsidRPr="00FA6366" w:rsidRDefault="00B6782A" w:rsidP="00331DF5">
            <w:pPr>
              <w:jc w:val="both"/>
              <w:rPr>
                <w:rFonts w:eastAsia="Calibri"/>
                <w:sz w:val="20"/>
              </w:rPr>
            </w:pPr>
            <w:r w:rsidRPr="00FA6366">
              <w:rPr>
                <w:rFonts w:eastAsia="Calibri"/>
                <w:sz w:val="20"/>
              </w:rPr>
              <w:t>2011 BCCA 101</w:t>
            </w:r>
          </w:p>
          <w:p w:rsidR="00B6782A" w:rsidRPr="00FA6366" w:rsidRDefault="00B6782A" w:rsidP="00331DF5">
            <w:pPr>
              <w:jc w:val="both"/>
              <w:rPr>
                <w:rFonts w:eastAsia="Calibri"/>
                <w:sz w:val="20"/>
              </w:rPr>
            </w:pPr>
            <w:r w:rsidRPr="00FA6366">
              <w:rPr>
                <w:rFonts w:eastAsia="Calibri"/>
                <w:sz w:val="20"/>
              </w:rPr>
              <w:t>CA038126</w:t>
            </w:r>
          </w:p>
          <w:p w:rsidR="00B6782A" w:rsidRPr="00FA6366" w:rsidRDefault="00B6782A" w:rsidP="00331DF5">
            <w:pPr>
              <w:jc w:val="both"/>
              <w:rPr>
                <w:rFonts w:eastAsia="Calibri"/>
                <w:sz w:val="20"/>
              </w:rPr>
            </w:pPr>
          </w:p>
        </w:tc>
        <w:tc>
          <w:tcPr>
            <w:tcW w:w="243" w:type="pct"/>
          </w:tcPr>
          <w:p w:rsidR="00B6782A" w:rsidRPr="00FA6366" w:rsidRDefault="00B6782A" w:rsidP="00331DF5">
            <w:pPr>
              <w:jc w:val="both"/>
              <w:rPr>
                <w:rFonts w:eastAsia="Calibri"/>
                <w:sz w:val="20"/>
              </w:rPr>
            </w:pPr>
          </w:p>
        </w:tc>
        <w:tc>
          <w:tcPr>
            <w:tcW w:w="2331" w:type="pct"/>
          </w:tcPr>
          <w:p w:rsidR="00B6782A" w:rsidRPr="00FA6366" w:rsidRDefault="00B6782A" w:rsidP="00331DF5">
            <w:pPr>
              <w:jc w:val="both"/>
              <w:rPr>
                <w:rFonts w:eastAsia="Calibri"/>
                <w:sz w:val="20"/>
              </w:rPr>
            </w:pPr>
            <w:r w:rsidRPr="00FA6366">
              <w:rPr>
                <w:rFonts w:eastAsia="Calibri"/>
                <w:sz w:val="20"/>
              </w:rPr>
              <w:t>Appeal allowed; sentence reduced to 1 year</w:t>
            </w:r>
          </w:p>
          <w:p w:rsidR="00B6782A" w:rsidRPr="00FA6366" w:rsidRDefault="00B6782A" w:rsidP="00331DF5">
            <w:pPr>
              <w:jc w:val="both"/>
              <w:rPr>
                <w:rFonts w:eastAsia="Calibri"/>
                <w:sz w:val="20"/>
              </w:rPr>
            </w:pPr>
          </w:p>
        </w:tc>
      </w:tr>
      <w:tr w:rsidR="00B6782A" w:rsidRPr="00FA6366" w:rsidTr="00ED7A77">
        <w:trPr>
          <w:cantSplit/>
        </w:trPr>
        <w:tc>
          <w:tcPr>
            <w:tcW w:w="2426" w:type="pct"/>
          </w:tcPr>
          <w:p w:rsidR="00B6782A" w:rsidRPr="00FA6366" w:rsidRDefault="00B6782A" w:rsidP="00331DF5">
            <w:pPr>
              <w:jc w:val="both"/>
              <w:rPr>
                <w:rFonts w:eastAsia="Calibri"/>
                <w:sz w:val="20"/>
              </w:rPr>
            </w:pPr>
            <w:r w:rsidRPr="00FA6366">
              <w:rPr>
                <w:rFonts w:eastAsia="Calibri"/>
                <w:sz w:val="20"/>
              </w:rPr>
              <w:t>May 6, 2011</w:t>
            </w:r>
          </w:p>
          <w:p w:rsidR="00B6782A" w:rsidRPr="00FA6366" w:rsidRDefault="00B6782A" w:rsidP="00331DF5">
            <w:pPr>
              <w:jc w:val="both"/>
              <w:rPr>
                <w:rFonts w:eastAsia="Calibri"/>
                <w:sz w:val="20"/>
              </w:rPr>
            </w:pPr>
            <w:r w:rsidRPr="00FA6366">
              <w:rPr>
                <w:rFonts w:eastAsia="Calibri"/>
                <w:sz w:val="20"/>
              </w:rPr>
              <w:t>Supreme Court of Canada</w:t>
            </w:r>
          </w:p>
          <w:p w:rsidR="00B6782A" w:rsidRPr="00FA6366" w:rsidRDefault="00B6782A" w:rsidP="00331DF5">
            <w:pPr>
              <w:jc w:val="both"/>
              <w:rPr>
                <w:rFonts w:eastAsia="Calibri"/>
                <w:sz w:val="20"/>
              </w:rPr>
            </w:pPr>
          </w:p>
        </w:tc>
        <w:tc>
          <w:tcPr>
            <w:tcW w:w="243" w:type="pct"/>
          </w:tcPr>
          <w:p w:rsidR="00B6782A" w:rsidRPr="00FA6366" w:rsidRDefault="00B6782A" w:rsidP="00331DF5">
            <w:pPr>
              <w:jc w:val="both"/>
              <w:rPr>
                <w:rFonts w:eastAsia="Calibri"/>
                <w:sz w:val="20"/>
              </w:rPr>
            </w:pPr>
          </w:p>
        </w:tc>
        <w:tc>
          <w:tcPr>
            <w:tcW w:w="2331" w:type="pct"/>
          </w:tcPr>
          <w:p w:rsidR="00B6782A" w:rsidRPr="00FA6366" w:rsidRDefault="00B6782A" w:rsidP="00331DF5">
            <w:pPr>
              <w:jc w:val="both"/>
              <w:rPr>
                <w:rFonts w:eastAsia="Calibri"/>
                <w:sz w:val="20"/>
              </w:rPr>
            </w:pPr>
            <w:r w:rsidRPr="00FA6366">
              <w:rPr>
                <w:rFonts w:eastAsia="Calibri"/>
                <w:sz w:val="20"/>
              </w:rPr>
              <w:t>Application for leave to appeal filed</w:t>
            </w:r>
          </w:p>
          <w:p w:rsidR="00B6782A" w:rsidRPr="00FA6366" w:rsidRDefault="00B6782A" w:rsidP="00331DF5">
            <w:pPr>
              <w:jc w:val="both"/>
              <w:rPr>
                <w:rFonts w:eastAsia="Calibri"/>
                <w:sz w:val="20"/>
              </w:rPr>
            </w:pPr>
          </w:p>
        </w:tc>
      </w:tr>
      <w:tr w:rsidR="00B6782A" w:rsidRPr="00FA6366" w:rsidTr="00ED7A77">
        <w:trPr>
          <w:cantSplit/>
        </w:trPr>
        <w:tc>
          <w:tcPr>
            <w:tcW w:w="2426" w:type="pct"/>
          </w:tcPr>
          <w:p w:rsidR="00B6782A" w:rsidRPr="00FA6366" w:rsidRDefault="00B6782A" w:rsidP="00331DF5">
            <w:pPr>
              <w:jc w:val="both"/>
              <w:rPr>
                <w:rFonts w:eastAsia="Calibri"/>
                <w:sz w:val="20"/>
              </w:rPr>
            </w:pPr>
            <w:r w:rsidRPr="00FA6366">
              <w:rPr>
                <w:rFonts w:eastAsia="Calibri"/>
                <w:sz w:val="20"/>
              </w:rPr>
              <w:lastRenderedPageBreak/>
              <w:t>June 9, 2011</w:t>
            </w:r>
          </w:p>
          <w:p w:rsidR="00B6782A" w:rsidRPr="00FA6366" w:rsidRDefault="00B6782A" w:rsidP="00331DF5">
            <w:pPr>
              <w:jc w:val="both"/>
              <w:rPr>
                <w:rFonts w:eastAsia="Calibri"/>
                <w:sz w:val="20"/>
              </w:rPr>
            </w:pPr>
            <w:r w:rsidRPr="00FA6366">
              <w:rPr>
                <w:rFonts w:eastAsia="Calibri"/>
                <w:sz w:val="20"/>
              </w:rPr>
              <w:t>Supreme Court of Canada</w:t>
            </w:r>
          </w:p>
        </w:tc>
        <w:tc>
          <w:tcPr>
            <w:tcW w:w="243" w:type="pct"/>
          </w:tcPr>
          <w:p w:rsidR="00B6782A" w:rsidRPr="00FA6366" w:rsidRDefault="00B6782A" w:rsidP="00331DF5">
            <w:pPr>
              <w:jc w:val="both"/>
              <w:rPr>
                <w:rFonts w:eastAsia="Calibri"/>
                <w:sz w:val="20"/>
              </w:rPr>
            </w:pPr>
          </w:p>
        </w:tc>
        <w:tc>
          <w:tcPr>
            <w:tcW w:w="2331" w:type="pct"/>
          </w:tcPr>
          <w:p w:rsidR="00B6782A" w:rsidRPr="00FA6366" w:rsidRDefault="00B6782A" w:rsidP="00331DF5">
            <w:pPr>
              <w:jc w:val="both"/>
              <w:rPr>
                <w:rFonts w:eastAsia="Calibri"/>
                <w:sz w:val="20"/>
              </w:rPr>
            </w:pPr>
            <w:r w:rsidRPr="00FA6366">
              <w:rPr>
                <w:rFonts w:eastAsia="Calibri"/>
                <w:sz w:val="20"/>
              </w:rPr>
              <w:t>Motion to expedite the leave application filed</w:t>
            </w:r>
          </w:p>
        </w:tc>
      </w:tr>
    </w:tbl>
    <w:p w:rsidR="00ED7A77" w:rsidRPr="00A1379E" w:rsidRDefault="00ED7A77" w:rsidP="00D73FFD">
      <w:pPr>
        <w:rPr>
          <w:sz w:val="20"/>
          <w:szCs w:val="20"/>
        </w:rPr>
      </w:pPr>
    </w:p>
    <w:p w:rsidR="00D73FFD" w:rsidRPr="00D73FFD" w:rsidRDefault="00EE1200" w:rsidP="00D73FFD">
      <w:pPr>
        <w:rPr>
          <w:sz w:val="20"/>
          <w:szCs w:val="20"/>
        </w:rPr>
      </w:pPr>
      <w:r w:rsidRPr="00EE1200">
        <w:rPr>
          <w:sz w:val="20"/>
          <w:szCs w:val="20"/>
          <w:lang w:val="fr-CA"/>
        </w:rPr>
        <w:pict>
          <v:rect id="_x0000_i1066" style="width:2in;height:1pt" o:hrpct="0" o:hralign="center" o:hrstd="t" o:hrnoshade="t" o:hr="t" fillcolor="black [3213]" stroked="f"/>
        </w:pict>
      </w:r>
    </w:p>
    <w:p w:rsidR="00D73FFD" w:rsidRDefault="00D73FFD" w:rsidP="00D73FFD">
      <w:pPr>
        <w:rPr>
          <w:sz w:val="20"/>
          <w:szCs w:val="20"/>
        </w:rPr>
      </w:pPr>
    </w:p>
    <w:p w:rsidR="00D73FFD" w:rsidRPr="00D73FFD" w:rsidRDefault="00D73FFD" w:rsidP="00D73FFD">
      <w:pPr>
        <w:rPr>
          <w:sz w:val="20"/>
          <w:szCs w:val="20"/>
        </w:rPr>
      </w:pPr>
      <w:r>
        <w:rPr>
          <w:sz w:val="20"/>
          <w:szCs w:val="20"/>
          <w:u w:val="single"/>
        </w:rPr>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6782A" w:rsidRPr="00F03CF9" w:rsidTr="00331DF5">
        <w:tc>
          <w:tcPr>
            <w:tcW w:w="5000" w:type="pct"/>
            <w:gridSpan w:val="3"/>
          </w:tcPr>
          <w:p w:rsidR="00B6782A" w:rsidRPr="00FA6366" w:rsidRDefault="00B6782A" w:rsidP="00331DF5">
            <w:pPr>
              <w:jc w:val="both"/>
              <w:rPr>
                <w:sz w:val="20"/>
                <w:lang w:val="fr-CA"/>
              </w:rPr>
            </w:pPr>
            <w:r w:rsidRPr="00FA6366">
              <w:rPr>
                <w:sz w:val="20"/>
                <w:lang w:val="fr-CA"/>
              </w:rPr>
              <w:t>Droit criminel — Détermination de la peine — Délinquants autochtones — Effet de l’héritage autochtone d’un délinquant lors de la détermination de la peine pour avoir violé une condition d’une ordonnance de surveillance de longue durée — Principe suprême aux fins de détermination de la peine en cas de violation d’une ordonnance de surveillance de longue durée.</w:t>
            </w:r>
          </w:p>
          <w:p w:rsidR="00B6782A" w:rsidRPr="00FA6366" w:rsidRDefault="00B6782A" w:rsidP="00331DF5">
            <w:pPr>
              <w:jc w:val="both"/>
              <w:rPr>
                <w:sz w:val="20"/>
                <w:lang w:val="fr-CA"/>
              </w:rPr>
            </w:pPr>
          </w:p>
        </w:tc>
      </w:tr>
      <w:tr w:rsidR="00B6782A" w:rsidRPr="00FA6366" w:rsidTr="00331DF5">
        <w:tc>
          <w:tcPr>
            <w:tcW w:w="5000" w:type="pct"/>
            <w:gridSpan w:val="3"/>
          </w:tcPr>
          <w:p w:rsidR="00B6782A" w:rsidRPr="00FA6366" w:rsidRDefault="00B6782A" w:rsidP="00331DF5">
            <w:pPr>
              <w:jc w:val="both"/>
              <w:rPr>
                <w:sz w:val="20"/>
                <w:lang w:val="fr-CA"/>
              </w:rPr>
            </w:pPr>
            <w:r w:rsidRPr="00FA6366">
              <w:rPr>
                <w:sz w:val="20"/>
                <w:lang w:val="fr-CA"/>
              </w:rPr>
              <w:t>L’intimé a été déclaré coupable d’introduction par effraction et d’agression sexuelle, et a été libéré en 2003 aux termes d’une ordonnance de surveillance de longue durée.  En vertu de l’ordonnance de surveillance de longue durée, l’intimé doit s’abstenir de consommer des substances intoxicantes.  Une analyse d’urine effectuée en 2009 a révélé que l’intimé avait consommé de la morphine et de la cocaïne et il a admis avoir consommé ces deux substances à l’occasion.  Il a été accusé d’avoir violé son ordonnance de surveillance.  Le 19 mars 2010, il a plaidé coupable sous un chef d’avoir omis de se conformer à son ordonnance de surveillance de longue durée contrairement au par. 753(1) du</w:t>
            </w:r>
            <w:r w:rsidRPr="00FA6366">
              <w:rPr>
                <w:i/>
                <w:sz w:val="20"/>
                <w:lang w:val="fr-CA"/>
              </w:rPr>
              <w:t xml:space="preserve"> Code criminel</w:t>
            </w:r>
            <w:r w:rsidRPr="00FA6366">
              <w:rPr>
                <w:sz w:val="20"/>
                <w:lang w:val="fr-CA"/>
              </w:rPr>
              <w:t>.  Le juge chargé de déterminer la peine, soulignant notamment le besoin de protéger le public contre le risque de récidive de l’intimé, l’a condamné à une peine de détention de trois ans.  L’intimé est d’héritage autochtone.  Il a grandi à Ross River, territoire du Yukon. Ses parents, qui sont décédés lorsqu’il était très jeune, souffraient de problèmes d’abus d’alcool et d’autres drogues. Il a vécu avec ses grands</w:t>
            </w:r>
            <w:r w:rsidRPr="00FA6366">
              <w:rPr>
                <w:sz w:val="20"/>
                <w:lang w:val="fr-CA"/>
              </w:rPr>
              <w:noBreakHyphen/>
              <w:t>parents jusqu’à ce qu’il soit envoyé dans un pensionnat à l’âge de cinq ans, où il a subi de la violence physique, sexuelle, émotive et spirituelle.  Il est retourné à Ross River à l’âge de neuf ans et il a abusé de drogues et d’alcool presque tout le temps depuis lors, à l’exception d’une période de sobriété de six ans pendant les années 1990.  Les juges majoritaires de la Cour d’appel ont statué que le juge qui a prononcé la peine avait omis de prendre dûment en compte l’héritage autochtone de l’intimé et qu’il avait omis de mettre dûment l’accent sur la réadaptation.  La Cour a réduit la peine à un an.</w:t>
            </w:r>
          </w:p>
          <w:p w:rsidR="00B6782A" w:rsidRPr="00FA6366" w:rsidRDefault="00B6782A" w:rsidP="00331DF5">
            <w:pPr>
              <w:jc w:val="both"/>
              <w:rPr>
                <w:sz w:val="20"/>
                <w:lang w:val="fr-CA"/>
              </w:rPr>
            </w:pPr>
          </w:p>
        </w:tc>
      </w:tr>
      <w:tr w:rsidR="00B6782A" w:rsidRPr="00F03CF9" w:rsidTr="00331DF5">
        <w:tc>
          <w:tcPr>
            <w:tcW w:w="2427" w:type="pct"/>
          </w:tcPr>
          <w:p w:rsidR="00B6782A" w:rsidRPr="00FA6366" w:rsidRDefault="00B6782A" w:rsidP="00331DF5">
            <w:pPr>
              <w:rPr>
                <w:sz w:val="20"/>
                <w:lang w:val="fr-CA"/>
              </w:rPr>
            </w:pPr>
            <w:r w:rsidRPr="00FA6366">
              <w:rPr>
                <w:sz w:val="20"/>
                <w:lang w:val="fr-CA"/>
              </w:rPr>
              <w:t>21 avril 2010</w:t>
            </w:r>
          </w:p>
          <w:p w:rsidR="00B6782A" w:rsidRPr="00FA6366" w:rsidRDefault="00B6782A" w:rsidP="00331DF5">
            <w:pPr>
              <w:rPr>
                <w:sz w:val="20"/>
                <w:lang w:val="fr-CA"/>
              </w:rPr>
            </w:pPr>
            <w:r w:rsidRPr="00FA6366">
              <w:rPr>
                <w:sz w:val="20"/>
                <w:lang w:val="fr-CA"/>
              </w:rPr>
              <w:t>Cour provinciale de la Colombie</w:t>
            </w:r>
            <w:r w:rsidRPr="00FA6366">
              <w:rPr>
                <w:sz w:val="20"/>
                <w:lang w:val="fr-CA"/>
              </w:rPr>
              <w:noBreakHyphen/>
              <w:t xml:space="preserve">Britannique </w:t>
            </w:r>
          </w:p>
          <w:p w:rsidR="00B6782A" w:rsidRPr="00FA6366" w:rsidRDefault="00B6782A" w:rsidP="00331DF5">
            <w:pPr>
              <w:rPr>
                <w:sz w:val="20"/>
                <w:lang w:val="fr-CA"/>
              </w:rPr>
            </w:pPr>
            <w:r w:rsidRPr="00FA6366">
              <w:rPr>
                <w:sz w:val="20"/>
                <w:lang w:val="fr-CA"/>
              </w:rPr>
              <w:t>(Juge Bagnall)</w:t>
            </w:r>
          </w:p>
          <w:p w:rsidR="00B6782A" w:rsidRPr="00FA6366" w:rsidRDefault="00B6782A" w:rsidP="00331DF5">
            <w:pPr>
              <w:rPr>
                <w:sz w:val="20"/>
                <w:lang w:val="fr-CA"/>
              </w:rPr>
            </w:pPr>
            <w:r w:rsidRPr="00FA6366">
              <w:rPr>
                <w:sz w:val="20"/>
                <w:lang w:val="fr-CA"/>
              </w:rPr>
              <w:t>2010 BCPC 410</w:t>
            </w:r>
          </w:p>
          <w:p w:rsidR="00B6782A" w:rsidRPr="00FA6366" w:rsidRDefault="00B6782A" w:rsidP="00331DF5">
            <w:pPr>
              <w:rPr>
                <w:sz w:val="20"/>
                <w:lang w:val="fr-CA"/>
              </w:rPr>
            </w:pPr>
          </w:p>
        </w:tc>
        <w:tc>
          <w:tcPr>
            <w:tcW w:w="243" w:type="pct"/>
          </w:tcPr>
          <w:p w:rsidR="00B6782A" w:rsidRPr="00FA6366" w:rsidRDefault="00B6782A" w:rsidP="00331DF5">
            <w:pPr>
              <w:rPr>
                <w:sz w:val="20"/>
                <w:lang w:val="fr-CA"/>
              </w:rPr>
            </w:pPr>
          </w:p>
        </w:tc>
        <w:tc>
          <w:tcPr>
            <w:tcW w:w="2330" w:type="pct"/>
          </w:tcPr>
          <w:p w:rsidR="00B6782A" w:rsidRPr="00FA6366" w:rsidRDefault="00B6782A" w:rsidP="00331DF5">
            <w:pPr>
              <w:jc w:val="both"/>
              <w:rPr>
                <w:sz w:val="20"/>
                <w:lang w:val="fr-CA"/>
              </w:rPr>
            </w:pPr>
            <w:r w:rsidRPr="00FA6366">
              <w:rPr>
                <w:sz w:val="20"/>
                <w:lang w:val="fr-CA"/>
              </w:rPr>
              <w:t>Peine d’emprisonnement de trois ans pour violation d’une ordonnance de surveillance de longue durée</w:t>
            </w:r>
          </w:p>
          <w:p w:rsidR="00B6782A" w:rsidRPr="00FA6366" w:rsidRDefault="00B6782A" w:rsidP="00331DF5">
            <w:pPr>
              <w:rPr>
                <w:sz w:val="20"/>
                <w:lang w:val="fr-CA"/>
              </w:rPr>
            </w:pPr>
          </w:p>
        </w:tc>
      </w:tr>
      <w:tr w:rsidR="00B6782A" w:rsidRPr="00F03CF9" w:rsidTr="00331DF5">
        <w:tc>
          <w:tcPr>
            <w:tcW w:w="2427" w:type="pct"/>
          </w:tcPr>
          <w:p w:rsidR="00B6782A" w:rsidRPr="00FA6366" w:rsidRDefault="00B6782A" w:rsidP="00331DF5">
            <w:pPr>
              <w:rPr>
                <w:sz w:val="20"/>
                <w:lang w:val="fr-CA"/>
              </w:rPr>
            </w:pPr>
            <w:r w:rsidRPr="00FA6366">
              <w:rPr>
                <w:sz w:val="20"/>
                <w:lang w:val="fr-CA"/>
              </w:rPr>
              <w:t>8 mars 2011</w:t>
            </w:r>
          </w:p>
          <w:p w:rsidR="00B6782A" w:rsidRPr="00FA6366" w:rsidRDefault="00B6782A" w:rsidP="00331DF5">
            <w:pPr>
              <w:rPr>
                <w:sz w:val="20"/>
                <w:lang w:val="fr-CA"/>
              </w:rPr>
            </w:pPr>
            <w:r w:rsidRPr="00FA6366">
              <w:rPr>
                <w:sz w:val="20"/>
                <w:lang w:val="fr-CA"/>
              </w:rPr>
              <w:t>Cour d’appel de la Colombie</w:t>
            </w:r>
            <w:r w:rsidRPr="00FA6366">
              <w:rPr>
                <w:sz w:val="20"/>
                <w:lang w:val="fr-CA"/>
              </w:rPr>
              <w:noBreakHyphen/>
              <w:t xml:space="preserve">Britannique </w:t>
            </w:r>
          </w:p>
          <w:p w:rsidR="00B6782A" w:rsidRPr="00FA6366" w:rsidRDefault="00B6782A" w:rsidP="00331DF5">
            <w:pPr>
              <w:rPr>
                <w:sz w:val="20"/>
                <w:lang w:val="fr-CA"/>
              </w:rPr>
            </w:pPr>
            <w:r w:rsidRPr="00FA6366">
              <w:rPr>
                <w:sz w:val="20"/>
                <w:lang w:val="fr-CA"/>
              </w:rPr>
              <w:t>(Vancouver)</w:t>
            </w:r>
          </w:p>
          <w:p w:rsidR="00B6782A" w:rsidRPr="00FA6366" w:rsidRDefault="00B6782A" w:rsidP="00331DF5">
            <w:pPr>
              <w:rPr>
                <w:sz w:val="20"/>
                <w:lang w:val="fr-CA"/>
              </w:rPr>
            </w:pPr>
            <w:r w:rsidRPr="00FA6366">
              <w:rPr>
                <w:sz w:val="20"/>
                <w:lang w:val="fr-CA"/>
              </w:rPr>
              <w:t>(Juges Levine, Chiasson [dissident] et Bennett)</w:t>
            </w:r>
          </w:p>
          <w:p w:rsidR="00B6782A" w:rsidRPr="00FA6366" w:rsidRDefault="00B6782A" w:rsidP="00331DF5">
            <w:pPr>
              <w:rPr>
                <w:sz w:val="20"/>
                <w:lang w:val="fr-CA"/>
              </w:rPr>
            </w:pPr>
            <w:r w:rsidRPr="00FA6366">
              <w:rPr>
                <w:sz w:val="20"/>
                <w:lang w:val="fr-CA"/>
              </w:rPr>
              <w:t>2011 BCCA 101</w:t>
            </w:r>
          </w:p>
          <w:p w:rsidR="00B6782A" w:rsidRPr="00FA6366" w:rsidRDefault="00B6782A" w:rsidP="00331DF5">
            <w:pPr>
              <w:rPr>
                <w:sz w:val="20"/>
                <w:lang w:val="fr-CA"/>
              </w:rPr>
            </w:pPr>
            <w:r w:rsidRPr="00FA6366">
              <w:rPr>
                <w:sz w:val="20"/>
                <w:lang w:val="fr-CA"/>
              </w:rPr>
              <w:t>CA038126</w:t>
            </w:r>
          </w:p>
          <w:p w:rsidR="00B6782A" w:rsidRPr="00FA6366" w:rsidRDefault="00B6782A" w:rsidP="00331DF5">
            <w:pPr>
              <w:rPr>
                <w:sz w:val="20"/>
                <w:lang w:val="fr-CA"/>
              </w:rPr>
            </w:pPr>
          </w:p>
        </w:tc>
        <w:tc>
          <w:tcPr>
            <w:tcW w:w="243" w:type="pct"/>
          </w:tcPr>
          <w:p w:rsidR="00B6782A" w:rsidRPr="00FA6366" w:rsidRDefault="00B6782A" w:rsidP="00331DF5">
            <w:pPr>
              <w:rPr>
                <w:sz w:val="20"/>
                <w:lang w:val="fr-CA"/>
              </w:rPr>
            </w:pPr>
          </w:p>
        </w:tc>
        <w:tc>
          <w:tcPr>
            <w:tcW w:w="2330" w:type="pct"/>
          </w:tcPr>
          <w:p w:rsidR="00B6782A" w:rsidRPr="00FA6366" w:rsidRDefault="00B6782A" w:rsidP="00331DF5">
            <w:pPr>
              <w:rPr>
                <w:sz w:val="20"/>
                <w:lang w:val="fr-CA"/>
              </w:rPr>
            </w:pPr>
            <w:r w:rsidRPr="00FA6366">
              <w:rPr>
                <w:sz w:val="20"/>
                <w:lang w:val="fr-CA"/>
              </w:rPr>
              <w:t>Appel accueilli; peine réduite à un an</w:t>
            </w:r>
          </w:p>
          <w:p w:rsidR="00B6782A" w:rsidRPr="00FA6366" w:rsidRDefault="00B6782A" w:rsidP="00331DF5">
            <w:pPr>
              <w:rPr>
                <w:sz w:val="20"/>
                <w:lang w:val="fr-CA"/>
              </w:rPr>
            </w:pPr>
          </w:p>
        </w:tc>
      </w:tr>
      <w:tr w:rsidR="00B6782A" w:rsidRPr="00FA6366" w:rsidTr="00331DF5">
        <w:tc>
          <w:tcPr>
            <w:tcW w:w="2427" w:type="pct"/>
          </w:tcPr>
          <w:p w:rsidR="00B6782A" w:rsidRPr="00FA6366" w:rsidRDefault="00B6782A" w:rsidP="00331DF5">
            <w:pPr>
              <w:rPr>
                <w:sz w:val="20"/>
                <w:lang w:val="fr-CA"/>
              </w:rPr>
            </w:pPr>
            <w:r w:rsidRPr="00FA6366">
              <w:rPr>
                <w:sz w:val="20"/>
                <w:lang w:val="fr-CA"/>
              </w:rPr>
              <w:t>6 mai 2011</w:t>
            </w:r>
          </w:p>
          <w:p w:rsidR="00B6782A" w:rsidRPr="00FA6366" w:rsidRDefault="00B6782A" w:rsidP="00331DF5">
            <w:pPr>
              <w:rPr>
                <w:sz w:val="20"/>
                <w:lang w:val="fr-CA"/>
              </w:rPr>
            </w:pPr>
            <w:r w:rsidRPr="00FA6366">
              <w:rPr>
                <w:sz w:val="20"/>
                <w:lang w:val="fr-CA"/>
              </w:rPr>
              <w:t>Cour suprême du Canada</w:t>
            </w:r>
          </w:p>
          <w:p w:rsidR="00B6782A" w:rsidRPr="00FA6366" w:rsidRDefault="00B6782A" w:rsidP="00331DF5">
            <w:pPr>
              <w:rPr>
                <w:sz w:val="20"/>
                <w:lang w:val="fr-CA"/>
              </w:rPr>
            </w:pPr>
          </w:p>
        </w:tc>
        <w:tc>
          <w:tcPr>
            <w:tcW w:w="243" w:type="pct"/>
          </w:tcPr>
          <w:p w:rsidR="00B6782A" w:rsidRPr="00FA6366" w:rsidRDefault="00B6782A" w:rsidP="00331DF5">
            <w:pPr>
              <w:rPr>
                <w:sz w:val="20"/>
                <w:lang w:val="fr-CA"/>
              </w:rPr>
            </w:pPr>
          </w:p>
        </w:tc>
        <w:tc>
          <w:tcPr>
            <w:tcW w:w="2330" w:type="pct"/>
          </w:tcPr>
          <w:p w:rsidR="00B6782A" w:rsidRPr="00FA6366" w:rsidRDefault="00B6782A" w:rsidP="00331DF5">
            <w:pPr>
              <w:rPr>
                <w:sz w:val="20"/>
                <w:lang w:val="fr-CA"/>
              </w:rPr>
            </w:pPr>
            <w:r w:rsidRPr="00FA6366">
              <w:rPr>
                <w:sz w:val="20"/>
                <w:lang w:val="fr-CA"/>
              </w:rPr>
              <w:t>Demande d’autorisation d’appel, déposée</w:t>
            </w:r>
          </w:p>
          <w:p w:rsidR="00B6782A" w:rsidRPr="00FA6366" w:rsidRDefault="00B6782A" w:rsidP="00331DF5">
            <w:pPr>
              <w:rPr>
                <w:sz w:val="20"/>
                <w:lang w:val="fr-CA"/>
              </w:rPr>
            </w:pPr>
          </w:p>
        </w:tc>
      </w:tr>
      <w:tr w:rsidR="00B6782A" w:rsidRPr="00F03CF9" w:rsidTr="00331DF5">
        <w:tc>
          <w:tcPr>
            <w:tcW w:w="2427" w:type="pct"/>
          </w:tcPr>
          <w:p w:rsidR="00B6782A" w:rsidRPr="00FA6366" w:rsidRDefault="00B6782A" w:rsidP="00331DF5">
            <w:pPr>
              <w:rPr>
                <w:sz w:val="20"/>
                <w:lang w:val="fr-CA"/>
              </w:rPr>
            </w:pPr>
            <w:r w:rsidRPr="00FA6366">
              <w:rPr>
                <w:sz w:val="20"/>
                <w:lang w:val="fr-CA"/>
              </w:rPr>
              <w:t>9 juin 2011</w:t>
            </w:r>
          </w:p>
          <w:p w:rsidR="00B6782A" w:rsidRPr="00FA6366" w:rsidRDefault="00B6782A" w:rsidP="00331DF5">
            <w:pPr>
              <w:rPr>
                <w:sz w:val="20"/>
                <w:lang w:val="fr-CA"/>
              </w:rPr>
            </w:pPr>
            <w:r w:rsidRPr="00FA6366">
              <w:rPr>
                <w:sz w:val="20"/>
                <w:lang w:val="fr-CA"/>
              </w:rPr>
              <w:t>Cour suprême du Canada</w:t>
            </w:r>
          </w:p>
        </w:tc>
        <w:tc>
          <w:tcPr>
            <w:tcW w:w="243" w:type="pct"/>
          </w:tcPr>
          <w:p w:rsidR="00B6782A" w:rsidRPr="00FA6366" w:rsidRDefault="00B6782A" w:rsidP="00331DF5">
            <w:pPr>
              <w:rPr>
                <w:sz w:val="20"/>
                <w:lang w:val="fr-CA"/>
              </w:rPr>
            </w:pPr>
          </w:p>
        </w:tc>
        <w:tc>
          <w:tcPr>
            <w:tcW w:w="2330" w:type="pct"/>
          </w:tcPr>
          <w:p w:rsidR="00B6782A" w:rsidRPr="00FA6366" w:rsidRDefault="00B6782A" w:rsidP="00331DF5">
            <w:pPr>
              <w:jc w:val="both"/>
              <w:rPr>
                <w:sz w:val="20"/>
                <w:lang w:val="fr-CA"/>
              </w:rPr>
            </w:pPr>
            <w:r w:rsidRPr="00FA6366">
              <w:rPr>
                <w:sz w:val="20"/>
                <w:lang w:val="fr-CA"/>
              </w:rPr>
              <w:t>Requête visant à accélérer la procédure de demande d’autorisation d’appel, déposée</w:t>
            </w:r>
          </w:p>
        </w:tc>
      </w:tr>
    </w:tbl>
    <w:p w:rsidR="00D73FFD" w:rsidRPr="00B6782A" w:rsidRDefault="00D73FFD" w:rsidP="00D73FFD">
      <w:pPr>
        <w:rPr>
          <w:sz w:val="20"/>
          <w:szCs w:val="20"/>
          <w:lang w:val="fr-CA"/>
        </w:rPr>
      </w:pPr>
    </w:p>
    <w:p w:rsidR="00D73FFD" w:rsidRDefault="00EE1200" w:rsidP="00D73FFD">
      <w:pPr>
        <w:rPr>
          <w:sz w:val="20"/>
          <w:szCs w:val="20"/>
          <w:lang w:val="fr-CA"/>
        </w:rPr>
      </w:pPr>
      <w:r w:rsidRPr="00EE1200">
        <w:rPr>
          <w:sz w:val="20"/>
          <w:szCs w:val="20"/>
          <w:lang w:val="fr-CA"/>
        </w:rPr>
        <w:pict>
          <v:rect id="_x0000_i1067" style="width:2in;height:1pt" o:hrpct="0" o:hralign="center" o:hrstd="t" o:hrnoshade="t" o:hr="t" fillcolor="black [3213]" stroked="f"/>
        </w:pict>
      </w:r>
    </w:p>
    <w:p w:rsidR="00A1379E" w:rsidRDefault="00A1379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D7A77" w:rsidRPr="00ED7A77" w:rsidTr="000326AA">
        <w:trPr>
          <w:cantSplit/>
        </w:trPr>
        <w:tc>
          <w:tcPr>
            <w:tcW w:w="1458" w:type="dxa"/>
          </w:tcPr>
          <w:p w:rsidR="00ED7A77" w:rsidRPr="00ED7A77" w:rsidRDefault="00ED7A77" w:rsidP="000326AA">
            <w:pPr>
              <w:rPr>
                <w:rFonts w:cs="Times New Roman"/>
                <w:sz w:val="20"/>
                <w:szCs w:val="20"/>
              </w:rPr>
            </w:pPr>
            <w:r w:rsidRPr="00ED7A77">
              <w:rPr>
                <w:rStyle w:val="SCCFileNumberChar"/>
                <w:rFonts w:cs="Times New Roman"/>
                <w:sz w:val="20"/>
                <w:szCs w:val="20"/>
              </w:rPr>
              <w:lastRenderedPageBreak/>
              <w:t>34251</w:t>
            </w:r>
          </w:p>
          <w:p w:rsidR="00ED7A77" w:rsidRPr="00ED7A77" w:rsidRDefault="00ED7A77" w:rsidP="000326AA">
            <w:pPr>
              <w:rPr>
                <w:rFonts w:cs="Times New Roman"/>
                <w:b/>
                <w:sz w:val="20"/>
                <w:szCs w:val="20"/>
                <w:lang w:val="fr-CA"/>
              </w:rPr>
            </w:pPr>
          </w:p>
        </w:tc>
        <w:tc>
          <w:tcPr>
            <w:tcW w:w="8118" w:type="dxa"/>
          </w:tcPr>
          <w:p w:rsidR="00ED7A77" w:rsidRPr="00ED7A77" w:rsidRDefault="00ED7A77" w:rsidP="00ED7A77">
            <w:pPr>
              <w:jc w:val="both"/>
              <w:rPr>
                <w:rFonts w:cs="Times New Roman"/>
                <w:sz w:val="20"/>
                <w:szCs w:val="20"/>
              </w:rPr>
            </w:pPr>
            <w:r w:rsidRPr="00ED7A77">
              <w:rPr>
                <w:rStyle w:val="SCCLsocChar"/>
                <w:rFonts w:cs="Times New Roman"/>
                <w:sz w:val="20"/>
                <w:szCs w:val="20"/>
                <w:lang w:val="en-CA"/>
              </w:rPr>
              <w:t>Valery Fabrikant v. Drummond Jail, Archambault Jail, M.N.S. Swamy, TS Sankar and Sechadry Sankar</w:t>
            </w:r>
            <w:r w:rsidRPr="00ED7A77">
              <w:rPr>
                <w:rFonts w:cs="Times New Roman"/>
                <w:sz w:val="20"/>
                <w:szCs w:val="20"/>
              </w:rPr>
              <w:t xml:space="preserve"> (Que.) (Civil) (By Leave)</w:t>
            </w:r>
          </w:p>
          <w:p w:rsidR="00ED7A77" w:rsidRPr="00ED7A77" w:rsidRDefault="00ED7A77" w:rsidP="000326AA">
            <w:pPr>
              <w:rPr>
                <w:rFonts w:cs="Times New Roman"/>
                <w:sz w:val="20"/>
                <w:szCs w:val="20"/>
              </w:rPr>
            </w:pPr>
          </w:p>
        </w:tc>
      </w:tr>
      <w:tr w:rsidR="00ED7A77" w:rsidRPr="00ED7A77" w:rsidTr="000326AA">
        <w:trPr>
          <w:cantSplit/>
        </w:trPr>
        <w:tc>
          <w:tcPr>
            <w:tcW w:w="1458" w:type="dxa"/>
          </w:tcPr>
          <w:p w:rsidR="00ED7A77" w:rsidRPr="00ED7A77" w:rsidRDefault="00ED7A77" w:rsidP="000326AA">
            <w:pPr>
              <w:rPr>
                <w:rFonts w:cs="Times New Roman"/>
                <w:sz w:val="20"/>
                <w:szCs w:val="20"/>
              </w:rPr>
            </w:pPr>
            <w:r w:rsidRPr="00ED7A77">
              <w:rPr>
                <w:rFonts w:cs="Times New Roman"/>
                <w:sz w:val="20"/>
                <w:szCs w:val="20"/>
              </w:rPr>
              <w:t>Coram :</w:t>
            </w:r>
          </w:p>
        </w:tc>
        <w:tc>
          <w:tcPr>
            <w:tcW w:w="8118" w:type="dxa"/>
          </w:tcPr>
          <w:p w:rsidR="00ED7A77" w:rsidRPr="00ED7A77" w:rsidRDefault="00ED7A77" w:rsidP="000326AA">
            <w:pPr>
              <w:rPr>
                <w:rFonts w:cs="Times New Roman"/>
                <w:sz w:val="20"/>
                <w:szCs w:val="20"/>
              </w:rPr>
            </w:pPr>
            <w:r w:rsidRPr="00ED7A77">
              <w:rPr>
                <w:rStyle w:val="SCCCoramChar"/>
                <w:rFonts w:cs="Times New Roman"/>
                <w:sz w:val="20"/>
                <w:szCs w:val="20"/>
                <w:lang w:val="en-CA"/>
              </w:rPr>
              <w:t>LeBel, Fish and Cromwell JJ.</w:t>
            </w:r>
          </w:p>
          <w:p w:rsidR="00ED7A77" w:rsidRPr="00ED7A77" w:rsidRDefault="00ED7A77" w:rsidP="000326AA">
            <w:pPr>
              <w:rPr>
                <w:rFonts w:cs="Times New Roman"/>
                <w:sz w:val="20"/>
                <w:szCs w:val="20"/>
                <w:u w:val="single"/>
              </w:rPr>
            </w:pPr>
          </w:p>
        </w:tc>
      </w:tr>
      <w:tr w:rsidR="00ED7A77" w:rsidRPr="00F03CF9" w:rsidTr="000326AA">
        <w:trPr>
          <w:cantSplit/>
        </w:trPr>
        <w:tc>
          <w:tcPr>
            <w:tcW w:w="9576" w:type="dxa"/>
            <w:gridSpan w:val="2"/>
          </w:tcPr>
          <w:p w:rsidR="00ED7A77" w:rsidRPr="00ED7A77" w:rsidRDefault="00ED7A77" w:rsidP="000326AA">
            <w:pPr>
              <w:pStyle w:val="SCCShortJudgment"/>
              <w:rPr>
                <w:rFonts w:cs="Times New Roman"/>
                <w:szCs w:val="20"/>
              </w:rPr>
            </w:pPr>
            <w:r w:rsidRPr="00ED7A77">
              <w:rPr>
                <w:rFonts w:cs="Times New Roman"/>
                <w:szCs w:val="20"/>
              </w:rPr>
              <w:t>The application for leave to appeal from the judgment of the Court of Appeal of Quebec (Montréal), Number 500-09-021160-106, 2010 QCCA 2147, dated November 24, 2010, is dismissed with costs to the respondents M.N.S. Swamy, T.S. Sankar and Sechadry Sankar.</w:t>
            </w:r>
          </w:p>
          <w:p w:rsidR="00ED7A77" w:rsidRPr="00ED7A77" w:rsidRDefault="00ED7A77" w:rsidP="000326AA">
            <w:pPr>
              <w:pStyle w:val="SCCShortJudgment"/>
              <w:ind w:firstLine="0"/>
              <w:rPr>
                <w:rFonts w:cs="Times New Roman"/>
                <w:szCs w:val="20"/>
              </w:rPr>
            </w:pPr>
          </w:p>
          <w:p w:rsidR="00ED7A77" w:rsidRPr="00ED7A77" w:rsidRDefault="00ED7A77" w:rsidP="000326AA">
            <w:pPr>
              <w:pStyle w:val="SCCShortJudgment"/>
              <w:rPr>
                <w:rFonts w:cs="Times New Roman"/>
                <w:szCs w:val="20"/>
                <w:lang w:val="fr-CA"/>
              </w:rPr>
            </w:pPr>
            <w:r w:rsidRPr="00ED7A77">
              <w:rPr>
                <w:rFonts w:cs="Times New Roman"/>
                <w:szCs w:val="20"/>
                <w:lang w:val="fr-CA"/>
              </w:rPr>
              <w:t>La demande d’autorisation d’appel de l’arrêt de la Cour d’appel du Québec (Montréal), numéro 500-09-021160-106, 2010 QCCA 2147, daté du 24 novembre 2010, est rejetée avec dépens en faveur des intimés M.N.S. Swamy, T.S. Sankar et Sechadry Sankar.</w:t>
            </w:r>
          </w:p>
        </w:tc>
      </w:tr>
    </w:tbl>
    <w:p w:rsidR="00ED7A77" w:rsidRPr="00ED7A77" w:rsidRDefault="00ED7A77" w:rsidP="00D73FFD">
      <w:pPr>
        <w:rPr>
          <w:sz w:val="20"/>
          <w:szCs w:val="20"/>
          <w:lang w:val="fr-CA"/>
        </w:rPr>
      </w:pPr>
    </w:p>
    <w:p w:rsidR="00D73FFD" w:rsidRDefault="00D73FFD" w:rsidP="00D73FFD">
      <w:pPr>
        <w:rPr>
          <w:sz w:val="20"/>
          <w:szCs w:val="20"/>
        </w:rPr>
      </w:pPr>
      <w:r>
        <w:rPr>
          <w:sz w:val="20"/>
          <w:szCs w:val="20"/>
          <w:u w:val="single"/>
        </w:rPr>
        <w:t>CASE SUMMARY</w:t>
      </w:r>
    </w:p>
    <w:p w:rsidR="00D73FFD" w:rsidRDefault="00D73FFD" w:rsidP="00D73F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6782A" w:rsidRPr="00FA6366" w:rsidTr="00331DF5">
        <w:tc>
          <w:tcPr>
            <w:tcW w:w="5000" w:type="pct"/>
            <w:gridSpan w:val="3"/>
          </w:tcPr>
          <w:p w:rsidR="00B6782A" w:rsidRPr="00FA6366" w:rsidRDefault="00B6782A" w:rsidP="00331DF5">
            <w:pPr>
              <w:jc w:val="both"/>
              <w:rPr>
                <w:rFonts w:eastAsia="Calibri"/>
                <w:sz w:val="20"/>
              </w:rPr>
            </w:pPr>
            <w:r w:rsidRPr="00FA6366">
              <w:rPr>
                <w:rFonts w:eastAsia="Calibri"/>
                <w:sz w:val="20"/>
              </w:rPr>
              <w:t>Procedure — Whether Court of Appeal should have given permission to appeal — Whether applicant’s request to file a motion for recusation should have been granted — Whether the Chief Justice of the Court of Appeal should have directed to open a file for the applicant’s motion for leave to appeal.</w:t>
            </w:r>
          </w:p>
          <w:p w:rsidR="00B6782A" w:rsidRPr="00FA6366" w:rsidRDefault="00B6782A" w:rsidP="00331DF5">
            <w:pPr>
              <w:jc w:val="both"/>
              <w:rPr>
                <w:rFonts w:eastAsia="Calibri"/>
                <w:sz w:val="20"/>
              </w:rPr>
            </w:pPr>
          </w:p>
        </w:tc>
      </w:tr>
      <w:tr w:rsidR="00B6782A" w:rsidRPr="00FA6366" w:rsidTr="00331DF5">
        <w:tc>
          <w:tcPr>
            <w:tcW w:w="5000" w:type="pct"/>
            <w:gridSpan w:val="3"/>
          </w:tcPr>
          <w:p w:rsidR="00B6782A" w:rsidRPr="00FA6366" w:rsidRDefault="00B6782A" w:rsidP="00331DF5">
            <w:pPr>
              <w:jc w:val="both"/>
              <w:rPr>
                <w:rFonts w:eastAsia="Calibri"/>
                <w:sz w:val="20"/>
              </w:rPr>
            </w:pPr>
            <w:r w:rsidRPr="00FA6366">
              <w:rPr>
                <w:rFonts w:eastAsia="Calibri"/>
                <w:sz w:val="20"/>
              </w:rPr>
              <w:t>In 1992, Mr. Fabrikant filed a claim for declaratory remedies and for damages. In 2007, the presiding judge at the trial removed himself from the file.  The trial was continued by another judge, but she dismissed the action in November, 2007, on the ground that it was an abuse of process.  The Court of Appeal allowed Mr. Fabrikant’s appeal on the ground that he had not been given an opportunity to argue against the dismissal of the action, and ordered that the proceeding be continued where it had been terminated.  Chief Justice Rolland was appointed to preside at the trial. Mr. Fabrikant then filed a “motion for relief” and an “application for special rule to appear against accusation of contempt of court”.</w:t>
            </w:r>
          </w:p>
          <w:p w:rsidR="00B6782A" w:rsidRPr="00FA6366" w:rsidRDefault="00B6782A" w:rsidP="00331DF5">
            <w:pPr>
              <w:jc w:val="both"/>
              <w:rPr>
                <w:rFonts w:eastAsia="Calibri"/>
                <w:sz w:val="20"/>
              </w:rPr>
            </w:pPr>
          </w:p>
          <w:p w:rsidR="00B6782A" w:rsidRPr="00FA6366" w:rsidRDefault="00B6782A" w:rsidP="00331DF5">
            <w:pPr>
              <w:jc w:val="both"/>
              <w:rPr>
                <w:rFonts w:eastAsia="Calibri"/>
                <w:sz w:val="20"/>
              </w:rPr>
            </w:pPr>
            <w:r w:rsidRPr="00FA6366">
              <w:rPr>
                <w:rFonts w:eastAsia="Calibri"/>
                <w:sz w:val="20"/>
              </w:rPr>
              <w:t xml:space="preserve">Chief Justice Rolland granted the motion for relief in part, on an issue of access to a computer. He dismissed the “application for special rule to appear”, noting that there was no basis for an accusation of contempt of court.  Justice Duval Hesler at the Court of Appeal dismissed Mr. Fabrikant’s motion for leave to appeal from those two judgments. </w:t>
            </w:r>
          </w:p>
          <w:p w:rsidR="00B6782A" w:rsidRPr="00FA6366" w:rsidRDefault="00B6782A" w:rsidP="00331DF5">
            <w:pPr>
              <w:jc w:val="both"/>
              <w:rPr>
                <w:rFonts w:eastAsia="Calibri"/>
                <w:sz w:val="20"/>
              </w:rPr>
            </w:pPr>
          </w:p>
          <w:p w:rsidR="00B6782A" w:rsidRPr="00FA6366" w:rsidRDefault="00B6782A" w:rsidP="00331DF5">
            <w:pPr>
              <w:jc w:val="both"/>
              <w:rPr>
                <w:rFonts w:eastAsia="Calibri"/>
                <w:sz w:val="20"/>
              </w:rPr>
            </w:pPr>
            <w:r w:rsidRPr="00FA6366">
              <w:rPr>
                <w:rFonts w:eastAsia="Calibri"/>
                <w:sz w:val="20"/>
              </w:rPr>
              <w:t xml:space="preserve">Mr. Fabrikant then requested authorizations to file motions for revocation against Chief Justice Rolland, but in a letter dated December 8, 2010, Rolland C.J. refused the request.  Mr. Fabrikant then sought to apply for leave to appeal this letter, but on December 17, 2010, Chief Justice Robert of the Court of Appeal informed Mr. Fabrikant by letter that the motion was not well founded in law and that it would not be put on the roll. </w:t>
            </w:r>
          </w:p>
          <w:p w:rsidR="00B6782A" w:rsidRPr="00FA6366" w:rsidRDefault="00B6782A" w:rsidP="00331DF5">
            <w:pPr>
              <w:jc w:val="both"/>
              <w:rPr>
                <w:rFonts w:eastAsia="Calibri"/>
                <w:sz w:val="20"/>
              </w:rPr>
            </w:pPr>
          </w:p>
        </w:tc>
      </w:tr>
      <w:tr w:rsidR="00B6782A" w:rsidRPr="00FA6366" w:rsidTr="00331DF5">
        <w:tc>
          <w:tcPr>
            <w:tcW w:w="2427" w:type="pct"/>
          </w:tcPr>
          <w:p w:rsidR="00B6782A" w:rsidRPr="00FA6366" w:rsidRDefault="00B6782A" w:rsidP="00331DF5">
            <w:pPr>
              <w:jc w:val="both"/>
              <w:rPr>
                <w:rFonts w:eastAsia="Calibri"/>
                <w:sz w:val="20"/>
              </w:rPr>
            </w:pPr>
            <w:r w:rsidRPr="00FA6366">
              <w:rPr>
                <w:rFonts w:eastAsia="Calibri"/>
                <w:sz w:val="20"/>
              </w:rPr>
              <w:t>October 29, 2010</w:t>
            </w:r>
          </w:p>
          <w:p w:rsidR="00B6782A" w:rsidRPr="00FA6366" w:rsidRDefault="00B6782A" w:rsidP="00331DF5">
            <w:pPr>
              <w:jc w:val="both"/>
              <w:rPr>
                <w:rFonts w:eastAsia="Calibri"/>
                <w:sz w:val="20"/>
              </w:rPr>
            </w:pPr>
            <w:r w:rsidRPr="00FA6366">
              <w:rPr>
                <w:rFonts w:eastAsia="Calibri"/>
                <w:sz w:val="20"/>
              </w:rPr>
              <w:t>Superior Court of Quebec</w:t>
            </w:r>
          </w:p>
          <w:p w:rsidR="00B6782A" w:rsidRPr="00FA6366" w:rsidRDefault="00B6782A" w:rsidP="00331DF5">
            <w:pPr>
              <w:jc w:val="both"/>
              <w:rPr>
                <w:rFonts w:eastAsia="Calibri"/>
                <w:sz w:val="20"/>
              </w:rPr>
            </w:pPr>
            <w:r w:rsidRPr="00FA6366">
              <w:rPr>
                <w:rFonts w:eastAsia="Calibri"/>
                <w:sz w:val="20"/>
              </w:rPr>
              <w:t>(Rolland C.J.)</w:t>
            </w:r>
          </w:p>
          <w:p w:rsidR="00B6782A" w:rsidRPr="00FA6366" w:rsidRDefault="00B6782A" w:rsidP="00331DF5">
            <w:pPr>
              <w:jc w:val="both"/>
              <w:rPr>
                <w:rFonts w:eastAsia="Calibri"/>
                <w:sz w:val="20"/>
              </w:rPr>
            </w:pPr>
          </w:p>
        </w:tc>
        <w:tc>
          <w:tcPr>
            <w:tcW w:w="243" w:type="pct"/>
          </w:tcPr>
          <w:p w:rsidR="00B6782A" w:rsidRPr="00FA6366" w:rsidRDefault="00B6782A" w:rsidP="00331DF5">
            <w:pPr>
              <w:jc w:val="both"/>
              <w:rPr>
                <w:rFonts w:eastAsia="Calibri"/>
                <w:sz w:val="20"/>
              </w:rPr>
            </w:pPr>
          </w:p>
        </w:tc>
        <w:tc>
          <w:tcPr>
            <w:tcW w:w="2330" w:type="pct"/>
          </w:tcPr>
          <w:p w:rsidR="00B6782A" w:rsidRPr="00FA6366" w:rsidRDefault="00B6782A" w:rsidP="00331DF5">
            <w:pPr>
              <w:jc w:val="both"/>
              <w:rPr>
                <w:rFonts w:eastAsia="Calibri"/>
                <w:sz w:val="20"/>
              </w:rPr>
            </w:pPr>
            <w:r w:rsidRPr="00FA6366">
              <w:rPr>
                <w:rFonts w:eastAsia="Calibri"/>
                <w:sz w:val="20"/>
              </w:rPr>
              <w:t>Motion for relief granted in part; application for special rule to apply against accusation of contempt of court dismissed</w:t>
            </w:r>
          </w:p>
          <w:p w:rsidR="00B6782A" w:rsidRPr="00FA6366" w:rsidRDefault="00B6782A" w:rsidP="00331DF5">
            <w:pPr>
              <w:jc w:val="both"/>
              <w:rPr>
                <w:rFonts w:eastAsia="Calibri"/>
                <w:sz w:val="20"/>
              </w:rPr>
            </w:pPr>
          </w:p>
        </w:tc>
      </w:tr>
      <w:tr w:rsidR="00B6782A" w:rsidRPr="00FA6366" w:rsidTr="00331DF5">
        <w:tc>
          <w:tcPr>
            <w:tcW w:w="2427" w:type="pct"/>
          </w:tcPr>
          <w:p w:rsidR="00B6782A" w:rsidRPr="00FA6366" w:rsidRDefault="00B6782A" w:rsidP="00331DF5">
            <w:pPr>
              <w:jc w:val="both"/>
              <w:rPr>
                <w:rFonts w:eastAsia="Calibri"/>
                <w:sz w:val="20"/>
              </w:rPr>
            </w:pPr>
            <w:r w:rsidRPr="00FA6366">
              <w:rPr>
                <w:rFonts w:eastAsia="Calibri"/>
                <w:sz w:val="20"/>
              </w:rPr>
              <w:t>November 24, 2010</w:t>
            </w:r>
          </w:p>
          <w:p w:rsidR="00B6782A" w:rsidRPr="00FA6366" w:rsidRDefault="00B6782A" w:rsidP="00331DF5">
            <w:pPr>
              <w:jc w:val="both"/>
              <w:rPr>
                <w:rFonts w:eastAsia="Calibri"/>
                <w:sz w:val="20"/>
              </w:rPr>
            </w:pPr>
            <w:r w:rsidRPr="00FA6366">
              <w:rPr>
                <w:rFonts w:eastAsia="Calibri"/>
                <w:sz w:val="20"/>
              </w:rPr>
              <w:t>Court of Appeal of Quebec (Montréal)</w:t>
            </w:r>
          </w:p>
          <w:p w:rsidR="00B6782A" w:rsidRPr="00FA6366" w:rsidRDefault="00B6782A" w:rsidP="00331DF5">
            <w:pPr>
              <w:jc w:val="both"/>
              <w:rPr>
                <w:rFonts w:eastAsia="Calibri"/>
                <w:sz w:val="20"/>
              </w:rPr>
            </w:pPr>
            <w:r w:rsidRPr="00FA6366">
              <w:rPr>
                <w:rFonts w:eastAsia="Calibri"/>
                <w:sz w:val="20"/>
              </w:rPr>
              <w:t>(Duval Hesler J.A.)</w:t>
            </w:r>
          </w:p>
          <w:p w:rsidR="00B6782A" w:rsidRPr="00FA6366" w:rsidRDefault="00B6782A" w:rsidP="00331DF5">
            <w:pPr>
              <w:jc w:val="both"/>
              <w:rPr>
                <w:rFonts w:eastAsia="Calibri"/>
                <w:sz w:val="20"/>
              </w:rPr>
            </w:pPr>
            <w:r w:rsidRPr="00FA6366">
              <w:rPr>
                <w:rFonts w:eastAsia="Calibri"/>
                <w:sz w:val="20"/>
              </w:rPr>
              <w:t>2010 QCCA 2147</w:t>
            </w:r>
          </w:p>
          <w:p w:rsidR="00B6782A" w:rsidRPr="00FA6366" w:rsidRDefault="00B6782A" w:rsidP="00331DF5">
            <w:pPr>
              <w:jc w:val="both"/>
              <w:rPr>
                <w:rFonts w:eastAsia="Calibri"/>
                <w:sz w:val="20"/>
              </w:rPr>
            </w:pPr>
          </w:p>
        </w:tc>
        <w:tc>
          <w:tcPr>
            <w:tcW w:w="243" w:type="pct"/>
          </w:tcPr>
          <w:p w:rsidR="00B6782A" w:rsidRPr="00FA6366" w:rsidRDefault="00B6782A" w:rsidP="00331DF5">
            <w:pPr>
              <w:jc w:val="both"/>
              <w:rPr>
                <w:rFonts w:eastAsia="Calibri"/>
                <w:sz w:val="20"/>
              </w:rPr>
            </w:pPr>
          </w:p>
        </w:tc>
        <w:tc>
          <w:tcPr>
            <w:tcW w:w="2330" w:type="pct"/>
          </w:tcPr>
          <w:p w:rsidR="00B6782A" w:rsidRPr="00FA6366" w:rsidRDefault="00B6782A" w:rsidP="00331DF5">
            <w:pPr>
              <w:jc w:val="both"/>
              <w:rPr>
                <w:rFonts w:eastAsia="Calibri"/>
                <w:sz w:val="20"/>
              </w:rPr>
            </w:pPr>
            <w:r w:rsidRPr="00FA6366">
              <w:rPr>
                <w:rFonts w:eastAsia="Calibri"/>
                <w:sz w:val="20"/>
              </w:rPr>
              <w:t>Motion for leave to appeal dismissed</w:t>
            </w:r>
          </w:p>
          <w:p w:rsidR="00B6782A" w:rsidRPr="00FA6366" w:rsidRDefault="00B6782A" w:rsidP="00331DF5">
            <w:pPr>
              <w:jc w:val="both"/>
              <w:rPr>
                <w:rFonts w:eastAsia="Calibri"/>
                <w:sz w:val="20"/>
              </w:rPr>
            </w:pPr>
          </w:p>
        </w:tc>
      </w:tr>
      <w:tr w:rsidR="00B6782A" w:rsidRPr="00FA6366" w:rsidTr="00331DF5">
        <w:tc>
          <w:tcPr>
            <w:tcW w:w="2427" w:type="pct"/>
          </w:tcPr>
          <w:p w:rsidR="00B6782A" w:rsidRPr="00FA6366" w:rsidRDefault="00B6782A" w:rsidP="00331DF5">
            <w:pPr>
              <w:jc w:val="both"/>
              <w:rPr>
                <w:rFonts w:eastAsia="Calibri"/>
                <w:sz w:val="20"/>
              </w:rPr>
            </w:pPr>
            <w:r w:rsidRPr="00FA6366">
              <w:rPr>
                <w:rFonts w:eastAsia="Calibri"/>
                <w:sz w:val="20"/>
              </w:rPr>
              <w:t>January 4, 2011</w:t>
            </w:r>
          </w:p>
          <w:p w:rsidR="00B6782A" w:rsidRPr="00FA6366" w:rsidRDefault="00B6782A" w:rsidP="00331DF5">
            <w:pPr>
              <w:jc w:val="both"/>
              <w:rPr>
                <w:rFonts w:eastAsia="Calibri"/>
                <w:sz w:val="20"/>
              </w:rPr>
            </w:pPr>
            <w:r w:rsidRPr="00FA6366">
              <w:rPr>
                <w:rFonts w:eastAsia="Calibri"/>
                <w:sz w:val="20"/>
              </w:rPr>
              <w:t>Supreme Court of Canada</w:t>
            </w:r>
          </w:p>
        </w:tc>
        <w:tc>
          <w:tcPr>
            <w:tcW w:w="243" w:type="pct"/>
          </w:tcPr>
          <w:p w:rsidR="00B6782A" w:rsidRPr="00FA6366" w:rsidRDefault="00B6782A" w:rsidP="00331DF5">
            <w:pPr>
              <w:jc w:val="both"/>
              <w:rPr>
                <w:rFonts w:eastAsia="Calibri"/>
                <w:sz w:val="20"/>
              </w:rPr>
            </w:pPr>
          </w:p>
        </w:tc>
        <w:tc>
          <w:tcPr>
            <w:tcW w:w="2330" w:type="pct"/>
          </w:tcPr>
          <w:p w:rsidR="00B6782A" w:rsidRPr="00FA6366" w:rsidRDefault="00B6782A" w:rsidP="00331DF5">
            <w:pPr>
              <w:jc w:val="both"/>
              <w:rPr>
                <w:rFonts w:eastAsia="Calibri"/>
                <w:sz w:val="20"/>
              </w:rPr>
            </w:pPr>
            <w:r w:rsidRPr="00FA6366">
              <w:rPr>
                <w:rFonts w:eastAsia="Calibri"/>
                <w:sz w:val="20"/>
              </w:rPr>
              <w:t>Application for leave to appeal filed</w:t>
            </w:r>
          </w:p>
          <w:p w:rsidR="00B6782A" w:rsidRPr="00FA6366" w:rsidRDefault="00B6782A" w:rsidP="00331DF5">
            <w:pPr>
              <w:jc w:val="both"/>
              <w:rPr>
                <w:rFonts w:eastAsia="Calibri"/>
                <w:sz w:val="20"/>
              </w:rPr>
            </w:pPr>
          </w:p>
        </w:tc>
      </w:tr>
    </w:tbl>
    <w:p w:rsidR="00D73FFD" w:rsidRDefault="00D73FFD" w:rsidP="00D73FFD">
      <w:pPr>
        <w:rPr>
          <w:sz w:val="20"/>
          <w:szCs w:val="20"/>
        </w:rPr>
      </w:pPr>
    </w:p>
    <w:p w:rsidR="00D73FFD" w:rsidRPr="00D73FFD" w:rsidRDefault="00EE1200" w:rsidP="00D73FFD">
      <w:pPr>
        <w:rPr>
          <w:sz w:val="20"/>
          <w:szCs w:val="20"/>
        </w:rPr>
      </w:pPr>
      <w:r w:rsidRPr="00EE1200">
        <w:rPr>
          <w:sz w:val="20"/>
          <w:szCs w:val="20"/>
          <w:lang w:val="fr-CA"/>
        </w:rPr>
        <w:pict>
          <v:rect id="_x0000_i1068" style="width:2in;height:1pt" o:hrpct="0" o:hralign="center" o:hrstd="t" o:hrnoshade="t" o:hr="t" fillcolor="black [3213]" stroked="f"/>
        </w:pict>
      </w:r>
    </w:p>
    <w:p w:rsidR="00ED7A77" w:rsidRDefault="00ED7A77">
      <w:pPr>
        <w:rPr>
          <w:sz w:val="20"/>
          <w:szCs w:val="20"/>
        </w:rPr>
      </w:pPr>
      <w:r>
        <w:rPr>
          <w:sz w:val="20"/>
          <w:szCs w:val="20"/>
        </w:rPr>
        <w:br w:type="page"/>
      </w:r>
    </w:p>
    <w:p w:rsidR="00D73FFD" w:rsidRPr="00D73FFD" w:rsidRDefault="00D73FFD" w:rsidP="00D73FFD">
      <w:pPr>
        <w:rPr>
          <w:sz w:val="20"/>
          <w:szCs w:val="20"/>
        </w:rPr>
      </w:pPr>
      <w:r>
        <w:rPr>
          <w:sz w:val="20"/>
          <w:szCs w:val="20"/>
          <w:u w:val="single"/>
        </w:rPr>
        <w:lastRenderedPageBreak/>
        <w:t>RÉSUMÉ DE L’AFFAIRE</w:t>
      </w:r>
    </w:p>
    <w:p w:rsidR="00D73FFD" w:rsidRDefault="00D73FFD" w:rsidP="00D73F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6782A" w:rsidRPr="00F03CF9" w:rsidTr="00331DF5">
        <w:tc>
          <w:tcPr>
            <w:tcW w:w="5000" w:type="pct"/>
            <w:gridSpan w:val="3"/>
          </w:tcPr>
          <w:p w:rsidR="00B6782A" w:rsidRPr="00FA6366" w:rsidRDefault="00B6782A" w:rsidP="00331DF5">
            <w:pPr>
              <w:jc w:val="both"/>
              <w:rPr>
                <w:rFonts w:eastAsia="Calibri"/>
                <w:sz w:val="20"/>
                <w:lang w:val="fr-CA"/>
              </w:rPr>
            </w:pPr>
            <w:r w:rsidRPr="00FA6366">
              <w:rPr>
                <w:rFonts w:eastAsia="Calibri"/>
                <w:sz w:val="20"/>
                <w:lang w:val="fr-CA"/>
              </w:rPr>
              <w:t>Procédure — La Cour d’appel aurait</w:t>
            </w:r>
            <w:r w:rsidRPr="00FA6366">
              <w:rPr>
                <w:rFonts w:eastAsia="Calibri"/>
                <w:sz w:val="20"/>
                <w:lang w:val="fr-CA"/>
              </w:rPr>
              <w:noBreakHyphen/>
              <w:t>elle dû donner la permission d’appel? — La demande du demandeur pour déposer une requête en récusation aurait</w:t>
            </w:r>
            <w:r w:rsidRPr="00FA6366">
              <w:rPr>
                <w:rFonts w:eastAsia="Calibri"/>
                <w:sz w:val="20"/>
                <w:lang w:val="fr-CA"/>
              </w:rPr>
              <w:noBreakHyphen/>
              <w:t>elle dû être accueillie? — Le juge en chef de la Cour d’appel aurait</w:t>
            </w:r>
            <w:r w:rsidRPr="00FA6366">
              <w:rPr>
                <w:rFonts w:eastAsia="Calibri"/>
                <w:sz w:val="20"/>
                <w:lang w:val="fr-CA"/>
              </w:rPr>
              <w:noBreakHyphen/>
              <w:t>il dû demander l’ouverture d’un dossier pour la requête en autorisation d’appel du demandeur?</w:t>
            </w:r>
          </w:p>
          <w:p w:rsidR="00B6782A" w:rsidRPr="00FA6366" w:rsidRDefault="00B6782A" w:rsidP="00331DF5">
            <w:pPr>
              <w:jc w:val="both"/>
              <w:rPr>
                <w:rFonts w:eastAsia="Calibri"/>
                <w:sz w:val="20"/>
                <w:lang w:val="fr-CA"/>
              </w:rPr>
            </w:pPr>
          </w:p>
        </w:tc>
      </w:tr>
      <w:tr w:rsidR="00B6782A" w:rsidRPr="00F03CF9" w:rsidTr="00331DF5">
        <w:tc>
          <w:tcPr>
            <w:tcW w:w="5000" w:type="pct"/>
            <w:gridSpan w:val="3"/>
          </w:tcPr>
          <w:p w:rsidR="00B6782A" w:rsidRPr="00FA6366" w:rsidRDefault="00B6782A" w:rsidP="00331DF5">
            <w:pPr>
              <w:jc w:val="both"/>
              <w:rPr>
                <w:rFonts w:eastAsia="Calibri"/>
                <w:sz w:val="20"/>
                <w:lang w:val="fr-CA"/>
              </w:rPr>
            </w:pPr>
            <w:r w:rsidRPr="00FA6366">
              <w:rPr>
                <w:rFonts w:eastAsia="Calibri"/>
                <w:sz w:val="20"/>
                <w:lang w:val="fr-CA"/>
              </w:rPr>
              <w:t>En 1992, M. Fabrikant a déposé une demande en jugements déclaratoires et en dommages</w:t>
            </w:r>
            <w:r w:rsidRPr="00FA6366">
              <w:rPr>
                <w:rFonts w:eastAsia="Calibri"/>
                <w:sz w:val="20"/>
                <w:lang w:val="fr-CA"/>
              </w:rPr>
              <w:noBreakHyphen/>
              <w:t>intérêts.  En 2007, le juge qui présidait le procès s’est récusé.  Le procès a repris sous la présidence d’une autre juge, mais celle</w:t>
            </w:r>
            <w:r w:rsidRPr="00FA6366">
              <w:rPr>
                <w:rFonts w:eastAsia="Calibri"/>
                <w:sz w:val="20"/>
                <w:lang w:val="fr-CA"/>
              </w:rPr>
              <w:noBreakHyphen/>
              <w:t>ci a rejeté l’action en novembre 2007 au motif qu’il s’agissait d’un abus de procédure.  La Cour d’appel a accueilli l’appel de M. Fabrikant au motif qu’il ne s’était pas vu accorder l’occasion de plaider contre le rejet de l’action et a ordonné que l’instance reprenne à partir de l’étape à laquelle il y avait été mis fin.  Le juge en chef Rolland a été nommé pour présider le procès.  Monsieur Fabrikant a alors déposé une [</w:t>
            </w:r>
            <w:r w:rsidRPr="00FA6366">
              <w:rPr>
                <w:rFonts w:eastAsia="Calibri"/>
                <w:smallCaps/>
                <w:sz w:val="20"/>
                <w:lang w:val="fr-CA"/>
              </w:rPr>
              <w:t>traduction</w:t>
            </w:r>
            <w:r w:rsidRPr="00FA6366">
              <w:rPr>
                <w:rFonts w:eastAsia="Calibri"/>
                <w:sz w:val="20"/>
                <w:lang w:val="fr-CA"/>
              </w:rPr>
              <w:t>] « requête en réparation » et une [</w:t>
            </w:r>
            <w:r w:rsidRPr="00FA6366">
              <w:rPr>
                <w:rFonts w:eastAsia="Calibri"/>
                <w:smallCaps/>
                <w:sz w:val="20"/>
                <w:lang w:val="fr-CA"/>
              </w:rPr>
              <w:t>traduction</w:t>
            </w:r>
            <w:r w:rsidRPr="00FA6366">
              <w:rPr>
                <w:rFonts w:eastAsia="Calibri"/>
                <w:sz w:val="20"/>
                <w:lang w:val="fr-CA"/>
              </w:rPr>
              <w:t>] « demande de règle spéciale pour comparaître contre les accusations d’outrage au tribunal ».</w:t>
            </w:r>
          </w:p>
          <w:p w:rsidR="00B6782A" w:rsidRPr="00FA6366" w:rsidRDefault="00B6782A" w:rsidP="00331DF5">
            <w:pPr>
              <w:jc w:val="both"/>
              <w:rPr>
                <w:rFonts w:eastAsia="Calibri"/>
                <w:sz w:val="20"/>
                <w:lang w:val="fr-CA"/>
              </w:rPr>
            </w:pPr>
          </w:p>
          <w:p w:rsidR="00B6782A" w:rsidRPr="00FA6366" w:rsidRDefault="00B6782A" w:rsidP="00331DF5">
            <w:pPr>
              <w:jc w:val="both"/>
              <w:rPr>
                <w:rFonts w:eastAsia="Calibri"/>
                <w:sz w:val="20"/>
                <w:lang w:val="fr-CA"/>
              </w:rPr>
            </w:pPr>
            <w:r w:rsidRPr="00FA6366">
              <w:rPr>
                <w:rFonts w:eastAsia="Calibri"/>
                <w:sz w:val="20"/>
                <w:lang w:val="fr-CA"/>
              </w:rPr>
              <w:t xml:space="preserve">Le juge en chef Rolland a accueilli la requête en réparation en partie sur une question d’accès à un ordinateur.  Il a rejeté la « demande de règle spéciale pour comparaître », notant qu’une accusation d’outrage au tribunal n’avait aucun fondement.  La juge Duval Hesler de la Cour d’appel a rejeté la requête en autorisation d’appel de ces deux jugements présentés par M. Fabrikant. </w:t>
            </w:r>
          </w:p>
          <w:p w:rsidR="00B6782A" w:rsidRPr="00FA6366" w:rsidRDefault="00B6782A" w:rsidP="00331DF5">
            <w:pPr>
              <w:jc w:val="both"/>
              <w:rPr>
                <w:rFonts w:eastAsia="Calibri"/>
                <w:sz w:val="20"/>
                <w:lang w:val="fr-CA"/>
              </w:rPr>
            </w:pPr>
          </w:p>
          <w:p w:rsidR="00B6782A" w:rsidRPr="00FA6366" w:rsidRDefault="00B6782A" w:rsidP="00331DF5">
            <w:pPr>
              <w:jc w:val="both"/>
              <w:rPr>
                <w:rFonts w:eastAsia="Calibri"/>
                <w:sz w:val="20"/>
                <w:lang w:val="fr-CA"/>
              </w:rPr>
            </w:pPr>
            <w:r w:rsidRPr="00FA6366">
              <w:rPr>
                <w:rFonts w:eastAsia="Calibri"/>
                <w:sz w:val="20"/>
                <w:lang w:val="fr-CA"/>
              </w:rPr>
              <w:t xml:space="preserve">Monsieur Fabrikant a alors demandé des autorisations pour déposer des requêtes en récusation du juge en chef Rolland, mais dans une lettre datée du 8 décembre 2010, le juge en chef Rolland a rejeté la demande.  Monsieur Fabrikant a alors demandé l’autorisation d’appel de cette lettre, mais le 17 décembre 2010, le juge en chef Robert de la Cour d’appel a informé M. Fabrikant par lettre que la requête était mal fondée en droit et qu’elle ne serait pas mise au rôle. </w:t>
            </w:r>
          </w:p>
          <w:p w:rsidR="00B6782A" w:rsidRPr="00FA6366" w:rsidRDefault="00B6782A" w:rsidP="00331DF5">
            <w:pPr>
              <w:jc w:val="both"/>
              <w:rPr>
                <w:rFonts w:eastAsia="Calibri"/>
                <w:sz w:val="20"/>
                <w:lang w:val="fr-CA"/>
              </w:rPr>
            </w:pPr>
          </w:p>
        </w:tc>
      </w:tr>
      <w:tr w:rsidR="00B6782A" w:rsidRPr="00F03CF9" w:rsidTr="00331DF5">
        <w:tc>
          <w:tcPr>
            <w:tcW w:w="2427" w:type="pct"/>
          </w:tcPr>
          <w:p w:rsidR="00B6782A" w:rsidRPr="00FA6366" w:rsidRDefault="00B6782A" w:rsidP="00331DF5">
            <w:pPr>
              <w:jc w:val="both"/>
              <w:rPr>
                <w:rFonts w:eastAsia="Calibri"/>
                <w:sz w:val="20"/>
                <w:lang w:val="fr-CA"/>
              </w:rPr>
            </w:pPr>
            <w:r w:rsidRPr="00FA6366">
              <w:rPr>
                <w:rFonts w:eastAsia="Calibri"/>
                <w:sz w:val="20"/>
                <w:lang w:val="fr-CA"/>
              </w:rPr>
              <w:t>29 octobre 2010</w:t>
            </w:r>
          </w:p>
          <w:p w:rsidR="00B6782A" w:rsidRPr="00FA6366" w:rsidRDefault="00B6782A" w:rsidP="00331DF5">
            <w:pPr>
              <w:jc w:val="both"/>
              <w:rPr>
                <w:rFonts w:eastAsia="Calibri"/>
                <w:sz w:val="20"/>
                <w:lang w:val="fr-CA"/>
              </w:rPr>
            </w:pPr>
            <w:r w:rsidRPr="00FA6366">
              <w:rPr>
                <w:rFonts w:eastAsia="Calibri"/>
                <w:sz w:val="20"/>
                <w:lang w:val="fr-CA"/>
              </w:rPr>
              <w:t xml:space="preserve">Cour supérieure du Québec </w:t>
            </w:r>
          </w:p>
          <w:p w:rsidR="00B6782A" w:rsidRPr="00FA6366" w:rsidRDefault="00B6782A" w:rsidP="00331DF5">
            <w:pPr>
              <w:jc w:val="both"/>
              <w:rPr>
                <w:rFonts w:eastAsia="Calibri"/>
                <w:sz w:val="20"/>
                <w:lang w:val="fr-CA"/>
              </w:rPr>
            </w:pPr>
            <w:r w:rsidRPr="00FA6366">
              <w:rPr>
                <w:rFonts w:eastAsia="Calibri"/>
                <w:sz w:val="20"/>
                <w:lang w:val="fr-CA"/>
              </w:rPr>
              <w:t>(Juge en chef Rolland)</w:t>
            </w:r>
          </w:p>
          <w:p w:rsidR="00B6782A" w:rsidRPr="00FA6366" w:rsidRDefault="00B6782A" w:rsidP="00331DF5">
            <w:pPr>
              <w:jc w:val="both"/>
              <w:rPr>
                <w:rFonts w:eastAsia="Calibri"/>
                <w:sz w:val="20"/>
                <w:lang w:val="fr-CA"/>
              </w:rPr>
            </w:pPr>
          </w:p>
        </w:tc>
        <w:tc>
          <w:tcPr>
            <w:tcW w:w="243" w:type="pct"/>
          </w:tcPr>
          <w:p w:rsidR="00B6782A" w:rsidRPr="00FA6366" w:rsidRDefault="00B6782A" w:rsidP="00331DF5">
            <w:pPr>
              <w:jc w:val="both"/>
              <w:rPr>
                <w:rFonts w:eastAsia="Calibri"/>
                <w:sz w:val="20"/>
                <w:lang w:val="fr-CA"/>
              </w:rPr>
            </w:pPr>
          </w:p>
        </w:tc>
        <w:tc>
          <w:tcPr>
            <w:tcW w:w="2330" w:type="pct"/>
          </w:tcPr>
          <w:p w:rsidR="00B6782A" w:rsidRPr="00FA6366" w:rsidRDefault="00B6782A" w:rsidP="00331DF5">
            <w:pPr>
              <w:jc w:val="both"/>
              <w:rPr>
                <w:rFonts w:eastAsia="Calibri"/>
                <w:sz w:val="20"/>
                <w:lang w:val="fr-CA"/>
              </w:rPr>
            </w:pPr>
            <w:r w:rsidRPr="00FA6366">
              <w:rPr>
                <w:rFonts w:eastAsia="Calibri"/>
                <w:sz w:val="20"/>
                <w:lang w:val="fr-CA"/>
              </w:rPr>
              <w:t>Requête en réparation, accueillie en partie; demande de règle spéciale pour comparaître contre les accusations d’outrage au tribunal, rejetée</w:t>
            </w:r>
          </w:p>
          <w:p w:rsidR="00B6782A" w:rsidRPr="00FA6366" w:rsidRDefault="00B6782A" w:rsidP="00331DF5">
            <w:pPr>
              <w:jc w:val="both"/>
              <w:rPr>
                <w:rFonts w:eastAsia="Calibri"/>
                <w:sz w:val="20"/>
                <w:lang w:val="fr-CA"/>
              </w:rPr>
            </w:pPr>
          </w:p>
        </w:tc>
      </w:tr>
      <w:tr w:rsidR="00B6782A" w:rsidRPr="00FA6366" w:rsidTr="00331DF5">
        <w:tc>
          <w:tcPr>
            <w:tcW w:w="2427" w:type="pct"/>
          </w:tcPr>
          <w:p w:rsidR="00B6782A" w:rsidRPr="00FA6366" w:rsidRDefault="00B6782A" w:rsidP="00331DF5">
            <w:pPr>
              <w:jc w:val="both"/>
              <w:rPr>
                <w:rFonts w:eastAsia="Calibri"/>
                <w:sz w:val="20"/>
                <w:lang w:val="fr-CA"/>
              </w:rPr>
            </w:pPr>
            <w:r w:rsidRPr="00FA6366">
              <w:rPr>
                <w:rFonts w:eastAsia="Calibri"/>
                <w:sz w:val="20"/>
                <w:lang w:val="fr-CA"/>
              </w:rPr>
              <w:t>24 novembre 2010</w:t>
            </w:r>
          </w:p>
          <w:p w:rsidR="00B6782A" w:rsidRPr="00FA6366" w:rsidRDefault="00B6782A" w:rsidP="00331DF5">
            <w:pPr>
              <w:jc w:val="both"/>
              <w:rPr>
                <w:rFonts w:eastAsia="Calibri"/>
                <w:sz w:val="20"/>
                <w:lang w:val="fr-CA"/>
              </w:rPr>
            </w:pPr>
            <w:r w:rsidRPr="00FA6366">
              <w:rPr>
                <w:rFonts w:eastAsia="Calibri"/>
                <w:sz w:val="20"/>
                <w:lang w:val="fr-CA"/>
              </w:rPr>
              <w:t>Cour d’appel du Québec (Montréal)</w:t>
            </w:r>
          </w:p>
          <w:p w:rsidR="00B6782A" w:rsidRPr="00FA6366" w:rsidRDefault="00B6782A" w:rsidP="00331DF5">
            <w:pPr>
              <w:jc w:val="both"/>
              <w:rPr>
                <w:rFonts w:eastAsia="Calibri"/>
                <w:sz w:val="20"/>
                <w:lang w:val="fr-CA"/>
              </w:rPr>
            </w:pPr>
            <w:r w:rsidRPr="00FA6366">
              <w:rPr>
                <w:rFonts w:eastAsia="Calibri"/>
                <w:sz w:val="20"/>
                <w:lang w:val="fr-CA"/>
              </w:rPr>
              <w:t>(Juge Duval Hesler)</w:t>
            </w:r>
          </w:p>
          <w:p w:rsidR="00B6782A" w:rsidRPr="00FA6366" w:rsidRDefault="00B6782A" w:rsidP="00331DF5">
            <w:pPr>
              <w:jc w:val="both"/>
              <w:rPr>
                <w:rFonts w:eastAsia="Calibri"/>
                <w:sz w:val="20"/>
                <w:lang w:val="fr-CA"/>
              </w:rPr>
            </w:pPr>
            <w:r w:rsidRPr="00FA6366">
              <w:rPr>
                <w:rFonts w:eastAsia="Calibri"/>
                <w:sz w:val="20"/>
                <w:lang w:val="fr-CA"/>
              </w:rPr>
              <w:t>2010 QCCA 2147</w:t>
            </w:r>
          </w:p>
          <w:p w:rsidR="00B6782A" w:rsidRPr="00FA6366" w:rsidRDefault="00B6782A" w:rsidP="00331DF5">
            <w:pPr>
              <w:jc w:val="both"/>
              <w:rPr>
                <w:rFonts w:eastAsia="Calibri"/>
                <w:sz w:val="20"/>
                <w:lang w:val="fr-CA"/>
              </w:rPr>
            </w:pPr>
          </w:p>
        </w:tc>
        <w:tc>
          <w:tcPr>
            <w:tcW w:w="243" w:type="pct"/>
          </w:tcPr>
          <w:p w:rsidR="00B6782A" w:rsidRPr="00FA6366" w:rsidRDefault="00B6782A" w:rsidP="00331DF5">
            <w:pPr>
              <w:jc w:val="both"/>
              <w:rPr>
                <w:rFonts w:eastAsia="Calibri"/>
                <w:sz w:val="20"/>
                <w:lang w:val="fr-CA"/>
              </w:rPr>
            </w:pPr>
          </w:p>
        </w:tc>
        <w:tc>
          <w:tcPr>
            <w:tcW w:w="2330" w:type="pct"/>
          </w:tcPr>
          <w:p w:rsidR="00B6782A" w:rsidRPr="00FA6366" w:rsidRDefault="00B6782A" w:rsidP="00331DF5">
            <w:pPr>
              <w:jc w:val="both"/>
              <w:rPr>
                <w:rFonts w:eastAsia="Calibri"/>
                <w:sz w:val="20"/>
                <w:lang w:val="fr-CA"/>
              </w:rPr>
            </w:pPr>
            <w:r w:rsidRPr="00FA6366">
              <w:rPr>
                <w:rFonts w:eastAsia="Calibri"/>
                <w:sz w:val="20"/>
                <w:lang w:val="fr-CA"/>
              </w:rPr>
              <w:t>Requête en autorisation d’appel, rejetée</w:t>
            </w:r>
          </w:p>
          <w:p w:rsidR="00B6782A" w:rsidRPr="00FA6366" w:rsidRDefault="00B6782A" w:rsidP="00331DF5">
            <w:pPr>
              <w:jc w:val="both"/>
              <w:rPr>
                <w:rFonts w:eastAsia="Calibri"/>
                <w:sz w:val="20"/>
                <w:lang w:val="fr-CA"/>
              </w:rPr>
            </w:pPr>
          </w:p>
        </w:tc>
      </w:tr>
      <w:tr w:rsidR="00B6782A" w:rsidRPr="00FA6366" w:rsidTr="00331DF5">
        <w:tc>
          <w:tcPr>
            <w:tcW w:w="2427" w:type="pct"/>
          </w:tcPr>
          <w:p w:rsidR="00B6782A" w:rsidRPr="00FA6366" w:rsidRDefault="00B6782A" w:rsidP="00331DF5">
            <w:pPr>
              <w:jc w:val="both"/>
              <w:rPr>
                <w:rFonts w:eastAsia="Calibri"/>
                <w:sz w:val="20"/>
                <w:lang w:val="fr-CA"/>
              </w:rPr>
            </w:pPr>
            <w:r w:rsidRPr="00FA6366">
              <w:rPr>
                <w:rFonts w:eastAsia="Calibri"/>
                <w:sz w:val="20"/>
                <w:lang w:val="fr-CA"/>
              </w:rPr>
              <w:t>4 janvier 2011</w:t>
            </w:r>
          </w:p>
          <w:p w:rsidR="00B6782A" w:rsidRPr="00FA6366" w:rsidRDefault="00B6782A" w:rsidP="00331DF5">
            <w:pPr>
              <w:jc w:val="both"/>
              <w:rPr>
                <w:rFonts w:eastAsia="Calibri"/>
                <w:sz w:val="20"/>
                <w:lang w:val="fr-CA"/>
              </w:rPr>
            </w:pPr>
            <w:r w:rsidRPr="00FA6366">
              <w:rPr>
                <w:rFonts w:eastAsia="Calibri"/>
                <w:sz w:val="20"/>
                <w:lang w:val="fr-CA"/>
              </w:rPr>
              <w:t>Cour suprême du Canada</w:t>
            </w:r>
          </w:p>
        </w:tc>
        <w:tc>
          <w:tcPr>
            <w:tcW w:w="243" w:type="pct"/>
          </w:tcPr>
          <w:p w:rsidR="00B6782A" w:rsidRPr="00FA6366" w:rsidRDefault="00B6782A" w:rsidP="00331DF5">
            <w:pPr>
              <w:jc w:val="both"/>
              <w:rPr>
                <w:rFonts w:eastAsia="Calibri"/>
                <w:sz w:val="20"/>
                <w:lang w:val="fr-CA"/>
              </w:rPr>
            </w:pPr>
          </w:p>
        </w:tc>
        <w:tc>
          <w:tcPr>
            <w:tcW w:w="2330" w:type="pct"/>
          </w:tcPr>
          <w:p w:rsidR="00B6782A" w:rsidRPr="00FA6366" w:rsidRDefault="00B6782A" w:rsidP="00331DF5">
            <w:pPr>
              <w:jc w:val="both"/>
              <w:rPr>
                <w:rFonts w:eastAsia="Calibri"/>
                <w:sz w:val="20"/>
                <w:lang w:val="fr-CA"/>
              </w:rPr>
            </w:pPr>
            <w:r w:rsidRPr="00FA6366">
              <w:rPr>
                <w:rFonts w:eastAsia="Calibri"/>
                <w:sz w:val="20"/>
                <w:lang w:val="fr-CA"/>
              </w:rPr>
              <w:t>Demande en autorisation d’appel, déposée</w:t>
            </w:r>
          </w:p>
          <w:p w:rsidR="00B6782A" w:rsidRPr="00FA6366" w:rsidRDefault="00B6782A" w:rsidP="00331DF5">
            <w:pPr>
              <w:jc w:val="both"/>
              <w:rPr>
                <w:rFonts w:eastAsia="Calibri"/>
                <w:sz w:val="20"/>
                <w:lang w:val="fr-CA"/>
              </w:rPr>
            </w:pPr>
          </w:p>
        </w:tc>
      </w:tr>
    </w:tbl>
    <w:p w:rsidR="00D73FFD" w:rsidRDefault="00D73FFD" w:rsidP="00D73FFD">
      <w:pPr>
        <w:rPr>
          <w:sz w:val="20"/>
          <w:szCs w:val="20"/>
        </w:rPr>
      </w:pPr>
    </w:p>
    <w:p w:rsidR="00D73FFD" w:rsidRDefault="00EE1200" w:rsidP="00D73FFD">
      <w:pPr>
        <w:rPr>
          <w:sz w:val="20"/>
          <w:szCs w:val="20"/>
          <w:lang w:val="fr-CA"/>
        </w:rPr>
      </w:pPr>
      <w:r w:rsidRPr="00EE1200">
        <w:rPr>
          <w:sz w:val="20"/>
          <w:szCs w:val="20"/>
          <w:lang w:val="fr-CA"/>
        </w:rPr>
        <w:pict>
          <v:rect id="_x0000_i1069" style="width:2in;height:1pt" o:hrpct="0" o:hralign="center" o:hrstd="t" o:hrnoshade="t" o:hr="t" fillcolor="black [3213]" stroked="f"/>
        </w:pict>
      </w:r>
    </w:p>
    <w:p w:rsidR="00D73FFD" w:rsidRDefault="00D73FFD" w:rsidP="00D73FFD">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03CF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F31389" w:rsidP="00AF1715">
      <w:pPr>
        <w:rPr>
          <w:b/>
          <w:sz w:val="20"/>
          <w:szCs w:val="20"/>
        </w:rPr>
      </w:pPr>
      <w:r>
        <w:rPr>
          <w:b/>
          <w:sz w:val="20"/>
          <w:szCs w:val="20"/>
        </w:rPr>
        <w:t>JULY 1</w:t>
      </w:r>
      <w:r w:rsidR="00AF1715" w:rsidRPr="003B3977">
        <w:rPr>
          <w:b/>
          <w:sz w:val="20"/>
          <w:szCs w:val="20"/>
        </w:rPr>
        <w:t>4, 201</w:t>
      </w:r>
      <w:r>
        <w:rPr>
          <w:b/>
          <w:sz w:val="20"/>
          <w:szCs w:val="20"/>
        </w:rPr>
        <w:t>1</w:t>
      </w:r>
      <w:r w:rsidR="00AF1715" w:rsidRPr="003B3977">
        <w:rPr>
          <w:b/>
          <w:sz w:val="20"/>
          <w:szCs w:val="20"/>
        </w:rPr>
        <w:t xml:space="preserve"> / LE </w:t>
      </w:r>
      <w:r>
        <w:rPr>
          <w:b/>
          <w:sz w:val="20"/>
          <w:szCs w:val="20"/>
        </w:rPr>
        <w:t>1</w:t>
      </w:r>
      <w:r w:rsidR="00AF1715" w:rsidRPr="003B3977">
        <w:rPr>
          <w:b/>
          <w:sz w:val="20"/>
          <w:szCs w:val="20"/>
        </w:rPr>
        <w:t xml:space="preserve">4 </w:t>
      </w:r>
      <w:r>
        <w:rPr>
          <w:b/>
          <w:sz w:val="20"/>
          <w:szCs w:val="20"/>
        </w:rPr>
        <w:t>JUILLET</w:t>
      </w:r>
      <w:r w:rsidR="00AF1715" w:rsidRPr="003B3977">
        <w:rPr>
          <w:b/>
          <w:sz w:val="20"/>
          <w:szCs w:val="20"/>
        </w:rPr>
        <w:t xml:space="preserve"> 201</w:t>
      </w:r>
      <w:r>
        <w:rPr>
          <w:b/>
          <w:sz w:val="20"/>
          <w:szCs w:val="20"/>
        </w:rPr>
        <w:t>1</w:t>
      </w:r>
    </w:p>
    <w:p w:rsidR="00AF1715" w:rsidRDefault="00AF1715" w:rsidP="00AF1715">
      <w:pPr>
        <w:rPr>
          <w:sz w:val="20"/>
          <w:szCs w:val="20"/>
        </w:rPr>
      </w:pPr>
    </w:p>
    <w:p w:rsidR="00331DF5" w:rsidRPr="006140C8" w:rsidRDefault="00331DF5" w:rsidP="00331DF5">
      <w:pPr>
        <w:ind w:left="1440" w:hanging="1440"/>
        <w:jc w:val="both"/>
        <w:rPr>
          <w:rFonts w:eastAsia="Calibri" w:cs="Times New Roman"/>
          <w:b/>
          <w:sz w:val="20"/>
          <w:szCs w:val="20"/>
        </w:rPr>
      </w:pPr>
      <w:r w:rsidRPr="006140C8">
        <w:rPr>
          <w:rFonts w:eastAsia="Calibri" w:cs="Times New Roman"/>
          <w:b/>
          <w:sz w:val="20"/>
          <w:szCs w:val="20"/>
        </w:rPr>
        <w:t>33443</w:t>
      </w:r>
      <w:r w:rsidRPr="006140C8">
        <w:rPr>
          <w:rFonts w:eastAsia="Calibri" w:cs="Times New Roman"/>
          <w:sz w:val="20"/>
          <w:szCs w:val="20"/>
        </w:rPr>
        <w:tab/>
      </w:r>
      <w:r w:rsidRPr="006140C8">
        <w:rPr>
          <w:rFonts w:eastAsia="Calibri" w:cs="Times New Roman"/>
          <w:b/>
          <w:sz w:val="20"/>
          <w:szCs w:val="20"/>
          <w:u w:val="single"/>
        </w:rPr>
        <w:t>Susan Wilma Schreyer v. Anthony Leonard Schreyer</w:t>
      </w:r>
      <w:r w:rsidRPr="006140C8">
        <w:rPr>
          <w:rFonts w:eastAsia="Calibri" w:cs="Times New Roman"/>
          <w:b/>
          <w:sz w:val="20"/>
          <w:szCs w:val="20"/>
        </w:rPr>
        <w:t xml:space="preserve"> (Man.)</w:t>
      </w:r>
    </w:p>
    <w:p w:rsidR="00331DF5" w:rsidRPr="006140C8" w:rsidRDefault="00331DF5" w:rsidP="00331DF5">
      <w:pPr>
        <w:ind w:left="1440" w:hanging="1440"/>
        <w:jc w:val="both"/>
        <w:rPr>
          <w:rFonts w:eastAsia="Calibri" w:cs="Times New Roman"/>
          <w:b/>
          <w:sz w:val="20"/>
          <w:szCs w:val="20"/>
        </w:rPr>
      </w:pPr>
      <w:r w:rsidRPr="006140C8">
        <w:rPr>
          <w:rFonts w:eastAsia="Calibri" w:cs="Times New Roman"/>
          <w:b/>
          <w:sz w:val="20"/>
          <w:szCs w:val="20"/>
        </w:rPr>
        <w:tab/>
        <w:t>2011 SCC 35 / 2011 CSC 35</w:t>
      </w:r>
    </w:p>
    <w:p w:rsidR="00331DF5" w:rsidRPr="006140C8" w:rsidRDefault="00331DF5" w:rsidP="00331DF5">
      <w:pPr>
        <w:ind w:left="1440" w:hanging="1440"/>
        <w:jc w:val="both"/>
        <w:rPr>
          <w:rFonts w:eastAsia="Calibri" w:cs="Times New Roman"/>
          <w:b/>
          <w:sz w:val="20"/>
          <w:szCs w:val="20"/>
        </w:rPr>
      </w:pPr>
    </w:p>
    <w:p w:rsidR="00331DF5" w:rsidRPr="006140C8" w:rsidRDefault="00331DF5" w:rsidP="00331DF5">
      <w:pPr>
        <w:ind w:left="1440" w:hanging="1440"/>
        <w:jc w:val="both"/>
        <w:rPr>
          <w:rFonts w:eastAsia="Calibri" w:cs="Times New Roman"/>
          <w:sz w:val="20"/>
          <w:szCs w:val="20"/>
        </w:rPr>
      </w:pPr>
      <w:r w:rsidRPr="006140C8">
        <w:rPr>
          <w:rFonts w:eastAsia="Calibri" w:cs="Times New Roman"/>
          <w:sz w:val="20"/>
          <w:szCs w:val="20"/>
        </w:rPr>
        <w:t>Coram:</w:t>
      </w:r>
      <w:r>
        <w:rPr>
          <w:rFonts w:cs="Times New Roman"/>
          <w:sz w:val="20"/>
          <w:szCs w:val="20"/>
        </w:rPr>
        <w:tab/>
      </w:r>
      <w:r w:rsidRPr="006140C8">
        <w:rPr>
          <w:rFonts w:eastAsia="Calibri" w:cs="Times New Roman"/>
          <w:sz w:val="20"/>
          <w:szCs w:val="20"/>
          <w:u w:val="single"/>
        </w:rPr>
        <w:t>McLachlin C.J. and Binnie, LeBel, Deschamps, Abella, Rothstein and Cromwell JJ.</w:t>
      </w:r>
    </w:p>
    <w:p w:rsidR="00331DF5" w:rsidRPr="006140C8" w:rsidRDefault="00331DF5" w:rsidP="00331DF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331DF5" w:rsidRPr="006140C8" w:rsidRDefault="00331DF5" w:rsidP="00331DF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r w:rsidRPr="006140C8">
        <w:rPr>
          <w:rFonts w:eastAsia="Calibri" w:cs="Times New Roman"/>
          <w:sz w:val="20"/>
          <w:szCs w:val="20"/>
        </w:rPr>
        <w:t>The appeal from the judgment of the Court of Appeal of Manitoba, Numbers AF 08-30-06966 and AF 08-30-06981, 2009 MBCA 84, dated August 26, 2009, heard on November 9, 2010, is dismissed without costs.</w:t>
      </w:r>
    </w:p>
    <w:p w:rsidR="00331DF5" w:rsidRPr="006140C8" w:rsidRDefault="00331DF5" w:rsidP="00331DF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331DF5" w:rsidRPr="006140C8" w:rsidRDefault="00331DF5" w:rsidP="00331DF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lang w:val="fr-CA"/>
        </w:rPr>
      </w:pPr>
      <w:r w:rsidRPr="006140C8">
        <w:rPr>
          <w:rFonts w:eastAsia="Calibri" w:cs="Times New Roman"/>
          <w:sz w:val="20"/>
          <w:szCs w:val="20"/>
          <w:lang w:val="fr-CA"/>
        </w:rPr>
        <w:t>L’appel interjeté contre l’arrêt de la Cour d’appel du Manitoba, numéros AF 08-30-06966 et AF 08-30-06981, 2009 MBCA 84, en date du 26 août 2009, entendu le 9 novembre 2010, est rejeté sans dépens.</w:t>
      </w:r>
    </w:p>
    <w:p w:rsidR="00F31389" w:rsidRPr="00331DF5" w:rsidRDefault="00F31389" w:rsidP="00AF1715">
      <w:pPr>
        <w:rPr>
          <w:sz w:val="20"/>
          <w:szCs w:val="20"/>
          <w:lang w:val="fr-CA"/>
        </w:rPr>
      </w:pPr>
    </w:p>
    <w:p w:rsidR="00F31389" w:rsidRDefault="00EE1200" w:rsidP="00AF1715">
      <w:pPr>
        <w:rPr>
          <w:sz w:val="20"/>
          <w:szCs w:val="20"/>
        </w:rPr>
      </w:pPr>
      <w:r w:rsidRPr="00EE1200">
        <w:rPr>
          <w:b/>
          <w:sz w:val="20"/>
          <w:szCs w:val="20"/>
        </w:rPr>
        <w:pict>
          <v:rect id="_x0000_i1072" style="width:144.3pt;height:1pt" o:hrpct="300" o:hralign="center" o:hrstd="t" o:hrnoshade="t" o:hr="t" fillcolor="black [3213]" stroked="f"/>
        </w:pict>
      </w:r>
    </w:p>
    <w:p w:rsidR="00F31389" w:rsidRDefault="00F31389" w:rsidP="00AF1715">
      <w:pPr>
        <w:rPr>
          <w:sz w:val="20"/>
          <w:szCs w:val="20"/>
        </w:rPr>
      </w:pPr>
    </w:p>
    <w:p w:rsidR="00F97BDE" w:rsidRPr="003B3977" w:rsidRDefault="00F97BDE" w:rsidP="00F97BDE">
      <w:pPr>
        <w:rPr>
          <w:b/>
          <w:sz w:val="20"/>
          <w:szCs w:val="20"/>
        </w:rPr>
      </w:pPr>
      <w:r>
        <w:rPr>
          <w:b/>
          <w:sz w:val="20"/>
          <w:szCs w:val="20"/>
        </w:rPr>
        <w:t>JULY 15</w:t>
      </w:r>
      <w:r w:rsidRPr="003B3977">
        <w:rPr>
          <w:b/>
          <w:sz w:val="20"/>
          <w:szCs w:val="20"/>
        </w:rPr>
        <w:t>, 201</w:t>
      </w:r>
      <w:r>
        <w:rPr>
          <w:b/>
          <w:sz w:val="20"/>
          <w:szCs w:val="20"/>
        </w:rPr>
        <w:t>1</w:t>
      </w:r>
      <w:r w:rsidRPr="003B3977">
        <w:rPr>
          <w:b/>
          <w:sz w:val="20"/>
          <w:szCs w:val="20"/>
        </w:rPr>
        <w:t xml:space="preserve"> / LE </w:t>
      </w:r>
      <w:r>
        <w:rPr>
          <w:b/>
          <w:sz w:val="20"/>
          <w:szCs w:val="20"/>
        </w:rPr>
        <w:t>15</w:t>
      </w:r>
      <w:r w:rsidRPr="003B3977">
        <w:rPr>
          <w:b/>
          <w:sz w:val="20"/>
          <w:szCs w:val="20"/>
        </w:rPr>
        <w:t xml:space="preserve"> </w:t>
      </w:r>
      <w:r>
        <w:rPr>
          <w:b/>
          <w:sz w:val="20"/>
          <w:szCs w:val="20"/>
        </w:rPr>
        <w:t>JUILLET</w:t>
      </w:r>
      <w:r w:rsidRPr="003B3977">
        <w:rPr>
          <w:b/>
          <w:sz w:val="20"/>
          <w:szCs w:val="20"/>
        </w:rPr>
        <w:t xml:space="preserve"> 201</w:t>
      </w:r>
      <w:r>
        <w:rPr>
          <w:b/>
          <w:sz w:val="20"/>
          <w:szCs w:val="20"/>
        </w:rPr>
        <w:t>1</w:t>
      </w:r>
    </w:p>
    <w:p w:rsidR="00F97BDE" w:rsidRPr="003B3977" w:rsidRDefault="00F97BDE" w:rsidP="00AF1715">
      <w:pPr>
        <w:rPr>
          <w:sz w:val="20"/>
          <w:szCs w:val="20"/>
        </w:rPr>
      </w:pPr>
    </w:p>
    <w:p w:rsidR="0045518D" w:rsidRPr="00507DC2" w:rsidRDefault="0045518D" w:rsidP="0045518D">
      <w:pPr>
        <w:ind w:left="1440" w:hanging="1440"/>
        <w:jc w:val="both"/>
        <w:rPr>
          <w:rFonts w:eastAsia="Calibri" w:cs="Times New Roman"/>
          <w:b/>
          <w:sz w:val="20"/>
          <w:szCs w:val="20"/>
        </w:rPr>
      </w:pPr>
      <w:r w:rsidRPr="00507DC2">
        <w:rPr>
          <w:rFonts w:eastAsia="Calibri" w:cs="Times New Roman"/>
          <w:b/>
          <w:sz w:val="20"/>
          <w:szCs w:val="20"/>
        </w:rPr>
        <w:t>33422</w:t>
      </w:r>
      <w:r w:rsidRPr="00507DC2">
        <w:rPr>
          <w:rFonts w:eastAsia="Calibri" w:cs="Times New Roman"/>
          <w:sz w:val="20"/>
          <w:szCs w:val="20"/>
        </w:rPr>
        <w:tab/>
      </w:r>
      <w:r w:rsidRPr="00507DC2">
        <w:rPr>
          <w:rFonts w:eastAsia="Calibri" w:cs="Times New Roman"/>
          <w:b/>
          <w:sz w:val="20"/>
          <w:szCs w:val="20"/>
          <w:u w:val="single"/>
        </w:rPr>
        <w:t xml:space="preserve">Canada Trustco Mortgage Company v. Her Majesty the </w:t>
      </w:r>
      <w:r w:rsidRPr="00F97BDE">
        <w:rPr>
          <w:rFonts w:eastAsia="Calibri" w:cs="Times New Roman"/>
          <w:b/>
          <w:sz w:val="20"/>
          <w:szCs w:val="20"/>
          <w:u w:val="single"/>
        </w:rPr>
        <w:t>Queen</w:t>
      </w:r>
      <w:r w:rsidRPr="00F97BDE">
        <w:rPr>
          <w:rFonts w:eastAsia="Calibri" w:cs="Times New Roman"/>
          <w:b/>
          <w:sz w:val="20"/>
          <w:szCs w:val="20"/>
        </w:rPr>
        <w:t xml:space="preserve"> (F.C.)</w:t>
      </w:r>
    </w:p>
    <w:p w:rsidR="0045518D" w:rsidRPr="00507DC2" w:rsidRDefault="0045518D" w:rsidP="0045518D">
      <w:pPr>
        <w:ind w:left="1440" w:hanging="1440"/>
        <w:jc w:val="both"/>
        <w:rPr>
          <w:rFonts w:eastAsia="Calibri" w:cs="Times New Roman"/>
          <w:b/>
          <w:sz w:val="20"/>
          <w:szCs w:val="20"/>
        </w:rPr>
      </w:pPr>
      <w:r w:rsidRPr="00507DC2">
        <w:rPr>
          <w:rFonts w:eastAsia="Calibri" w:cs="Times New Roman"/>
          <w:b/>
          <w:sz w:val="20"/>
          <w:szCs w:val="20"/>
        </w:rPr>
        <w:tab/>
        <w:t>2011 SCC 36 / 2011 CSC 36</w:t>
      </w:r>
    </w:p>
    <w:p w:rsidR="0045518D" w:rsidRPr="00507DC2" w:rsidRDefault="0045518D" w:rsidP="0045518D">
      <w:pPr>
        <w:ind w:left="1440" w:hanging="1440"/>
        <w:jc w:val="both"/>
        <w:rPr>
          <w:rFonts w:eastAsia="Calibri" w:cs="Times New Roman"/>
          <w:b/>
          <w:sz w:val="20"/>
          <w:szCs w:val="20"/>
        </w:rPr>
      </w:pPr>
    </w:p>
    <w:p w:rsidR="0045518D" w:rsidRPr="00507DC2" w:rsidRDefault="0045518D" w:rsidP="0045518D">
      <w:pPr>
        <w:ind w:left="1440" w:hanging="1440"/>
        <w:jc w:val="both"/>
        <w:rPr>
          <w:rFonts w:eastAsia="Calibri" w:cs="Times New Roman"/>
          <w:sz w:val="20"/>
          <w:szCs w:val="20"/>
        </w:rPr>
      </w:pPr>
      <w:r w:rsidRPr="00507DC2">
        <w:rPr>
          <w:rFonts w:eastAsia="Calibri" w:cs="Times New Roman"/>
          <w:sz w:val="20"/>
          <w:szCs w:val="20"/>
        </w:rPr>
        <w:t>Coram:</w:t>
      </w:r>
      <w:r>
        <w:rPr>
          <w:sz w:val="20"/>
          <w:szCs w:val="20"/>
        </w:rPr>
        <w:tab/>
      </w:r>
      <w:r w:rsidRPr="00507DC2">
        <w:rPr>
          <w:rFonts w:eastAsia="Calibri" w:cs="Times New Roman"/>
          <w:sz w:val="20"/>
          <w:szCs w:val="20"/>
          <w:u w:val="single"/>
        </w:rPr>
        <w:t>McLachlin C.J. and Binnie, Deschamps, Fish, Abella, Rothstein and Cromwell JJ.</w:t>
      </w:r>
    </w:p>
    <w:p w:rsidR="0045518D" w:rsidRPr="00507DC2" w:rsidRDefault="0045518D" w:rsidP="0045518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45518D" w:rsidRPr="00507DC2" w:rsidRDefault="0045518D" w:rsidP="00F97BDE">
      <w:pPr>
        <w:jc w:val="both"/>
        <w:rPr>
          <w:rFonts w:eastAsia="Calibri" w:cs="Times New Roman"/>
          <w:sz w:val="20"/>
          <w:szCs w:val="20"/>
        </w:rPr>
      </w:pPr>
      <w:r w:rsidRPr="00507DC2">
        <w:rPr>
          <w:rFonts w:eastAsia="Calibri" w:cs="Times New Roman"/>
          <w:sz w:val="20"/>
          <w:szCs w:val="20"/>
        </w:rPr>
        <w:t xml:space="preserve">The appeal from the judgment </w:t>
      </w:r>
      <w:bookmarkStart w:id="2" w:name="BM_1_"/>
      <w:bookmarkEnd w:id="2"/>
      <w:r w:rsidRPr="00507DC2">
        <w:rPr>
          <w:rFonts w:eastAsia="Calibri" w:cs="Times New Roman"/>
          <w:sz w:val="20"/>
          <w:szCs w:val="20"/>
        </w:rPr>
        <w:t>of the Federal Court of Appeal, Number A-511-08, 2009 FCA 267, dated September 15, 2009, heard on December 10, 2010, is allowed, the decisions of the Federal Court of Appeal and the Tax Court of Canada set aside and the assessments vacated with costs throughout. McLachlin C.J. and Fish and Abella JJ. are dissenting.</w:t>
      </w:r>
    </w:p>
    <w:p w:rsidR="0045518D" w:rsidRPr="00507DC2" w:rsidRDefault="0045518D" w:rsidP="00F97BDE">
      <w:pPr>
        <w:jc w:val="both"/>
        <w:rPr>
          <w:rFonts w:eastAsia="Calibri" w:cs="Times New Roman"/>
          <w:sz w:val="20"/>
          <w:szCs w:val="20"/>
        </w:rPr>
      </w:pPr>
    </w:p>
    <w:p w:rsidR="0045518D" w:rsidRPr="00507DC2" w:rsidRDefault="0045518D" w:rsidP="00F97BDE">
      <w:pPr>
        <w:jc w:val="both"/>
        <w:rPr>
          <w:rFonts w:eastAsia="Calibri" w:cs="Times New Roman"/>
          <w:sz w:val="20"/>
          <w:szCs w:val="20"/>
          <w:lang w:val="fr-CA"/>
        </w:rPr>
      </w:pPr>
      <w:r w:rsidRPr="00507DC2">
        <w:rPr>
          <w:rFonts w:eastAsia="Calibri" w:cs="Times New Roman"/>
          <w:sz w:val="20"/>
          <w:szCs w:val="20"/>
          <w:lang w:val="fr-CA"/>
        </w:rPr>
        <w:t>L’appel interjeté contre l’arrêt de la Cour d’appel fédérale, numéro A-511-08, 2009 CAF 267, en date du 15 septembre 2009, entendu le 10 décembre 2010, est accueilli, l’arrêt de la Cour d’appel fédérale et le jugement de la Cour canadienne de l’impôt sont infirmés, et les cotisations sont annulées, le tout avec dépens dans toutes les cours. La juge en chef McLachlin et les juges Fish et Abella sont dissidents.</w:t>
      </w:r>
    </w:p>
    <w:p w:rsidR="0045518D" w:rsidRPr="00507DC2" w:rsidRDefault="0045518D" w:rsidP="0045518D">
      <w:pPr>
        <w:jc w:val="both"/>
        <w:rPr>
          <w:rFonts w:eastAsia="Calibri" w:cs="Times New Roman"/>
          <w:sz w:val="20"/>
          <w:szCs w:val="20"/>
          <w:lang w:val="fr-CA"/>
        </w:rPr>
      </w:pPr>
    </w:p>
    <w:p w:rsidR="00AF1715" w:rsidRPr="003B3977" w:rsidRDefault="00EE1200" w:rsidP="00AF1715">
      <w:pPr>
        <w:spacing w:line="0" w:lineRule="atLeast"/>
        <w:rPr>
          <w:sz w:val="20"/>
          <w:szCs w:val="20"/>
        </w:rPr>
      </w:pPr>
      <w:r w:rsidRPr="00EE1200">
        <w:rPr>
          <w:b/>
          <w:sz w:val="20"/>
          <w:szCs w:val="20"/>
        </w:rPr>
        <w:pict>
          <v:rect id="_x0000_i1073"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475B43" w:rsidRPr="001F1DF4" w:rsidRDefault="00475B43" w:rsidP="00475B43">
      <w:pPr>
        <w:rPr>
          <w:rFonts w:eastAsia="Calibri" w:cs="Times New Roman"/>
          <w:sz w:val="20"/>
          <w:szCs w:val="20"/>
        </w:rPr>
      </w:pPr>
      <w:r w:rsidRPr="001F1DF4">
        <w:rPr>
          <w:rFonts w:eastAsia="Calibri" w:cs="Times New Roman"/>
          <w:bCs/>
          <w:i/>
          <w:sz w:val="20"/>
          <w:szCs w:val="20"/>
          <w:lang w:val="en-GB"/>
        </w:rPr>
        <w:t xml:space="preserve">Susan Wilma Schreyer v. Anthony Leonard Schreyer </w:t>
      </w:r>
      <w:r w:rsidRPr="001F1DF4">
        <w:rPr>
          <w:rFonts w:eastAsia="Calibri" w:cs="Times New Roman"/>
          <w:bCs/>
          <w:sz w:val="20"/>
          <w:szCs w:val="20"/>
          <w:lang w:val="en-GB"/>
        </w:rPr>
        <w:t>(Man.) (</w:t>
      </w:r>
      <w:r w:rsidRPr="001F1DF4">
        <w:rPr>
          <w:rFonts w:eastAsia="Calibri" w:cs="Times New Roman"/>
          <w:sz w:val="20"/>
          <w:szCs w:val="20"/>
          <w:lang w:val="en-GB"/>
        </w:rPr>
        <w:t>33443)</w:t>
      </w:r>
    </w:p>
    <w:p w:rsidR="008D313A" w:rsidRPr="00AA28CB" w:rsidRDefault="008D313A" w:rsidP="008D313A">
      <w:pPr>
        <w:jc w:val="both"/>
        <w:rPr>
          <w:b/>
          <w:sz w:val="20"/>
          <w:szCs w:val="20"/>
        </w:rPr>
      </w:pPr>
      <w:r w:rsidRPr="00254B2E">
        <w:rPr>
          <w:rFonts w:cs="Times New Roman"/>
          <w:b/>
          <w:sz w:val="20"/>
          <w:szCs w:val="20"/>
        </w:rPr>
        <w:t xml:space="preserve">Indexed as:  </w:t>
      </w:r>
      <w:r w:rsidRPr="008D313A">
        <w:rPr>
          <w:rStyle w:val="SCCAppellantForIndexChar"/>
          <w:rFonts w:eastAsiaTheme="minorHAnsi"/>
          <w:sz w:val="20"/>
          <w:lang w:val="en-CA"/>
        </w:rPr>
        <w:t>Schreyer</w:t>
      </w:r>
      <w:r w:rsidRPr="00254B2E">
        <w:rPr>
          <w:rFonts w:cs="Times New Roman"/>
          <w:b/>
          <w:sz w:val="20"/>
          <w:szCs w:val="20"/>
        </w:rPr>
        <w:t xml:space="preserve"> </w:t>
      </w:r>
      <w:r w:rsidRPr="00254B2E">
        <w:rPr>
          <w:rFonts w:cs="Times New Roman"/>
          <w:b/>
          <w:i/>
          <w:sz w:val="20"/>
          <w:szCs w:val="20"/>
        </w:rPr>
        <w:t>v.</w:t>
      </w:r>
      <w:r w:rsidRPr="00254B2E">
        <w:rPr>
          <w:rFonts w:cs="Times New Roman"/>
          <w:b/>
          <w:sz w:val="20"/>
          <w:szCs w:val="20"/>
        </w:rPr>
        <w:t xml:space="preserve"> </w:t>
      </w:r>
      <w:r w:rsidRPr="00254B2E">
        <w:rPr>
          <w:rStyle w:val="SCCRespondentForIndexChar"/>
          <w:rFonts w:eastAsiaTheme="minorHAnsi"/>
          <w:sz w:val="20"/>
        </w:rPr>
        <w:t>Schreyer</w:t>
      </w:r>
      <w:r>
        <w:rPr>
          <w:rStyle w:val="SCCRespondentForIndexChar"/>
          <w:rFonts w:eastAsiaTheme="minorHAnsi"/>
          <w:sz w:val="20"/>
        </w:rPr>
        <w:t xml:space="preserve"> / </w:t>
      </w:r>
      <w:r w:rsidRPr="00AA28CB">
        <w:rPr>
          <w:b/>
          <w:sz w:val="20"/>
          <w:szCs w:val="20"/>
        </w:rPr>
        <w:t>Répertorié : </w:t>
      </w:r>
      <w:r w:rsidRPr="008D313A">
        <w:rPr>
          <w:rStyle w:val="SCCAppellantForIndexChar"/>
          <w:rFonts w:eastAsiaTheme="minorHAnsi"/>
          <w:sz w:val="20"/>
          <w:lang w:val="en-CA"/>
        </w:rPr>
        <w:t>Schreyer</w:t>
      </w:r>
      <w:r w:rsidRPr="00AA28CB">
        <w:rPr>
          <w:b/>
          <w:sz w:val="20"/>
          <w:szCs w:val="20"/>
        </w:rPr>
        <w:t xml:space="preserve"> </w:t>
      </w:r>
      <w:r w:rsidRPr="00AA28CB">
        <w:rPr>
          <w:b/>
          <w:i/>
          <w:sz w:val="20"/>
          <w:szCs w:val="20"/>
        </w:rPr>
        <w:t>c.</w:t>
      </w:r>
      <w:r w:rsidRPr="00AA28CB">
        <w:rPr>
          <w:b/>
          <w:sz w:val="20"/>
          <w:szCs w:val="20"/>
        </w:rPr>
        <w:t xml:space="preserve"> </w:t>
      </w:r>
      <w:r w:rsidRPr="00AA28CB">
        <w:rPr>
          <w:rStyle w:val="SCCRespondentForIndexChar"/>
          <w:rFonts w:eastAsiaTheme="minorHAnsi"/>
          <w:sz w:val="20"/>
        </w:rPr>
        <w:t>Schreyer</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475B43">
        <w:rPr>
          <w:sz w:val="20"/>
        </w:rPr>
        <w:t>35</w:t>
      </w:r>
      <w:r w:rsidRPr="003B3977">
        <w:rPr>
          <w:sz w:val="20"/>
        </w:rPr>
        <w:t xml:space="preserve"> / Référence neutre : 201</w:t>
      </w:r>
      <w:r w:rsidR="007F387B">
        <w:rPr>
          <w:sz w:val="20"/>
        </w:rPr>
        <w:t>1</w:t>
      </w:r>
      <w:r w:rsidRPr="003B3977">
        <w:rPr>
          <w:sz w:val="20"/>
        </w:rPr>
        <w:t xml:space="preserve"> CSC </w:t>
      </w:r>
      <w:r w:rsidR="00475B43">
        <w:rPr>
          <w:sz w:val="20"/>
        </w:rPr>
        <w:t>35</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8D313A">
        <w:rPr>
          <w:rFonts w:cs="Times New Roman"/>
          <w:sz w:val="20"/>
          <w:szCs w:val="20"/>
          <w:lang w:val="fr-CA"/>
        </w:rPr>
        <w:t>November 9</w:t>
      </w:r>
      <w:r w:rsidRPr="003B3977">
        <w:rPr>
          <w:rFonts w:cs="Times New Roman"/>
          <w:sz w:val="20"/>
          <w:szCs w:val="20"/>
          <w:lang w:val="fr-CA"/>
        </w:rPr>
        <w:t xml:space="preserve">, 2010 / Judgment:  </w:t>
      </w:r>
      <w:r w:rsidR="00475B43">
        <w:rPr>
          <w:rFonts w:cs="Times New Roman"/>
          <w:sz w:val="20"/>
          <w:szCs w:val="20"/>
          <w:lang w:val="fr-CA"/>
        </w:rPr>
        <w:t>July 14</w:t>
      </w:r>
      <w:r w:rsidRPr="003B3977">
        <w:rPr>
          <w:rFonts w:cs="Times New Roman"/>
          <w:sz w:val="20"/>
          <w:szCs w:val="20"/>
          <w:lang w:val="fr-CA"/>
        </w:rPr>
        <w:t>, 201</w:t>
      </w:r>
      <w:r w:rsidR="00475B43">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8D313A">
        <w:rPr>
          <w:rFonts w:cs="Times New Roman"/>
          <w:sz w:val="20"/>
          <w:szCs w:val="20"/>
          <w:lang w:val="fr-CA"/>
        </w:rPr>
        <w:t>9 novem</w:t>
      </w:r>
      <w:r w:rsidRPr="003B3977">
        <w:rPr>
          <w:rFonts w:cs="Times New Roman"/>
          <w:sz w:val="20"/>
          <w:szCs w:val="20"/>
          <w:lang w:val="fr-CA"/>
        </w:rPr>
        <w:t xml:space="preserve">bre 2010 / Jugement : Le </w:t>
      </w:r>
      <w:r w:rsidR="00475B43">
        <w:rPr>
          <w:rFonts w:cs="Times New Roman"/>
          <w:sz w:val="20"/>
          <w:szCs w:val="20"/>
          <w:lang w:val="fr-CA"/>
        </w:rPr>
        <w:t>14 juillet</w:t>
      </w:r>
      <w:r w:rsidRPr="003B3977">
        <w:rPr>
          <w:rFonts w:cs="Times New Roman"/>
          <w:sz w:val="20"/>
          <w:szCs w:val="20"/>
          <w:lang w:val="fr-CA"/>
        </w:rPr>
        <w:t xml:space="preserve"> 201</w:t>
      </w:r>
      <w:r w:rsidR="00475B43">
        <w:rPr>
          <w:rFonts w:cs="Times New Roman"/>
          <w:sz w:val="20"/>
          <w:szCs w:val="20"/>
          <w:lang w:val="fr-CA"/>
        </w:rPr>
        <w:t>1</w:t>
      </w:r>
    </w:p>
    <w:p w:rsidR="005C6840" w:rsidRPr="003B3977" w:rsidRDefault="00EE1200" w:rsidP="005C6840">
      <w:pPr>
        <w:rPr>
          <w:rFonts w:cs="Times New Roman"/>
          <w:sz w:val="20"/>
          <w:szCs w:val="20"/>
          <w:lang w:val="fr-CA"/>
        </w:rPr>
      </w:pPr>
      <w:r w:rsidRPr="00EE1200">
        <w:rPr>
          <w:rFonts w:cs="Times New Roman"/>
          <w:i/>
          <w:sz w:val="20"/>
          <w:szCs w:val="20"/>
        </w:rPr>
        <w:pict>
          <v:rect id="_x0000_i1076" style="width:480.95pt;height:1pt" o:hralign="center" o:hrstd="t" o:hrnoshade="t" o:hr="t" fillcolor="black [3213]" stroked="f"/>
        </w:pict>
      </w:r>
    </w:p>
    <w:p w:rsidR="005C6840" w:rsidRDefault="005C6840" w:rsidP="005C6840">
      <w:pPr>
        <w:rPr>
          <w:rFonts w:cs="Times New Roman"/>
          <w:sz w:val="20"/>
          <w:szCs w:val="20"/>
          <w:lang w:val="fr-CA"/>
        </w:rPr>
      </w:pPr>
    </w:p>
    <w:p w:rsidR="008D313A" w:rsidRDefault="008D313A" w:rsidP="008D313A">
      <w:pPr>
        <w:jc w:val="both"/>
        <w:rPr>
          <w:sz w:val="20"/>
        </w:rPr>
      </w:pPr>
      <w:r w:rsidRPr="00254B2E">
        <w:rPr>
          <w:rFonts w:cs="Times New Roman"/>
          <w:sz w:val="20"/>
          <w:szCs w:val="20"/>
        </w:rPr>
        <w:t>Present:  McLachlin C.J. and Binnie, LeBel, Deschamps, Abella, Rothstein and Cromwell JJ.</w:t>
      </w:r>
    </w:p>
    <w:p w:rsidR="008D313A" w:rsidRPr="00254B2E" w:rsidRDefault="008D313A" w:rsidP="008D313A">
      <w:pPr>
        <w:jc w:val="both"/>
        <w:rPr>
          <w:rFonts w:cs="Times New Roman"/>
          <w:sz w:val="20"/>
          <w:szCs w:val="20"/>
        </w:rPr>
      </w:pPr>
    </w:p>
    <w:p w:rsidR="008D313A" w:rsidRDefault="008D313A" w:rsidP="008D313A">
      <w:pPr>
        <w:pStyle w:val="SCCNormalDoubleSpacing"/>
        <w:spacing w:line="240" w:lineRule="auto"/>
        <w:rPr>
          <w:i/>
          <w:sz w:val="20"/>
          <w:lang w:val="en-US"/>
        </w:rPr>
      </w:pPr>
      <w:r w:rsidRPr="00254B2E">
        <w:rPr>
          <w:i/>
          <w:sz w:val="20"/>
          <w:lang w:val="en-US"/>
        </w:rPr>
        <w:tab/>
      </w:r>
      <w:r w:rsidRPr="00254B2E">
        <w:rPr>
          <w:i/>
          <w:sz w:val="20"/>
        </w:rPr>
        <w:t>Family</w:t>
      </w:r>
      <w:r w:rsidRPr="00254B2E">
        <w:rPr>
          <w:i/>
          <w:sz w:val="20"/>
          <w:lang w:val="en-US"/>
        </w:rPr>
        <w:t xml:space="preserve"> law — Family assets — Bankruptcy and insolvency — Spouses agreeing upon separation to valuation of assets under the Manitoba Family Property Act — Family farm owned by husband — Husband making an assignment in bankruptcy and obtaining discharge before valuation of assets — Valuation subsequently confirming that wife entitled to equalization payment — Effect of bankruptcy and discharge on equalization payment — Whether equalization claim provable in bankruptcy — Whether husband released from equalization claim by discharge from bankruptcy — Bankruptcy and Insolvency Act, R.S.C. 1985, c. B</w:t>
      </w:r>
      <w:r w:rsidRPr="00254B2E">
        <w:rPr>
          <w:i/>
          <w:sz w:val="20"/>
          <w:lang w:val="en-US"/>
        </w:rPr>
        <w:noBreakHyphen/>
        <w:t>3, ss. 69.4, 121(1), 121(2), 135, 178(1)(f), 178(2) — The Family Property Act, C.C.S.M. c. F25, s. 17.</w:t>
      </w:r>
    </w:p>
    <w:p w:rsidR="008D313A" w:rsidRPr="00254B2E" w:rsidRDefault="008D313A" w:rsidP="008D313A">
      <w:pPr>
        <w:pStyle w:val="SCCNormalDoubleSpacing"/>
        <w:spacing w:line="240" w:lineRule="auto"/>
        <w:rPr>
          <w:i/>
          <w:sz w:val="20"/>
          <w:lang w:val="en-US"/>
        </w:rPr>
      </w:pPr>
    </w:p>
    <w:p w:rsidR="008D313A" w:rsidRDefault="008D313A" w:rsidP="008D313A">
      <w:pPr>
        <w:pStyle w:val="SCCNormalDoubleSpacing"/>
        <w:spacing w:line="240" w:lineRule="auto"/>
        <w:rPr>
          <w:sz w:val="20"/>
          <w:lang w:val="en-US"/>
        </w:rPr>
      </w:pPr>
      <w:r w:rsidRPr="00254B2E">
        <w:rPr>
          <w:sz w:val="20"/>
          <w:lang w:val="en-US"/>
        </w:rPr>
        <w:tab/>
        <w:t xml:space="preserve">The </w:t>
      </w:r>
      <w:r w:rsidRPr="00254B2E">
        <w:rPr>
          <w:sz w:val="20"/>
        </w:rPr>
        <w:t>parties</w:t>
      </w:r>
      <w:r w:rsidRPr="00254B2E">
        <w:rPr>
          <w:sz w:val="20"/>
          <w:lang w:val="en-US"/>
        </w:rPr>
        <w:t xml:space="preserve"> married in 1980, separated in 1999 and filed for divorce in 2000.  The husband continued to live on the family farm, of which he was the sole registered owner.  In December 2000, the parties consented to an accounting and valuation of their assets.  Before a master undertook the valuation, the husband made an assignment in bankruptcy.  The wife was not listed as a creditor and received no notice of the assignment.  The husband was discharged from bankruptcy in November 2002.  The master subsequently proceeded with the valuation and found that the wife was entitled to an equalization payment of $41,063.48.  The master’s report, confirmed by the Court of Queen’s Bench, did not address the effect of the husband’s bankruptcy and discharge on the wife’s equalization claim.  The Court of Appeal held that the wife’s equalization claim was provable in bankruptcy and had been extinguished by the discharge of the husband’s bankruptcy.</w:t>
      </w:r>
    </w:p>
    <w:p w:rsidR="008D313A" w:rsidRPr="00254B2E" w:rsidRDefault="008D313A" w:rsidP="008D313A">
      <w:pPr>
        <w:pStyle w:val="SCCNormalDoubleSpacing"/>
        <w:spacing w:line="240" w:lineRule="auto"/>
        <w:rPr>
          <w:sz w:val="20"/>
          <w:lang w:val="en-US"/>
        </w:rPr>
      </w:pPr>
    </w:p>
    <w:p w:rsidR="008D313A" w:rsidRDefault="008D313A" w:rsidP="008D313A">
      <w:pPr>
        <w:pStyle w:val="SCCNormalDoubleSpacing"/>
        <w:spacing w:line="240" w:lineRule="auto"/>
        <w:rPr>
          <w:sz w:val="20"/>
          <w:lang w:val="en-US"/>
        </w:rPr>
      </w:pPr>
      <w:r w:rsidRPr="00254B2E">
        <w:rPr>
          <w:sz w:val="20"/>
          <w:lang w:val="en-US"/>
        </w:rPr>
        <w:tab/>
      </w:r>
      <w:r w:rsidRPr="00254B2E">
        <w:rPr>
          <w:i/>
          <w:sz w:val="20"/>
          <w:lang w:val="en-US"/>
        </w:rPr>
        <w:t>Held</w:t>
      </w:r>
      <w:r w:rsidRPr="00254B2E">
        <w:rPr>
          <w:rStyle w:val="QuoteChar"/>
          <w:sz w:val="20"/>
        </w:rPr>
        <w:t>:</w:t>
      </w:r>
      <w:r w:rsidRPr="00254B2E">
        <w:rPr>
          <w:sz w:val="20"/>
          <w:lang w:val="en-US"/>
        </w:rPr>
        <w:t xml:space="preserve">  </w:t>
      </w:r>
      <w:r w:rsidRPr="00254B2E">
        <w:rPr>
          <w:sz w:val="20"/>
        </w:rPr>
        <w:t>The</w:t>
      </w:r>
      <w:r w:rsidRPr="00254B2E">
        <w:rPr>
          <w:sz w:val="20"/>
          <w:lang w:val="en-US"/>
        </w:rPr>
        <w:t xml:space="preserve"> appeal should be dismissed.</w:t>
      </w:r>
    </w:p>
    <w:p w:rsidR="008D313A" w:rsidRPr="00254B2E" w:rsidRDefault="008D313A" w:rsidP="008D313A">
      <w:pPr>
        <w:pStyle w:val="SCCNormalDoubleSpacing"/>
        <w:spacing w:line="240" w:lineRule="auto"/>
        <w:rPr>
          <w:sz w:val="20"/>
          <w:lang w:val="en-US"/>
        </w:rPr>
      </w:pPr>
    </w:p>
    <w:p w:rsidR="008D313A" w:rsidRDefault="008D313A" w:rsidP="008D313A">
      <w:pPr>
        <w:pStyle w:val="SCCNormalDoubleSpacing"/>
        <w:spacing w:line="240" w:lineRule="auto"/>
        <w:rPr>
          <w:sz w:val="20"/>
          <w:lang w:val="en-US"/>
        </w:rPr>
      </w:pPr>
      <w:r w:rsidRPr="00254B2E">
        <w:rPr>
          <w:sz w:val="20"/>
          <w:lang w:val="en-US"/>
        </w:rPr>
        <w:tab/>
      </w:r>
      <w:r w:rsidRPr="00254B2E">
        <w:rPr>
          <w:sz w:val="20"/>
        </w:rPr>
        <w:t>Manitoba</w:t>
      </w:r>
      <w:r w:rsidRPr="00254B2E">
        <w:rPr>
          <w:sz w:val="20"/>
          <w:lang w:val="en-US"/>
        </w:rPr>
        <w:t xml:space="preserve"> is an equalization jurisdiction, not a division of property jurisdiction.  The equalization scheme is based on a principle of equal division of the value of family assets after a process of accounting and valuation.  The accounting process results in a value that is divided between the spouses, and any amount payable must be paid to the creditor spouse.  A debtor spouse retains the property he or she owns, but must pay a sum of money to the creditor spouse.  The assets themselves are not divided and neither spouse acquires a proprietary or beneficial interest in the other’s assets.  No provision of </w:t>
      </w:r>
      <w:r w:rsidRPr="00254B2E">
        <w:rPr>
          <w:i/>
          <w:sz w:val="20"/>
          <w:lang w:val="en-US"/>
        </w:rPr>
        <w:t>The Family Property Act</w:t>
      </w:r>
      <w:r w:rsidRPr="00254B2E">
        <w:rPr>
          <w:sz w:val="20"/>
          <w:lang w:val="en-US"/>
        </w:rPr>
        <w:t xml:space="preserve"> of Manitoba (“</w:t>
      </w:r>
      <w:r w:rsidRPr="00254B2E">
        <w:rPr>
          <w:i/>
          <w:sz w:val="20"/>
          <w:lang w:val="en-US"/>
        </w:rPr>
        <w:t>FPA</w:t>
      </w:r>
      <w:r w:rsidRPr="00254B2E">
        <w:rPr>
          <w:sz w:val="20"/>
          <w:lang w:val="en-US"/>
        </w:rPr>
        <w:t xml:space="preserve">”) vests title in one spouse to the other spouse’s property.  Proprietary interests are not granted until the stage of payment of the equalization claim, as a form of execution pursuant to s. 17 </w:t>
      </w:r>
      <w:r w:rsidRPr="00254B2E">
        <w:rPr>
          <w:i/>
          <w:sz w:val="20"/>
          <w:lang w:val="en-US"/>
        </w:rPr>
        <w:t>FPA</w:t>
      </w:r>
      <w:r w:rsidRPr="00254B2E">
        <w:rPr>
          <w:sz w:val="20"/>
          <w:lang w:val="en-US"/>
        </w:rPr>
        <w:t xml:space="preserve">.  Accordingly, under the </w:t>
      </w:r>
      <w:r w:rsidRPr="00254B2E">
        <w:rPr>
          <w:i/>
          <w:sz w:val="20"/>
          <w:lang w:val="en-US"/>
        </w:rPr>
        <w:t>FPA</w:t>
      </w:r>
      <w:r w:rsidRPr="00254B2E">
        <w:rPr>
          <w:sz w:val="20"/>
          <w:lang w:val="en-US"/>
        </w:rPr>
        <w:t>, an equalization claim is a debt owed by one spouse to the other.</w:t>
      </w:r>
    </w:p>
    <w:p w:rsidR="008D313A" w:rsidRPr="00254B2E" w:rsidRDefault="008D313A" w:rsidP="008D313A">
      <w:pPr>
        <w:pStyle w:val="SCCNormalDoubleSpacing"/>
        <w:spacing w:line="240" w:lineRule="auto"/>
        <w:rPr>
          <w:sz w:val="20"/>
          <w:u w:val="single"/>
          <w:lang w:val="en-US"/>
        </w:rPr>
      </w:pPr>
    </w:p>
    <w:p w:rsidR="008D313A" w:rsidRDefault="008D313A" w:rsidP="008D313A">
      <w:pPr>
        <w:pStyle w:val="SCCNormalDoubleSpacing"/>
        <w:spacing w:line="240" w:lineRule="auto"/>
        <w:rPr>
          <w:sz w:val="20"/>
          <w:lang w:val="en-US"/>
        </w:rPr>
      </w:pPr>
      <w:r w:rsidRPr="00254B2E">
        <w:rPr>
          <w:sz w:val="20"/>
          <w:lang w:val="en-US"/>
        </w:rPr>
        <w:tab/>
      </w:r>
      <w:r w:rsidRPr="00254B2E">
        <w:rPr>
          <w:sz w:val="20"/>
        </w:rPr>
        <w:t>The</w:t>
      </w:r>
      <w:r w:rsidRPr="00254B2E">
        <w:rPr>
          <w:sz w:val="20"/>
          <w:lang w:val="en-US"/>
        </w:rPr>
        <w:t xml:space="preserve"> wife’s equalization claim was provable in the husband’s bankruptcy.  Section 121 of the </w:t>
      </w:r>
      <w:r w:rsidRPr="00254B2E">
        <w:rPr>
          <w:i/>
          <w:sz w:val="20"/>
          <w:lang w:val="en-US"/>
        </w:rPr>
        <w:t>Bankruptcy and Insolvency Act</w:t>
      </w:r>
      <w:r w:rsidRPr="00254B2E">
        <w:rPr>
          <w:sz w:val="20"/>
          <w:lang w:val="en-US"/>
        </w:rPr>
        <w:t xml:space="preserve"> (“</w:t>
      </w:r>
      <w:r w:rsidRPr="00254B2E">
        <w:rPr>
          <w:i/>
          <w:sz w:val="20"/>
          <w:lang w:val="en-US"/>
        </w:rPr>
        <w:t>BIA</w:t>
      </w:r>
      <w:r w:rsidRPr="00254B2E">
        <w:rPr>
          <w:sz w:val="20"/>
          <w:lang w:val="en-US"/>
        </w:rPr>
        <w:t xml:space="preserve">”) contains a broad definition of a provable claim, which includes all debts and liabilities that exist at the time of the bankruptcy or that arise out of obligations incurred before the day on which the bankrupt went into bankruptcy.  In the instant case, given the nature of Manitoba’s equalization scheme, the wife’s claim was provable.  A right to payment existed from the time of separation of the spouses, and hence existed at the time of the bankruptcy.  All that remained was to determine the quantum by applying a clear formula that left little scope for judicial discretion.  In such circumstances, the claim could not be considered so uncertain that s. 135 </w:t>
      </w:r>
      <w:r w:rsidRPr="00254B2E">
        <w:rPr>
          <w:i/>
          <w:sz w:val="20"/>
          <w:lang w:val="en-US"/>
        </w:rPr>
        <w:t>BIA</w:t>
      </w:r>
      <w:r w:rsidRPr="00254B2E">
        <w:rPr>
          <w:sz w:val="20"/>
          <w:lang w:val="en-US"/>
        </w:rPr>
        <w:t xml:space="preserve"> could not apply.  The husband was released from the equalization claim by the bankruptcy and his discharge.  The wife’s claim was neither a proprietary claim, nor was it exempt from the effect of a discharge as a claim for support or maintenance under s. 178(1)(</w:t>
      </w:r>
      <w:r w:rsidRPr="00254B2E">
        <w:rPr>
          <w:i/>
          <w:sz w:val="20"/>
          <w:lang w:val="en-US"/>
        </w:rPr>
        <w:t>b</w:t>
      </w:r>
      <w:r w:rsidRPr="00254B2E">
        <w:rPr>
          <w:sz w:val="20"/>
          <w:lang w:val="en-US"/>
        </w:rPr>
        <w:t>) or (</w:t>
      </w:r>
      <w:r w:rsidRPr="00254B2E">
        <w:rPr>
          <w:i/>
          <w:sz w:val="20"/>
          <w:lang w:val="en-US"/>
        </w:rPr>
        <w:t>c</w:t>
      </w:r>
      <w:r w:rsidRPr="00254B2E">
        <w:rPr>
          <w:sz w:val="20"/>
          <w:lang w:val="en-US"/>
        </w:rPr>
        <w:t xml:space="preserve">) </w:t>
      </w:r>
      <w:r w:rsidRPr="00254B2E">
        <w:rPr>
          <w:i/>
          <w:sz w:val="20"/>
          <w:lang w:val="en-US"/>
        </w:rPr>
        <w:t>BIA</w:t>
      </w:r>
      <w:r w:rsidRPr="00254B2E">
        <w:rPr>
          <w:sz w:val="20"/>
          <w:lang w:val="en-US"/>
        </w:rPr>
        <w:t>.</w:t>
      </w:r>
    </w:p>
    <w:p w:rsidR="008D313A" w:rsidRPr="00254B2E" w:rsidRDefault="008D313A" w:rsidP="008D313A">
      <w:pPr>
        <w:pStyle w:val="SCCNormalDoubleSpacing"/>
        <w:spacing w:line="240" w:lineRule="auto"/>
        <w:rPr>
          <w:sz w:val="20"/>
          <w:lang w:val="en-US"/>
        </w:rPr>
      </w:pPr>
    </w:p>
    <w:p w:rsidR="008D313A" w:rsidRDefault="008D313A" w:rsidP="008D313A">
      <w:pPr>
        <w:pStyle w:val="SCCNormalDoubleSpacing"/>
        <w:spacing w:line="240" w:lineRule="auto"/>
        <w:rPr>
          <w:sz w:val="20"/>
          <w:lang w:val="en-US"/>
        </w:rPr>
      </w:pPr>
      <w:r w:rsidRPr="00254B2E">
        <w:rPr>
          <w:sz w:val="20"/>
          <w:lang w:val="en-US"/>
        </w:rPr>
        <w:tab/>
      </w:r>
      <w:r w:rsidRPr="00254B2E">
        <w:rPr>
          <w:sz w:val="20"/>
        </w:rPr>
        <w:t>Under</w:t>
      </w:r>
      <w:r w:rsidRPr="00254B2E">
        <w:rPr>
          <w:sz w:val="20"/>
          <w:lang w:val="en-US"/>
        </w:rPr>
        <w:t xml:space="preserve"> Manitoba’s </w:t>
      </w:r>
      <w:r w:rsidRPr="00254B2E">
        <w:rPr>
          <w:i/>
          <w:sz w:val="20"/>
          <w:lang w:val="en-US"/>
        </w:rPr>
        <w:t>The Judgments Act</w:t>
      </w:r>
      <w:r w:rsidRPr="00254B2E">
        <w:rPr>
          <w:sz w:val="20"/>
          <w:lang w:val="en-US"/>
        </w:rPr>
        <w:t xml:space="preserve">, the family farm was exempt from execution by creditors.  The appropriate remedy for a creditor like the wife would be to apply to the bankruptcy judge under s. 69.4 </w:t>
      </w:r>
      <w:r w:rsidRPr="00254B2E">
        <w:rPr>
          <w:i/>
          <w:sz w:val="20"/>
          <w:lang w:val="en-US"/>
        </w:rPr>
        <w:t>BIA</w:t>
      </w:r>
      <w:r w:rsidRPr="00254B2E">
        <w:rPr>
          <w:sz w:val="20"/>
          <w:lang w:val="en-US"/>
        </w:rPr>
        <w:t xml:space="preserve"> for leave to pursue a claim against the exempt property.  Since this property is beyond the reach of the ordinary creditors, lifting the </w:t>
      </w:r>
      <w:r w:rsidRPr="00254B2E">
        <w:rPr>
          <w:sz w:val="20"/>
          <w:lang w:val="en-US"/>
        </w:rPr>
        <w:lastRenderedPageBreak/>
        <w:t>stay of proceedings cannot prejudice the estate assets available for distribution.  In keeping with the wording of s. 69.4(</w:t>
      </w:r>
      <w:r w:rsidRPr="00254B2E">
        <w:rPr>
          <w:i/>
          <w:sz w:val="20"/>
          <w:lang w:val="en-US"/>
        </w:rPr>
        <w:t>b</w:t>
      </w:r>
      <w:r w:rsidRPr="00254B2E">
        <w:rPr>
          <w:sz w:val="20"/>
          <w:lang w:val="en-US"/>
        </w:rPr>
        <w:t xml:space="preserve">), it would be “equitable on other grounds” to make such an order.  This process would also accord with the policy objective of bankruptcy law of maximizing, under the </w:t>
      </w:r>
      <w:r w:rsidRPr="00254B2E">
        <w:rPr>
          <w:i/>
          <w:sz w:val="20"/>
          <w:lang w:val="en-US"/>
        </w:rPr>
        <w:t>BIA</w:t>
      </w:r>
      <w:r w:rsidRPr="00254B2E">
        <w:rPr>
          <w:sz w:val="20"/>
          <w:lang w:val="en-US"/>
        </w:rPr>
        <w:t>, returns to the family unit as a whole rather than focusing on the needs of the bankrupt and with Parliament’s concern for the support of families.</w:t>
      </w:r>
    </w:p>
    <w:p w:rsidR="008D313A" w:rsidRPr="00254B2E" w:rsidRDefault="008D313A" w:rsidP="008D313A">
      <w:pPr>
        <w:pStyle w:val="SCCNormalDoubleSpacing"/>
        <w:spacing w:line="240" w:lineRule="auto"/>
        <w:rPr>
          <w:sz w:val="20"/>
          <w:lang w:val="en-US"/>
        </w:rPr>
      </w:pPr>
    </w:p>
    <w:p w:rsidR="008D313A" w:rsidRDefault="008D313A" w:rsidP="008D313A">
      <w:pPr>
        <w:pStyle w:val="SCCNormalDoubleSpacing"/>
        <w:spacing w:line="240" w:lineRule="auto"/>
        <w:rPr>
          <w:sz w:val="20"/>
          <w:lang w:val="en-US"/>
        </w:rPr>
      </w:pPr>
      <w:r w:rsidRPr="00254B2E">
        <w:rPr>
          <w:sz w:val="20"/>
          <w:lang w:val="en-US"/>
        </w:rPr>
        <w:tab/>
        <w:t xml:space="preserve">In its current form, the </w:t>
      </w:r>
      <w:r w:rsidRPr="00254B2E">
        <w:rPr>
          <w:i/>
          <w:sz w:val="20"/>
          <w:lang w:val="en-US"/>
        </w:rPr>
        <w:t xml:space="preserve">BIA </w:t>
      </w:r>
      <w:r w:rsidRPr="00254B2E">
        <w:rPr>
          <w:sz w:val="20"/>
          <w:lang w:val="en-US"/>
        </w:rPr>
        <w:t>offers limited remedies to a spouse in the wife’s position.  In this regard, family law may provide them with other forms of remedies after the bankrupt has been discharged, more particularly through spousal support.</w:t>
      </w:r>
    </w:p>
    <w:p w:rsidR="008D313A" w:rsidRDefault="008D313A" w:rsidP="008D313A">
      <w:pPr>
        <w:pStyle w:val="SCCNormalDoubleSpacing"/>
        <w:spacing w:line="240" w:lineRule="auto"/>
        <w:rPr>
          <w:sz w:val="20"/>
          <w:lang w:val="en-US"/>
        </w:rPr>
      </w:pPr>
    </w:p>
    <w:p w:rsidR="008D313A" w:rsidRDefault="008D313A" w:rsidP="008D313A">
      <w:pPr>
        <w:pStyle w:val="SCCNormalDoubleSpacing"/>
        <w:spacing w:line="240" w:lineRule="auto"/>
        <w:rPr>
          <w:sz w:val="20"/>
          <w:lang w:val="en-US"/>
        </w:rPr>
      </w:pPr>
      <w:r w:rsidRPr="00254B2E">
        <w:rPr>
          <w:sz w:val="20"/>
        </w:rPr>
        <w:tab/>
        <w:t>APPEAL from a judgment of the Manitoba Court of Appeal (</w:t>
      </w:r>
      <w:r w:rsidR="00EE1200" w:rsidRPr="00254B2E">
        <w:rPr>
          <w:sz w:val="20"/>
        </w:rPr>
        <w:fldChar w:fldCharType="begin"/>
      </w:r>
      <w:r w:rsidRPr="00254B2E">
        <w:rPr>
          <w:sz w:val="20"/>
        </w:rPr>
        <w:instrText xml:space="preserve"> SEQ CHAPTER \h \r 1</w:instrText>
      </w:r>
      <w:r w:rsidR="00EE1200" w:rsidRPr="00254B2E">
        <w:rPr>
          <w:sz w:val="20"/>
        </w:rPr>
        <w:fldChar w:fldCharType="end"/>
      </w:r>
      <w:r w:rsidRPr="00254B2E">
        <w:rPr>
          <w:sz w:val="20"/>
          <w:lang w:val="en-US"/>
        </w:rPr>
        <w:t>Hamilton, Freedman and MacInnes JJ.A.</w:t>
      </w:r>
      <w:r w:rsidRPr="00254B2E">
        <w:rPr>
          <w:sz w:val="20"/>
        </w:rPr>
        <w:t xml:space="preserve">), </w:t>
      </w:r>
      <w:r w:rsidR="00EE1200" w:rsidRPr="00254B2E">
        <w:rPr>
          <w:sz w:val="20"/>
        </w:rPr>
        <w:fldChar w:fldCharType="begin"/>
      </w:r>
      <w:r w:rsidRPr="00254B2E">
        <w:rPr>
          <w:sz w:val="20"/>
        </w:rPr>
        <w:instrText xml:space="preserve"> SEQ CHAPTER \h \r 1</w:instrText>
      </w:r>
      <w:r w:rsidR="00EE1200" w:rsidRPr="00254B2E">
        <w:rPr>
          <w:sz w:val="20"/>
        </w:rPr>
        <w:fldChar w:fldCharType="end"/>
      </w:r>
      <w:r w:rsidRPr="00254B2E">
        <w:rPr>
          <w:sz w:val="20"/>
          <w:lang w:val="en-US"/>
        </w:rPr>
        <w:t>2009 MBCA 84, 245 Man. R. (2d) 86, 466 W.A.C. 86, 57 C.B.R. (5th) 157, 70 R.F.L. (6th) 237, [2009] 10 W.W.R. 588, [2009] M.J. No. 299 (QL), 2009 CarswellMan 403, varying an order of Guertin</w:t>
      </w:r>
      <w:r w:rsidRPr="00254B2E">
        <w:rPr>
          <w:sz w:val="20"/>
          <w:lang w:val="en-US"/>
        </w:rPr>
        <w:noBreakHyphen/>
        <w:t>Riley J. (unreported).  Appeal dismissed.</w:t>
      </w:r>
    </w:p>
    <w:p w:rsidR="008D313A" w:rsidRPr="00254B2E" w:rsidRDefault="008D313A" w:rsidP="008D313A">
      <w:pPr>
        <w:pStyle w:val="SCCNormalDoubleSpacing"/>
        <w:spacing w:line="240" w:lineRule="auto"/>
        <w:rPr>
          <w:color w:val="FFFFFF" w:themeColor="background1"/>
          <w:sz w:val="20"/>
          <w:lang w:val="en-US"/>
        </w:rPr>
      </w:pPr>
    </w:p>
    <w:p w:rsidR="008D313A" w:rsidRDefault="008D313A" w:rsidP="008D313A">
      <w:pPr>
        <w:pStyle w:val="SCCNormalDoubleSpacing"/>
        <w:spacing w:line="240" w:lineRule="auto"/>
        <w:rPr>
          <w:rStyle w:val="SCCCounselPartyRoleChar"/>
          <w:sz w:val="20"/>
        </w:rPr>
      </w:pPr>
      <w:r w:rsidRPr="00254B2E">
        <w:rPr>
          <w:rStyle w:val="SCCCounselNameChar"/>
          <w:sz w:val="20"/>
        </w:rPr>
        <w:tab/>
        <w:t>Martin W. Mason</w:t>
      </w:r>
      <w:r w:rsidRPr="008D313A">
        <w:rPr>
          <w:rStyle w:val="SCCCounselSeparatorChar"/>
          <w:sz w:val="20"/>
          <w:lang w:val="en-CA"/>
        </w:rPr>
        <w:t xml:space="preserve">, </w:t>
      </w:r>
      <w:r w:rsidRPr="00254B2E">
        <w:rPr>
          <w:rStyle w:val="SCCCounselNameChar"/>
          <w:sz w:val="20"/>
        </w:rPr>
        <w:t>Robert A. Klotz,</w:t>
      </w:r>
      <w:r w:rsidRPr="008D313A">
        <w:rPr>
          <w:rStyle w:val="SCCCounselSeparatorChar"/>
          <w:sz w:val="20"/>
          <w:lang w:val="en-CA"/>
        </w:rPr>
        <w:t xml:space="preserve"> </w:t>
      </w:r>
      <w:r w:rsidRPr="00254B2E">
        <w:rPr>
          <w:rStyle w:val="SCCCounselNameChar"/>
          <w:sz w:val="20"/>
        </w:rPr>
        <w:t xml:space="preserve">Alain J. Hogue </w:t>
      </w:r>
      <w:r w:rsidRPr="008D313A">
        <w:rPr>
          <w:rStyle w:val="SCCCounselSeparatorChar"/>
          <w:sz w:val="20"/>
          <w:lang w:val="en-CA"/>
        </w:rPr>
        <w:t xml:space="preserve">and </w:t>
      </w:r>
      <w:r w:rsidRPr="00254B2E">
        <w:rPr>
          <w:rStyle w:val="SCCCounselNameChar"/>
          <w:sz w:val="20"/>
        </w:rPr>
        <w:t>Matthew Estabrooks</w:t>
      </w:r>
      <w:r w:rsidRPr="00254B2E">
        <w:rPr>
          <w:rStyle w:val="SCCCounselPartyRoleChar"/>
          <w:sz w:val="20"/>
        </w:rPr>
        <w:t>, for the appellant.</w:t>
      </w:r>
    </w:p>
    <w:p w:rsidR="008D313A" w:rsidRPr="00254B2E" w:rsidRDefault="008D313A" w:rsidP="008D313A">
      <w:pPr>
        <w:pStyle w:val="SCCNormalDoubleSpacing"/>
        <w:spacing w:line="240" w:lineRule="auto"/>
        <w:rPr>
          <w:sz w:val="20"/>
        </w:rPr>
      </w:pPr>
    </w:p>
    <w:p w:rsidR="008D313A" w:rsidRDefault="008D313A" w:rsidP="008D313A">
      <w:pPr>
        <w:pStyle w:val="SCCNormalDoubleSpacing"/>
        <w:spacing w:line="240" w:lineRule="auto"/>
        <w:rPr>
          <w:rStyle w:val="SCCCounselPartyRoleChar"/>
          <w:sz w:val="20"/>
        </w:rPr>
      </w:pPr>
      <w:r w:rsidRPr="00254B2E">
        <w:rPr>
          <w:rStyle w:val="SCCCounselNameChar"/>
          <w:sz w:val="20"/>
        </w:rPr>
        <w:tab/>
        <w:t>Gerald S. Ashcroft</w:t>
      </w:r>
      <w:r w:rsidRPr="00254B2E">
        <w:rPr>
          <w:rStyle w:val="SCCCounselPartyRoleChar"/>
          <w:sz w:val="20"/>
        </w:rPr>
        <w:t>, for the respondent.</w:t>
      </w:r>
    </w:p>
    <w:p w:rsidR="008D313A" w:rsidRPr="00254B2E" w:rsidRDefault="008D313A" w:rsidP="008D313A">
      <w:pPr>
        <w:pStyle w:val="SCCNormalDoubleSpacing"/>
        <w:spacing w:line="240" w:lineRule="auto"/>
        <w:rPr>
          <w:sz w:val="20"/>
        </w:rPr>
      </w:pPr>
    </w:p>
    <w:p w:rsidR="008D313A" w:rsidRDefault="008D313A" w:rsidP="008D313A">
      <w:pPr>
        <w:pStyle w:val="SCCNormalDoubleSpacing"/>
        <w:spacing w:line="240" w:lineRule="auto"/>
        <w:rPr>
          <w:i/>
          <w:sz w:val="20"/>
        </w:rPr>
      </w:pPr>
      <w:r w:rsidRPr="00254B2E">
        <w:rPr>
          <w:sz w:val="20"/>
        </w:rPr>
        <w:tab/>
      </w:r>
      <w:r w:rsidRPr="00254B2E">
        <w:rPr>
          <w:rStyle w:val="SCCCounselNameChar"/>
          <w:sz w:val="20"/>
        </w:rPr>
        <w:t>Solicitors</w:t>
      </w:r>
      <w:r w:rsidRPr="00254B2E">
        <w:rPr>
          <w:i/>
          <w:sz w:val="20"/>
        </w:rPr>
        <w:t xml:space="preserve"> for the appellant:  Gowling Lafleur Henderson, Ottawa.</w:t>
      </w:r>
    </w:p>
    <w:p w:rsidR="008D313A" w:rsidRPr="00254B2E" w:rsidRDefault="008D313A" w:rsidP="008D313A">
      <w:pPr>
        <w:pStyle w:val="SCCNormalDoubleSpacing"/>
        <w:spacing w:line="240" w:lineRule="auto"/>
        <w:rPr>
          <w:i/>
          <w:sz w:val="20"/>
        </w:rPr>
      </w:pPr>
    </w:p>
    <w:p w:rsidR="008D313A" w:rsidRDefault="008D313A" w:rsidP="008D313A">
      <w:pPr>
        <w:pStyle w:val="SCCNormalDoubleSpacing"/>
        <w:spacing w:line="240" w:lineRule="auto"/>
        <w:rPr>
          <w:i/>
          <w:sz w:val="20"/>
        </w:rPr>
      </w:pPr>
      <w:r w:rsidRPr="00254B2E">
        <w:rPr>
          <w:i/>
          <w:sz w:val="20"/>
        </w:rPr>
        <w:tab/>
      </w:r>
      <w:r w:rsidRPr="00254B2E">
        <w:rPr>
          <w:rStyle w:val="SCCCounselNameChar"/>
          <w:sz w:val="20"/>
        </w:rPr>
        <w:t>Solicitors</w:t>
      </w:r>
      <w:r w:rsidRPr="00254B2E">
        <w:rPr>
          <w:i/>
          <w:sz w:val="20"/>
        </w:rPr>
        <w:t xml:space="preserve"> for the respondent:  Thompson Dorfman Sweatman, Winnipeg.</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8D313A" w:rsidRPr="008D313A" w:rsidRDefault="008D313A" w:rsidP="008D313A">
      <w:pPr>
        <w:jc w:val="both"/>
        <w:rPr>
          <w:sz w:val="20"/>
          <w:szCs w:val="20"/>
          <w:lang w:val="fr-CA"/>
        </w:rPr>
      </w:pPr>
      <w:r w:rsidRPr="008D313A">
        <w:rPr>
          <w:sz w:val="20"/>
          <w:szCs w:val="20"/>
          <w:lang w:val="fr-CA"/>
        </w:rPr>
        <w:t>Présents : La juge en chef McLachlin et les juges Binnie, LeBel, Deschamps, Abella, Rothstein et Cromwell.</w:t>
      </w:r>
    </w:p>
    <w:p w:rsidR="008D313A" w:rsidRPr="008D313A" w:rsidRDefault="008D313A" w:rsidP="008D313A">
      <w:pPr>
        <w:jc w:val="both"/>
        <w:rPr>
          <w:sz w:val="20"/>
          <w:szCs w:val="20"/>
          <w:lang w:val="fr-CA"/>
        </w:rPr>
      </w:pPr>
    </w:p>
    <w:p w:rsidR="008D313A" w:rsidRPr="008D313A" w:rsidRDefault="008D313A" w:rsidP="008D313A">
      <w:pPr>
        <w:pStyle w:val="SCCNormalDoubleSpacing"/>
        <w:spacing w:line="240" w:lineRule="auto"/>
        <w:rPr>
          <w:i/>
          <w:sz w:val="20"/>
          <w:lang w:val="fr-CA"/>
        </w:rPr>
      </w:pPr>
      <w:r w:rsidRPr="008D313A">
        <w:rPr>
          <w:i/>
          <w:sz w:val="20"/>
          <w:lang w:val="fr-CA"/>
        </w:rPr>
        <w:tab/>
        <w:t>Droit de la famille — Biens familiaux — Faillite et insolvabilité — Consentement des conjoints lors de la séparation à l’évaluation de l’actif en vertu de la Loi sur les biens familiaux du Manitoba — Époux propriétaire de la ferme familiale — Cession en faillite des biens de l’époux et libération avant l’évaluation de l’actif — Droit de l’épouse à un paiement de compensation confirmé par l’évaluation — Effet de la faillite et de la libération sur le paiement de compensation — La réclamation au titre de la compensation est</w:t>
      </w:r>
      <w:r w:rsidRPr="008D313A">
        <w:rPr>
          <w:i/>
          <w:sz w:val="20"/>
          <w:lang w:val="fr-CA"/>
        </w:rPr>
        <w:noBreakHyphen/>
        <w:t>elle une réclamation prouvable en matière de faillite? — La libération de l’époux failli a</w:t>
      </w:r>
      <w:r w:rsidRPr="008D313A">
        <w:rPr>
          <w:i/>
          <w:sz w:val="20"/>
          <w:lang w:val="fr-CA"/>
        </w:rPr>
        <w:noBreakHyphen/>
        <w:t>t</w:t>
      </w:r>
      <w:r w:rsidRPr="008D313A">
        <w:rPr>
          <w:i/>
          <w:sz w:val="20"/>
          <w:lang w:val="fr-CA"/>
        </w:rPr>
        <w:noBreakHyphen/>
        <w:t>elle eu pour effet de le libérer de la réclamation au titre de la compensation? — Loi sur la faillite et l’insolvabilité, L.R.C. 1985, ch. B</w:t>
      </w:r>
      <w:r w:rsidRPr="008D313A">
        <w:rPr>
          <w:i/>
          <w:sz w:val="20"/>
          <w:lang w:val="fr-CA"/>
        </w:rPr>
        <w:noBreakHyphen/>
        <w:t>3, art. 69.4, 121(1), 121(2), 135, 178(1)(f), 178(2) — Loi sur les biens familiaux, C.P.L.M. ch. F25, art. 17.</w:t>
      </w:r>
    </w:p>
    <w:p w:rsidR="008D313A" w:rsidRPr="008D313A" w:rsidRDefault="008D313A" w:rsidP="008D313A">
      <w:pPr>
        <w:pStyle w:val="SCCNormalDoubleSpacing"/>
        <w:spacing w:line="240" w:lineRule="auto"/>
        <w:rPr>
          <w:i/>
          <w:sz w:val="20"/>
          <w:lang w:val="fr-CA"/>
        </w:rPr>
      </w:pPr>
    </w:p>
    <w:p w:rsidR="008D313A" w:rsidRPr="008D313A" w:rsidRDefault="008D313A" w:rsidP="008D313A">
      <w:pPr>
        <w:pStyle w:val="SCCNormalDoubleSpacing"/>
        <w:spacing w:line="240" w:lineRule="auto"/>
        <w:rPr>
          <w:sz w:val="20"/>
          <w:lang w:val="fr-CA"/>
        </w:rPr>
      </w:pPr>
      <w:r w:rsidRPr="008D313A">
        <w:rPr>
          <w:sz w:val="20"/>
          <w:lang w:val="fr-CA"/>
        </w:rPr>
        <w:tab/>
        <w:t>Les parties se sont mariées en 1980, se sont séparées en 1999 et ont demandé le divorce en 2000.  L’époux a continué de vivre sur la ferme familiale, dont il était le seul propriétaire inscrit.  En décembre 2000, les parties ont consenti à une reddition de comptes et à une évaluation de leurs éléments d’actif.  Avant l’évaluation par la conseillère</w:t>
      </w:r>
      <w:r w:rsidRPr="008D313A">
        <w:rPr>
          <w:sz w:val="20"/>
          <w:lang w:val="fr-CA"/>
        </w:rPr>
        <w:noBreakHyphen/>
        <w:t>maître, l’époux a fait cession de ses biens en faillite.  L’épouse n’a pas été inscrite sur la liste des créanciers et n’a pas été avisée de la cession en faillite.  L’époux a été libéré de la faillite en novembre 2002.  La conseillère</w:t>
      </w:r>
      <w:r w:rsidRPr="008D313A">
        <w:rPr>
          <w:sz w:val="20"/>
          <w:lang w:val="fr-CA"/>
        </w:rPr>
        <w:noBreakHyphen/>
        <w:t>maître a procédé ultérieurement à l’évaluation et conclu que l’épouse avait droit à un paiement de compensation de 41 063,48 $.  Le rapport de la conseillère</w:t>
      </w:r>
      <w:r w:rsidRPr="008D313A">
        <w:rPr>
          <w:sz w:val="20"/>
          <w:lang w:val="fr-CA"/>
        </w:rPr>
        <w:noBreakHyphen/>
        <w:t>maître, confirmé par la Cour du Banc de la Reine, ne traitait pas de l’effet de la faillite et de la libération de l’époux sur la réclamation de l’épouse au titre de la compensation.  La Cour d’appel a statué que la réclamation de l’épouse au titre de la compensation était une réclamation prouvable en matière de faillite et qu’elle avait été éteinte par l’ordonnance de libération de l’époux.</w:t>
      </w:r>
    </w:p>
    <w:p w:rsidR="008D313A" w:rsidRPr="008D313A" w:rsidRDefault="008D313A" w:rsidP="008D313A">
      <w:pPr>
        <w:pStyle w:val="SCCNormalDoubleSpacing"/>
        <w:spacing w:line="240" w:lineRule="auto"/>
        <w:rPr>
          <w:sz w:val="20"/>
          <w:lang w:val="fr-CA"/>
        </w:rPr>
      </w:pPr>
    </w:p>
    <w:p w:rsidR="008D313A" w:rsidRPr="008D313A" w:rsidRDefault="008D313A" w:rsidP="008D313A">
      <w:pPr>
        <w:pStyle w:val="SCCNormalDoubleSpacing"/>
        <w:spacing w:line="240" w:lineRule="auto"/>
        <w:rPr>
          <w:sz w:val="20"/>
          <w:lang w:val="fr-CA"/>
        </w:rPr>
      </w:pPr>
      <w:r w:rsidRPr="008D313A">
        <w:rPr>
          <w:sz w:val="20"/>
          <w:lang w:val="fr-CA"/>
        </w:rPr>
        <w:tab/>
      </w:r>
      <w:r w:rsidRPr="008D313A">
        <w:rPr>
          <w:i/>
          <w:sz w:val="20"/>
          <w:lang w:val="fr-CA"/>
        </w:rPr>
        <w:t>Arrêt :</w:t>
      </w:r>
      <w:r w:rsidRPr="008D313A">
        <w:rPr>
          <w:sz w:val="20"/>
          <w:lang w:val="fr-CA"/>
        </w:rPr>
        <w:t xml:space="preserve"> Le pourvoi est rejeté.</w:t>
      </w:r>
    </w:p>
    <w:p w:rsidR="008D313A" w:rsidRPr="008D313A" w:rsidRDefault="008D313A" w:rsidP="008D313A">
      <w:pPr>
        <w:pStyle w:val="SCCNormalDoubleSpacing"/>
        <w:spacing w:line="240" w:lineRule="auto"/>
        <w:rPr>
          <w:sz w:val="20"/>
          <w:lang w:val="fr-CA"/>
        </w:rPr>
      </w:pPr>
    </w:p>
    <w:p w:rsidR="008D313A" w:rsidRPr="008D313A" w:rsidRDefault="008D313A" w:rsidP="008D313A">
      <w:pPr>
        <w:pStyle w:val="SCCNormalDoubleSpacing"/>
        <w:spacing w:line="240" w:lineRule="auto"/>
        <w:rPr>
          <w:sz w:val="20"/>
          <w:lang w:val="fr-CA"/>
        </w:rPr>
      </w:pPr>
      <w:r w:rsidRPr="008D313A">
        <w:rPr>
          <w:sz w:val="20"/>
          <w:lang w:val="fr-CA"/>
        </w:rPr>
        <w:tab/>
        <w:t>Le Manitoba est un ressort qui a opté pour la compensation, et non pour le partage des biens.  Le régime de compensation est fondé sur le principe du partage égal de la valeur de l’actif familial à l’issue d’un processus de reddition de comptes et d’évaluation.  La reddition de comptes sert à établir la valeur qui sera partagée entre les conjoints et tout montant dû doit être payé au conjoint créancier.  Le conjoint débiteur conserve les biens dont il est propriétaire, mais il doit verser une somme d’argent à l’autre conjoint.  L’actif lui</w:t>
      </w:r>
      <w:r w:rsidRPr="008D313A">
        <w:rPr>
          <w:sz w:val="20"/>
          <w:lang w:val="fr-CA"/>
        </w:rPr>
        <w:noBreakHyphen/>
        <w:t xml:space="preserve">même n’est pas partagé et aucun des conjoints n’acquiert un intérêt propriétal ou bénéficiaire dans l’actif de l’autre.  Aucune disposition de la </w:t>
      </w:r>
      <w:r w:rsidRPr="008D313A">
        <w:rPr>
          <w:i/>
          <w:sz w:val="20"/>
          <w:lang w:val="fr-CA"/>
        </w:rPr>
        <w:t xml:space="preserve">Loi sur les biens familiaux </w:t>
      </w:r>
      <w:r w:rsidRPr="008D313A">
        <w:rPr>
          <w:sz w:val="20"/>
          <w:lang w:val="fr-CA"/>
        </w:rPr>
        <w:t>du Manitoba (la « </w:t>
      </w:r>
      <w:r w:rsidRPr="008D313A">
        <w:rPr>
          <w:i/>
          <w:sz w:val="20"/>
          <w:lang w:val="fr-CA"/>
        </w:rPr>
        <w:t>LBF </w:t>
      </w:r>
      <w:r w:rsidRPr="008D313A">
        <w:rPr>
          <w:sz w:val="20"/>
          <w:lang w:val="fr-CA"/>
        </w:rPr>
        <w:t xml:space="preserve">» ) n’a pour effet d’investir un conjoint de quelque titre relatif aux biens de l’autre conjoint.  Aucun intérêt propriétal n’est transmis avant le stade du paiement de la compensation, l’exécution </w:t>
      </w:r>
      <w:r w:rsidRPr="008D313A">
        <w:rPr>
          <w:sz w:val="20"/>
          <w:lang w:val="fr-CA"/>
        </w:rPr>
        <w:lastRenderedPageBreak/>
        <w:t>pouvant alors prendre la forme de la transmission d’un tel intérêt en vertu de l’art. 17 de la</w:t>
      </w:r>
      <w:r w:rsidRPr="008D313A">
        <w:rPr>
          <w:i/>
          <w:sz w:val="20"/>
          <w:lang w:val="fr-CA"/>
        </w:rPr>
        <w:t xml:space="preserve"> LBF</w:t>
      </w:r>
      <w:r w:rsidRPr="008D313A">
        <w:rPr>
          <w:sz w:val="20"/>
          <w:lang w:val="fr-CA"/>
        </w:rPr>
        <w:t xml:space="preserve">.  Ainsi, sous le régime de la </w:t>
      </w:r>
      <w:r w:rsidRPr="008D313A">
        <w:rPr>
          <w:i/>
          <w:sz w:val="20"/>
          <w:lang w:val="fr-CA"/>
        </w:rPr>
        <w:t>LBF</w:t>
      </w:r>
      <w:r w:rsidRPr="008D313A">
        <w:rPr>
          <w:sz w:val="20"/>
          <w:lang w:val="fr-CA"/>
        </w:rPr>
        <w:t>, la réclamation au titre de la compensation constitue une dette d’un conjoint envers l’autre.</w:t>
      </w:r>
    </w:p>
    <w:p w:rsidR="008D313A" w:rsidRPr="008D313A" w:rsidRDefault="008D313A" w:rsidP="008D313A">
      <w:pPr>
        <w:pStyle w:val="SCCNormalDoubleSpacing"/>
        <w:spacing w:line="240" w:lineRule="auto"/>
        <w:rPr>
          <w:sz w:val="20"/>
          <w:u w:val="single"/>
          <w:lang w:val="fr-CA"/>
        </w:rPr>
      </w:pPr>
    </w:p>
    <w:p w:rsidR="008D313A" w:rsidRPr="008D313A" w:rsidRDefault="008D313A" w:rsidP="008D313A">
      <w:pPr>
        <w:pStyle w:val="SCCNormalDoubleSpacing"/>
        <w:spacing w:line="240" w:lineRule="auto"/>
        <w:rPr>
          <w:sz w:val="20"/>
          <w:lang w:val="fr-CA"/>
        </w:rPr>
      </w:pPr>
      <w:r w:rsidRPr="008D313A">
        <w:rPr>
          <w:sz w:val="20"/>
          <w:lang w:val="fr-CA"/>
        </w:rPr>
        <w:tab/>
        <w:t xml:space="preserve">La réclamation au titre de la compensation de l’épouse était une réclamation prouvable dans la faillite de l’époux.  L’article 121 de la </w:t>
      </w:r>
      <w:r w:rsidRPr="008D313A">
        <w:rPr>
          <w:i/>
          <w:sz w:val="20"/>
          <w:lang w:val="fr-CA"/>
        </w:rPr>
        <w:t xml:space="preserve">Loi sur la faillite et l’insolvabilité </w:t>
      </w:r>
      <w:r w:rsidRPr="008D313A">
        <w:rPr>
          <w:sz w:val="20"/>
          <w:lang w:val="fr-CA"/>
        </w:rPr>
        <w:t>(la « </w:t>
      </w:r>
      <w:r w:rsidRPr="008D313A">
        <w:rPr>
          <w:i/>
          <w:sz w:val="20"/>
          <w:lang w:val="fr-CA"/>
        </w:rPr>
        <w:t>LFI </w:t>
      </w:r>
      <w:r w:rsidRPr="008D313A">
        <w:rPr>
          <w:sz w:val="20"/>
          <w:lang w:val="fr-CA"/>
        </w:rPr>
        <w:t xml:space="preserve">») attribue une grande portée à la définition d’une réclamation prouvable, de façon à englober toutes les créances et tous les engagements existants au moment de la faillite ou découlant d’obligations contractées avant la date à laquelle le débiteur est devenu failli.  Vu la nature du régime de compensation manitobain, la réclamation de l’épouse en l’espèce constituait une réclamation prouvable.  Le droit à un paiement existait depuis la séparation des conjoints, de sorte qu’il existait au moment de la faillite.  Il restait seulement à en établir le montant en appliquant une formule claire qui laissait peu de latitude au tribunal pour l’exercice de son pouvoir discrétionnaire.  Dans les circonstances, la réclamation ne pouvait être considérée comme suffisamment incertaine pour que l’art. 135 de la </w:t>
      </w:r>
      <w:r w:rsidRPr="008D313A">
        <w:rPr>
          <w:i/>
          <w:sz w:val="20"/>
          <w:lang w:val="fr-CA"/>
        </w:rPr>
        <w:t>LFI</w:t>
      </w:r>
      <w:r w:rsidRPr="008D313A">
        <w:rPr>
          <w:sz w:val="20"/>
          <w:lang w:val="fr-CA"/>
        </w:rPr>
        <w:t xml:space="preserve"> ne trouve pas application.  L’époux a été libéré de la réclamation au titre de la compensation par suite de sa faillite et de sa libération.  La réclamation de l’épouse n’était ni de nature propriétale, ni exclue de l’ordonnance de libération, comme s’il s’agissait d’une pension ou obligation alimentaire visée aux al. 178(1)</w:t>
      </w:r>
      <w:r w:rsidRPr="008D313A">
        <w:rPr>
          <w:i/>
          <w:sz w:val="20"/>
          <w:lang w:val="fr-CA"/>
        </w:rPr>
        <w:t>b</w:t>
      </w:r>
      <w:r w:rsidRPr="008D313A">
        <w:rPr>
          <w:sz w:val="20"/>
          <w:lang w:val="fr-CA"/>
        </w:rPr>
        <w:t xml:space="preserve">) et </w:t>
      </w:r>
      <w:r w:rsidRPr="008D313A">
        <w:rPr>
          <w:i/>
          <w:sz w:val="20"/>
          <w:lang w:val="fr-CA"/>
        </w:rPr>
        <w:t>c</w:t>
      </w:r>
      <w:r w:rsidRPr="008D313A">
        <w:rPr>
          <w:sz w:val="20"/>
          <w:lang w:val="fr-CA"/>
        </w:rPr>
        <w:t xml:space="preserve">) de la </w:t>
      </w:r>
      <w:r w:rsidRPr="008D313A">
        <w:rPr>
          <w:i/>
          <w:sz w:val="20"/>
          <w:lang w:val="fr-CA"/>
        </w:rPr>
        <w:t>LFI</w:t>
      </w:r>
      <w:r w:rsidRPr="008D313A">
        <w:rPr>
          <w:sz w:val="20"/>
          <w:lang w:val="fr-CA"/>
        </w:rPr>
        <w:t>.</w:t>
      </w:r>
    </w:p>
    <w:p w:rsidR="008D313A" w:rsidRPr="008D313A" w:rsidRDefault="008D313A" w:rsidP="008D313A">
      <w:pPr>
        <w:pStyle w:val="SCCNormalDoubleSpacing"/>
        <w:spacing w:line="240" w:lineRule="auto"/>
        <w:rPr>
          <w:sz w:val="20"/>
          <w:lang w:val="fr-CA"/>
        </w:rPr>
      </w:pPr>
    </w:p>
    <w:p w:rsidR="008D313A" w:rsidRPr="008D313A" w:rsidRDefault="008D313A" w:rsidP="008D313A">
      <w:pPr>
        <w:pStyle w:val="SCCNormalDoubleSpacing"/>
        <w:spacing w:line="240" w:lineRule="auto"/>
        <w:rPr>
          <w:sz w:val="20"/>
          <w:lang w:val="fr-CA"/>
        </w:rPr>
      </w:pPr>
      <w:r w:rsidRPr="008D313A">
        <w:rPr>
          <w:sz w:val="20"/>
          <w:lang w:val="fr-CA"/>
        </w:rPr>
        <w:tab/>
        <w:t xml:space="preserve">Selon la </w:t>
      </w:r>
      <w:r w:rsidRPr="008D313A">
        <w:rPr>
          <w:i/>
          <w:sz w:val="20"/>
          <w:lang w:val="fr-CA"/>
        </w:rPr>
        <w:t>Loi sur les jugements</w:t>
      </w:r>
      <w:r w:rsidRPr="008D313A">
        <w:rPr>
          <w:sz w:val="20"/>
          <w:lang w:val="fr-CA"/>
        </w:rPr>
        <w:t xml:space="preserve"> du Manitoba, les créanciers ne pouvaient pas saisir la ferme familiale.  Le recours que devrait exercer un créancier comme l’épouse consiste à demander au juge de faillite, en vertu de l’art. 69.4 de la </w:t>
      </w:r>
      <w:r w:rsidRPr="008D313A">
        <w:rPr>
          <w:i/>
          <w:sz w:val="20"/>
          <w:lang w:val="fr-CA"/>
        </w:rPr>
        <w:t>LFI</w:t>
      </w:r>
      <w:r w:rsidRPr="008D313A">
        <w:rPr>
          <w:sz w:val="20"/>
          <w:lang w:val="fr-CA"/>
        </w:rPr>
        <w:t xml:space="preserve">, l’autorisation de faire valoir sa réclamation contre le bien insaisissable.  Comme ce bien demeure hors de la portée des créanciers ordinaires, la levée de la suspension des procédures ne peut porter atteinte à l’actif à distribuer.  Pour reprendre les termes de l’art. 69.4, « il serait, pour d’autres motifs, équitable » de prononcer pareille ordonnance.  Cette façon de faire s’accorde en outre avec l’objectif du droit de la faillite qui consiste à maximiser, sous le régime de la </w:t>
      </w:r>
      <w:r w:rsidRPr="008D313A">
        <w:rPr>
          <w:i/>
          <w:sz w:val="20"/>
          <w:lang w:val="fr-CA"/>
        </w:rPr>
        <w:t>LFI</w:t>
      </w:r>
      <w:r w:rsidRPr="008D313A">
        <w:rPr>
          <w:sz w:val="20"/>
          <w:lang w:val="fr-CA"/>
        </w:rPr>
        <w:t>, la valeur recouvrée par la cellule familiale dans son ensemble, plutôt que de pourvoir simplement aux besoins du failli, et avec la préoccupation du législateur pour le soutien aux familles.</w:t>
      </w:r>
    </w:p>
    <w:p w:rsidR="008D313A" w:rsidRPr="008D313A" w:rsidRDefault="008D313A" w:rsidP="008D313A">
      <w:pPr>
        <w:pStyle w:val="SCCNormalDoubleSpacing"/>
        <w:spacing w:line="240" w:lineRule="auto"/>
        <w:rPr>
          <w:sz w:val="20"/>
          <w:lang w:val="fr-CA"/>
        </w:rPr>
      </w:pPr>
    </w:p>
    <w:p w:rsidR="008D313A" w:rsidRPr="008D313A" w:rsidRDefault="008D313A" w:rsidP="008D313A">
      <w:pPr>
        <w:pStyle w:val="SCCNormalDoubleSpacing"/>
        <w:spacing w:line="240" w:lineRule="auto"/>
        <w:rPr>
          <w:sz w:val="20"/>
          <w:lang w:val="fr-CA"/>
        </w:rPr>
      </w:pPr>
      <w:r w:rsidRPr="008D313A">
        <w:rPr>
          <w:sz w:val="20"/>
          <w:lang w:val="fr-CA"/>
        </w:rPr>
        <w:tab/>
        <w:t xml:space="preserve">Le régime actuel établi par la </w:t>
      </w:r>
      <w:r w:rsidRPr="008D313A">
        <w:rPr>
          <w:i/>
          <w:sz w:val="20"/>
          <w:lang w:val="fr-CA"/>
        </w:rPr>
        <w:t>LFI</w:t>
      </w:r>
      <w:r w:rsidRPr="008D313A">
        <w:rPr>
          <w:sz w:val="20"/>
          <w:lang w:val="fr-CA"/>
        </w:rPr>
        <w:t xml:space="preserve"> offre des recours limités aux conjoints qui se trouvent dans une situation semblable à celle de l’épouse.  Le droit de la famille peut leur offrir d’autres formes de recours après la libération du failli, notamment grâce à une pension alimentaire pour conjoint.</w:t>
      </w:r>
    </w:p>
    <w:p w:rsidR="008D313A" w:rsidRPr="008D313A" w:rsidRDefault="008D313A" w:rsidP="008D313A">
      <w:pPr>
        <w:pStyle w:val="SCCNormalDoubleSpacing"/>
        <w:spacing w:line="240" w:lineRule="auto"/>
        <w:rPr>
          <w:sz w:val="20"/>
          <w:lang w:val="fr-CA"/>
        </w:rPr>
      </w:pPr>
    </w:p>
    <w:p w:rsidR="008D313A" w:rsidRPr="008D313A" w:rsidRDefault="008D313A" w:rsidP="008D313A">
      <w:pPr>
        <w:pStyle w:val="SCCNormalDoubleSpacing"/>
        <w:spacing w:line="240" w:lineRule="auto"/>
        <w:rPr>
          <w:sz w:val="20"/>
          <w:lang w:val="fr-CA"/>
        </w:rPr>
      </w:pPr>
      <w:r w:rsidRPr="008D313A">
        <w:rPr>
          <w:sz w:val="20"/>
          <w:lang w:val="fr-CA"/>
        </w:rPr>
        <w:tab/>
        <w:t xml:space="preserve">POURVOI contre un arrêt de la Cour d’appel du Manitoba (les juges </w:t>
      </w:r>
      <w:r w:rsidR="00EE1200" w:rsidRPr="00AA28CB">
        <w:rPr>
          <w:sz w:val="20"/>
        </w:rPr>
        <w:fldChar w:fldCharType="begin"/>
      </w:r>
      <w:r w:rsidRPr="008D313A">
        <w:rPr>
          <w:sz w:val="20"/>
          <w:lang w:val="fr-CA"/>
        </w:rPr>
        <w:instrText xml:space="preserve"> SEQ CHAPTER \h \r 1</w:instrText>
      </w:r>
      <w:r w:rsidR="00EE1200" w:rsidRPr="00AA28CB">
        <w:rPr>
          <w:sz w:val="20"/>
        </w:rPr>
        <w:fldChar w:fldCharType="end"/>
      </w:r>
      <w:r w:rsidRPr="008D313A">
        <w:rPr>
          <w:sz w:val="20"/>
          <w:lang w:val="fr-CA"/>
        </w:rPr>
        <w:t xml:space="preserve">Hamilton, Freedman et MacInnes), </w:t>
      </w:r>
      <w:r w:rsidR="00EE1200" w:rsidRPr="00AA28CB">
        <w:rPr>
          <w:sz w:val="20"/>
        </w:rPr>
        <w:fldChar w:fldCharType="begin"/>
      </w:r>
      <w:r w:rsidRPr="008D313A">
        <w:rPr>
          <w:sz w:val="20"/>
          <w:lang w:val="fr-CA"/>
        </w:rPr>
        <w:instrText xml:space="preserve"> SEQ CHAPTER \h \r 1</w:instrText>
      </w:r>
      <w:r w:rsidR="00EE1200" w:rsidRPr="00AA28CB">
        <w:rPr>
          <w:sz w:val="20"/>
        </w:rPr>
        <w:fldChar w:fldCharType="end"/>
      </w:r>
      <w:r w:rsidRPr="008D313A">
        <w:rPr>
          <w:sz w:val="20"/>
          <w:lang w:val="fr-CA"/>
        </w:rPr>
        <w:t>2009 MBCA 84, 245 Man. R. (2d) 86, 466 W.A.C. 86, 57 C.B.R. (5th) 157, 70 R.F.L. (6th) 237, [2009] 10 W.W.R. 588, [2009] M.J. No. 299 (QL), 2009 CarswellMan 403, qui a modifié une ordonnance de la juge Guertin</w:t>
      </w:r>
      <w:r w:rsidRPr="008D313A">
        <w:rPr>
          <w:sz w:val="20"/>
          <w:lang w:val="fr-CA"/>
        </w:rPr>
        <w:noBreakHyphen/>
        <w:t>Riley (non publiée).  Pourvoi rejeté.</w:t>
      </w:r>
    </w:p>
    <w:p w:rsidR="008D313A" w:rsidRPr="008D313A" w:rsidRDefault="008D313A" w:rsidP="008D313A">
      <w:pPr>
        <w:pStyle w:val="SCCNormalDoubleSpacing"/>
        <w:spacing w:line="240" w:lineRule="auto"/>
        <w:rPr>
          <w:color w:val="FFFFFF" w:themeColor="background1"/>
          <w:sz w:val="20"/>
          <w:lang w:val="fr-CA"/>
        </w:rPr>
      </w:pPr>
    </w:p>
    <w:p w:rsidR="008D313A" w:rsidRPr="008D313A" w:rsidRDefault="008D313A" w:rsidP="008D313A">
      <w:pPr>
        <w:pStyle w:val="SCCNormalDoubleSpacing"/>
        <w:spacing w:line="240" w:lineRule="auto"/>
        <w:rPr>
          <w:rStyle w:val="SCCCounselPartyRoleChar"/>
          <w:sz w:val="20"/>
          <w:lang w:val="fr-CA"/>
        </w:rPr>
      </w:pPr>
      <w:r w:rsidRPr="008D313A">
        <w:rPr>
          <w:rStyle w:val="SCCCounselNameChar"/>
          <w:sz w:val="20"/>
          <w:lang w:val="fr-CA"/>
        </w:rPr>
        <w:tab/>
        <w:t>Martin W. Mason, Robert A. Klotz</w:t>
      </w:r>
      <w:r w:rsidRPr="00AA28CB">
        <w:rPr>
          <w:rStyle w:val="SCCCounselSeparatorChar"/>
          <w:sz w:val="20"/>
        </w:rPr>
        <w:t xml:space="preserve">, </w:t>
      </w:r>
      <w:r w:rsidRPr="008D313A">
        <w:rPr>
          <w:rStyle w:val="SCCCounselNameChar"/>
          <w:sz w:val="20"/>
          <w:lang w:val="fr-CA"/>
        </w:rPr>
        <w:t>Alain J. Hogue</w:t>
      </w:r>
      <w:r w:rsidRPr="00AA28CB">
        <w:rPr>
          <w:rStyle w:val="SCCCounselSeparatorChar"/>
          <w:sz w:val="20"/>
        </w:rPr>
        <w:t xml:space="preserve"> et </w:t>
      </w:r>
      <w:r w:rsidRPr="008D313A">
        <w:rPr>
          <w:rStyle w:val="SCCCounselNameChar"/>
          <w:sz w:val="20"/>
          <w:lang w:val="fr-CA"/>
        </w:rPr>
        <w:t>Matthew Estabrooks</w:t>
      </w:r>
      <w:r w:rsidRPr="008D313A">
        <w:rPr>
          <w:rStyle w:val="SCCCounselPartyRoleChar"/>
          <w:sz w:val="20"/>
          <w:lang w:val="fr-CA"/>
        </w:rPr>
        <w:t xml:space="preserve">, </w:t>
      </w:r>
      <w:r w:rsidRPr="008D313A">
        <w:rPr>
          <w:sz w:val="20"/>
          <w:lang w:val="fr-CA"/>
        </w:rPr>
        <w:t>pour</w:t>
      </w:r>
      <w:r w:rsidRPr="008D313A">
        <w:rPr>
          <w:rStyle w:val="SCCCounselPartyRoleChar"/>
          <w:sz w:val="20"/>
          <w:lang w:val="fr-CA"/>
        </w:rPr>
        <w:t xml:space="preserve"> l’appelante.</w:t>
      </w:r>
    </w:p>
    <w:p w:rsidR="008D313A" w:rsidRPr="008D313A" w:rsidRDefault="008D313A" w:rsidP="008D313A">
      <w:pPr>
        <w:pStyle w:val="SCCNormalDoubleSpacing"/>
        <w:spacing w:line="240" w:lineRule="auto"/>
        <w:rPr>
          <w:sz w:val="20"/>
          <w:lang w:val="fr-CA"/>
        </w:rPr>
      </w:pPr>
    </w:p>
    <w:p w:rsidR="008D313A" w:rsidRPr="008D313A" w:rsidRDefault="008D313A" w:rsidP="008D313A">
      <w:pPr>
        <w:pStyle w:val="SCCNormalDoubleSpacing"/>
        <w:spacing w:line="240" w:lineRule="auto"/>
        <w:rPr>
          <w:rStyle w:val="SCCCounselPartyRoleChar"/>
          <w:sz w:val="20"/>
          <w:lang w:val="fr-CA"/>
        </w:rPr>
      </w:pPr>
      <w:r w:rsidRPr="008D313A">
        <w:rPr>
          <w:rStyle w:val="SCCCounselNameChar"/>
          <w:sz w:val="20"/>
          <w:lang w:val="fr-CA"/>
        </w:rPr>
        <w:tab/>
        <w:t>Gerald S. Ashcroft</w:t>
      </w:r>
      <w:r w:rsidRPr="008D313A">
        <w:rPr>
          <w:rStyle w:val="SCCCounselPartyRoleChar"/>
          <w:sz w:val="20"/>
          <w:lang w:val="fr-CA"/>
        </w:rPr>
        <w:t>, pour l’intimé.</w:t>
      </w:r>
    </w:p>
    <w:p w:rsidR="008D313A" w:rsidRPr="008D313A" w:rsidRDefault="008D313A" w:rsidP="008D313A">
      <w:pPr>
        <w:pStyle w:val="SCCNormalDoubleSpacing"/>
        <w:spacing w:line="240" w:lineRule="auto"/>
        <w:rPr>
          <w:sz w:val="20"/>
          <w:lang w:val="fr-CA"/>
        </w:rPr>
      </w:pPr>
    </w:p>
    <w:p w:rsidR="008D313A" w:rsidRPr="008D313A" w:rsidRDefault="008D313A" w:rsidP="008D313A">
      <w:pPr>
        <w:pStyle w:val="SCCNormalDoubleSpacing"/>
        <w:spacing w:line="240" w:lineRule="auto"/>
        <w:rPr>
          <w:i/>
          <w:sz w:val="20"/>
          <w:lang w:val="fr-CA"/>
        </w:rPr>
      </w:pPr>
      <w:r w:rsidRPr="008D313A">
        <w:rPr>
          <w:sz w:val="20"/>
          <w:lang w:val="fr-CA"/>
        </w:rPr>
        <w:tab/>
      </w:r>
      <w:r w:rsidRPr="008D313A">
        <w:rPr>
          <w:rStyle w:val="SCCCounselNameChar"/>
          <w:sz w:val="20"/>
          <w:lang w:val="fr-CA"/>
        </w:rPr>
        <w:t>Procureurs</w:t>
      </w:r>
      <w:r w:rsidRPr="008D313A">
        <w:rPr>
          <w:i/>
          <w:sz w:val="20"/>
          <w:lang w:val="fr-CA"/>
        </w:rPr>
        <w:t xml:space="preserve"> de l’appelante : Gowling Lafleur Henderson, Ottawa.</w:t>
      </w:r>
    </w:p>
    <w:p w:rsidR="008D313A" w:rsidRPr="008D313A" w:rsidRDefault="008D313A" w:rsidP="008D313A">
      <w:pPr>
        <w:pStyle w:val="SCCNormalDoubleSpacing"/>
        <w:spacing w:line="240" w:lineRule="auto"/>
        <w:rPr>
          <w:i/>
          <w:sz w:val="20"/>
          <w:lang w:val="fr-CA"/>
        </w:rPr>
      </w:pPr>
    </w:p>
    <w:p w:rsidR="008D313A" w:rsidRPr="00AA28CB" w:rsidRDefault="008D313A" w:rsidP="008D313A">
      <w:pPr>
        <w:pStyle w:val="SCCNormalDoubleSpacing"/>
        <w:spacing w:line="240" w:lineRule="auto"/>
        <w:rPr>
          <w:i/>
          <w:sz w:val="20"/>
        </w:rPr>
      </w:pPr>
      <w:r w:rsidRPr="008D313A">
        <w:rPr>
          <w:i/>
          <w:sz w:val="20"/>
          <w:lang w:val="fr-CA"/>
        </w:rPr>
        <w:tab/>
      </w:r>
      <w:r w:rsidRPr="00AA28CB">
        <w:rPr>
          <w:rStyle w:val="SCCCounselNameChar"/>
          <w:sz w:val="20"/>
        </w:rPr>
        <w:t>Procureurs</w:t>
      </w:r>
      <w:r w:rsidRPr="00AA28CB">
        <w:rPr>
          <w:i/>
          <w:sz w:val="20"/>
        </w:rPr>
        <w:t xml:space="preserve"> de l’intimé : Thompson Dorfman Sweatman, Winnipeg.</w:t>
      </w:r>
    </w:p>
    <w:p w:rsidR="003B3977" w:rsidRDefault="003B3977" w:rsidP="005C6840">
      <w:pPr>
        <w:rPr>
          <w:rFonts w:cs="Times New Roman"/>
          <w:sz w:val="20"/>
          <w:szCs w:val="20"/>
          <w:lang w:val="fr-CA"/>
        </w:rPr>
      </w:pPr>
    </w:p>
    <w:p w:rsidR="005C6840" w:rsidRDefault="00EE1200" w:rsidP="005C6840">
      <w:pPr>
        <w:rPr>
          <w:lang w:val="fr-CA"/>
        </w:rPr>
      </w:pPr>
      <w:r w:rsidRPr="00EE1200">
        <w:rPr>
          <w:rFonts w:cs="Times New Roman"/>
          <w:sz w:val="20"/>
          <w:szCs w:val="20"/>
          <w:lang w:val="fr-CA"/>
        </w:rPr>
        <w:pict>
          <v:rect id="_x0000_i1077" style="width:144.3pt;height:1pt" o:hrpct="300" o:hralign="center" o:hrstd="t" o:hrnoshade="t" o:hr="t" fillcolor="black [3213]" stroked="f"/>
        </w:pict>
      </w:r>
      <w:r w:rsidR="005C6840">
        <w:rPr>
          <w:lang w:val="fr-CA"/>
        </w:rPr>
        <w:br w:type="page"/>
      </w:r>
    </w:p>
    <w:p w:rsidR="00475B43" w:rsidRPr="007E3C3A" w:rsidRDefault="00475B43" w:rsidP="00475B43">
      <w:pPr>
        <w:ind w:left="810" w:hanging="810"/>
        <w:rPr>
          <w:rFonts w:eastAsia="Calibri" w:cs="Times New Roman"/>
          <w:sz w:val="20"/>
          <w:szCs w:val="20"/>
          <w:lang w:val="en-GB"/>
        </w:rPr>
      </w:pPr>
      <w:r w:rsidRPr="007E3C3A">
        <w:rPr>
          <w:rFonts w:eastAsia="Calibri" w:cs="Times New Roman"/>
          <w:i/>
          <w:sz w:val="20"/>
          <w:szCs w:val="20"/>
        </w:rPr>
        <w:lastRenderedPageBreak/>
        <w:t>Canada Trustco Mortgage Company v. Her Majesty the Queen</w:t>
      </w:r>
      <w:r w:rsidRPr="007E3C3A">
        <w:rPr>
          <w:rFonts w:eastAsia="Calibri" w:cs="Times New Roman"/>
          <w:sz w:val="20"/>
          <w:szCs w:val="20"/>
        </w:rPr>
        <w:t xml:space="preserve"> </w:t>
      </w:r>
      <w:r w:rsidRPr="007E3C3A">
        <w:rPr>
          <w:rFonts w:eastAsia="Calibri" w:cs="Times New Roman"/>
          <w:bCs/>
          <w:sz w:val="20"/>
          <w:szCs w:val="20"/>
          <w:lang w:val="en-GB"/>
        </w:rPr>
        <w:t>(F.C.) (</w:t>
      </w:r>
      <w:r w:rsidRPr="007E3C3A">
        <w:rPr>
          <w:rFonts w:eastAsia="Calibri" w:cs="Times New Roman"/>
          <w:sz w:val="20"/>
          <w:szCs w:val="20"/>
          <w:lang w:val="en-GB"/>
        </w:rPr>
        <w:t>33422)</w:t>
      </w:r>
    </w:p>
    <w:p w:rsidR="00933669" w:rsidRPr="0032178C" w:rsidRDefault="00933669" w:rsidP="00933669">
      <w:pPr>
        <w:jc w:val="both"/>
        <w:rPr>
          <w:b/>
          <w:sz w:val="20"/>
          <w:szCs w:val="20"/>
        </w:rPr>
      </w:pPr>
      <w:r w:rsidRPr="0032178C">
        <w:rPr>
          <w:b/>
          <w:sz w:val="20"/>
          <w:szCs w:val="20"/>
        </w:rPr>
        <w:t xml:space="preserve">Indexed as:  </w:t>
      </w:r>
      <w:r w:rsidRPr="00933669">
        <w:rPr>
          <w:rStyle w:val="SCCAppellantForIndexChar"/>
          <w:rFonts w:eastAsiaTheme="minorHAnsi"/>
          <w:sz w:val="20"/>
          <w:lang w:val="en-CA"/>
        </w:rPr>
        <w:t>Canada Trustco Mortgage Co.</w:t>
      </w:r>
      <w:r w:rsidRPr="0032178C">
        <w:rPr>
          <w:b/>
          <w:sz w:val="20"/>
          <w:szCs w:val="20"/>
        </w:rPr>
        <w:t xml:space="preserve"> </w:t>
      </w:r>
      <w:r w:rsidRPr="0032178C">
        <w:rPr>
          <w:b/>
          <w:i/>
          <w:sz w:val="20"/>
          <w:szCs w:val="20"/>
        </w:rPr>
        <w:t>v.</w:t>
      </w:r>
      <w:r w:rsidRPr="0032178C">
        <w:rPr>
          <w:b/>
          <w:sz w:val="20"/>
          <w:szCs w:val="20"/>
        </w:rPr>
        <w:t xml:space="preserve"> Canada</w:t>
      </w:r>
      <w:r>
        <w:rPr>
          <w:b/>
          <w:sz w:val="20"/>
          <w:szCs w:val="20"/>
        </w:rPr>
        <w:t xml:space="preserve"> /</w:t>
      </w:r>
    </w:p>
    <w:p w:rsidR="00933669" w:rsidRPr="00933669" w:rsidRDefault="00933669" w:rsidP="00933669">
      <w:pPr>
        <w:jc w:val="both"/>
        <w:rPr>
          <w:b/>
          <w:sz w:val="20"/>
          <w:szCs w:val="20"/>
          <w:lang w:val="fr-CA"/>
        </w:rPr>
      </w:pPr>
      <w:r w:rsidRPr="00933669">
        <w:rPr>
          <w:b/>
          <w:sz w:val="20"/>
          <w:szCs w:val="20"/>
          <w:lang w:val="fr-CA"/>
        </w:rPr>
        <w:t>Répertorié : </w:t>
      </w:r>
      <w:r w:rsidRPr="00072F91">
        <w:rPr>
          <w:rStyle w:val="SCCAppellantForIndexChar"/>
          <w:rFonts w:eastAsiaTheme="minorHAnsi"/>
          <w:sz w:val="20"/>
        </w:rPr>
        <w:t>Hypothèques Trustco Canada</w:t>
      </w:r>
      <w:r w:rsidRPr="00933669">
        <w:rPr>
          <w:b/>
          <w:sz w:val="20"/>
          <w:szCs w:val="20"/>
          <w:lang w:val="fr-CA"/>
        </w:rPr>
        <w:t xml:space="preserve"> </w:t>
      </w:r>
      <w:r w:rsidRPr="00933669">
        <w:rPr>
          <w:b/>
          <w:i/>
          <w:sz w:val="20"/>
          <w:szCs w:val="20"/>
          <w:lang w:val="fr-CA"/>
        </w:rPr>
        <w:t>c.</w:t>
      </w:r>
      <w:r w:rsidRPr="00933669">
        <w:rPr>
          <w:b/>
          <w:sz w:val="20"/>
          <w:szCs w:val="20"/>
          <w:lang w:val="fr-CA"/>
        </w:rPr>
        <w:t xml:space="preserve"> Canada</w:t>
      </w:r>
    </w:p>
    <w:p w:rsidR="005C6840" w:rsidRPr="00475B43" w:rsidRDefault="005C6840" w:rsidP="005C6840">
      <w:pPr>
        <w:pStyle w:val="SCCSystemYear"/>
        <w:jc w:val="both"/>
        <w:rPr>
          <w:sz w:val="20"/>
        </w:rPr>
      </w:pPr>
      <w:r w:rsidRPr="00475B43">
        <w:rPr>
          <w:sz w:val="20"/>
        </w:rPr>
        <w:t>Neutral citation:  201</w:t>
      </w:r>
      <w:r w:rsidR="007F387B" w:rsidRPr="00475B43">
        <w:rPr>
          <w:sz w:val="20"/>
        </w:rPr>
        <w:t>1</w:t>
      </w:r>
      <w:r w:rsidRPr="00475B43">
        <w:rPr>
          <w:sz w:val="20"/>
        </w:rPr>
        <w:t xml:space="preserve"> SCC </w:t>
      </w:r>
      <w:r w:rsidR="00475B43" w:rsidRPr="00475B43">
        <w:rPr>
          <w:sz w:val="20"/>
        </w:rPr>
        <w:t>36</w:t>
      </w:r>
      <w:r w:rsidRPr="00475B43">
        <w:rPr>
          <w:sz w:val="20"/>
        </w:rPr>
        <w:t xml:space="preserve"> / Référence neutre : 201</w:t>
      </w:r>
      <w:r w:rsidR="007F387B" w:rsidRPr="00475B43">
        <w:rPr>
          <w:sz w:val="20"/>
        </w:rPr>
        <w:t>1</w:t>
      </w:r>
      <w:r w:rsidRPr="00475B43">
        <w:rPr>
          <w:sz w:val="20"/>
        </w:rPr>
        <w:t xml:space="preserve"> CSC </w:t>
      </w:r>
      <w:r w:rsidR="00475B43">
        <w:rPr>
          <w:sz w:val="20"/>
        </w:rPr>
        <w:t>36</w:t>
      </w:r>
    </w:p>
    <w:p w:rsidR="005C6840" w:rsidRPr="00933669" w:rsidRDefault="005C6840" w:rsidP="005C6840">
      <w:pPr>
        <w:rPr>
          <w:sz w:val="20"/>
          <w:szCs w:val="20"/>
          <w:lang w:val="fr-CA"/>
        </w:rPr>
      </w:pPr>
      <w:r w:rsidRPr="00933669">
        <w:rPr>
          <w:sz w:val="20"/>
          <w:szCs w:val="20"/>
          <w:lang w:val="fr-CA"/>
        </w:rPr>
        <w:t xml:space="preserve">Hearing:  </w:t>
      </w:r>
      <w:r w:rsidR="00933669" w:rsidRPr="00933669">
        <w:rPr>
          <w:sz w:val="20"/>
          <w:szCs w:val="20"/>
          <w:lang w:val="fr-CA"/>
        </w:rPr>
        <w:t>December</w:t>
      </w:r>
      <w:r w:rsidRPr="00933669">
        <w:rPr>
          <w:sz w:val="20"/>
          <w:szCs w:val="20"/>
          <w:lang w:val="fr-CA"/>
        </w:rPr>
        <w:t xml:space="preserve"> 1</w:t>
      </w:r>
      <w:r w:rsidR="00933669" w:rsidRPr="00933669">
        <w:rPr>
          <w:sz w:val="20"/>
          <w:szCs w:val="20"/>
          <w:lang w:val="fr-CA"/>
        </w:rPr>
        <w:t>0</w:t>
      </w:r>
      <w:r w:rsidRPr="00933669">
        <w:rPr>
          <w:sz w:val="20"/>
          <w:szCs w:val="20"/>
          <w:lang w:val="fr-CA"/>
        </w:rPr>
        <w:t xml:space="preserve">, 2010 / Judgment:  </w:t>
      </w:r>
      <w:r w:rsidR="00475B43" w:rsidRPr="00933669">
        <w:rPr>
          <w:sz w:val="20"/>
          <w:szCs w:val="20"/>
          <w:lang w:val="fr-CA"/>
        </w:rPr>
        <w:t>July 15</w:t>
      </w:r>
      <w:r w:rsidRPr="00933669">
        <w:rPr>
          <w:sz w:val="20"/>
          <w:szCs w:val="20"/>
          <w:lang w:val="fr-CA"/>
        </w:rPr>
        <w:t>, 201</w:t>
      </w:r>
      <w:r w:rsidR="00475B43" w:rsidRPr="00933669">
        <w:rPr>
          <w:sz w:val="20"/>
          <w:szCs w:val="20"/>
          <w:lang w:val="fr-CA"/>
        </w:rPr>
        <w:t>1</w:t>
      </w:r>
    </w:p>
    <w:p w:rsidR="005C6840" w:rsidRPr="003B3977" w:rsidRDefault="005C6840" w:rsidP="005C6840">
      <w:pPr>
        <w:rPr>
          <w:sz w:val="20"/>
          <w:szCs w:val="20"/>
          <w:lang w:val="fr-CA"/>
        </w:rPr>
      </w:pPr>
      <w:r w:rsidRPr="003B3977">
        <w:rPr>
          <w:sz w:val="20"/>
          <w:szCs w:val="20"/>
          <w:lang w:val="fr-CA"/>
        </w:rPr>
        <w:t>Audition : Le 1</w:t>
      </w:r>
      <w:r w:rsidR="00933669">
        <w:rPr>
          <w:sz w:val="20"/>
          <w:szCs w:val="20"/>
          <w:lang w:val="fr-CA"/>
        </w:rPr>
        <w:t>0 déce</w:t>
      </w:r>
      <w:r w:rsidRPr="003B3977">
        <w:rPr>
          <w:sz w:val="20"/>
          <w:szCs w:val="20"/>
          <w:lang w:val="fr-CA"/>
        </w:rPr>
        <w:t>m</w:t>
      </w:r>
      <w:r w:rsidR="00933669">
        <w:rPr>
          <w:sz w:val="20"/>
          <w:szCs w:val="20"/>
          <w:lang w:val="fr-CA"/>
        </w:rPr>
        <w:t>bre</w:t>
      </w:r>
      <w:r w:rsidRPr="003B3977">
        <w:rPr>
          <w:sz w:val="20"/>
          <w:szCs w:val="20"/>
          <w:lang w:val="fr-CA"/>
        </w:rPr>
        <w:t xml:space="preserve"> 2010 / Jugement : Le </w:t>
      </w:r>
      <w:r w:rsidR="00475B43">
        <w:rPr>
          <w:sz w:val="20"/>
          <w:szCs w:val="20"/>
          <w:lang w:val="fr-CA"/>
        </w:rPr>
        <w:t>15 juillet</w:t>
      </w:r>
      <w:r w:rsidRPr="003B3977">
        <w:rPr>
          <w:sz w:val="20"/>
          <w:szCs w:val="20"/>
          <w:lang w:val="fr-CA"/>
        </w:rPr>
        <w:t xml:space="preserve"> 201</w:t>
      </w:r>
      <w:r w:rsidR="00475B43">
        <w:rPr>
          <w:sz w:val="20"/>
          <w:szCs w:val="20"/>
          <w:lang w:val="fr-CA"/>
        </w:rPr>
        <w:t>1</w:t>
      </w:r>
    </w:p>
    <w:p w:rsidR="005C6840" w:rsidRPr="003B3977" w:rsidRDefault="00EE1200" w:rsidP="005C6840">
      <w:pPr>
        <w:rPr>
          <w:sz w:val="20"/>
          <w:szCs w:val="20"/>
          <w:lang w:val="fr-CA"/>
        </w:rPr>
      </w:pPr>
      <w:r w:rsidRPr="00EE1200">
        <w:rPr>
          <w:i/>
          <w:sz w:val="20"/>
          <w:szCs w:val="20"/>
        </w:rPr>
        <w:pict>
          <v:rect id="_x0000_i1078" style="width:480.95pt;height:1pt" o:hralign="center" o:hrstd="t" o:hrnoshade="t" o:hr="t" fillcolor="black [3213]" stroked="f"/>
        </w:pict>
      </w:r>
    </w:p>
    <w:p w:rsidR="005C6840" w:rsidRDefault="005C6840" w:rsidP="005C6840">
      <w:pPr>
        <w:spacing w:line="0" w:lineRule="atLeast"/>
        <w:rPr>
          <w:sz w:val="20"/>
          <w:szCs w:val="20"/>
          <w:lang w:val="fr-CA"/>
        </w:rPr>
      </w:pPr>
    </w:p>
    <w:p w:rsidR="00933669" w:rsidRPr="0032178C" w:rsidRDefault="00933669" w:rsidP="00933669">
      <w:pPr>
        <w:jc w:val="both"/>
        <w:rPr>
          <w:sz w:val="20"/>
          <w:szCs w:val="20"/>
        </w:rPr>
      </w:pPr>
      <w:r w:rsidRPr="0032178C">
        <w:rPr>
          <w:sz w:val="20"/>
          <w:szCs w:val="20"/>
        </w:rPr>
        <w:t>Present:  McLachlin C.J. and Binnie, Deschamps, Fish, Abella, Rothstein and Cromwell JJ.</w:t>
      </w:r>
    </w:p>
    <w:p w:rsidR="00933669" w:rsidRDefault="00933669" w:rsidP="00933669">
      <w:pPr>
        <w:pStyle w:val="SCCLowerCourtNameLowercase"/>
        <w:spacing w:line="240" w:lineRule="auto"/>
        <w:rPr>
          <w:sz w:val="20"/>
        </w:rPr>
      </w:pPr>
    </w:p>
    <w:p w:rsidR="00933669" w:rsidRDefault="00933669" w:rsidP="00933669">
      <w:pPr>
        <w:pStyle w:val="SCCNormalDoubleSpacing"/>
        <w:spacing w:line="240" w:lineRule="auto"/>
        <w:rPr>
          <w:i/>
          <w:sz w:val="20"/>
        </w:rPr>
      </w:pPr>
      <w:r w:rsidRPr="0032178C">
        <w:rPr>
          <w:sz w:val="20"/>
        </w:rPr>
        <w:tab/>
      </w:r>
      <w:r w:rsidRPr="0032178C">
        <w:rPr>
          <w:i/>
          <w:sz w:val="20"/>
        </w:rPr>
        <w:t>Taxation ― Income Tax ― Collection ― Bills of Exchange ― Tax debtor drawing cheques from trust account and depositing them in a joint account owned by him and a third party ― Minister of National Revenue issuing three requirements to pay to Bank with respect to tax debtor’s tax liability ― Bank disputing liability ― Whether Bank liable to make payments to tax debtor named as payee of cheques ― Whether Bank liable to make payments to tax debtor when receiving cheques payable to tax debtor for deposit in account held jointly by tax debtor and third party ― Whether Bank required to comply with requirements to pay ― Income Tax Act, R.S.C. 1985, c. 1 (5th Supp.), s. 224 ― Bills of Exchange Act, R.S.C. 1985, c. B-4.</w:t>
      </w:r>
    </w:p>
    <w:p w:rsidR="00933669" w:rsidRPr="0032178C" w:rsidRDefault="00933669" w:rsidP="00933669">
      <w:pPr>
        <w:pStyle w:val="SCCNormalDoubleSpacing"/>
        <w:spacing w:line="240" w:lineRule="auto"/>
        <w:rPr>
          <w:i/>
          <w:sz w:val="20"/>
        </w:rPr>
      </w:pPr>
    </w:p>
    <w:p w:rsidR="00933669" w:rsidRDefault="00933669" w:rsidP="00933669">
      <w:pPr>
        <w:pStyle w:val="SCCNormalDoubleSpacing"/>
        <w:spacing w:line="240" w:lineRule="auto"/>
        <w:rPr>
          <w:sz w:val="20"/>
        </w:rPr>
      </w:pPr>
      <w:r w:rsidRPr="0032178C">
        <w:rPr>
          <w:sz w:val="20"/>
        </w:rPr>
        <w:tab/>
        <w:t xml:space="preserve">The tax debtor M owed tax to the federal government.  The Minister of National Revenue became aware that cheques payable to M were being drawn on his trust account and deposited in a joint account owned by M and a third party.  Each of the cheques drawn on the trust account was payable to M and delivered to the appellant, Canada Trustco Mortgage Company (the “Bank”) with an instruction to deposit the funds in the joint account.  This instruction was given by writing “Dep to” and the account number on the back of the cheque. </w:t>
      </w:r>
    </w:p>
    <w:p w:rsidR="00933669" w:rsidRPr="0032178C" w:rsidRDefault="00933669" w:rsidP="00933669">
      <w:pPr>
        <w:pStyle w:val="SCCNormalDoubleSpacing"/>
        <w:spacing w:line="240" w:lineRule="auto"/>
        <w:rPr>
          <w:sz w:val="20"/>
        </w:rPr>
      </w:pPr>
    </w:p>
    <w:p w:rsidR="00933669" w:rsidRDefault="00933669" w:rsidP="00933669">
      <w:pPr>
        <w:pStyle w:val="SCCNormalDoubleSpacing"/>
        <w:spacing w:line="240" w:lineRule="auto"/>
        <w:rPr>
          <w:sz w:val="20"/>
        </w:rPr>
      </w:pPr>
      <w:r w:rsidRPr="0032178C">
        <w:rPr>
          <w:sz w:val="20"/>
        </w:rPr>
        <w:tab/>
        <w:t xml:space="preserve">The Minister issued three requirements to pay to the Bank as per s. 224 of the </w:t>
      </w:r>
      <w:r w:rsidRPr="0032178C">
        <w:rPr>
          <w:i/>
          <w:sz w:val="20"/>
        </w:rPr>
        <w:t xml:space="preserve">Income Tax Act </w:t>
      </w:r>
      <w:r w:rsidRPr="0032178C">
        <w:rPr>
          <w:sz w:val="20"/>
        </w:rPr>
        <w:t>(“</w:t>
      </w:r>
      <w:r w:rsidRPr="0032178C">
        <w:rPr>
          <w:i/>
          <w:sz w:val="20"/>
        </w:rPr>
        <w:t>ITA</w:t>
      </w:r>
      <w:r w:rsidRPr="0032178C">
        <w:rPr>
          <w:sz w:val="20"/>
        </w:rPr>
        <w:t xml:space="preserve">”).  The Bank disputed its liability and the Minister assessed the Bank for the amounts of the cheques for failing to comply with the three requirements to pay.  The Tax Court of Canada dismissed the Bank’s appeal and the Federal Court of Appeal upheld the Tax Court decision. </w:t>
      </w:r>
    </w:p>
    <w:p w:rsidR="00933669" w:rsidRPr="0032178C" w:rsidRDefault="00933669" w:rsidP="00933669">
      <w:pPr>
        <w:pStyle w:val="SCCNormalDoubleSpacing"/>
        <w:spacing w:line="240" w:lineRule="auto"/>
        <w:rPr>
          <w:sz w:val="20"/>
        </w:rPr>
      </w:pPr>
    </w:p>
    <w:p w:rsidR="00933669" w:rsidRDefault="00933669" w:rsidP="00933669">
      <w:pPr>
        <w:pStyle w:val="SCCNormalDoubleSpacing"/>
        <w:spacing w:line="240" w:lineRule="auto"/>
        <w:rPr>
          <w:sz w:val="20"/>
        </w:rPr>
      </w:pPr>
      <w:r w:rsidRPr="0032178C">
        <w:rPr>
          <w:sz w:val="20"/>
        </w:rPr>
        <w:tab/>
      </w:r>
      <w:r w:rsidRPr="0032178C">
        <w:rPr>
          <w:i/>
          <w:sz w:val="20"/>
        </w:rPr>
        <w:t>Held</w:t>
      </w:r>
      <w:r w:rsidRPr="0032178C">
        <w:rPr>
          <w:rStyle w:val="QuoteChar"/>
          <w:sz w:val="20"/>
        </w:rPr>
        <w:t xml:space="preserve"> (McLachlin C.J. and Fish and Abella JJ. dissenting):</w:t>
      </w:r>
      <w:r w:rsidRPr="0032178C">
        <w:rPr>
          <w:sz w:val="20"/>
        </w:rPr>
        <w:t xml:space="preserve">  The appeal should be allowed, the lower courts decisions set aside and the assessments vacated.</w:t>
      </w:r>
    </w:p>
    <w:p w:rsidR="00933669" w:rsidRPr="0032178C" w:rsidRDefault="00933669" w:rsidP="00933669">
      <w:pPr>
        <w:pStyle w:val="SCCNormalDoubleSpacing"/>
        <w:spacing w:line="240" w:lineRule="auto"/>
        <w:rPr>
          <w:sz w:val="20"/>
        </w:rPr>
      </w:pPr>
    </w:p>
    <w:p w:rsidR="00933669" w:rsidRDefault="00933669" w:rsidP="00933669">
      <w:pPr>
        <w:pStyle w:val="SCCNormalDoubleSpacing"/>
        <w:spacing w:line="240" w:lineRule="auto"/>
        <w:rPr>
          <w:sz w:val="20"/>
        </w:rPr>
      </w:pPr>
      <w:r w:rsidRPr="0032178C">
        <w:rPr>
          <w:sz w:val="20"/>
        </w:rPr>
        <w:tab/>
      </w:r>
      <w:r w:rsidRPr="0032178C">
        <w:rPr>
          <w:i/>
          <w:sz w:val="20"/>
        </w:rPr>
        <w:t>Per</w:t>
      </w:r>
      <w:r w:rsidRPr="0032178C">
        <w:rPr>
          <w:sz w:val="20"/>
        </w:rPr>
        <w:t xml:space="preserve"> Binnie, </w:t>
      </w:r>
      <w:r w:rsidRPr="0032178C">
        <w:rPr>
          <w:b/>
          <w:sz w:val="20"/>
        </w:rPr>
        <w:t>Deschamps</w:t>
      </w:r>
      <w:r w:rsidRPr="0032178C">
        <w:rPr>
          <w:sz w:val="20"/>
        </w:rPr>
        <w:t xml:space="preserve">, </w:t>
      </w:r>
      <w:r w:rsidRPr="0032178C">
        <w:rPr>
          <w:rStyle w:val="QuoteChar"/>
          <w:sz w:val="20"/>
        </w:rPr>
        <w:t>Rothstein</w:t>
      </w:r>
      <w:r w:rsidRPr="0032178C">
        <w:rPr>
          <w:sz w:val="20"/>
        </w:rPr>
        <w:t xml:space="preserve"> and Cromwell JJ.: The Bank was at no point liable to pay M the proceeds of the cheques.  The fact that a person is designated as payee on the face of a cheque does not on its own mean that a bank is liable to make a payment to the person.  A drawee is answerable to the drawer.  The question is to whom the drawee may make the payment.  What is on the back of the cheque — the instructions or the endorsement — is crucial to this question. In this case, the instructions were to deposit the cheques into the joint account.  The Bank’s liability to pay monies to M personally cannot be confused with its liability to pay monies to the holders of the joint account.  There were no instructions that made the monies payable to M.</w:t>
      </w:r>
    </w:p>
    <w:p w:rsidR="00933669" w:rsidRPr="0032178C" w:rsidRDefault="00933669" w:rsidP="00933669">
      <w:pPr>
        <w:pStyle w:val="SCCNormalDoubleSpacing"/>
        <w:spacing w:line="240" w:lineRule="auto"/>
        <w:rPr>
          <w:sz w:val="20"/>
        </w:rPr>
      </w:pPr>
    </w:p>
    <w:p w:rsidR="00933669" w:rsidRDefault="00933669" w:rsidP="00933669">
      <w:pPr>
        <w:pStyle w:val="SCCNormalDoubleSpacing"/>
        <w:spacing w:line="240" w:lineRule="auto"/>
        <w:rPr>
          <w:sz w:val="20"/>
        </w:rPr>
      </w:pPr>
      <w:r w:rsidRPr="0032178C">
        <w:rPr>
          <w:sz w:val="20"/>
        </w:rPr>
        <w:tab/>
        <w:t xml:space="preserve">In this case, the </w:t>
      </w:r>
      <w:r w:rsidRPr="0032178C">
        <w:rPr>
          <w:rStyle w:val="QuoteChar"/>
          <w:sz w:val="20"/>
        </w:rPr>
        <w:t>cheques</w:t>
      </w:r>
      <w:r w:rsidRPr="0032178C">
        <w:rPr>
          <w:i/>
          <w:sz w:val="20"/>
        </w:rPr>
        <w:t xml:space="preserve"> </w:t>
      </w:r>
      <w:r w:rsidRPr="0032178C">
        <w:rPr>
          <w:sz w:val="20"/>
        </w:rPr>
        <w:t xml:space="preserve">were neither expressed to be payable to bearer nor endorsed in blank.  After the cheques had been delivered to the Bank for deposit into the joint account, M was no longer in possession of them, was not entitled to them and was therefore not their holder.  Once the Bank received the cheques for deposit and credited them to the joint account, it acquired the rights of a holder in due course pursuant to s. 165(3) of the </w:t>
      </w:r>
      <w:r w:rsidRPr="0032178C">
        <w:rPr>
          <w:i/>
          <w:sz w:val="20"/>
        </w:rPr>
        <w:t xml:space="preserve">Bills of Exchange Act </w:t>
      </w:r>
      <w:r w:rsidRPr="0032178C">
        <w:rPr>
          <w:sz w:val="20"/>
        </w:rPr>
        <w:t>(“</w:t>
      </w:r>
      <w:r w:rsidRPr="0032178C">
        <w:rPr>
          <w:i/>
          <w:sz w:val="20"/>
        </w:rPr>
        <w:t>BEA</w:t>
      </w:r>
      <w:r w:rsidRPr="0032178C">
        <w:rPr>
          <w:sz w:val="20"/>
        </w:rPr>
        <w:t xml:space="preserve">”) and was under a contractual obligation to the holders of the joint account to present the cheques for payment.  In crediting the joint account, sending the cheques to a third party for clearing, and receiving the proceeds, the Bank was acting on the basis of its contractual relationship with the holders of the joint account and not on behalf of M personally.  When the Bank debited the trust account the next day, it was not making a payment to M or to an agent acting for him alone.  The Bank owed no money to M, as it was acting as the collecting bank for its customers, the holders of the joint account.  It did not collect the proceeds of the cheques as agent for the payee, M.  </w:t>
      </w:r>
    </w:p>
    <w:p w:rsidR="00933669" w:rsidRPr="0032178C" w:rsidRDefault="00933669" w:rsidP="00933669">
      <w:pPr>
        <w:pStyle w:val="SCCNormalDoubleSpacing"/>
        <w:spacing w:line="240" w:lineRule="auto"/>
        <w:rPr>
          <w:sz w:val="20"/>
        </w:rPr>
      </w:pPr>
    </w:p>
    <w:p w:rsidR="00933669" w:rsidRDefault="00933669" w:rsidP="00933669">
      <w:pPr>
        <w:pStyle w:val="SCCNormalDoubleSpacing"/>
        <w:spacing w:line="240" w:lineRule="auto"/>
        <w:rPr>
          <w:sz w:val="20"/>
        </w:rPr>
      </w:pPr>
      <w:r w:rsidRPr="0032178C">
        <w:rPr>
          <w:sz w:val="20"/>
        </w:rPr>
        <w:tab/>
        <w:t xml:space="preserve">A banker’s obligation arises out of the debtor-creditor relationship created when a bank account is opened.  The payee of a cheque is not a party to this contractual relationship, and the mere fact of being a payee does not entail such a relationship with the drawee.  A cheque operates neither as an assignment of funds in the hands of the payee nor as an assignment of funds in the hands of the drawee.  In and of itself, a cheque imposes no obligation on a drawee </w:t>
      </w:r>
      <w:r w:rsidRPr="0032178C">
        <w:rPr>
          <w:sz w:val="20"/>
        </w:rPr>
        <w:lastRenderedPageBreak/>
        <w:t xml:space="preserve">bank to the payee.  There is a distinction between delivery of a cheque for deposit and presentment for payment.  It is clear from the rules applicable to presentment that the drawee bank’s obligation — to make payment to the holder of the cheque — is to the drawer only and that this obligation is triggered only when the cheque is presented to it.  It is also clear that, except as provided in the </w:t>
      </w:r>
      <w:r w:rsidRPr="0032178C">
        <w:rPr>
          <w:i/>
          <w:sz w:val="20"/>
        </w:rPr>
        <w:t>BEA</w:t>
      </w:r>
      <w:r w:rsidRPr="0032178C">
        <w:rPr>
          <w:sz w:val="20"/>
        </w:rPr>
        <w:t xml:space="preserve">, the drawee is obliged, as between itself and the drawer, to disburse the funds only upon presentment of the bill by the holder — the person who is entitled to receive them — or by the holder’s agent.  Viewed either from the angle of M being the payee or from that of the Bank being the drawee, the mere fact that cheques payable to M were delivered to the Bank  for deposit did not make the latter liable to make a payment to the former within the meaning of s. 224(1) of the </w:t>
      </w:r>
      <w:r w:rsidRPr="0032178C">
        <w:rPr>
          <w:i/>
          <w:sz w:val="20"/>
        </w:rPr>
        <w:t>ITA</w:t>
      </w:r>
      <w:r w:rsidRPr="0032178C">
        <w:rPr>
          <w:sz w:val="20"/>
        </w:rPr>
        <w:t xml:space="preserve">. </w:t>
      </w:r>
    </w:p>
    <w:p w:rsidR="00933669" w:rsidRPr="0032178C" w:rsidRDefault="00933669" w:rsidP="00933669">
      <w:pPr>
        <w:pStyle w:val="SCCNormalDoubleSpacing"/>
        <w:spacing w:line="240" w:lineRule="auto"/>
        <w:rPr>
          <w:sz w:val="20"/>
        </w:rPr>
      </w:pPr>
    </w:p>
    <w:p w:rsidR="00933669" w:rsidRDefault="00933669" w:rsidP="00933669">
      <w:pPr>
        <w:pStyle w:val="SCCNormalDoubleSpacing"/>
        <w:spacing w:line="240" w:lineRule="auto"/>
        <w:rPr>
          <w:sz w:val="20"/>
        </w:rPr>
      </w:pPr>
      <w:r w:rsidRPr="0032178C">
        <w:rPr>
          <w:i/>
          <w:sz w:val="20"/>
        </w:rPr>
        <w:tab/>
        <w:t xml:space="preserve">Per </w:t>
      </w:r>
      <w:r w:rsidRPr="0032178C">
        <w:rPr>
          <w:b/>
          <w:sz w:val="20"/>
        </w:rPr>
        <w:t>McLachlin C.J.</w:t>
      </w:r>
      <w:r w:rsidRPr="0032178C">
        <w:rPr>
          <w:sz w:val="20"/>
        </w:rPr>
        <w:t xml:space="preserve"> and Fish and Abella JJ. (dissenting):  The Bank is liable to make a payment to M as a result of the cheques he wrote to himself.  A bank that collects the funds from a deposited cheque receives the funds as agent for the customer (the payee).  This involves two transactions.  The funds are initially credited to its principal, the payee/customer.  The bank then receives them back under the banking contract.  The fact that these transactions follow one on the other does not change the conclusion that, legally, they are two distinct episodes.  As such, a deposited cheque is payable to the customer when it is deposited; at no time is the cheque payable to the bank.  Subsection 165(3) of the </w:t>
      </w:r>
      <w:r w:rsidRPr="0032178C">
        <w:rPr>
          <w:i/>
          <w:sz w:val="20"/>
        </w:rPr>
        <w:t xml:space="preserve">BEA </w:t>
      </w:r>
      <w:r w:rsidRPr="0032178C">
        <w:rPr>
          <w:sz w:val="20"/>
        </w:rPr>
        <w:t>does not establish that the bank becomes a holder of the cheque ― its limited objective is achieved by granting the collecting bank all the rights and powers of a holder in due course, and does not require the bank to be actually designated a holder in due course</w:t>
      </w:r>
      <w:r w:rsidRPr="0032178C">
        <w:rPr>
          <w:spacing w:val="-3"/>
          <w:sz w:val="20"/>
        </w:rPr>
        <w:t xml:space="preserve">.  </w:t>
      </w:r>
      <w:r w:rsidRPr="0032178C">
        <w:rPr>
          <w:sz w:val="20"/>
        </w:rPr>
        <w:t xml:space="preserve">Once the Bank received M’s cheques to himself, its liability to its customer was triggered.  The Bank was therefore contractually bound to honour its customer’s demand to pay him.  As such, all of the requirements of s. 224(1) of the </w:t>
      </w:r>
      <w:r w:rsidRPr="0032178C">
        <w:rPr>
          <w:i/>
          <w:sz w:val="20"/>
        </w:rPr>
        <w:t xml:space="preserve">ITA </w:t>
      </w:r>
      <w:r w:rsidRPr="0032178C">
        <w:rPr>
          <w:sz w:val="20"/>
        </w:rPr>
        <w:t xml:space="preserve">were met, and the requirement to pay attached to the money in transit between M’s accounts. </w:t>
      </w:r>
    </w:p>
    <w:p w:rsidR="00933669" w:rsidRPr="0032178C" w:rsidRDefault="00933669" w:rsidP="00933669">
      <w:pPr>
        <w:pStyle w:val="SCCNormalDoubleSpacing"/>
        <w:spacing w:line="240" w:lineRule="auto"/>
        <w:rPr>
          <w:sz w:val="20"/>
        </w:rPr>
      </w:pPr>
    </w:p>
    <w:p w:rsidR="00933669" w:rsidRDefault="00933669" w:rsidP="00933669">
      <w:pPr>
        <w:pStyle w:val="SCCNormalDoubleSpacing"/>
        <w:spacing w:line="240" w:lineRule="auto"/>
        <w:rPr>
          <w:sz w:val="20"/>
        </w:rPr>
      </w:pPr>
      <w:r w:rsidRPr="0032178C">
        <w:rPr>
          <w:sz w:val="20"/>
        </w:rPr>
        <w:tab/>
        <w:t>Regardless of the fact that the cheques were deposited into a joint account, the Bank was liable to M alone when it decided to honour the cheques.  Once funds are irrevocably deposited in a joint account, they become the property of joint account holders jointly under the terms of their banking contract and cannot be garnished by the Minister because they are no longer the sole property of the tax debtor.  However, it does not follow that the Minister could not intercept funds in transit before they arrived in the joint account.  A requirement to pay in s. 224(1) intercepts funds while they are in transit.  Before the funds arrive in the joint account and while the funds are being transferred, the drawee bank is only liable to make a payment to the payee of the cheque.  The other joint account holder had no right to the funds before they arrived in the account.  It is only M’s status as payee that matters for the purpose of triggering s. 224(1), in the presence of a joint account.</w:t>
      </w:r>
    </w:p>
    <w:p w:rsidR="00933669" w:rsidRDefault="00933669" w:rsidP="00933669">
      <w:pPr>
        <w:pStyle w:val="SCCNormalDoubleSpacing"/>
        <w:spacing w:line="240" w:lineRule="auto"/>
        <w:rPr>
          <w:sz w:val="20"/>
        </w:rPr>
      </w:pPr>
    </w:p>
    <w:p w:rsidR="00933669" w:rsidRDefault="00933669" w:rsidP="00933669">
      <w:pPr>
        <w:pStyle w:val="SCCNormalDoubleSpacing"/>
        <w:spacing w:line="240" w:lineRule="auto"/>
        <w:rPr>
          <w:sz w:val="20"/>
        </w:rPr>
      </w:pPr>
      <w:r w:rsidRPr="0032178C">
        <w:rPr>
          <w:sz w:val="20"/>
        </w:rPr>
        <w:tab/>
        <w:t>APPEAL from a judgment of the Federal Court of Appeal (Sexton, Blais and Layden</w:t>
      </w:r>
      <w:r w:rsidRPr="0032178C">
        <w:rPr>
          <w:sz w:val="20"/>
        </w:rPr>
        <w:noBreakHyphen/>
        <w:t>Stevenson JJ.A.), 2009 FCA 267, 2009 D.T.C. 5171, [2009] F.C.J. No. 1151 (QL), 2009 CarswellNat 2851, affirming a decision of Little J., 2008 TCC 482, [2009] 1 C.T.C. 2264, 2008 D.T.C. 4762, [2008] T.C.J. No. 372 (QL), 2008 CarswellNat 3092.  Appeal allowed, decisions of the Federal Court of Appeal and the Tax Court of Canada set aside and the assessments vacated, McLachlin C.J. and Fish and Abella JJ. dissenting.</w:t>
      </w:r>
    </w:p>
    <w:p w:rsidR="00933669" w:rsidRPr="0032178C" w:rsidRDefault="00933669" w:rsidP="00933669">
      <w:pPr>
        <w:pStyle w:val="SCCNormalDoubleSpacing"/>
        <w:spacing w:line="240" w:lineRule="auto"/>
        <w:rPr>
          <w:sz w:val="20"/>
        </w:rPr>
      </w:pPr>
    </w:p>
    <w:p w:rsidR="00933669" w:rsidRDefault="00933669" w:rsidP="00933669">
      <w:pPr>
        <w:pStyle w:val="SCCNormalDoubleSpacing"/>
        <w:spacing w:line="240" w:lineRule="auto"/>
        <w:rPr>
          <w:rStyle w:val="SCCCounselPartyRoleChar"/>
          <w:sz w:val="20"/>
        </w:rPr>
      </w:pPr>
      <w:r w:rsidRPr="0032178C">
        <w:rPr>
          <w:rStyle w:val="SCCCounselNameChar"/>
          <w:sz w:val="20"/>
        </w:rPr>
        <w:tab/>
        <w:t>R. Paul Steep</w:t>
      </w:r>
      <w:r w:rsidRPr="00933669">
        <w:rPr>
          <w:rStyle w:val="SCCCounselSeparatorChar"/>
          <w:sz w:val="20"/>
          <w:lang w:val="en-CA"/>
        </w:rPr>
        <w:t xml:space="preserve"> and </w:t>
      </w:r>
      <w:r w:rsidRPr="0032178C">
        <w:rPr>
          <w:rStyle w:val="SCCCounselNameChar"/>
          <w:sz w:val="20"/>
        </w:rPr>
        <w:t>Thomas N. T. Sutton</w:t>
      </w:r>
      <w:r w:rsidRPr="0032178C">
        <w:rPr>
          <w:rStyle w:val="SCCCounselPartyRoleChar"/>
          <w:sz w:val="20"/>
        </w:rPr>
        <w:t>, for the appellant.</w:t>
      </w:r>
    </w:p>
    <w:p w:rsidR="00933669" w:rsidRPr="0032178C" w:rsidRDefault="00933669" w:rsidP="00933669">
      <w:pPr>
        <w:pStyle w:val="SCCNormalDoubleSpacing"/>
        <w:spacing w:line="240" w:lineRule="auto"/>
        <w:rPr>
          <w:sz w:val="20"/>
        </w:rPr>
      </w:pPr>
    </w:p>
    <w:p w:rsidR="00933669" w:rsidRDefault="00933669" w:rsidP="00933669">
      <w:pPr>
        <w:pStyle w:val="SCCNormalDoubleSpacing"/>
        <w:spacing w:line="240" w:lineRule="auto"/>
        <w:rPr>
          <w:rStyle w:val="SCCCounselPartyRoleChar"/>
          <w:sz w:val="20"/>
        </w:rPr>
      </w:pPr>
      <w:r w:rsidRPr="0032178C">
        <w:rPr>
          <w:rStyle w:val="SCCCounselNameChar"/>
          <w:sz w:val="20"/>
        </w:rPr>
        <w:tab/>
        <w:t>Wendy Burnham</w:t>
      </w:r>
      <w:r w:rsidRPr="00933669">
        <w:rPr>
          <w:rStyle w:val="SCCCounselSeparatorChar"/>
          <w:sz w:val="20"/>
          <w:lang w:val="en-CA"/>
        </w:rPr>
        <w:t xml:space="preserve"> and </w:t>
      </w:r>
      <w:r w:rsidRPr="0032178C">
        <w:rPr>
          <w:rStyle w:val="SCCCounselNameChar"/>
          <w:sz w:val="20"/>
        </w:rPr>
        <w:t>Michael Lema</w:t>
      </w:r>
      <w:r w:rsidRPr="0032178C">
        <w:rPr>
          <w:rStyle w:val="SCCCounselPartyRoleChar"/>
          <w:sz w:val="20"/>
        </w:rPr>
        <w:t>, for the respondent.</w:t>
      </w:r>
    </w:p>
    <w:p w:rsidR="00933669" w:rsidRDefault="00933669" w:rsidP="00933669">
      <w:pPr>
        <w:pStyle w:val="SCCNormalDoubleSpacing"/>
        <w:spacing w:line="240" w:lineRule="auto"/>
        <w:rPr>
          <w:sz w:val="20"/>
        </w:rPr>
      </w:pPr>
    </w:p>
    <w:p w:rsidR="00933669" w:rsidRDefault="00933669" w:rsidP="00933669">
      <w:pPr>
        <w:pStyle w:val="SCCNormalDoubleSpacing"/>
        <w:spacing w:line="240" w:lineRule="auto"/>
        <w:rPr>
          <w:i/>
          <w:sz w:val="20"/>
        </w:rPr>
      </w:pPr>
      <w:r w:rsidRPr="0032178C">
        <w:rPr>
          <w:sz w:val="20"/>
        </w:rPr>
        <w:tab/>
      </w:r>
      <w:r w:rsidRPr="0032178C">
        <w:rPr>
          <w:rStyle w:val="SCCCounselNameChar"/>
          <w:sz w:val="20"/>
        </w:rPr>
        <w:t>Solicitors</w:t>
      </w:r>
      <w:r w:rsidRPr="0032178C">
        <w:rPr>
          <w:i/>
          <w:sz w:val="20"/>
        </w:rPr>
        <w:t xml:space="preserve"> for the appellant:  McCarthy Tétrault, Toronto.</w:t>
      </w:r>
    </w:p>
    <w:p w:rsidR="00933669" w:rsidRPr="0032178C" w:rsidRDefault="00933669" w:rsidP="00933669">
      <w:pPr>
        <w:pStyle w:val="SCCNormalDoubleSpacing"/>
        <w:spacing w:line="240" w:lineRule="auto"/>
        <w:rPr>
          <w:i/>
          <w:sz w:val="20"/>
        </w:rPr>
      </w:pPr>
    </w:p>
    <w:p w:rsidR="00933669" w:rsidRDefault="00933669" w:rsidP="00933669">
      <w:pPr>
        <w:pStyle w:val="SCCNormalDoubleSpacing"/>
        <w:spacing w:line="240" w:lineRule="auto"/>
        <w:rPr>
          <w:i/>
          <w:sz w:val="20"/>
        </w:rPr>
      </w:pPr>
      <w:r w:rsidRPr="0032178C">
        <w:rPr>
          <w:i/>
          <w:sz w:val="20"/>
        </w:rPr>
        <w:tab/>
      </w:r>
      <w:r w:rsidRPr="0032178C">
        <w:rPr>
          <w:rStyle w:val="SCCCounselNameChar"/>
          <w:sz w:val="20"/>
        </w:rPr>
        <w:t>Solicitor</w:t>
      </w:r>
      <w:r w:rsidRPr="0032178C">
        <w:rPr>
          <w:i/>
          <w:sz w:val="20"/>
        </w:rPr>
        <w:t xml:space="preserve"> for the respondent:  Attorney General of Canada, Ottawa.</w:t>
      </w:r>
    </w:p>
    <w:p w:rsidR="003B3977" w:rsidRPr="00933669" w:rsidRDefault="003B3977" w:rsidP="003B3977">
      <w:pPr>
        <w:rPr>
          <w:sz w:val="20"/>
          <w:szCs w:val="20"/>
          <w:lang w:val="fr-CA"/>
        </w:rPr>
      </w:pPr>
      <w:r w:rsidRPr="00933669">
        <w:rPr>
          <w:sz w:val="20"/>
          <w:szCs w:val="20"/>
          <w:lang w:val="fr-CA"/>
        </w:rPr>
        <w:t>________________________</w:t>
      </w:r>
    </w:p>
    <w:p w:rsidR="003B3977" w:rsidRPr="00933669" w:rsidRDefault="003B3977" w:rsidP="003B3977">
      <w:pPr>
        <w:rPr>
          <w:sz w:val="20"/>
          <w:szCs w:val="20"/>
          <w:lang w:val="fr-CA"/>
        </w:rPr>
      </w:pPr>
    </w:p>
    <w:p w:rsidR="00933669" w:rsidRPr="00933669" w:rsidRDefault="00933669" w:rsidP="00933669">
      <w:pPr>
        <w:jc w:val="both"/>
        <w:rPr>
          <w:sz w:val="20"/>
          <w:szCs w:val="20"/>
          <w:lang w:val="fr-CA"/>
        </w:rPr>
      </w:pPr>
      <w:r w:rsidRPr="00933669">
        <w:rPr>
          <w:sz w:val="20"/>
          <w:szCs w:val="20"/>
          <w:lang w:val="fr-CA"/>
        </w:rPr>
        <w:t>Présents : La juge en chef McLachlin et les juges Binnie, Deschamps, Fish, Abella, Rothstein et Cromwell.</w:t>
      </w:r>
    </w:p>
    <w:p w:rsidR="00933669" w:rsidRDefault="00933669" w:rsidP="003B3977">
      <w:pPr>
        <w:rPr>
          <w:sz w:val="20"/>
          <w:szCs w:val="20"/>
          <w:lang w:val="fr-CA"/>
        </w:rPr>
      </w:pPr>
    </w:p>
    <w:p w:rsidR="00933669" w:rsidRPr="00933669" w:rsidRDefault="00933669" w:rsidP="00933669">
      <w:pPr>
        <w:pStyle w:val="SCCNormalDoubleSpacing"/>
        <w:spacing w:line="240" w:lineRule="auto"/>
        <w:rPr>
          <w:i/>
          <w:sz w:val="20"/>
          <w:lang w:val="fr-CA"/>
        </w:rPr>
      </w:pPr>
      <w:r w:rsidRPr="009E4B37">
        <w:rPr>
          <w:sz w:val="20"/>
          <w:lang w:val="fr-CA"/>
        </w:rPr>
        <w:tab/>
      </w:r>
      <w:r w:rsidRPr="00933669">
        <w:rPr>
          <w:i/>
          <w:sz w:val="20"/>
          <w:lang w:val="fr-CA"/>
        </w:rPr>
        <w:t>Droit fiscal ― Impôt sur le revenu ― Recouvrement ― Lettres de change ― Le débiteur fiscal tirait des chèques sur son compte en fiducie et les déposait à un compte conjoint dont lui</w:t>
      </w:r>
      <w:r w:rsidRPr="00933669">
        <w:rPr>
          <w:i/>
          <w:sz w:val="20"/>
          <w:lang w:val="fr-CA"/>
        </w:rPr>
        <w:noBreakHyphen/>
        <w:t>même et un tiers étaient titulaires ― Le ministre du Revenu national a fait parvenir trois demandes péremptoires de paiement à la Banque relativement à la dette fiscale du débiteur fiscal ― La Banque s’y est opposée ― La Banque était</w:t>
      </w:r>
      <w:r w:rsidRPr="00933669">
        <w:rPr>
          <w:i/>
          <w:sz w:val="20"/>
          <w:lang w:val="fr-CA"/>
        </w:rPr>
        <w:noBreakHyphen/>
        <w:t>elle tenue de faire des paiements au débiteur fiscal, désigné comme preneur des chèques? ― La  Banque, s’étant vue remettre des chèques payables au débiteur fiscal pour dépôt dans un compte détenu conjointement par un tiers et ce débiteur fiscal, était</w:t>
      </w:r>
      <w:r w:rsidRPr="00933669">
        <w:rPr>
          <w:i/>
          <w:sz w:val="20"/>
          <w:lang w:val="fr-CA"/>
        </w:rPr>
        <w:noBreakHyphen/>
        <w:t xml:space="preserve">elle tenue de </w:t>
      </w:r>
      <w:r w:rsidRPr="00933669">
        <w:rPr>
          <w:i/>
          <w:sz w:val="20"/>
          <w:lang w:val="fr-CA"/>
        </w:rPr>
        <w:lastRenderedPageBreak/>
        <w:t>faire des paiements à ce dernier? ― La Banque était</w:t>
      </w:r>
      <w:r w:rsidRPr="00933669">
        <w:rPr>
          <w:i/>
          <w:sz w:val="20"/>
          <w:lang w:val="fr-CA"/>
        </w:rPr>
        <w:noBreakHyphen/>
        <w:t>elle tenue d’obtempérer aux demandes péremptoires de paiement? ― Loi de l’impôt sur le revenu, L.R.C. 1985, ch. 1 (5</w:t>
      </w:r>
      <w:r w:rsidRPr="00933669">
        <w:rPr>
          <w:i/>
          <w:sz w:val="20"/>
          <w:vertAlign w:val="superscript"/>
          <w:lang w:val="fr-CA"/>
        </w:rPr>
        <w:t>e</w:t>
      </w:r>
      <w:r w:rsidRPr="00933669">
        <w:rPr>
          <w:i/>
          <w:sz w:val="20"/>
          <w:lang w:val="fr-CA"/>
        </w:rPr>
        <w:t> suppl.), art. 224 ― Loi sur les lettres de change, L.R.C. 1985, ch. B</w:t>
      </w:r>
      <w:r w:rsidRPr="00933669">
        <w:rPr>
          <w:i/>
          <w:sz w:val="20"/>
          <w:lang w:val="fr-CA"/>
        </w:rPr>
        <w:noBreakHyphen/>
        <w:t>4.</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sz w:val="20"/>
          <w:lang w:val="fr-CA"/>
        </w:rPr>
      </w:pPr>
      <w:r w:rsidRPr="00933669">
        <w:rPr>
          <w:sz w:val="20"/>
          <w:lang w:val="fr-CA"/>
        </w:rPr>
        <w:tab/>
        <w:t xml:space="preserve">Le débiteur fiscal, M, devait des impôts au gouvernement fédéral.  Le ministre du Revenu national a appris que des chèques payables à M étaient tirés sur son compte en fiducie et déposés au compte conjoint dont M et un tiers étaient titulaires.  Chacun des chèques tirés sur le compte en fiducie était payable à M et remis à l’appelante, Hypothèques Trustco Canada (la « Banque »), avec instructions de déposer les fonds au compte conjoint.  Ces instructions étaient inscrites au verso du chèque, où l’on trouvait la mention « Dep to » (« déposer à ») suivie du numéro du compte. </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sz w:val="20"/>
          <w:lang w:val="fr-CA"/>
        </w:rPr>
      </w:pPr>
      <w:r w:rsidRPr="00933669">
        <w:rPr>
          <w:sz w:val="20"/>
          <w:lang w:val="fr-CA"/>
        </w:rPr>
        <w:tab/>
        <w:t xml:space="preserve">Le ministre a fait parvenir trois demandes péremptoires de paiement à la Banque en vertu de l’art. 224 de la </w:t>
      </w:r>
      <w:r w:rsidRPr="00933669">
        <w:rPr>
          <w:i/>
          <w:sz w:val="20"/>
          <w:lang w:val="fr-CA"/>
        </w:rPr>
        <w:t xml:space="preserve">Loi de l’impôt sur le revenu </w:t>
      </w:r>
      <w:r w:rsidRPr="00933669">
        <w:rPr>
          <w:sz w:val="20"/>
          <w:lang w:val="fr-CA"/>
        </w:rPr>
        <w:t>(« </w:t>
      </w:r>
      <w:r w:rsidRPr="00933669">
        <w:rPr>
          <w:i/>
          <w:sz w:val="20"/>
          <w:lang w:val="fr-CA"/>
        </w:rPr>
        <w:t>LIR</w:t>
      </w:r>
      <w:r w:rsidRPr="00933669">
        <w:rPr>
          <w:sz w:val="20"/>
          <w:lang w:val="fr-CA"/>
        </w:rPr>
        <w:t> »).  La Banque a fait valoir qu’elle n’était pas tenue de verser les fonds.  Le ministre a établi une cotisation à l’égard de la Banque enjoignant à celle</w:t>
      </w:r>
      <w:r w:rsidRPr="00933669">
        <w:rPr>
          <w:sz w:val="20"/>
          <w:lang w:val="fr-CA"/>
        </w:rPr>
        <w:noBreakHyphen/>
        <w:t>ci de lui remettre un montant égal au produit des chèques au motif qu’elle avait omis d’obtempérer aux trois demandes péremptoires de paiement.  La Cour canadienne de l’impôt a rejeté l’appel interjeté par la Banque, et la Cour d’appel fédérale a confirmé la décision de la Cour canadienne de l’impôt.</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sz w:val="20"/>
          <w:lang w:val="fr-CA"/>
        </w:rPr>
      </w:pPr>
      <w:r w:rsidRPr="00933669">
        <w:rPr>
          <w:sz w:val="20"/>
          <w:lang w:val="fr-CA"/>
        </w:rPr>
        <w:tab/>
      </w:r>
      <w:r w:rsidRPr="00933669">
        <w:rPr>
          <w:i/>
          <w:sz w:val="20"/>
          <w:lang w:val="fr-CA"/>
        </w:rPr>
        <w:t>Arrêt</w:t>
      </w:r>
      <w:r w:rsidRPr="00933669">
        <w:rPr>
          <w:sz w:val="20"/>
          <w:lang w:val="fr-CA"/>
        </w:rPr>
        <w:t> (la juge en chef McLachlin et les juges Fish et Abella sont dissidents) : Le pourvoi est accueilli, les décisions des juridictions inférieures sont infirmées, et les cotisations sont annulées.</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sz w:val="20"/>
          <w:lang w:val="fr-CA"/>
        </w:rPr>
      </w:pPr>
      <w:r w:rsidRPr="00933669">
        <w:rPr>
          <w:sz w:val="20"/>
          <w:lang w:val="fr-CA"/>
        </w:rPr>
        <w:tab/>
      </w:r>
      <w:r w:rsidRPr="00933669">
        <w:rPr>
          <w:i/>
          <w:sz w:val="20"/>
          <w:lang w:val="fr-CA"/>
        </w:rPr>
        <w:t>Les</w:t>
      </w:r>
      <w:r w:rsidRPr="00933669">
        <w:rPr>
          <w:sz w:val="20"/>
          <w:lang w:val="fr-CA"/>
        </w:rPr>
        <w:t xml:space="preserve"> juges Binnie, </w:t>
      </w:r>
      <w:r w:rsidRPr="00933669">
        <w:rPr>
          <w:b/>
          <w:sz w:val="20"/>
          <w:lang w:val="fr-CA"/>
        </w:rPr>
        <w:t>Deschamps</w:t>
      </w:r>
      <w:r w:rsidRPr="00933669">
        <w:rPr>
          <w:sz w:val="20"/>
          <w:lang w:val="fr-CA"/>
        </w:rPr>
        <w:t>, Rothstein et Cromwell : La Banque n’a jamais été tenue de verser le produit des chèques à M.  Le seul fait qu’une personne soit nommément désignée comme preneur à la face même d’un chèque ne signifie pas qu’une banque est tenue de lui faire un paiement.  Le tiré est redevable au tireur.  La question est de savoir à qui le tiré peut faire le paiement.  Pour y répondre, il est essentiel de prendre connaissance de ce qui est écrit au verso du chèque, où se trouvent les instructions à exécuter ou l’endossement.  En l’espèce, les instructions étaient de déposer les chèques au compte conjoint.  Il ne faut pas confondre l’obligation de la Banque de remettre des fonds à M à titre personnel et son obligation d’en verser aux titulaires du compte conjoint.  La Banque n’avait pas pour instructions de remettre les fonds à M.</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sz w:val="20"/>
          <w:lang w:val="fr-CA"/>
        </w:rPr>
      </w:pPr>
      <w:r w:rsidRPr="00933669">
        <w:rPr>
          <w:sz w:val="20"/>
          <w:lang w:val="fr-CA"/>
        </w:rPr>
        <w:tab/>
        <w:t>En l’espèce, les chèques ne stipulaient pas qu’ils étaient payables au porteur, et ils n’étaient pas endossés en blanc.  Une fois les chèques remis à la Banque en vue de leur dépôt au compte conjoint, M n’était plus en possession de ceux</w:t>
      </w:r>
      <w:r w:rsidRPr="00933669">
        <w:rPr>
          <w:sz w:val="20"/>
          <w:lang w:val="fr-CA"/>
        </w:rPr>
        <w:noBreakHyphen/>
        <w:t xml:space="preserve">ci, il n’y avait pas droit, et il n’en était donc pas le détenteur.  Après avoir reçu les chèques pour dépôt et les avoir portés au crédit du compte conjoint, la Banque avait acquis les droits d’un détenteur régulier au sens du par. 165(3) de la </w:t>
      </w:r>
      <w:r w:rsidRPr="00933669">
        <w:rPr>
          <w:i/>
          <w:sz w:val="20"/>
          <w:lang w:val="fr-CA"/>
        </w:rPr>
        <w:t xml:space="preserve">Loi sur les lettres de change </w:t>
      </w:r>
      <w:r w:rsidRPr="00933669">
        <w:rPr>
          <w:sz w:val="20"/>
          <w:lang w:val="fr-CA"/>
        </w:rPr>
        <w:t>(« </w:t>
      </w:r>
      <w:r w:rsidRPr="00933669">
        <w:rPr>
          <w:i/>
          <w:sz w:val="20"/>
          <w:lang w:val="fr-CA"/>
        </w:rPr>
        <w:t>LLC</w:t>
      </w:r>
      <w:r w:rsidRPr="00933669">
        <w:rPr>
          <w:sz w:val="20"/>
          <w:lang w:val="fr-CA"/>
        </w:rPr>
        <w:t xml:space="preserve"> ») et avait, à l’égard des titulaires de ce compte, une obligation contractuelle de présenter les chèques au paiement.  En portant les chèques au crédit du compte conjoint, les envoyant à une tierce partie pour fins de compensation et en recevant le produit, la Banque agissait toujours sur le fondement de sa relation contractuelle avec les titulaires du compte conjoint et non pour le compte de M à titre personnel.  En débitant le compte en fiducie le lendemain, la Banque ne faisait pas de paiement à M ou à un mandataire de ce dernier agissant exclusivement pour lui.  La Banque ne devait aucun montant à M parce qu’elle avait agi à titre de banque d’encaissement pour ses clients, à savoir les titulaires du compte conjoint.  Elle n’a pas encaissé le produit des chèques à titre de mandataire du preneur, M.  </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sz w:val="20"/>
          <w:lang w:val="fr-CA"/>
        </w:rPr>
      </w:pPr>
      <w:r w:rsidRPr="00933669">
        <w:rPr>
          <w:sz w:val="20"/>
          <w:lang w:val="fr-CA"/>
        </w:rPr>
        <w:tab/>
        <w:t>L’obligation qui incombe au banquier découle de la relation débiteur</w:t>
      </w:r>
      <w:r w:rsidRPr="00933669">
        <w:rPr>
          <w:sz w:val="20"/>
          <w:lang w:val="fr-CA"/>
        </w:rPr>
        <w:noBreakHyphen/>
        <w:t xml:space="preserve">créancier créée au moment de l’ouverture du compte bancaire.  Le preneur d’un chèque n’est pas partie à cette relation contractuelle, et sa simple qualité de preneur ne fait pas naître une telle relation entre lui et le tiré.  Le chèque n’a pas pour effet de transférer des fonds au preneur ou d’en transférer au tiré.  En soi, le chèque n’impose à la banque tirée aucune obligation envers le preneur.  Il y a une distinction à faire entre la remise d’un chèque pour dépôt et la présentation au paiement.  Il ressort clairement des règles en matière de présentation que l’obligation de la banque tirée, à savoir celle de faire un paiement au détenteur du chèque, ne lui incombe qu’à l’égard du tireur, et que cette obligation n’est déclenchée qu’au moment où le chèque lui est présenté.  Il est également clair que, sous réserve des dispositions de la </w:t>
      </w:r>
      <w:r w:rsidRPr="00933669">
        <w:rPr>
          <w:i/>
          <w:sz w:val="20"/>
          <w:lang w:val="fr-CA"/>
        </w:rPr>
        <w:t>LLC</w:t>
      </w:r>
      <w:r w:rsidRPr="00933669">
        <w:rPr>
          <w:sz w:val="20"/>
          <w:lang w:val="fr-CA"/>
        </w:rPr>
        <w:t xml:space="preserve">, l’obligation du tiré envers le tireur consiste à débourser les fonds seulement sur présentation de la lettre par son détenteur, à savoir la personne ayant le droit de recevoir les fonds, ou par le mandataire de cette personne.  Tant du point de vue de M, en sa qualité de preneur, que de celui de la Banque, en tant que banque tirée, le simple fait que des chèques payables à M ont été remis à la </w:t>
      </w:r>
      <w:r w:rsidRPr="00933669">
        <w:rPr>
          <w:sz w:val="20"/>
          <w:lang w:val="fr-CA"/>
        </w:rPr>
        <w:lastRenderedPageBreak/>
        <w:t>Banque en vue de leur dépôt n’imposait pas à celle</w:t>
      </w:r>
      <w:r w:rsidRPr="00933669">
        <w:rPr>
          <w:sz w:val="20"/>
          <w:lang w:val="fr-CA"/>
        </w:rPr>
        <w:noBreakHyphen/>
        <w:t>ci l’obligation de faire un paiement à celui</w:t>
      </w:r>
      <w:r w:rsidRPr="00933669">
        <w:rPr>
          <w:sz w:val="20"/>
          <w:lang w:val="fr-CA"/>
        </w:rPr>
        <w:noBreakHyphen/>
        <w:t xml:space="preserve">là en application du par. 224(1) de la </w:t>
      </w:r>
      <w:r w:rsidRPr="00933669">
        <w:rPr>
          <w:i/>
          <w:sz w:val="20"/>
          <w:lang w:val="fr-CA"/>
        </w:rPr>
        <w:t>LIR</w:t>
      </w:r>
      <w:r w:rsidRPr="00933669">
        <w:rPr>
          <w:sz w:val="20"/>
          <w:lang w:val="fr-CA"/>
        </w:rPr>
        <w:t xml:space="preserve">. </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sz w:val="20"/>
          <w:lang w:val="fr-CA"/>
        </w:rPr>
      </w:pPr>
      <w:r w:rsidRPr="00933669">
        <w:rPr>
          <w:i/>
          <w:sz w:val="20"/>
          <w:lang w:val="fr-CA"/>
        </w:rPr>
        <w:tab/>
        <w:t xml:space="preserve">La </w:t>
      </w:r>
      <w:r w:rsidRPr="00933669">
        <w:rPr>
          <w:b/>
          <w:sz w:val="20"/>
          <w:lang w:val="fr-CA"/>
        </w:rPr>
        <w:t>juge en chef McLachlin</w:t>
      </w:r>
      <w:r w:rsidRPr="00933669">
        <w:rPr>
          <w:sz w:val="20"/>
          <w:lang w:val="fr-CA"/>
        </w:rPr>
        <w:t xml:space="preserve"> et les juges Fish et Abella (dissidents) : La Banque était tenue de faire un paiement à M par suite des chèques qu’il s’était faits à lui</w:t>
      </w:r>
      <w:r w:rsidRPr="00933669">
        <w:rPr>
          <w:sz w:val="20"/>
          <w:lang w:val="fr-CA"/>
        </w:rPr>
        <w:noBreakHyphen/>
        <w:t xml:space="preserve">même.  Une banque qui encaisse un chèque déposé reçoit les fonds à titre de mandataire de son client (le preneur).  Cela suppose deux opérations.  Les fonds sont d’abord portés au crédit du mandant, le preneur/client, pour être de nouveau remis à la banque en vertu du contrat bancaire.  Le fait que ces opérations soient consécutives ne change rien à la conclusion que, sur le plan juridique, elles constituent deux étapes distinctes.  Le chèque déposé est donc payable au client au moment où il est déposé; il n’est jamais payable à la banque.  Le paragraphe 165(3) de la </w:t>
      </w:r>
      <w:r w:rsidRPr="00933669">
        <w:rPr>
          <w:i/>
          <w:sz w:val="20"/>
          <w:lang w:val="fr-CA"/>
        </w:rPr>
        <w:t xml:space="preserve">LLC </w:t>
      </w:r>
      <w:r w:rsidRPr="00933669">
        <w:rPr>
          <w:sz w:val="20"/>
          <w:lang w:val="fr-CA"/>
        </w:rPr>
        <w:t xml:space="preserve">ne prévoit pas que la banque devient le détenteur du chèque — il atteint son objectif bien précis en accordant à la banque d’encaissement </w:t>
      </w:r>
      <w:r w:rsidRPr="00072F91">
        <w:rPr>
          <w:rStyle w:val="InQuoteChar"/>
          <w:sz w:val="20"/>
          <w:lang w:val="fr-CA"/>
        </w:rPr>
        <w:t xml:space="preserve">tous les droits et pouvoirs du détenteur régulier du chèque et n’exige pas que </w:t>
      </w:r>
      <w:r w:rsidRPr="00933669">
        <w:rPr>
          <w:sz w:val="20"/>
          <w:lang w:val="fr-CA"/>
        </w:rPr>
        <w:t>la banque soit effectivement désignée comme la détentrice régulière de celui</w:t>
      </w:r>
      <w:r w:rsidRPr="00933669">
        <w:rPr>
          <w:sz w:val="20"/>
          <w:lang w:val="fr-CA"/>
        </w:rPr>
        <w:noBreakHyphen/>
        <w:t>ci</w:t>
      </w:r>
      <w:r w:rsidRPr="00933669">
        <w:rPr>
          <w:spacing w:val="-3"/>
          <w:sz w:val="20"/>
          <w:lang w:val="fr-CA"/>
        </w:rPr>
        <w:t>.  La</w:t>
      </w:r>
      <w:r w:rsidRPr="00933669">
        <w:rPr>
          <w:sz w:val="20"/>
          <w:lang w:val="fr-CA"/>
        </w:rPr>
        <w:t xml:space="preserve"> Banque était tenue de verser les fonds à son client dès lors qu’elle avait reçu les chèques que M s’était faits à lui</w:t>
      </w:r>
      <w:r w:rsidRPr="00933669">
        <w:rPr>
          <w:sz w:val="20"/>
          <w:lang w:val="fr-CA"/>
        </w:rPr>
        <w:noBreakHyphen/>
        <w:t xml:space="preserve">même.  La Banque était donc contractuellement tenue de satisfaire à la demande de paiement de son client.  Par conséquent, toutes les conditions prévues au par. 224(1) de la </w:t>
      </w:r>
      <w:r w:rsidRPr="00933669">
        <w:rPr>
          <w:i/>
          <w:sz w:val="20"/>
          <w:lang w:val="fr-CA"/>
        </w:rPr>
        <w:t>LIR</w:t>
      </w:r>
      <w:r w:rsidRPr="00933669">
        <w:rPr>
          <w:sz w:val="20"/>
          <w:lang w:val="fr-CA"/>
        </w:rPr>
        <w:t xml:space="preserve"> se trouvaient réunies, et la demande péremptoire de paiement visait les fonds en transit entre les comptes de M. </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sz w:val="20"/>
          <w:lang w:val="fr-CA"/>
        </w:rPr>
      </w:pPr>
      <w:r w:rsidRPr="00933669">
        <w:rPr>
          <w:sz w:val="20"/>
          <w:lang w:val="fr-CA"/>
        </w:rPr>
        <w:tab/>
        <w:t>Peu importe que les chèques aient été déposés à un compte conjoint, la Banque était tenue de faire un paiement seulement à M lorsqu’elle a décidé d’honorer les chèques.  Une fois qu’ils ont été déposés de façon irrévocable dans un compte conjoint, les fonds deviennent la propriété conjointe des détenteurs du compte en vertu de leur contrat bancaire, et ils ne peuvent être saisis</w:t>
      </w:r>
      <w:r w:rsidRPr="00933669">
        <w:rPr>
          <w:sz w:val="20"/>
          <w:lang w:val="fr-CA"/>
        </w:rPr>
        <w:noBreakHyphen/>
        <w:t xml:space="preserve">arrêtés par le ministre parce qu’ils n’appartiennent plus exclusivement au débiteur fiscal.  Il ne s’ensuit pas pour autant que le ministre ne pouvait pas intercepter les fonds en transit avant qu’ils ne parviennent au compte conjoint.  La demande péremptoire de paiement prévue au par. 224(1) de la </w:t>
      </w:r>
      <w:r w:rsidRPr="00933669">
        <w:rPr>
          <w:i/>
          <w:sz w:val="20"/>
          <w:lang w:val="fr-CA"/>
        </w:rPr>
        <w:t>LIR</w:t>
      </w:r>
      <w:r w:rsidRPr="00933669">
        <w:rPr>
          <w:sz w:val="20"/>
          <w:lang w:val="fr-CA"/>
        </w:rPr>
        <w:t xml:space="preserve"> permet d’intercepter des fonds alors qu’ils sont en transit.  Avant que les fonds ne parviennent au compte conjoint et pendant qu’ils sont encore en transit, la banque tirée n’est tenue de faire un paiement qu’au preneur du chèque.  L’autre titulaire du compte conjoint n’avait aucun droit sur les fonds tant que ceux</w:t>
      </w:r>
      <w:r w:rsidRPr="00933669">
        <w:rPr>
          <w:sz w:val="20"/>
          <w:lang w:val="fr-CA"/>
        </w:rPr>
        <w:noBreakHyphen/>
        <w:t>ci n’y avaient pas été déposés.  Ce n’est donc que la qualité de preneur</w:t>
      </w:r>
      <w:r w:rsidRPr="00933669">
        <w:rPr>
          <w:i/>
          <w:sz w:val="20"/>
          <w:lang w:val="fr-CA"/>
        </w:rPr>
        <w:t xml:space="preserve"> </w:t>
      </w:r>
      <w:r w:rsidRPr="00933669">
        <w:rPr>
          <w:sz w:val="20"/>
          <w:lang w:val="fr-CA"/>
        </w:rPr>
        <w:t xml:space="preserve">de M qui comptait pour déclencher l’application du par. 224(1) de la </w:t>
      </w:r>
      <w:r w:rsidRPr="00933669">
        <w:rPr>
          <w:i/>
          <w:sz w:val="20"/>
          <w:lang w:val="fr-CA"/>
        </w:rPr>
        <w:t>LIR</w:t>
      </w:r>
      <w:r w:rsidRPr="00933669">
        <w:rPr>
          <w:sz w:val="20"/>
          <w:lang w:val="fr-CA"/>
        </w:rPr>
        <w:t xml:space="preserve"> car il s’agissait d’un compte conjoint.</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sz w:val="20"/>
          <w:lang w:val="fr-CA"/>
        </w:rPr>
      </w:pPr>
      <w:r w:rsidRPr="00933669">
        <w:rPr>
          <w:sz w:val="20"/>
          <w:lang w:val="fr-CA"/>
        </w:rPr>
        <w:tab/>
        <w:t>POURVOI contre un arrêt de la Cour d’appel fédérale (les juges Sexton, Blais et Layden</w:t>
      </w:r>
      <w:r w:rsidRPr="00933669">
        <w:rPr>
          <w:sz w:val="20"/>
          <w:lang w:val="fr-CA"/>
        </w:rPr>
        <w:noBreakHyphen/>
        <w:t>Stevenson), 2009 CAF 267, 2009 D.T.C. 5171, [2009] A.C.F. n</w:t>
      </w:r>
      <w:r w:rsidRPr="00933669">
        <w:rPr>
          <w:sz w:val="20"/>
          <w:vertAlign w:val="superscript"/>
          <w:lang w:val="fr-CA"/>
        </w:rPr>
        <w:t>o </w:t>
      </w:r>
      <w:r w:rsidRPr="00933669">
        <w:rPr>
          <w:sz w:val="20"/>
          <w:lang w:val="fr-CA"/>
        </w:rPr>
        <w:t>1151 (QL), 2009 CarswellNat 5095, qui a confirmé une décision du juge Little, 2008 CCI 482, [2009] 1 C.T.C. 2264, 2008 D.T.C. 4762, [2008] A.C.I. n</w:t>
      </w:r>
      <w:r w:rsidRPr="00933669">
        <w:rPr>
          <w:sz w:val="20"/>
          <w:vertAlign w:val="superscript"/>
          <w:lang w:val="fr-CA"/>
        </w:rPr>
        <w:t>o</w:t>
      </w:r>
      <w:r w:rsidRPr="00933669">
        <w:rPr>
          <w:sz w:val="20"/>
          <w:lang w:val="fr-CA"/>
        </w:rPr>
        <w:t> 372 (QL), 2008 CarswellNat 5692.  Pourvoi accueilli, arrêt de la Cour d’appel fédérale et jugement de la Cour canadienne de l’impôt infirmés et cotisations annulées, la juge en chef McLachlin et les juges Fish et Abella sont dissidents.</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rStyle w:val="SCCCounselPartyRoleChar"/>
          <w:sz w:val="20"/>
          <w:lang w:val="fr-CA"/>
        </w:rPr>
      </w:pPr>
      <w:r w:rsidRPr="00933669">
        <w:rPr>
          <w:rStyle w:val="SCCCounselNameChar"/>
          <w:sz w:val="20"/>
          <w:lang w:val="fr-CA"/>
        </w:rPr>
        <w:tab/>
        <w:t>R. Paul Steep</w:t>
      </w:r>
      <w:r w:rsidRPr="00072F91">
        <w:rPr>
          <w:rStyle w:val="SCCCounselSeparatorChar"/>
          <w:sz w:val="20"/>
        </w:rPr>
        <w:t xml:space="preserve"> et </w:t>
      </w:r>
      <w:r w:rsidRPr="00933669">
        <w:rPr>
          <w:rStyle w:val="SCCCounselNameChar"/>
          <w:sz w:val="20"/>
          <w:lang w:val="fr-CA"/>
        </w:rPr>
        <w:t>Thomas N. T. Sutton</w:t>
      </w:r>
      <w:r w:rsidRPr="00933669">
        <w:rPr>
          <w:rStyle w:val="SCCCounselPartyRoleChar"/>
          <w:sz w:val="20"/>
          <w:lang w:val="fr-CA"/>
        </w:rPr>
        <w:t>, pour l’appelante.</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rStyle w:val="SCCCounselPartyRoleChar"/>
          <w:sz w:val="20"/>
          <w:lang w:val="fr-CA"/>
        </w:rPr>
      </w:pPr>
      <w:r w:rsidRPr="00933669">
        <w:rPr>
          <w:rStyle w:val="SCCCounselNameChar"/>
          <w:sz w:val="20"/>
          <w:lang w:val="fr-CA"/>
        </w:rPr>
        <w:tab/>
        <w:t>Wendy Burnham</w:t>
      </w:r>
      <w:r w:rsidRPr="00072F91">
        <w:rPr>
          <w:rStyle w:val="SCCCounselSeparatorChar"/>
          <w:sz w:val="20"/>
        </w:rPr>
        <w:t xml:space="preserve"> et </w:t>
      </w:r>
      <w:r w:rsidRPr="00933669">
        <w:rPr>
          <w:rStyle w:val="SCCCounselNameChar"/>
          <w:sz w:val="20"/>
          <w:lang w:val="fr-CA"/>
        </w:rPr>
        <w:t>Michael Lema</w:t>
      </w:r>
      <w:r w:rsidRPr="00933669">
        <w:rPr>
          <w:rStyle w:val="SCCCounselPartyRoleChar"/>
          <w:sz w:val="20"/>
          <w:lang w:val="fr-CA"/>
        </w:rPr>
        <w:t>, pour l’intimée.</w:t>
      </w:r>
    </w:p>
    <w:p w:rsidR="00933669" w:rsidRPr="00933669" w:rsidRDefault="00933669" w:rsidP="00933669">
      <w:pPr>
        <w:pStyle w:val="SCCNormalDoubleSpacing"/>
        <w:spacing w:line="240" w:lineRule="auto"/>
        <w:rPr>
          <w:sz w:val="20"/>
          <w:lang w:val="fr-CA"/>
        </w:rPr>
      </w:pPr>
    </w:p>
    <w:p w:rsidR="00933669" w:rsidRPr="00933669" w:rsidRDefault="00933669" w:rsidP="00933669">
      <w:pPr>
        <w:pStyle w:val="SCCNormalDoubleSpacing"/>
        <w:spacing w:line="240" w:lineRule="auto"/>
        <w:rPr>
          <w:i/>
          <w:sz w:val="20"/>
          <w:lang w:val="fr-CA"/>
        </w:rPr>
      </w:pPr>
      <w:r w:rsidRPr="00933669">
        <w:rPr>
          <w:sz w:val="20"/>
          <w:lang w:val="fr-CA"/>
        </w:rPr>
        <w:tab/>
      </w:r>
      <w:r w:rsidRPr="00933669">
        <w:rPr>
          <w:rStyle w:val="SCCCounselNameChar"/>
          <w:sz w:val="20"/>
          <w:lang w:val="fr-CA"/>
        </w:rPr>
        <w:t>Procureurs</w:t>
      </w:r>
      <w:r w:rsidRPr="00933669">
        <w:rPr>
          <w:sz w:val="20"/>
          <w:lang w:val="fr-CA"/>
        </w:rPr>
        <w:t xml:space="preserve"> </w:t>
      </w:r>
      <w:r w:rsidRPr="00933669">
        <w:rPr>
          <w:i/>
          <w:sz w:val="20"/>
          <w:lang w:val="fr-CA"/>
        </w:rPr>
        <w:t>de l’appelante : McCarthy Tétrault, Toronto.</w:t>
      </w:r>
    </w:p>
    <w:p w:rsidR="00933669" w:rsidRPr="00933669" w:rsidRDefault="00933669" w:rsidP="00933669">
      <w:pPr>
        <w:pStyle w:val="SCCNormalDoubleSpacing"/>
        <w:spacing w:line="240" w:lineRule="auto"/>
        <w:rPr>
          <w:i/>
          <w:sz w:val="20"/>
          <w:lang w:val="fr-CA"/>
        </w:rPr>
      </w:pPr>
    </w:p>
    <w:p w:rsidR="00933669" w:rsidRPr="00933669" w:rsidRDefault="00933669" w:rsidP="00933669">
      <w:pPr>
        <w:pStyle w:val="SCCNormalDoubleSpacing"/>
        <w:spacing w:line="240" w:lineRule="auto"/>
        <w:rPr>
          <w:i/>
          <w:sz w:val="20"/>
          <w:lang w:val="fr-CA"/>
        </w:rPr>
      </w:pPr>
      <w:r w:rsidRPr="00933669">
        <w:rPr>
          <w:i/>
          <w:sz w:val="20"/>
          <w:lang w:val="fr-CA"/>
        </w:rPr>
        <w:tab/>
      </w:r>
      <w:r w:rsidRPr="00933669">
        <w:rPr>
          <w:rStyle w:val="SCCCounselNameChar"/>
          <w:sz w:val="20"/>
          <w:lang w:val="fr-CA"/>
        </w:rPr>
        <w:t>Procureur</w:t>
      </w:r>
      <w:r w:rsidRPr="00933669">
        <w:rPr>
          <w:sz w:val="20"/>
          <w:lang w:val="fr-CA"/>
        </w:rPr>
        <w:t xml:space="preserve"> </w:t>
      </w:r>
      <w:r w:rsidRPr="00933669">
        <w:rPr>
          <w:i/>
          <w:sz w:val="20"/>
          <w:lang w:val="fr-CA"/>
        </w:rPr>
        <w:t>de l’intimée : Procureur général du Canada, Ottawa.</w:t>
      </w:r>
    </w:p>
    <w:p w:rsidR="00933669" w:rsidRDefault="00933669" w:rsidP="003B3977">
      <w:pPr>
        <w:rPr>
          <w:sz w:val="20"/>
          <w:szCs w:val="20"/>
          <w:lang w:val="fr-CA"/>
        </w:rPr>
      </w:pPr>
    </w:p>
    <w:p w:rsidR="00933669" w:rsidRDefault="00EE1200" w:rsidP="003B3977">
      <w:pPr>
        <w:rPr>
          <w:b/>
          <w:sz w:val="20"/>
          <w:szCs w:val="20"/>
        </w:rPr>
      </w:pPr>
      <w:r w:rsidRPr="00EE1200">
        <w:rPr>
          <w:b/>
          <w:sz w:val="20"/>
          <w:szCs w:val="20"/>
        </w:rPr>
        <w:pict>
          <v:rect id="_x0000_i1079" style="width:144.3pt;height:1pt" o:hrpct="300" o:hralign="center" o:hrstd="t" o:hrnoshade="t" o:hr="t" fillcolor="black [3213]" stroked="f"/>
        </w:pict>
      </w:r>
    </w:p>
    <w:p w:rsidR="00784AEF" w:rsidRPr="00933669" w:rsidRDefault="00784AEF" w:rsidP="003B3977">
      <w:pPr>
        <w:rPr>
          <w:sz w:val="20"/>
          <w:szCs w:val="20"/>
          <w:lang w:val="fr-CA"/>
        </w:rPr>
      </w:pPr>
    </w:p>
    <w:p w:rsidR="005C6840" w:rsidRPr="00933669" w:rsidRDefault="005C6840" w:rsidP="005C6840">
      <w:pPr>
        <w:jc w:val="both"/>
        <w:rPr>
          <w:sz w:val="20"/>
          <w:szCs w:val="20"/>
          <w:lang w:val="fr-CA"/>
        </w:rPr>
      </w:pPr>
    </w:p>
    <w:p w:rsidR="00102926" w:rsidRPr="00933669" w:rsidRDefault="00102926" w:rsidP="00782AE4">
      <w:pPr>
        <w:jc w:val="both"/>
        <w:rPr>
          <w:sz w:val="20"/>
          <w:szCs w:val="20"/>
          <w:lang w:val="fr-CA"/>
        </w:rPr>
        <w:sectPr w:rsidR="00102926" w:rsidRPr="00933669"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576" w:footer="960" w:gutter="0"/>
          <w:cols w:space="720"/>
          <w:titlePg/>
          <w:docGrid w:linePitch="272"/>
        </w:sectPr>
      </w:pPr>
    </w:p>
    <w:p w:rsidR="00924065" w:rsidRPr="00DE5525" w:rsidRDefault="00EE1200"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3"/>
      <w:footerReference w:type="default" r:id="rId4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69" w:rsidRDefault="00933669" w:rsidP="00A87207">
      <w:r>
        <w:separator/>
      </w:r>
    </w:p>
  </w:endnote>
  <w:endnote w:type="continuationSeparator" w:id="0">
    <w:p w:rsidR="00933669" w:rsidRDefault="00933669"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EE1200">
    <w:pPr>
      <w:pStyle w:val="Footer"/>
      <w:rPr>
        <w:lang w:val="fr-CA"/>
      </w:rPr>
    </w:pPr>
    <w:r w:rsidRPr="00EE1200">
      <w:rPr>
        <w:lang w:val="fr-CA"/>
      </w:rPr>
      <w:pict>
        <v:rect id="_x0000_i1071" style="width:480.95pt;height:1pt" o:hralign="center" o:hrstd="t" o:hrnoshade="t" o:hr="t" fillcolor="black [3213]" stroked="f"/>
      </w:pict>
    </w:r>
  </w:p>
  <w:p w:rsidR="00933669" w:rsidRDefault="00933669" w:rsidP="00245129">
    <w:pPr>
      <w:tabs>
        <w:tab w:val="center" w:pos="4680"/>
      </w:tabs>
    </w:pPr>
    <w:r>
      <w:tab/>
    </w:r>
    <w:r w:rsidRPr="0009648D">
      <w:t xml:space="preserve">- </w:t>
    </w:r>
    <w:fldSimple w:instr=" PAGE   \* MERGEFORMAT ">
      <w:r w:rsidR="00DD1180">
        <w:rPr>
          <w:noProof/>
        </w:rPr>
        <w:t>1065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33669"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33669" w:rsidRDefault="0093366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EE1200" w:rsidP="00732DB7">
    <w:r>
      <w:pict>
        <v:rect id="_x0000_i1074" style="width:480.95pt;height:1pt" o:hralign="center" o:hrstd="t" o:hrnoshade="t" o:hr="t" fillcolor="black" stroked="f"/>
      </w:pict>
    </w:r>
  </w:p>
  <w:p w:rsidR="00933669" w:rsidRDefault="00933669">
    <w:pPr>
      <w:tabs>
        <w:tab w:val="center" w:pos="4740"/>
      </w:tabs>
      <w:spacing w:line="0" w:lineRule="atLeast"/>
    </w:pPr>
    <w:r>
      <w:tab/>
      <w:t xml:space="preserve">- </w:t>
    </w:r>
    <w:r>
      <w:pgNum/>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EE1200">
    <w:pPr>
      <w:pStyle w:val="Footer"/>
    </w:pPr>
    <w:r>
      <w:pict>
        <v:rect id="_x0000_i1075" style="width:480.95pt;height:1pt" o:hralign="center" o:hrstd="t" o:hrnoshade="t" o:hr="t" fillcolor="black [3213]" stroked="f"/>
      </w:pict>
    </w:r>
  </w:p>
  <w:p w:rsidR="00933669" w:rsidRPr="003C2C0F" w:rsidRDefault="00933669" w:rsidP="00697C62">
    <w:pPr>
      <w:tabs>
        <w:tab w:val="center" w:pos="4680"/>
      </w:tabs>
    </w:pPr>
    <w:r>
      <w:tab/>
      <w:t xml:space="preserve">- </w:t>
    </w:r>
    <w:fldSimple w:instr=" PAGE   \* MERGEFORMAT ">
      <w:r w:rsidR="00DD1180">
        <w:rPr>
          <w:noProof/>
        </w:rPr>
        <w:t>1097</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33669"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33669" w:rsidRDefault="00933669">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33669" w:rsidRDefault="00EE1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0" style="width:480.95pt;height:1pt" o:hralign="center" o:hrstd="t" o:hrnoshade="t" o:hr="t" fillcolor="black [3213]" stroked="f"/>
      </w:pict>
    </w:r>
  </w:p>
  <w:p w:rsidR="00933669" w:rsidRDefault="00933669" w:rsidP="00782AE4">
    <w:pPr>
      <w:tabs>
        <w:tab w:val="center" w:pos="4680"/>
      </w:tabs>
    </w:pPr>
    <w:r>
      <w:tab/>
      <w:t xml:space="preserve">- </w:t>
    </w:r>
    <w:r w:rsidR="00EE1200" w:rsidRPr="001775C1">
      <w:rPr>
        <w:szCs w:val="24"/>
      </w:rPr>
      <w:fldChar w:fldCharType="begin"/>
    </w:r>
    <w:r w:rsidRPr="001775C1">
      <w:rPr>
        <w:szCs w:val="24"/>
      </w:rPr>
      <w:instrText xml:space="preserve"> PAGE   \* MERGEFORMAT </w:instrText>
    </w:r>
    <w:r w:rsidR="00EE1200" w:rsidRPr="001775C1">
      <w:rPr>
        <w:szCs w:val="24"/>
      </w:rPr>
      <w:fldChar w:fldCharType="separate"/>
    </w:r>
    <w:r w:rsidR="00DD1180">
      <w:rPr>
        <w:noProof/>
        <w:szCs w:val="24"/>
      </w:rPr>
      <w:t>1104</w:t>
    </w:r>
    <w:r w:rsidR="00EE1200" w:rsidRPr="001775C1">
      <w:rPr>
        <w:szCs w:val="24"/>
      </w:rPr>
      <w:fldChar w:fldCharType="end"/>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EE1200" w:rsidP="00782AE4">
    <w:pPr>
      <w:tabs>
        <w:tab w:val="center" w:pos="4680"/>
      </w:tabs>
    </w:pPr>
    <w:r>
      <w:pict>
        <v:rect id="_x0000_i1081" style="width:480.95pt;height:1pt" o:hralign="center" o:hrstd="t" o:hrnoshade="t" o:hr="t" fillcolor="black [3213]" stroked="f"/>
      </w:pict>
    </w:r>
  </w:p>
  <w:p w:rsidR="00933669" w:rsidRDefault="00933669" w:rsidP="00782AE4">
    <w:pPr>
      <w:tabs>
        <w:tab w:val="center" w:pos="4680"/>
      </w:tabs>
    </w:pPr>
    <w:r>
      <w:tab/>
      <w:t xml:space="preserve">- </w:t>
    </w:r>
    <w:r w:rsidR="00EE1200" w:rsidRPr="001775C1">
      <w:rPr>
        <w:szCs w:val="24"/>
      </w:rPr>
      <w:fldChar w:fldCharType="begin"/>
    </w:r>
    <w:r w:rsidRPr="001775C1">
      <w:rPr>
        <w:szCs w:val="24"/>
      </w:rPr>
      <w:instrText xml:space="preserve"> PAGE   \* MERGEFORMAT </w:instrText>
    </w:r>
    <w:r w:rsidR="00EE1200" w:rsidRPr="001775C1">
      <w:rPr>
        <w:szCs w:val="24"/>
      </w:rPr>
      <w:fldChar w:fldCharType="separate"/>
    </w:r>
    <w:r w:rsidR="00DD1180">
      <w:rPr>
        <w:noProof/>
        <w:szCs w:val="24"/>
      </w:rPr>
      <w:t>1098</w:t>
    </w:r>
    <w:r w:rsidR="00EE1200" w:rsidRPr="001775C1">
      <w:rPr>
        <w:szCs w:val="24"/>
      </w:rPr>
      <w:fldChar w:fldCharType="end"/>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Pr="00924065" w:rsidRDefault="00933669"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EE1200" w:rsidP="00A87207">
    <w:pPr>
      <w:pStyle w:val="Footer"/>
    </w:pPr>
    <w:r>
      <w:pict>
        <v:rect id="_x0000_i1029" style="width:480.95pt;height:1pt" o:hralign="center" o:hrstd="t" o:hrnoshade="t" o:hr="t" fillcolor="black [3213]" stroked="f"/>
      </w:pict>
    </w:r>
  </w:p>
  <w:p w:rsidR="00933669" w:rsidRPr="00B7374B" w:rsidRDefault="00933669" w:rsidP="00B7374B">
    <w:pPr>
      <w:tabs>
        <w:tab w:val="center" w:pos="4680"/>
      </w:tabs>
      <w:rPr>
        <w:szCs w:val="24"/>
      </w:rPr>
    </w:pPr>
    <w:r w:rsidRPr="00954D22">
      <w:rPr>
        <w:szCs w:val="24"/>
      </w:rPr>
      <w:tab/>
      <w:t xml:space="preserve">- </w:t>
    </w:r>
    <w:r w:rsidR="00EE1200" w:rsidRPr="00954D22">
      <w:rPr>
        <w:szCs w:val="24"/>
      </w:rPr>
      <w:fldChar w:fldCharType="begin"/>
    </w:r>
    <w:r w:rsidRPr="00954D22">
      <w:rPr>
        <w:szCs w:val="24"/>
      </w:rPr>
      <w:instrText xml:space="preserve"> PAGE   \* MERGEFORMAT </w:instrText>
    </w:r>
    <w:r w:rsidR="00EE1200" w:rsidRPr="00954D22">
      <w:rPr>
        <w:szCs w:val="24"/>
      </w:rPr>
      <w:fldChar w:fldCharType="separate"/>
    </w:r>
    <w:r>
      <w:rPr>
        <w:noProof/>
        <w:szCs w:val="24"/>
      </w:rPr>
      <w:t>1064</w:t>
    </w:r>
    <w:r w:rsidR="00EE1200"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EE1200" w:rsidP="00755F22">
    <w:pPr>
      <w:tabs>
        <w:tab w:val="left" w:pos="-1440"/>
        <w:tab w:val="left" w:pos="-720"/>
      </w:tabs>
    </w:pPr>
    <w:r>
      <w:pict>
        <v:rect id="_x0000_i1030" style="width:480.95pt;height:1pt" o:hralign="center" o:hrstd="t" o:hrnoshade="t" o:hr="t" fillcolor="black [3213]" stroked="f"/>
      </w:pict>
    </w:r>
  </w:p>
  <w:p w:rsidR="00933669" w:rsidRPr="00954D22" w:rsidRDefault="00933669" w:rsidP="00B7374B">
    <w:pPr>
      <w:tabs>
        <w:tab w:val="center" w:pos="4680"/>
      </w:tabs>
      <w:rPr>
        <w:szCs w:val="24"/>
      </w:rPr>
    </w:pPr>
    <w:r w:rsidRPr="00954D22">
      <w:rPr>
        <w:szCs w:val="24"/>
      </w:rPr>
      <w:tab/>
      <w:t xml:space="preserve">- </w:t>
    </w:r>
    <w:r w:rsidR="00EE1200">
      <w:rPr>
        <w:szCs w:val="24"/>
      </w:rPr>
      <w:fldChar w:fldCharType="begin"/>
    </w:r>
    <w:r>
      <w:rPr>
        <w:szCs w:val="24"/>
      </w:rPr>
      <w:instrText xml:space="preserve"> PAGE   \* MERGEFORMAT </w:instrText>
    </w:r>
    <w:r w:rsidR="00EE1200">
      <w:rPr>
        <w:szCs w:val="24"/>
      </w:rPr>
      <w:fldChar w:fldCharType="separate"/>
    </w:r>
    <w:r w:rsidR="00DD1180">
      <w:rPr>
        <w:noProof/>
        <w:szCs w:val="24"/>
      </w:rPr>
      <w:t>1063</w:t>
    </w:r>
    <w:r w:rsidR="00EE1200">
      <w:rPr>
        <w:szCs w:val="24"/>
      </w:rPr>
      <w:fldChar w:fldCharType="end"/>
    </w:r>
    <w:r w:rsidRPr="00954D22">
      <w:rPr>
        <w:szCs w:val="24"/>
      </w:rPr>
      <w:t xml:space="preserve"> -</w:t>
    </w:r>
  </w:p>
  <w:p w:rsidR="00933669" w:rsidRDefault="0093366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EE1200" w:rsidP="00A87207">
    <w:pPr>
      <w:pStyle w:val="Footer"/>
    </w:pPr>
    <w:r>
      <w:pict>
        <v:rect id="_x0000_i1032" style="width:480.95pt;height:1pt" o:hralign="center" o:hrstd="t" o:hrnoshade="t" o:hr="t" fillcolor="black [3213]" stroked="f"/>
      </w:pict>
    </w:r>
  </w:p>
  <w:p w:rsidR="00933669" w:rsidRPr="00B7374B" w:rsidRDefault="00933669" w:rsidP="00B7374B">
    <w:pPr>
      <w:tabs>
        <w:tab w:val="center" w:pos="4680"/>
      </w:tabs>
      <w:rPr>
        <w:szCs w:val="24"/>
      </w:rPr>
    </w:pPr>
    <w:r w:rsidRPr="00954D22">
      <w:rPr>
        <w:szCs w:val="24"/>
      </w:rPr>
      <w:tab/>
      <w:t xml:space="preserve">- </w:t>
    </w:r>
    <w:r w:rsidR="00EE1200" w:rsidRPr="00954D22">
      <w:rPr>
        <w:szCs w:val="24"/>
      </w:rPr>
      <w:fldChar w:fldCharType="begin"/>
    </w:r>
    <w:r w:rsidRPr="00954D22">
      <w:rPr>
        <w:szCs w:val="24"/>
      </w:rPr>
      <w:instrText xml:space="preserve"> PAGE   \* MERGEFORMAT </w:instrText>
    </w:r>
    <w:r w:rsidR="00EE1200" w:rsidRPr="00954D22">
      <w:rPr>
        <w:szCs w:val="24"/>
      </w:rPr>
      <w:fldChar w:fldCharType="separate"/>
    </w:r>
    <w:r>
      <w:rPr>
        <w:noProof/>
        <w:szCs w:val="24"/>
      </w:rPr>
      <w:t>1065</w:t>
    </w:r>
    <w:r w:rsidR="00EE1200"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EE120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933669" w:rsidRPr="00954D22" w:rsidRDefault="00933669" w:rsidP="00B7374B">
    <w:pPr>
      <w:tabs>
        <w:tab w:val="center" w:pos="4680"/>
      </w:tabs>
      <w:rPr>
        <w:szCs w:val="24"/>
      </w:rPr>
    </w:pPr>
    <w:r w:rsidRPr="00954D22">
      <w:rPr>
        <w:szCs w:val="24"/>
      </w:rPr>
      <w:tab/>
      <w:t xml:space="preserve">- </w:t>
    </w:r>
    <w:r w:rsidR="00EE1200" w:rsidRPr="00954D22">
      <w:rPr>
        <w:szCs w:val="24"/>
      </w:rPr>
      <w:fldChar w:fldCharType="begin"/>
    </w:r>
    <w:r w:rsidRPr="00954D22">
      <w:rPr>
        <w:szCs w:val="24"/>
      </w:rPr>
      <w:instrText xml:space="preserve"> PAGE   \* MERGEFORMAT </w:instrText>
    </w:r>
    <w:r w:rsidR="00EE1200" w:rsidRPr="00954D22">
      <w:rPr>
        <w:szCs w:val="24"/>
      </w:rPr>
      <w:fldChar w:fldCharType="separate"/>
    </w:r>
    <w:r w:rsidR="00DD1180">
      <w:rPr>
        <w:noProof/>
        <w:szCs w:val="24"/>
      </w:rPr>
      <w:t>1064</w:t>
    </w:r>
    <w:r w:rsidR="00EE1200"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33669"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33669" w:rsidRDefault="00933669">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EE1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1200">
      <w:rPr>
        <w:lang w:val="fr-CA"/>
      </w:rPr>
      <w:pict>
        <v:rect id="_x0000_i1070" style="width:480.95pt;height:1pt" o:hralign="center" o:hrstd="t" o:hrnoshade="t" o:hr="t" fillcolor="black [3213]" stroked="f"/>
      </w:pict>
    </w:r>
  </w:p>
  <w:p w:rsidR="00933669" w:rsidRPr="0009648D" w:rsidRDefault="00933669" w:rsidP="00ED7E83">
    <w:pPr>
      <w:tabs>
        <w:tab w:val="center" w:pos="4680"/>
      </w:tabs>
    </w:pPr>
    <w:r>
      <w:tab/>
    </w:r>
    <w:r w:rsidRPr="0009648D">
      <w:t xml:space="preserve">- </w:t>
    </w:r>
    <w:fldSimple w:instr=" PAGE   \* MERGEFORMAT ">
      <w:r w:rsidR="00DD1180">
        <w:rPr>
          <w:noProof/>
        </w:rPr>
        <w:t>1096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69" w:rsidRDefault="00933669" w:rsidP="00A87207">
      <w:r>
        <w:separator/>
      </w:r>
    </w:p>
  </w:footnote>
  <w:footnote w:type="continuationSeparator" w:id="0">
    <w:p w:rsidR="00933669" w:rsidRDefault="00933669"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33669" w:rsidRPr="00F03CF9">
      <w:tc>
        <w:tcPr>
          <w:tcW w:w="4200" w:type="dxa"/>
          <w:tcMar>
            <w:left w:w="0" w:type="dxa"/>
            <w:right w:w="0" w:type="dxa"/>
          </w:tcMar>
        </w:tcPr>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33669" w:rsidRPr="003C2C0F" w:rsidRDefault="009336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33669" w:rsidRPr="003C2C0F"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33669" w:rsidRPr="003C2C0F"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33669" w:rsidRPr="00F03CF9" w:rsidTr="00245129">
      <w:tc>
        <w:tcPr>
          <w:tcW w:w="4200" w:type="dxa"/>
          <w:tcMar>
            <w:left w:w="0" w:type="dxa"/>
            <w:right w:w="0" w:type="dxa"/>
          </w:tcMar>
        </w:tcPr>
        <w:p w:rsidR="00933669" w:rsidRPr="00FF6EEC" w:rsidRDefault="00933669" w:rsidP="00FF6EEC">
          <w:pPr>
            <w:rPr>
              <w:sz w:val="20"/>
              <w:szCs w:val="20"/>
            </w:rPr>
          </w:pPr>
          <w:r w:rsidRPr="00FF6EEC">
            <w:rPr>
              <w:sz w:val="20"/>
              <w:szCs w:val="20"/>
            </w:rPr>
            <w:t>PRONOUNCEMENTS OF APPEALS RESERVED</w:t>
          </w:r>
        </w:p>
      </w:tc>
      <w:tc>
        <w:tcPr>
          <w:tcW w:w="1200" w:type="dxa"/>
          <w:tcMar>
            <w:left w:w="0" w:type="dxa"/>
            <w:right w:w="0" w:type="dxa"/>
          </w:tcMar>
        </w:tcPr>
        <w:p w:rsidR="00933669" w:rsidRPr="00FF6EEC" w:rsidRDefault="00933669" w:rsidP="00FF6EEC">
          <w:pPr>
            <w:jc w:val="center"/>
            <w:rPr>
              <w:sz w:val="20"/>
              <w:szCs w:val="20"/>
            </w:rPr>
          </w:pPr>
        </w:p>
        <w:p w:rsidR="00933669" w:rsidRPr="00FF6EEC" w:rsidRDefault="00933669" w:rsidP="00FF6EEC">
          <w:pPr>
            <w:jc w:val="center"/>
            <w:rPr>
              <w:sz w:val="20"/>
              <w:szCs w:val="20"/>
            </w:rPr>
          </w:pPr>
        </w:p>
        <w:p w:rsidR="00933669" w:rsidRPr="00FF6EEC" w:rsidRDefault="00933669" w:rsidP="00FF6EEC">
          <w:pPr>
            <w:jc w:val="center"/>
            <w:rPr>
              <w:sz w:val="20"/>
              <w:szCs w:val="20"/>
            </w:rPr>
          </w:pPr>
        </w:p>
      </w:tc>
      <w:tc>
        <w:tcPr>
          <w:tcW w:w="4080" w:type="dxa"/>
          <w:tcMar>
            <w:left w:w="0" w:type="dxa"/>
            <w:right w:w="0" w:type="dxa"/>
          </w:tcMar>
        </w:tcPr>
        <w:p w:rsidR="00933669" w:rsidRPr="00FF6EEC" w:rsidRDefault="00933669" w:rsidP="00FF6EEC">
          <w:pPr>
            <w:rPr>
              <w:sz w:val="20"/>
              <w:szCs w:val="20"/>
              <w:lang w:val="fr-CA"/>
            </w:rPr>
          </w:pPr>
          <w:r w:rsidRPr="00FF6EEC">
            <w:rPr>
              <w:sz w:val="20"/>
              <w:szCs w:val="20"/>
              <w:lang w:val="fr-CA"/>
            </w:rPr>
            <w:t>JUGEMENTS RENDUS SUR LES APPELS EN DÉLIBÉRÉ</w:t>
          </w:r>
        </w:p>
      </w:tc>
    </w:tr>
  </w:tbl>
  <w:p w:rsidR="00933669" w:rsidRPr="003C2C0F" w:rsidRDefault="0093366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33669">
      <w:tc>
        <w:tcPr>
          <w:tcW w:w="4230" w:type="dxa"/>
          <w:tcMar>
            <w:left w:w="0" w:type="dxa"/>
            <w:right w:w="0" w:type="dxa"/>
          </w:tcMar>
        </w:tcPr>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33669" w:rsidRDefault="009336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33669"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33669"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33669" w:rsidRPr="00782AE4" w:rsidTr="00245129">
      <w:tc>
        <w:tcPr>
          <w:tcW w:w="4230" w:type="dxa"/>
          <w:tcMar>
            <w:left w:w="0" w:type="dxa"/>
            <w:right w:w="0" w:type="dxa"/>
          </w:tcMar>
        </w:tcPr>
        <w:p w:rsidR="00933669" w:rsidRPr="00782AE4" w:rsidRDefault="00933669" w:rsidP="00102926">
          <w:pPr>
            <w:keepNext/>
            <w:keepLines/>
            <w:tabs>
              <w:tab w:val="left" w:pos="-1440"/>
              <w:tab w:val="left" w:pos="-720"/>
            </w:tabs>
            <w:rPr>
              <w:sz w:val="20"/>
              <w:szCs w:val="20"/>
            </w:rPr>
          </w:pPr>
          <w:r w:rsidRPr="00782AE4">
            <w:rPr>
              <w:sz w:val="20"/>
              <w:szCs w:val="20"/>
            </w:rPr>
            <w:t xml:space="preserve">HEADNOTES OF RECENT </w:t>
          </w:r>
        </w:p>
        <w:p w:rsidR="00933669" w:rsidRPr="00782AE4"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33669" w:rsidRDefault="00933669" w:rsidP="00102926">
          <w:pPr>
            <w:keepNext/>
            <w:keepLines/>
            <w:tabs>
              <w:tab w:val="left" w:pos="-1440"/>
              <w:tab w:val="left" w:pos="-720"/>
            </w:tabs>
            <w:jc w:val="center"/>
            <w:rPr>
              <w:sz w:val="20"/>
              <w:szCs w:val="20"/>
            </w:rPr>
          </w:pPr>
        </w:p>
        <w:p w:rsidR="00933669" w:rsidRDefault="00933669" w:rsidP="00102926">
          <w:pPr>
            <w:keepNext/>
            <w:keepLines/>
            <w:tabs>
              <w:tab w:val="left" w:pos="-1440"/>
              <w:tab w:val="left" w:pos="-720"/>
            </w:tabs>
            <w:jc w:val="center"/>
            <w:rPr>
              <w:sz w:val="20"/>
              <w:szCs w:val="20"/>
            </w:rPr>
          </w:pPr>
        </w:p>
        <w:p w:rsidR="00933669" w:rsidRPr="00782AE4" w:rsidRDefault="00933669" w:rsidP="00102926">
          <w:pPr>
            <w:keepNext/>
            <w:keepLines/>
            <w:tabs>
              <w:tab w:val="left" w:pos="-1440"/>
              <w:tab w:val="left" w:pos="-720"/>
            </w:tabs>
            <w:jc w:val="center"/>
            <w:rPr>
              <w:sz w:val="20"/>
              <w:szCs w:val="20"/>
            </w:rPr>
          </w:pPr>
        </w:p>
      </w:tc>
      <w:tc>
        <w:tcPr>
          <w:tcW w:w="4080" w:type="dxa"/>
          <w:tcMar>
            <w:left w:w="0" w:type="dxa"/>
            <w:right w:w="0" w:type="dxa"/>
          </w:tcMar>
        </w:tcPr>
        <w:p w:rsidR="00933669" w:rsidRPr="00102926"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33669" w:rsidRPr="00782AE4" w:rsidRDefault="00933669" w:rsidP="00102926">
          <w:pPr>
            <w:keepLines/>
            <w:tabs>
              <w:tab w:val="left" w:pos="-1440"/>
              <w:tab w:val="left" w:pos="-720"/>
            </w:tabs>
            <w:rPr>
              <w:sz w:val="20"/>
              <w:szCs w:val="20"/>
            </w:rPr>
          </w:pPr>
          <w:r w:rsidRPr="00102926">
            <w:rPr>
              <w:sz w:val="20"/>
              <w:szCs w:val="20"/>
              <w:lang w:val="fr-CA"/>
            </w:rPr>
            <w:t>RÉCENTS</w:t>
          </w:r>
        </w:p>
      </w:tc>
    </w:tr>
  </w:tbl>
  <w:p w:rsidR="00933669" w:rsidRDefault="0093366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33669" w:rsidRPr="0044776A" w:rsidTr="00245129">
      <w:tc>
        <w:tcPr>
          <w:tcW w:w="4290" w:type="dxa"/>
          <w:tcMar>
            <w:left w:w="0" w:type="dxa"/>
            <w:right w:w="0" w:type="dxa"/>
          </w:tcMar>
        </w:tcPr>
        <w:p w:rsidR="00933669" w:rsidRPr="0044776A" w:rsidRDefault="0093366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33669" w:rsidRPr="0044776A" w:rsidRDefault="00933669" w:rsidP="002E2327">
          <w:pPr>
            <w:keepNext/>
            <w:keepLines/>
            <w:tabs>
              <w:tab w:val="left" w:pos="-1440"/>
              <w:tab w:val="left" w:pos="-720"/>
            </w:tabs>
            <w:jc w:val="center"/>
            <w:rPr>
              <w:sz w:val="20"/>
              <w:szCs w:val="20"/>
            </w:rPr>
          </w:pPr>
        </w:p>
        <w:p w:rsidR="00933669" w:rsidRPr="0044776A" w:rsidRDefault="00933669" w:rsidP="002E2327">
          <w:pPr>
            <w:keepNext/>
            <w:keepLines/>
            <w:tabs>
              <w:tab w:val="left" w:pos="-1440"/>
              <w:tab w:val="left" w:pos="-720"/>
            </w:tabs>
            <w:jc w:val="center"/>
            <w:rPr>
              <w:sz w:val="20"/>
              <w:szCs w:val="20"/>
            </w:rPr>
          </w:pPr>
        </w:p>
        <w:p w:rsidR="00933669" w:rsidRPr="0044776A" w:rsidRDefault="00933669" w:rsidP="002E2327">
          <w:pPr>
            <w:keepNext/>
            <w:keepLines/>
            <w:tabs>
              <w:tab w:val="left" w:pos="-1440"/>
              <w:tab w:val="left" w:pos="-720"/>
            </w:tabs>
            <w:jc w:val="center"/>
            <w:rPr>
              <w:sz w:val="20"/>
              <w:szCs w:val="20"/>
            </w:rPr>
          </w:pPr>
        </w:p>
      </w:tc>
      <w:tc>
        <w:tcPr>
          <w:tcW w:w="4320" w:type="dxa"/>
          <w:tcMar>
            <w:left w:w="0" w:type="dxa"/>
            <w:right w:w="0" w:type="dxa"/>
          </w:tcMar>
        </w:tcPr>
        <w:p w:rsidR="00933669" w:rsidRPr="0044776A" w:rsidRDefault="00933669" w:rsidP="002E2327">
          <w:pPr>
            <w:keepLines/>
            <w:rPr>
              <w:sz w:val="20"/>
              <w:szCs w:val="20"/>
              <w:lang w:val="fr-CA"/>
            </w:rPr>
          </w:pPr>
          <w:r w:rsidRPr="0044776A">
            <w:rPr>
              <w:sz w:val="20"/>
              <w:szCs w:val="20"/>
              <w:lang w:val="fr-CA"/>
            </w:rPr>
            <w:t>DEMANDES D'AUTORISATION D'APPEL DÉPOSÉES</w:t>
          </w:r>
        </w:p>
      </w:tc>
    </w:tr>
  </w:tbl>
  <w:p w:rsidR="00933669" w:rsidRDefault="0093366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33669" w:rsidRPr="00F03CF9" w:rsidTr="00245129">
      <w:tc>
        <w:tcPr>
          <w:tcW w:w="4200" w:type="dxa"/>
          <w:tcMar>
            <w:left w:w="0" w:type="dxa"/>
            <w:right w:w="0" w:type="dxa"/>
          </w:tcMar>
        </w:tcPr>
        <w:p w:rsidR="00933669" w:rsidRPr="0044776A" w:rsidRDefault="00933669" w:rsidP="0044776A">
          <w:pPr>
            <w:keepNext/>
            <w:keepLines/>
            <w:widowControl w:val="0"/>
            <w:rPr>
              <w:sz w:val="20"/>
              <w:szCs w:val="20"/>
            </w:rPr>
          </w:pPr>
          <w:r>
            <w:rPr>
              <w:sz w:val="20"/>
              <w:szCs w:val="20"/>
            </w:rPr>
            <w:t>APPLICATIONS FOR LEAVE</w:t>
          </w:r>
        </w:p>
        <w:p w:rsidR="00933669" w:rsidRPr="0044776A" w:rsidRDefault="0093366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33669" w:rsidRPr="0044776A" w:rsidRDefault="00933669" w:rsidP="0044776A">
          <w:pPr>
            <w:keepNext/>
            <w:keepLines/>
            <w:widowControl w:val="0"/>
            <w:jc w:val="center"/>
            <w:rPr>
              <w:sz w:val="20"/>
              <w:szCs w:val="20"/>
            </w:rPr>
          </w:pPr>
        </w:p>
        <w:p w:rsidR="00933669" w:rsidRPr="0044776A" w:rsidRDefault="00933669" w:rsidP="0044776A">
          <w:pPr>
            <w:keepNext/>
            <w:keepLines/>
            <w:widowControl w:val="0"/>
            <w:jc w:val="center"/>
            <w:rPr>
              <w:sz w:val="20"/>
              <w:szCs w:val="20"/>
            </w:rPr>
          </w:pPr>
        </w:p>
        <w:p w:rsidR="00933669" w:rsidRPr="0044776A" w:rsidRDefault="00933669" w:rsidP="0044776A">
          <w:pPr>
            <w:keepNext/>
            <w:keepLines/>
            <w:widowControl w:val="0"/>
            <w:jc w:val="center"/>
            <w:rPr>
              <w:sz w:val="20"/>
              <w:szCs w:val="20"/>
            </w:rPr>
          </w:pPr>
        </w:p>
      </w:tc>
      <w:tc>
        <w:tcPr>
          <w:tcW w:w="4080" w:type="dxa"/>
          <w:tcMar>
            <w:left w:w="0" w:type="dxa"/>
            <w:right w:w="0" w:type="dxa"/>
          </w:tcMar>
        </w:tcPr>
        <w:p w:rsidR="00933669" w:rsidRPr="0044776A" w:rsidRDefault="00933669" w:rsidP="0044776A">
          <w:pPr>
            <w:keepLines/>
            <w:widowControl w:val="0"/>
            <w:rPr>
              <w:sz w:val="20"/>
              <w:szCs w:val="20"/>
              <w:lang w:val="fr-CA"/>
            </w:rPr>
          </w:pPr>
          <w:r w:rsidRPr="0044776A">
            <w:rPr>
              <w:sz w:val="20"/>
              <w:szCs w:val="20"/>
              <w:lang w:val="fr-CA"/>
            </w:rPr>
            <w:t>DEMANDES SOUMISES À LA COUR DEPUIS LA DERNIÈRE PARUTION</w:t>
          </w:r>
        </w:p>
        <w:p w:rsidR="00933669" w:rsidRPr="0044776A" w:rsidRDefault="00933669" w:rsidP="0044776A">
          <w:pPr>
            <w:widowControl w:val="0"/>
            <w:rPr>
              <w:sz w:val="20"/>
              <w:szCs w:val="20"/>
              <w:lang w:val="fr-CA"/>
            </w:rPr>
          </w:pPr>
        </w:p>
      </w:tc>
    </w:tr>
  </w:tbl>
  <w:p w:rsidR="00933669" w:rsidRPr="002E2327" w:rsidRDefault="00933669">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69" w:rsidRDefault="0093366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33669" w:rsidRPr="00F03CF9">
      <w:tc>
        <w:tcPr>
          <w:tcW w:w="4200" w:type="dxa"/>
          <w:tcMar>
            <w:left w:w="0" w:type="dxa"/>
            <w:right w:w="0" w:type="dxa"/>
          </w:tcMar>
        </w:tcPr>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33669"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33669" w:rsidRDefault="009336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33669" w:rsidRPr="00FF6BA5" w:rsidRDefault="009336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33669" w:rsidRPr="00FF6BA5"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33669" w:rsidRPr="00FF6BA5"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33669" w:rsidRPr="00FF6BA5" w:rsidRDefault="00933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33669" w:rsidRPr="00F03CF9" w:rsidTr="00245129">
      <w:tc>
        <w:tcPr>
          <w:tcW w:w="4200" w:type="dxa"/>
          <w:tcMar>
            <w:left w:w="0" w:type="dxa"/>
            <w:right w:w="0" w:type="dxa"/>
          </w:tcMar>
        </w:tcPr>
        <w:p w:rsidR="00933669" w:rsidRPr="00755F22"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33669" w:rsidRPr="00755F22" w:rsidRDefault="009336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33669" w:rsidRPr="00755F22" w:rsidRDefault="009336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33669" w:rsidRPr="00755F22" w:rsidRDefault="009336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33669" w:rsidRPr="00755F22" w:rsidRDefault="009336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33669" w:rsidRPr="00755F22" w:rsidRDefault="009336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33669" w:rsidRPr="00FF6BA5" w:rsidRDefault="00933669"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drawingGridHorizontalSpacing w:val="120"/>
  <w:displayHorizontalDrawingGridEvery w:val="2"/>
  <w:characterSpacingControl w:val="doNotCompress"/>
  <w:hdrShapeDefaults>
    <o:shapedefaults v:ext="edit" spidmax="27659"/>
  </w:hdrShapeDefaults>
  <w:footnotePr>
    <w:footnote w:id="-1"/>
    <w:footnote w:id="0"/>
  </w:footnotePr>
  <w:endnotePr>
    <w:endnote w:id="-1"/>
    <w:endnote w:id="0"/>
  </w:endnotePr>
  <w:compat/>
  <w:rsids>
    <w:rsidRoot w:val="00E65268"/>
    <w:rsid w:val="00022ED6"/>
    <w:rsid w:val="0003223B"/>
    <w:rsid w:val="000326AA"/>
    <w:rsid w:val="000327B2"/>
    <w:rsid w:val="00032E1C"/>
    <w:rsid w:val="00096BD9"/>
    <w:rsid w:val="000B3C9A"/>
    <w:rsid w:val="000B40A2"/>
    <w:rsid w:val="000C0ACD"/>
    <w:rsid w:val="000E699C"/>
    <w:rsid w:val="001010B3"/>
    <w:rsid w:val="00102926"/>
    <w:rsid w:val="0010587F"/>
    <w:rsid w:val="00111C6B"/>
    <w:rsid w:val="0013369E"/>
    <w:rsid w:val="001349A4"/>
    <w:rsid w:val="00164E6D"/>
    <w:rsid w:val="001B352E"/>
    <w:rsid w:val="001B578C"/>
    <w:rsid w:val="001B5C23"/>
    <w:rsid w:val="001D0D5F"/>
    <w:rsid w:val="001D6B8C"/>
    <w:rsid w:val="001F1F83"/>
    <w:rsid w:val="002021A9"/>
    <w:rsid w:val="002139A7"/>
    <w:rsid w:val="00215F7C"/>
    <w:rsid w:val="0022323B"/>
    <w:rsid w:val="002410B8"/>
    <w:rsid w:val="00242AEE"/>
    <w:rsid w:val="00245129"/>
    <w:rsid w:val="00245879"/>
    <w:rsid w:val="00247833"/>
    <w:rsid w:val="00253894"/>
    <w:rsid w:val="00254B1B"/>
    <w:rsid w:val="00267FD5"/>
    <w:rsid w:val="002868D0"/>
    <w:rsid w:val="002A37AF"/>
    <w:rsid w:val="002B516C"/>
    <w:rsid w:val="002B51F8"/>
    <w:rsid w:val="002D72EB"/>
    <w:rsid w:val="002E2327"/>
    <w:rsid w:val="002E3583"/>
    <w:rsid w:val="002E5576"/>
    <w:rsid w:val="00303DBE"/>
    <w:rsid w:val="003040DA"/>
    <w:rsid w:val="00331B52"/>
    <w:rsid w:val="00331DF5"/>
    <w:rsid w:val="003359D3"/>
    <w:rsid w:val="00355967"/>
    <w:rsid w:val="00380B57"/>
    <w:rsid w:val="00382C47"/>
    <w:rsid w:val="00384384"/>
    <w:rsid w:val="003B3977"/>
    <w:rsid w:val="003E032E"/>
    <w:rsid w:val="00422BC7"/>
    <w:rsid w:val="00432989"/>
    <w:rsid w:val="00440E24"/>
    <w:rsid w:val="00445EAA"/>
    <w:rsid w:val="0044776A"/>
    <w:rsid w:val="0045518D"/>
    <w:rsid w:val="00460AFC"/>
    <w:rsid w:val="00467DA7"/>
    <w:rsid w:val="004705E9"/>
    <w:rsid w:val="0047471F"/>
    <w:rsid w:val="00475B43"/>
    <w:rsid w:val="0048309B"/>
    <w:rsid w:val="00492F44"/>
    <w:rsid w:val="004B66B4"/>
    <w:rsid w:val="004C1AAC"/>
    <w:rsid w:val="004F090E"/>
    <w:rsid w:val="00522A4F"/>
    <w:rsid w:val="00527CC7"/>
    <w:rsid w:val="00543284"/>
    <w:rsid w:val="00571CA4"/>
    <w:rsid w:val="00582136"/>
    <w:rsid w:val="005841D3"/>
    <w:rsid w:val="005C6840"/>
    <w:rsid w:val="005E28FA"/>
    <w:rsid w:val="005F263E"/>
    <w:rsid w:val="00600252"/>
    <w:rsid w:val="00612A40"/>
    <w:rsid w:val="00627498"/>
    <w:rsid w:val="006473DC"/>
    <w:rsid w:val="00675479"/>
    <w:rsid w:val="00697C62"/>
    <w:rsid w:val="006A329B"/>
    <w:rsid w:val="006A7EB8"/>
    <w:rsid w:val="006B6926"/>
    <w:rsid w:val="006C3F47"/>
    <w:rsid w:val="006C5F7A"/>
    <w:rsid w:val="006E06AF"/>
    <w:rsid w:val="006F350F"/>
    <w:rsid w:val="006F6CB9"/>
    <w:rsid w:val="00715ED3"/>
    <w:rsid w:val="00732DB7"/>
    <w:rsid w:val="00755F22"/>
    <w:rsid w:val="00760244"/>
    <w:rsid w:val="007611AA"/>
    <w:rsid w:val="00766E4A"/>
    <w:rsid w:val="007819B1"/>
    <w:rsid w:val="007820CE"/>
    <w:rsid w:val="00782AE4"/>
    <w:rsid w:val="00784AEF"/>
    <w:rsid w:val="007855F1"/>
    <w:rsid w:val="0079343E"/>
    <w:rsid w:val="0079724F"/>
    <w:rsid w:val="007A3EAE"/>
    <w:rsid w:val="007C04FC"/>
    <w:rsid w:val="007D3E0F"/>
    <w:rsid w:val="007F387B"/>
    <w:rsid w:val="00802863"/>
    <w:rsid w:val="00815B3C"/>
    <w:rsid w:val="0082783A"/>
    <w:rsid w:val="00831CA9"/>
    <w:rsid w:val="008320A7"/>
    <w:rsid w:val="00850E1F"/>
    <w:rsid w:val="0085476B"/>
    <w:rsid w:val="00890FEB"/>
    <w:rsid w:val="008D292F"/>
    <w:rsid w:val="008D313A"/>
    <w:rsid w:val="008E03DC"/>
    <w:rsid w:val="008E600C"/>
    <w:rsid w:val="00924065"/>
    <w:rsid w:val="00930D68"/>
    <w:rsid w:val="00932DB4"/>
    <w:rsid w:val="00933669"/>
    <w:rsid w:val="00946242"/>
    <w:rsid w:val="0095096B"/>
    <w:rsid w:val="00962AD8"/>
    <w:rsid w:val="00970CD3"/>
    <w:rsid w:val="009723FA"/>
    <w:rsid w:val="00984546"/>
    <w:rsid w:val="00996510"/>
    <w:rsid w:val="009D1F15"/>
    <w:rsid w:val="009D555E"/>
    <w:rsid w:val="009E4B37"/>
    <w:rsid w:val="00A02F40"/>
    <w:rsid w:val="00A0355E"/>
    <w:rsid w:val="00A1379E"/>
    <w:rsid w:val="00A375D1"/>
    <w:rsid w:val="00A37B9C"/>
    <w:rsid w:val="00A37F60"/>
    <w:rsid w:val="00A51D10"/>
    <w:rsid w:val="00A52A83"/>
    <w:rsid w:val="00A87207"/>
    <w:rsid w:val="00A935AA"/>
    <w:rsid w:val="00AB2201"/>
    <w:rsid w:val="00AC5B5D"/>
    <w:rsid w:val="00AD27B5"/>
    <w:rsid w:val="00AF1715"/>
    <w:rsid w:val="00AF3904"/>
    <w:rsid w:val="00B010C0"/>
    <w:rsid w:val="00B4740D"/>
    <w:rsid w:val="00B61629"/>
    <w:rsid w:val="00B6782A"/>
    <w:rsid w:val="00B711E8"/>
    <w:rsid w:val="00B71F88"/>
    <w:rsid w:val="00B7374B"/>
    <w:rsid w:val="00B90DC0"/>
    <w:rsid w:val="00B948B0"/>
    <w:rsid w:val="00BA116A"/>
    <w:rsid w:val="00BA5582"/>
    <w:rsid w:val="00BA6468"/>
    <w:rsid w:val="00BB67A3"/>
    <w:rsid w:val="00BC0F79"/>
    <w:rsid w:val="00BD06DA"/>
    <w:rsid w:val="00BD4217"/>
    <w:rsid w:val="00BF25F3"/>
    <w:rsid w:val="00BF27CB"/>
    <w:rsid w:val="00C1697B"/>
    <w:rsid w:val="00C215B7"/>
    <w:rsid w:val="00C27D6C"/>
    <w:rsid w:val="00C50A5C"/>
    <w:rsid w:val="00C50FDF"/>
    <w:rsid w:val="00C60606"/>
    <w:rsid w:val="00C73E1B"/>
    <w:rsid w:val="00C759B4"/>
    <w:rsid w:val="00C77713"/>
    <w:rsid w:val="00C9287E"/>
    <w:rsid w:val="00C93611"/>
    <w:rsid w:val="00CB43D5"/>
    <w:rsid w:val="00CC4D84"/>
    <w:rsid w:val="00D22149"/>
    <w:rsid w:val="00D61A65"/>
    <w:rsid w:val="00D64901"/>
    <w:rsid w:val="00D73FFD"/>
    <w:rsid w:val="00D76BDF"/>
    <w:rsid w:val="00D862C1"/>
    <w:rsid w:val="00D93B50"/>
    <w:rsid w:val="00D94670"/>
    <w:rsid w:val="00DA46F6"/>
    <w:rsid w:val="00DC75E9"/>
    <w:rsid w:val="00DD0B49"/>
    <w:rsid w:val="00DD1180"/>
    <w:rsid w:val="00E06DFA"/>
    <w:rsid w:val="00E356C7"/>
    <w:rsid w:val="00E40689"/>
    <w:rsid w:val="00E64FA7"/>
    <w:rsid w:val="00E65268"/>
    <w:rsid w:val="00E770CB"/>
    <w:rsid w:val="00E846C0"/>
    <w:rsid w:val="00E940EB"/>
    <w:rsid w:val="00EB295B"/>
    <w:rsid w:val="00EB2B90"/>
    <w:rsid w:val="00EC10D9"/>
    <w:rsid w:val="00ED7A77"/>
    <w:rsid w:val="00ED7E83"/>
    <w:rsid w:val="00EE1200"/>
    <w:rsid w:val="00EF4B63"/>
    <w:rsid w:val="00F0068D"/>
    <w:rsid w:val="00F03CF9"/>
    <w:rsid w:val="00F0576D"/>
    <w:rsid w:val="00F15EA8"/>
    <w:rsid w:val="00F16C8D"/>
    <w:rsid w:val="00F26C61"/>
    <w:rsid w:val="00F31389"/>
    <w:rsid w:val="00F33CCE"/>
    <w:rsid w:val="00F40249"/>
    <w:rsid w:val="00F526C8"/>
    <w:rsid w:val="00F9518C"/>
    <w:rsid w:val="00F97BDE"/>
    <w:rsid w:val="00FA316E"/>
    <w:rsid w:val="00FA59EF"/>
    <w:rsid w:val="00FB19A2"/>
    <w:rsid w:val="00FB5F10"/>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styleId="Quote">
    <w:name w:val="Quote"/>
    <w:basedOn w:val="Normal"/>
    <w:next w:val="Normal"/>
    <w:link w:val="QuoteChar"/>
    <w:uiPriority w:val="29"/>
    <w:qFormat/>
    <w:rsid w:val="008D313A"/>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8D313A"/>
    <w:rPr>
      <w:rFonts w:eastAsia="Times New Roman" w:cs="Times New Roman"/>
      <w:i/>
      <w:iCs/>
      <w:color w:val="000000" w:themeColor="text1"/>
      <w:szCs w:val="20"/>
      <w:lang w:val="en-CA" w:eastAsia="en-CA"/>
    </w:rPr>
  </w:style>
  <w:style w:type="paragraph" w:customStyle="1" w:styleId="SCCFileNumber">
    <w:name w:val="SCC.FileNumber"/>
    <w:basedOn w:val="Normal"/>
    <w:next w:val="Normal"/>
    <w:link w:val="SCCFileNumberChar"/>
    <w:rsid w:val="007855F1"/>
    <w:pPr>
      <w:jc w:val="center"/>
    </w:pPr>
    <w:rPr>
      <w:b/>
      <w:szCs w:val="24"/>
      <w:lang w:val="fr-CA"/>
    </w:rPr>
  </w:style>
  <w:style w:type="character" w:customStyle="1" w:styleId="SCCFileNumberChar">
    <w:name w:val="SCC.FileNumber Char"/>
    <w:basedOn w:val="DefaultParagraphFont"/>
    <w:link w:val="SCCFileNumber"/>
    <w:rsid w:val="007855F1"/>
    <w:rPr>
      <w:b/>
      <w:szCs w:val="24"/>
      <w:lang w:val="fr-CA"/>
    </w:rPr>
  </w:style>
  <w:style w:type="paragraph" w:customStyle="1" w:styleId="SCCLsoc">
    <w:name w:val="SCC.Lsoc"/>
    <w:basedOn w:val="Normal"/>
    <w:next w:val="Normal"/>
    <w:link w:val="SCCLsocChar"/>
    <w:rsid w:val="007855F1"/>
    <w:pPr>
      <w:jc w:val="center"/>
    </w:pPr>
    <w:rPr>
      <w:b/>
      <w:szCs w:val="24"/>
      <w:u w:val="single"/>
      <w:lang w:val="fr-CA"/>
    </w:rPr>
  </w:style>
  <w:style w:type="character" w:customStyle="1" w:styleId="SCCLsocChar">
    <w:name w:val="SCC.Lsoc Char"/>
    <w:basedOn w:val="DefaultParagraphFont"/>
    <w:link w:val="SCCLsoc"/>
    <w:rsid w:val="007855F1"/>
    <w:rPr>
      <w:b/>
      <w:szCs w:val="24"/>
      <w:u w:val="single"/>
      <w:lang w:val="fr-CA"/>
    </w:rPr>
  </w:style>
  <w:style w:type="paragraph" w:customStyle="1" w:styleId="SCCCoram">
    <w:name w:val="SCC.Coram"/>
    <w:basedOn w:val="Normal"/>
    <w:next w:val="Normal"/>
    <w:link w:val="SCCCoramChar"/>
    <w:rsid w:val="007855F1"/>
    <w:pPr>
      <w:jc w:val="center"/>
    </w:pPr>
    <w:rPr>
      <w:szCs w:val="24"/>
      <w:u w:val="single"/>
      <w:lang w:val="fr-CA"/>
    </w:rPr>
  </w:style>
  <w:style w:type="character" w:customStyle="1" w:styleId="SCCCoramChar">
    <w:name w:val="SCC.Coram Char"/>
    <w:basedOn w:val="DefaultParagraphFont"/>
    <w:link w:val="SCCCoram"/>
    <w:rsid w:val="007855F1"/>
    <w:rPr>
      <w:szCs w:val="24"/>
      <w:u w:val="single"/>
      <w:lang w:val="fr-CA"/>
    </w:rPr>
  </w:style>
  <w:style w:type="paragraph" w:customStyle="1" w:styleId="SCCShortJudgment">
    <w:name w:val="SCC.ShortJudgment"/>
    <w:basedOn w:val="Normal"/>
    <w:qFormat/>
    <w:rsid w:val="007855F1"/>
    <w:pPr>
      <w:ind w:firstLine="720"/>
      <w:jc w:val="both"/>
    </w:pPr>
    <w:rPr>
      <w:sz w:val="20"/>
      <w:szCs w:val="24"/>
    </w:rPr>
  </w:style>
  <w:style w:type="paragraph" w:customStyle="1" w:styleId="SCCLowerCourtNameLowercase">
    <w:name w:val="SCC.LowerCourtNameLowercase"/>
    <w:basedOn w:val="SCCNormalDoubleSpacing"/>
    <w:next w:val="SCCNormalDoubleSpacing"/>
    <w:rsid w:val="00933669"/>
    <w:pPr>
      <w:tabs>
        <w:tab w:val="left" w:pos="1168"/>
      </w:tabs>
    </w:pPr>
    <w:rPr>
      <w:smallCaps/>
    </w:rPr>
  </w:style>
  <w:style w:type="paragraph" w:customStyle="1" w:styleId="InQuote">
    <w:name w:val="In Quote"/>
    <w:basedOn w:val="Normal"/>
    <w:link w:val="InQuoteChar"/>
    <w:qFormat/>
    <w:rsid w:val="00933669"/>
    <w:pPr>
      <w:spacing w:before="120" w:after="120"/>
      <w:ind w:left="360" w:right="360"/>
      <w:jc w:val="both"/>
    </w:pPr>
    <w:rPr>
      <w:rFonts w:cs="Times New Roman"/>
      <w:szCs w:val="20"/>
      <w:lang w:val="en-US" w:eastAsia="en-CA"/>
    </w:rPr>
  </w:style>
  <w:style w:type="character" w:customStyle="1" w:styleId="InQuoteChar">
    <w:name w:val="In Quote Char"/>
    <w:basedOn w:val="DefaultParagraphFont"/>
    <w:link w:val="InQuote"/>
    <w:rsid w:val="00933669"/>
    <w:rPr>
      <w:rFonts w:cs="Times New Roman"/>
      <w:szCs w:val="20"/>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anlii.org/fr/ca/const/const1867.html" TargetMode="Externa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canlii.org/fr/ca/const/const1867.html" TargetMode="Externa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anlii.org/fr/ca/const/const1867.html" TargetMode="Externa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19519</Words>
  <Characters>111261</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2011-07-18T18:17:00Z</dcterms:created>
  <dcterms:modified xsi:type="dcterms:W3CDTF">2011-07-18T18:17:00Z</dcterms:modified>
</cp:coreProperties>
</file>