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66BA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66BA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66BA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D66BA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66BAA" w:rsidTr="002E5576">
        <w:tc>
          <w:tcPr>
            <w:tcW w:w="4518" w:type="dxa"/>
          </w:tcPr>
          <w:p w:rsidR="00BF25F3" w:rsidRPr="002E2327" w:rsidRDefault="001557D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557D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C767C0" w:rsidP="00F0068D">
      <w:pPr>
        <w:pBdr>
          <w:bottom w:val="single" w:sz="6" w:space="1" w:color="auto"/>
        </w:pBdr>
        <w:tabs>
          <w:tab w:val="center" w:pos="4680"/>
          <w:tab w:val="right" w:pos="9360"/>
        </w:tabs>
        <w:rPr>
          <w:lang w:val="fr-CA"/>
        </w:rPr>
      </w:pPr>
      <w:r>
        <w:rPr>
          <w:lang w:val="fr-CA"/>
        </w:rPr>
        <w:t>July</w:t>
      </w:r>
      <w:r w:rsidR="00440E24" w:rsidRPr="00675479">
        <w:rPr>
          <w:lang w:val="fr-CA"/>
        </w:rPr>
        <w:t xml:space="preserve"> 2</w:t>
      </w:r>
      <w:r>
        <w:rPr>
          <w:lang w:val="fr-CA"/>
        </w:rPr>
        <w:t>2</w:t>
      </w:r>
      <w:r w:rsidR="00440E24" w:rsidRPr="00675479">
        <w:rPr>
          <w:lang w:val="fr-CA"/>
        </w:rPr>
        <w:t>, 201</w:t>
      </w:r>
      <w:r w:rsidR="003359D3">
        <w:rPr>
          <w:lang w:val="fr-CA"/>
        </w:rPr>
        <w:t>1</w:t>
      </w:r>
      <w:r w:rsidR="00F0068D" w:rsidRPr="00675479">
        <w:rPr>
          <w:lang w:val="fr-CA"/>
        </w:rPr>
        <w:tab/>
        <w:t>1</w:t>
      </w:r>
      <w:r>
        <w:rPr>
          <w:lang w:val="fr-CA"/>
        </w:rPr>
        <w:t>105</w:t>
      </w:r>
      <w:r w:rsidR="00F0068D" w:rsidRPr="00675479">
        <w:rPr>
          <w:lang w:val="fr-CA"/>
        </w:rPr>
        <w:t xml:space="preserve"> - </w:t>
      </w:r>
      <w:r w:rsidR="00B275EA">
        <w:rPr>
          <w:lang w:val="fr-CA"/>
        </w:rPr>
        <w:t>1132</w:t>
      </w:r>
      <w:r w:rsidR="00440E24" w:rsidRPr="00675479">
        <w:rPr>
          <w:lang w:val="fr-CA"/>
        </w:rPr>
        <w:tab/>
      </w:r>
      <w:r w:rsidR="00440E24" w:rsidRPr="002E2327">
        <w:rPr>
          <w:lang w:val="fr-CA"/>
        </w:rPr>
        <w:t>Le 2</w:t>
      </w:r>
      <w:r>
        <w:rPr>
          <w:lang w:val="fr-CA"/>
        </w:rPr>
        <w:t>2</w:t>
      </w:r>
      <w:r w:rsidR="00440E24" w:rsidRPr="002E2327">
        <w:rPr>
          <w:lang w:val="fr-CA"/>
        </w:rPr>
        <w:t xml:space="preserve"> </w:t>
      </w:r>
      <w:r>
        <w:rPr>
          <w:lang w:val="fr-CA"/>
        </w:rPr>
        <w:t>ju</w:t>
      </w:r>
      <w:r w:rsidR="00440E24" w:rsidRPr="002E2327">
        <w:rPr>
          <w:lang w:val="fr-CA"/>
        </w:rPr>
        <w:t>il</w:t>
      </w:r>
      <w:r>
        <w:rPr>
          <w:lang w:val="fr-CA"/>
        </w:rPr>
        <w:t>let</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intervention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803D70">
            <w:pPr>
              <w:tabs>
                <w:tab w:val="right" w:pos="9360"/>
              </w:tabs>
              <w:rPr>
                <w:rFonts w:cs="Times New Roman"/>
                <w:sz w:val="20"/>
                <w:szCs w:val="20"/>
              </w:rPr>
            </w:pPr>
          </w:p>
        </w:tc>
        <w:tc>
          <w:tcPr>
            <w:tcW w:w="1980" w:type="dxa"/>
          </w:tcPr>
          <w:p w:rsidR="0095096B" w:rsidRPr="002E2327" w:rsidRDefault="00C767C0" w:rsidP="0095096B">
            <w:pPr>
              <w:jc w:val="center"/>
              <w:rPr>
                <w:rFonts w:cs="Times New Roman"/>
                <w:sz w:val="20"/>
                <w:szCs w:val="20"/>
              </w:rPr>
            </w:pPr>
            <w:r>
              <w:rPr>
                <w:rFonts w:cs="Times New Roman"/>
                <w:sz w:val="20"/>
                <w:szCs w:val="20"/>
              </w:rPr>
              <w:t xml:space="preserve">1105 </w:t>
            </w:r>
            <w:r w:rsidR="001557DD" w:rsidRPr="002E2327">
              <w:rPr>
                <w:rFonts w:cs="Times New Roman"/>
                <w:sz w:val="20"/>
                <w:szCs w:val="20"/>
              </w:rPr>
              <w:fldChar w:fldCharType="begin"/>
            </w:r>
            <w:r w:rsidR="0095096B" w:rsidRPr="002E2327">
              <w:rPr>
                <w:rFonts w:cs="Times New Roman"/>
                <w:sz w:val="20"/>
                <w:szCs w:val="20"/>
              </w:rPr>
              <w:instrText xml:space="preserve"> SEQ CHAPTER \h \r 1</w:instrText>
            </w:r>
            <w:r w:rsidR="001557DD" w:rsidRPr="002E2327">
              <w:rPr>
                <w:rFonts w:cs="Times New Roman"/>
                <w:sz w:val="20"/>
                <w:szCs w:val="20"/>
              </w:rPr>
              <w:fldChar w:fldCharType="end"/>
            </w:r>
            <w:r w:rsidR="0095096B" w:rsidRPr="002E2327">
              <w:rPr>
                <w:rFonts w:cs="Times New Roman"/>
                <w:sz w:val="20"/>
                <w:szCs w:val="20"/>
              </w:rPr>
              <w:t>-</w:t>
            </w:r>
            <w:r w:rsidR="002D599C">
              <w:rPr>
                <w:rFonts w:cs="Times New Roman"/>
                <w:sz w:val="20"/>
                <w:szCs w:val="20"/>
              </w:rPr>
              <w:t xml:space="preserve"> 1106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D599C" w:rsidP="0095096B">
            <w:pPr>
              <w:jc w:val="center"/>
              <w:rPr>
                <w:rFonts w:cs="Times New Roman"/>
                <w:sz w:val="20"/>
                <w:szCs w:val="20"/>
              </w:rPr>
            </w:pPr>
            <w:r>
              <w:rPr>
                <w:rFonts w:cs="Times New Roman"/>
                <w:sz w:val="20"/>
                <w:szCs w:val="20"/>
              </w:rPr>
              <w:t>1107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B5CC3" w:rsidP="0095096B">
            <w:pPr>
              <w:jc w:val="center"/>
              <w:rPr>
                <w:rFonts w:cs="Times New Roman"/>
                <w:sz w:val="20"/>
                <w:szCs w:val="20"/>
              </w:rPr>
            </w:pPr>
            <w:r>
              <w:rPr>
                <w:rFonts w:cs="Times New Roman"/>
                <w:sz w:val="20"/>
                <w:szCs w:val="20"/>
              </w:rPr>
              <w:t xml:space="preserve">1108 </w:t>
            </w:r>
            <w:r w:rsidR="0095096B" w:rsidRPr="002E2327">
              <w:rPr>
                <w:rFonts w:cs="Times New Roman"/>
                <w:sz w:val="20"/>
                <w:szCs w:val="20"/>
              </w:rPr>
              <w:t>-</w:t>
            </w:r>
            <w:r w:rsidR="008E136B">
              <w:rPr>
                <w:rFonts w:cs="Times New Roman"/>
                <w:sz w:val="20"/>
                <w:szCs w:val="20"/>
              </w:rPr>
              <w:t xml:space="preserve"> 1110</w:t>
            </w:r>
          </w:p>
          <w:p w:rsidR="0095096B" w:rsidRPr="002E2327" w:rsidRDefault="0095096B" w:rsidP="0095096B">
            <w:pPr>
              <w:jc w:val="center"/>
              <w:rPr>
                <w:rFonts w:cs="Times New Roman"/>
                <w:sz w:val="20"/>
                <w:szCs w:val="20"/>
              </w:rPr>
            </w:pPr>
          </w:p>
          <w:p w:rsidR="0095096B" w:rsidRPr="002E2327" w:rsidRDefault="008E136B" w:rsidP="0095096B">
            <w:pPr>
              <w:jc w:val="center"/>
              <w:rPr>
                <w:rFonts w:cs="Times New Roman"/>
                <w:sz w:val="20"/>
                <w:szCs w:val="20"/>
              </w:rPr>
            </w:pPr>
            <w:r>
              <w:rPr>
                <w:rFonts w:cs="Times New Roman"/>
                <w:sz w:val="20"/>
                <w:szCs w:val="20"/>
              </w:rPr>
              <w:t>1111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E136B" w:rsidP="0095096B">
            <w:pPr>
              <w:jc w:val="center"/>
              <w:rPr>
                <w:rFonts w:cs="Times New Roman"/>
                <w:sz w:val="20"/>
                <w:szCs w:val="20"/>
              </w:rPr>
            </w:pPr>
            <w:r>
              <w:rPr>
                <w:rFonts w:cs="Times New Roman"/>
                <w:sz w:val="20"/>
                <w:szCs w:val="20"/>
              </w:rPr>
              <w:t>1112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E136B" w:rsidP="0095096B">
            <w:pPr>
              <w:jc w:val="center"/>
              <w:rPr>
                <w:rFonts w:cs="Times New Roman"/>
                <w:sz w:val="20"/>
                <w:szCs w:val="20"/>
              </w:rPr>
            </w:pPr>
            <w:r>
              <w:rPr>
                <w:rFonts w:cs="Times New Roman"/>
                <w:sz w:val="20"/>
                <w:szCs w:val="20"/>
              </w:rPr>
              <w:t xml:space="preserve">1113 </w:t>
            </w:r>
            <w:r w:rsidR="0095096B" w:rsidRPr="002E2327">
              <w:rPr>
                <w:rFonts w:cs="Times New Roman"/>
                <w:sz w:val="20"/>
                <w:szCs w:val="20"/>
              </w:rPr>
              <w:t>-</w:t>
            </w:r>
            <w:r w:rsidR="00B275EA">
              <w:rPr>
                <w:rFonts w:cs="Times New Roman"/>
                <w:sz w:val="20"/>
                <w:szCs w:val="20"/>
              </w:rPr>
              <w:t xml:space="preserve"> 1115</w:t>
            </w:r>
          </w:p>
          <w:p w:rsidR="0095096B" w:rsidRPr="002E2327" w:rsidRDefault="0095096B" w:rsidP="0095096B">
            <w:pPr>
              <w:jc w:val="center"/>
              <w:rPr>
                <w:rFonts w:cs="Times New Roman"/>
                <w:sz w:val="20"/>
                <w:szCs w:val="20"/>
              </w:rPr>
            </w:pPr>
          </w:p>
          <w:p w:rsidR="00B275EA" w:rsidRDefault="00B275EA" w:rsidP="0095096B">
            <w:pPr>
              <w:jc w:val="center"/>
              <w:rPr>
                <w:rFonts w:cs="Times New Roman"/>
                <w:sz w:val="20"/>
                <w:szCs w:val="20"/>
              </w:rPr>
            </w:pPr>
          </w:p>
          <w:p w:rsidR="0095096B" w:rsidRPr="002E2327" w:rsidRDefault="00B275EA" w:rsidP="0095096B">
            <w:pPr>
              <w:jc w:val="center"/>
              <w:rPr>
                <w:rFonts w:cs="Times New Roman"/>
                <w:sz w:val="20"/>
                <w:szCs w:val="20"/>
              </w:rPr>
            </w:pPr>
            <w:r>
              <w:rPr>
                <w:rFonts w:cs="Times New Roman"/>
                <w:sz w:val="20"/>
                <w:szCs w:val="20"/>
              </w:rPr>
              <w:t xml:space="preserve">1116 </w:t>
            </w:r>
            <w:r w:rsidR="0095096B" w:rsidRPr="002E2327">
              <w:rPr>
                <w:rFonts w:cs="Times New Roman"/>
                <w:sz w:val="20"/>
                <w:szCs w:val="20"/>
              </w:rPr>
              <w:t>-</w:t>
            </w:r>
            <w:r>
              <w:rPr>
                <w:rFonts w:cs="Times New Roman"/>
                <w:sz w:val="20"/>
                <w:szCs w:val="20"/>
              </w:rPr>
              <w:t xml:space="preserve"> 1132</w:t>
            </w:r>
          </w:p>
          <w:p w:rsidR="00A87207" w:rsidRPr="002E2327" w:rsidRDefault="00A87207" w:rsidP="00BE36BA">
            <w:pPr>
              <w:tabs>
                <w:tab w:val="right" w:pos="9360"/>
              </w:tabs>
              <w:jc w:val="center"/>
              <w:rPr>
                <w:rFonts w:cs="Times New Roman"/>
                <w:sz w:val="20"/>
                <w:szCs w:val="20"/>
              </w:rPr>
            </w:pPr>
          </w:p>
        </w:tc>
        <w:tc>
          <w:tcPr>
            <w:tcW w:w="3888" w:type="dxa"/>
          </w:tcPr>
          <w:p w:rsidR="0095096B" w:rsidRPr="002E2327" w:rsidRDefault="001557D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d'intervention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803D70">
            <w:pPr>
              <w:tabs>
                <w:tab w:val="right" w:pos="9360"/>
              </w:tabs>
              <w:rPr>
                <w:rFonts w:cs="Times New Roman"/>
                <w:sz w:val="20"/>
                <w:szCs w:val="20"/>
                <w:lang w:val="fr-CA"/>
              </w:rPr>
            </w:pPr>
          </w:p>
        </w:tc>
      </w:tr>
    </w:tbl>
    <w:p w:rsidR="0095096B" w:rsidRDefault="0095096B" w:rsidP="0095096B">
      <w:pPr>
        <w:tabs>
          <w:tab w:val="right" w:pos="9360"/>
        </w:tabs>
      </w:pPr>
    </w:p>
    <w:p w:rsidR="00BE36BA" w:rsidRDefault="00BE36BA" w:rsidP="0095096B">
      <w:pPr>
        <w:tabs>
          <w:tab w:val="right" w:pos="9360"/>
        </w:tabs>
      </w:pPr>
    </w:p>
    <w:p w:rsidR="00BE36BA" w:rsidRDefault="00BE36BA" w:rsidP="0095096B">
      <w:pPr>
        <w:tabs>
          <w:tab w:val="right" w:pos="9360"/>
        </w:tabs>
      </w:pPr>
    </w:p>
    <w:p w:rsidR="00803D70" w:rsidRDefault="00803D70" w:rsidP="0095096B">
      <w:pPr>
        <w:tabs>
          <w:tab w:val="right" w:pos="9360"/>
        </w:tabs>
      </w:pPr>
    </w:p>
    <w:p w:rsidR="00BE36BA" w:rsidRDefault="00BE36BA" w:rsidP="0095096B">
      <w:pPr>
        <w:tabs>
          <w:tab w:val="right" w:pos="9360"/>
        </w:tabs>
      </w:pPr>
    </w:p>
    <w:p w:rsidR="00BE36BA" w:rsidRDefault="00BE36BA" w:rsidP="0095096B">
      <w:pPr>
        <w:tabs>
          <w:tab w:val="right" w:pos="9360"/>
        </w:tabs>
      </w:pPr>
    </w:p>
    <w:p w:rsidR="00BE36BA" w:rsidRPr="002E2327" w:rsidRDefault="00BE36BA" w:rsidP="0095096B">
      <w:pPr>
        <w:tabs>
          <w:tab w:val="right" w:pos="9360"/>
        </w:tabs>
      </w:pPr>
    </w:p>
    <w:tbl>
      <w:tblPr>
        <w:tblStyle w:val="TableGrid"/>
        <w:tblW w:w="0" w:type="auto"/>
        <w:tblLook w:val="04A0"/>
      </w:tblPr>
      <w:tblGrid>
        <w:gridCol w:w="9576"/>
      </w:tblGrid>
      <w:tr w:rsidR="0079724F" w:rsidRPr="00D66BA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ED71E0" w:rsidRDefault="00ED71E0" w:rsidP="003B3977">
            <w:pPr>
              <w:rPr>
                <w:b/>
                <w:sz w:val="20"/>
                <w:szCs w:val="20"/>
                <w:lang w:val="fr-CA"/>
              </w:rPr>
            </w:pPr>
            <w:r w:rsidRPr="00ED71E0">
              <w:rPr>
                <w:b/>
                <w:sz w:val="20"/>
                <w:szCs w:val="20"/>
                <w:lang w:val="fr-CA"/>
              </w:rPr>
              <w:t>F.F.</w:t>
            </w:r>
          </w:p>
          <w:p w:rsidR="00242AEE" w:rsidRPr="00ED71E0" w:rsidRDefault="00242AEE" w:rsidP="003B3977">
            <w:pPr>
              <w:tabs>
                <w:tab w:val="left" w:pos="-1440"/>
                <w:tab w:val="left" w:pos="-720"/>
              </w:tabs>
              <w:rPr>
                <w:sz w:val="20"/>
                <w:szCs w:val="20"/>
                <w:lang w:val="fr-CA"/>
              </w:rPr>
            </w:pPr>
            <w:r w:rsidRPr="00ED71E0">
              <w:rPr>
                <w:sz w:val="20"/>
                <w:szCs w:val="20"/>
                <w:lang w:val="fr-CA"/>
              </w:rPr>
              <w:tab/>
            </w:r>
            <w:r w:rsidR="00ED71E0" w:rsidRPr="00ED71E0">
              <w:rPr>
                <w:sz w:val="20"/>
                <w:szCs w:val="20"/>
                <w:lang w:val="fr-CA"/>
              </w:rPr>
              <w:t>Jean-François Rousseau</w:t>
            </w:r>
          </w:p>
          <w:p w:rsidR="00242AEE" w:rsidRPr="00ED71E0" w:rsidRDefault="00242AEE" w:rsidP="003B3977">
            <w:pPr>
              <w:tabs>
                <w:tab w:val="left" w:pos="-1440"/>
                <w:tab w:val="left" w:pos="-720"/>
              </w:tabs>
              <w:rPr>
                <w:sz w:val="20"/>
                <w:szCs w:val="20"/>
                <w:lang w:val="fr-CA"/>
              </w:rPr>
            </w:pPr>
            <w:r w:rsidRPr="00ED71E0">
              <w:rPr>
                <w:sz w:val="20"/>
                <w:szCs w:val="20"/>
                <w:lang w:val="fr-CA"/>
              </w:rPr>
              <w:tab/>
            </w:r>
            <w:r w:rsidR="00ED71E0" w:rsidRPr="00ED71E0">
              <w:rPr>
                <w:sz w:val="20"/>
                <w:szCs w:val="20"/>
                <w:lang w:val="fr-CA"/>
              </w:rPr>
              <w:t xml:space="preserve">Rousseau </w:t>
            </w:r>
            <w:proofErr w:type="spellStart"/>
            <w:r w:rsidR="00ED71E0" w:rsidRPr="00ED71E0">
              <w:rPr>
                <w:sz w:val="20"/>
                <w:szCs w:val="20"/>
                <w:lang w:val="fr-CA"/>
              </w:rPr>
              <w:t>Spenard</w:t>
            </w:r>
            <w:proofErr w:type="spellEnd"/>
            <w:r w:rsidR="00ED71E0">
              <w:rPr>
                <w:sz w:val="20"/>
                <w:szCs w:val="20"/>
                <w:lang w:val="fr-CA"/>
              </w:rPr>
              <w:t xml:space="preserve"> S.A.</w:t>
            </w:r>
          </w:p>
          <w:p w:rsidR="00242AEE" w:rsidRPr="00ED71E0" w:rsidRDefault="00242AEE" w:rsidP="003B3977">
            <w:pPr>
              <w:tabs>
                <w:tab w:val="left" w:pos="-1440"/>
                <w:tab w:val="left" w:pos="-720"/>
              </w:tabs>
              <w:rPr>
                <w:sz w:val="20"/>
                <w:szCs w:val="20"/>
                <w:lang w:val="fr-CA"/>
              </w:rPr>
            </w:pPr>
          </w:p>
          <w:p w:rsidR="00242AEE" w:rsidRPr="00B60050" w:rsidRDefault="00242AEE" w:rsidP="003B3977">
            <w:pPr>
              <w:tabs>
                <w:tab w:val="left" w:pos="-1440"/>
                <w:tab w:val="left" w:pos="-720"/>
              </w:tabs>
              <w:rPr>
                <w:sz w:val="20"/>
                <w:szCs w:val="20"/>
                <w:lang w:val="fr-CA"/>
              </w:rPr>
            </w:pPr>
            <w:r w:rsidRPr="00ED71E0">
              <w:rPr>
                <w:sz w:val="20"/>
                <w:szCs w:val="20"/>
                <w:lang w:val="fr-CA"/>
              </w:rPr>
              <w:tab/>
            </w:r>
            <w:r w:rsidR="00ED71E0" w:rsidRPr="00B60050">
              <w:rPr>
                <w:sz w:val="20"/>
                <w:szCs w:val="20"/>
                <w:lang w:val="fr-CA"/>
              </w:rPr>
              <w:t>c</w:t>
            </w:r>
            <w:r w:rsidRPr="00B60050">
              <w:rPr>
                <w:sz w:val="20"/>
                <w:szCs w:val="20"/>
                <w:lang w:val="fr-CA"/>
              </w:rPr>
              <w:t>. (3</w:t>
            </w:r>
            <w:r w:rsidR="00C767C0" w:rsidRPr="00B60050">
              <w:rPr>
                <w:sz w:val="20"/>
                <w:szCs w:val="20"/>
                <w:lang w:val="fr-CA"/>
              </w:rPr>
              <w:t>4</w:t>
            </w:r>
            <w:r w:rsidR="00ED71E0" w:rsidRPr="00B60050">
              <w:rPr>
                <w:sz w:val="20"/>
                <w:szCs w:val="20"/>
                <w:lang w:val="fr-CA"/>
              </w:rPr>
              <w:t>226</w:t>
            </w:r>
            <w:r w:rsidRPr="00B60050">
              <w:rPr>
                <w:sz w:val="20"/>
                <w:szCs w:val="20"/>
                <w:lang w:val="fr-CA"/>
              </w:rPr>
              <w:t>)</w:t>
            </w:r>
          </w:p>
          <w:p w:rsidR="00242AEE" w:rsidRPr="00B60050" w:rsidRDefault="00242AEE" w:rsidP="003B3977">
            <w:pPr>
              <w:tabs>
                <w:tab w:val="left" w:pos="-1440"/>
                <w:tab w:val="left" w:pos="-720"/>
              </w:tabs>
              <w:rPr>
                <w:sz w:val="20"/>
                <w:szCs w:val="20"/>
                <w:lang w:val="fr-CA"/>
              </w:rPr>
            </w:pPr>
          </w:p>
          <w:p w:rsidR="00242AEE" w:rsidRPr="00B60050" w:rsidRDefault="00ED71E0" w:rsidP="003B3977">
            <w:pPr>
              <w:tabs>
                <w:tab w:val="left" w:pos="-1440"/>
                <w:tab w:val="left" w:pos="-720"/>
              </w:tabs>
              <w:rPr>
                <w:b/>
                <w:sz w:val="20"/>
                <w:szCs w:val="20"/>
                <w:lang w:val="fr-CA"/>
              </w:rPr>
            </w:pPr>
            <w:r w:rsidRPr="00B60050">
              <w:rPr>
                <w:b/>
                <w:sz w:val="20"/>
                <w:szCs w:val="20"/>
                <w:lang w:val="fr-CA"/>
              </w:rPr>
              <w:t xml:space="preserve">M.J. </w:t>
            </w:r>
            <w:r w:rsidR="00242AEE" w:rsidRPr="00B60050">
              <w:rPr>
                <w:b/>
                <w:sz w:val="20"/>
                <w:szCs w:val="20"/>
                <w:lang w:val="fr-CA"/>
              </w:rPr>
              <w:t>(</w:t>
            </w:r>
            <w:proofErr w:type="spellStart"/>
            <w:r w:rsidRPr="00B60050">
              <w:rPr>
                <w:b/>
                <w:sz w:val="20"/>
                <w:szCs w:val="20"/>
                <w:lang w:val="fr-CA"/>
              </w:rPr>
              <w:t>Qc</w:t>
            </w:r>
            <w:proofErr w:type="spellEnd"/>
            <w:r w:rsidR="00242AEE" w:rsidRPr="00B60050">
              <w:rPr>
                <w:b/>
                <w:sz w:val="20"/>
                <w:szCs w:val="20"/>
                <w:lang w:val="fr-CA"/>
              </w:rPr>
              <w:t>)</w:t>
            </w:r>
          </w:p>
          <w:p w:rsidR="00242AEE" w:rsidRPr="00B60050" w:rsidRDefault="00242AEE" w:rsidP="003B3977">
            <w:pPr>
              <w:tabs>
                <w:tab w:val="left" w:pos="-1440"/>
                <w:tab w:val="left" w:pos="-720"/>
              </w:tabs>
              <w:rPr>
                <w:sz w:val="20"/>
                <w:szCs w:val="20"/>
                <w:lang w:val="fr-CA"/>
              </w:rPr>
            </w:pPr>
            <w:r w:rsidRPr="00B60050">
              <w:rPr>
                <w:sz w:val="20"/>
                <w:szCs w:val="20"/>
                <w:lang w:val="fr-CA"/>
              </w:rPr>
              <w:tab/>
            </w:r>
            <w:r w:rsidR="00ED71E0" w:rsidRPr="00B60050">
              <w:rPr>
                <w:sz w:val="20"/>
                <w:szCs w:val="20"/>
                <w:lang w:val="fr-CA"/>
              </w:rPr>
              <w:t>Maria R. Battaglia</w:t>
            </w:r>
          </w:p>
          <w:p w:rsidR="00242AEE" w:rsidRPr="00B60050" w:rsidRDefault="00242AEE" w:rsidP="003B3977">
            <w:pPr>
              <w:tabs>
                <w:tab w:val="left" w:pos="-1440"/>
                <w:tab w:val="left" w:pos="-720"/>
              </w:tabs>
              <w:rPr>
                <w:sz w:val="20"/>
                <w:szCs w:val="20"/>
                <w:lang w:val="fr-CA"/>
              </w:rPr>
            </w:pPr>
          </w:p>
          <w:p w:rsidR="00242AEE" w:rsidRPr="00B60050" w:rsidRDefault="00242AEE" w:rsidP="003B3977">
            <w:pPr>
              <w:rPr>
                <w:sz w:val="20"/>
                <w:szCs w:val="20"/>
                <w:lang w:val="fr-CA"/>
              </w:rPr>
            </w:pPr>
            <w:r w:rsidRPr="00B60050">
              <w:rPr>
                <w:sz w:val="20"/>
                <w:szCs w:val="20"/>
                <w:lang w:val="fr-CA"/>
              </w:rPr>
              <w:t>DATE</w:t>
            </w:r>
            <w:r w:rsidR="00ED71E0" w:rsidRPr="00B60050">
              <w:rPr>
                <w:sz w:val="20"/>
                <w:szCs w:val="20"/>
                <w:lang w:val="fr-CA"/>
              </w:rPr>
              <w:t xml:space="preserve"> DE PRODUCTION </w:t>
            </w:r>
            <w:r w:rsidRPr="00B60050">
              <w:rPr>
                <w:sz w:val="20"/>
                <w:szCs w:val="20"/>
                <w:lang w:val="fr-CA"/>
              </w:rPr>
              <w:t>: 2</w:t>
            </w:r>
            <w:r w:rsidR="00ED71E0" w:rsidRPr="00B60050">
              <w:rPr>
                <w:sz w:val="20"/>
                <w:szCs w:val="20"/>
                <w:lang w:val="fr-CA"/>
              </w:rPr>
              <w:t>6</w:t>
            </w:r>
            <w:r w:rsidRPr="00B60050">
              <w:rPr>
                <w:sz w:val="20"/>
                <w:szCs w:val="20"/>
                <w:lang w:val="fr-CA"/>
              </w:rPr>
              <w:t>.0</w:t>
            </w:r>
            <w:r w:rsidR="00ED71E0" w:rsidRPr="00B60050">
              <w:rPr>
                <w:sz w:val="20"/>
                <w:szCs w:val="20"/>
                <w:lang w:val="fr-CA"/>
              </w:rPr>
              <w:t>4</w:t>
            </w:r>
            <w:r w:rsidRPr="00B60050">
              <w:rPr>
                <w:sz w:val="20"/>
                <w:szCs w:val="20"/>
                <w:lang w:val="fr-CA"/>
              </w:rPr>
              <w:t>.201</w:t>
            </w:r>
            <w:r w:rsidR="00C767C0" w:rsidRPr="00B60050">
              <w:rPr>
                <w:sz w:val="20"/>
                <w:szCs w:val="20"/>
                <w:lang w:val="fr-CA"/>
              </w:rPr>
              <w:t>1</w:t>
            </w:r>
          </w:p>
          <w:p w:rsidR="00242AEE" w:rsidRPr="00A935AA" w:rsidRDefault="001557DD" w:rsidP="003B3977">
            <w:pPr>
              <w:rPr>
                <w:sz w:val="20"/>
                <w:szCs w:val="20"/>
              </w:rPr>
            </w:pPr>
            <w:r w:rsidRPr="001557DD">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ED71E0" w:rsidP="003B3977">
            <w:pPr>
              <w:keepNext/>
              <w:keepLines/>
              <w:tabs>
                <w:tab w:val="left" w:pos="-1440"/>
                <w:tab w:val="left" w:pos="-720"/>
              </w:tabs>
              <w:rPr>
                <w:b/>
                <w:sz w:val="20"/>
                <w:szCs w:val="20"/>
              </w:rPr>
            </w:pPr>
            <w:r>
              <w:rPr>
                <w:b/>
                <w:sz w:val="20"/>
                <w:szCs w:val="20"/>
              </w:rPr>
              <w:t>Her Majesty the Queen</w:t>
            </w:r>
          </w:p>
          <w:p w:rsidR="00242AEE" w:rsidRPr="00A935AA" w:rsidRDefault="00242AEE" w:rsidP="003B3977">
            <w:pPr>
              <w:keepNext/>
              <w:keepLines/>
              <w:tabs>
                <w:tab w:val="left" w:pos="-1440"/>
                <w:tab w:val="left" w:pos="-720"/>
              </w:tabs>
              <w:rPr>
                <w:sz w:val="20"/>
                <w:szCs w:val="20"/>
              </w:rPr>
            </w:pPr>
            <w:r w:rsidRPr="00A935AA">
              <w:rPr>
                <w:sz w:val="20"/>
                <w:szCs w:val="20"/>
              </w:rPr>
              <w:tab/>
            </w:r>
            <w:r w:rsidR="00ED71E0">
              <w:rPr>
                <w:sz w:val="20"/>
                <w:szCs w:val="20"/>
              </w:rPr>
              <w:t xml:space="preserve">Amy </w:t>
            </w:r>
            <w:proofErr w:type="spellStart"/>
            <w:r w:rsidR="00ED71E0">
              <w:rPr>
                <w:sz w:val="20"/>
                <w:szCs w:val="20"/>
              </w:rPr>
              <w:t>Alyea</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r>
            <w:r w:rsidR="00ED71E0">
              <w:rPr>
                <w:sz w:val="20"/>
                <w:szCs w:val="20"/>
              </w:rPr>
              <w:t>A.G. of Ontario</w:t>
            </w:r>
          </w:p>
          <w:p w:rsidR="00242AEE" w:rsidRPr="00A935AA" w:rsidRDefault="00242AEE" w:rsidP="003B3977">
            <w:pPr>
              <w:keepNext/>
              <w:keepLines/>
              <w:tabs>
                <w:tab w:val="left" w:pos="-1440"/>
                <w:tab w:val="left" w:pos="-720"/>
              </w:tabs>
              <w:rPr>
                <w:sz w:val="20"/>
                <w:szCs w:val="20"/>
              </w:rPr>
            </w:pPr>
          </w:p>
          <w:p w:rsidR="00242AEE" w:rsidRPr="00ED71E0" w:rsidRDefault="00242AEE" w:rsidP="003B3977">
            <w:pPr>
              <w:keepNext/>
              <w:keepLines/>
              <w:tabs>
                <w:tab w:val="left" w:pos="-1440"/>
                <w:tab w:val="left" w:pos="-720"/>
              </w:tabs>
              <w:rPr>
                <w:sz w:val="20"/>
                <w:szCs w:val="20"/>
              </w:rPr>
            </w:pPr>
            <w:r w:rsidRPr="00A935AA">
              <w:rPr>
                <w:sz w:val="20"/>
                <w:szCs w:val="20"/>
              </w:rPr>
              <w:tab/>
            </w:r>
            <w:r w:rsidRPr="00ED71E0">
              <w:rPr>
                <w:sz w:val="20"/>
                <w:szCs w:val="20"/>
              </w:rPr>
              <w:t>v. (3</w:t>
            </w:r>
            <w:r w:rsidR="00C767C0" w:rsidRPr="00ED71E0">
              <w:rPr>
                <w:sz w:val="20"/>
                <w:szCs w:val="20"/>
              </w:rPr>
              <w:t>4</w:t>
            </w:r>
            <w:r w:rsidR="00ED71E0">
              <w:rPr>
                <w:sz w:val="20"/>
                <w:szCs w:val="20"/>
              </w:rPr>
              <w:t>268</w:t>
            </w:r>
            <w:r w:rsidRPr="00ED71E0">
              <w:rPr>
                <w:sz w:val="20"/>
                <w:szCs w:val="20"/>
              </w:rPr>
              <w:t>)</w:t>
            </w:r>
          </w:p>
          <w:p w:rsidR="00242AEE" w:rsidRPr="00ED71E0" w:rsidRDefault="00242AEE" w:rsidP="003B3977">
            <w:pPr>
              <w:keepNext/>
              <w:keepLines/>
              <w:tabs>
                <w:tab w:val="left" w:pos="-1440"/>
                <w:tab w:val="left" w:pos="-720"/>
              </w:tabs>
              <w:rPr>
                <w:sz w:val="20"/>
                <w:szCs w:val="20"/>
              </w:rPr>
            </w:pPr>
          </w:p>
          <w:p w:rsidR="00242AEE" w:rsidRPr="00ED71E0" w:rsidRDefault="00ED71E0" w:rsidP="003B3977">
            <w:pPr>
              <w:keepNext/>
              <w:keepLines/>
              <w:tabs>
                <w:tab w:val="left" w:pos="-1440"/>
                <w:tab w:val="left" w:pos="-720"/>
              </w:tabs>
              <w:rPr>
                <w:b/>
                <w:sz w:val="20"/>
                <w:szCs w:val="20"/>
              </w:rPr>
            </w:pPr>
            <w:r>
              <w:rPr>
                <w:b/>
                <w:sz w:val="20"/>
                <w:szCs w:val="20"/>
              </w:rPr>
              <w:t xml:space="preserve">Richard Cole </w:t>
            </w:r>
            <w:r w:rsidR="00242AEE" w:rsidRPr="00ED71E0">
              <w:rPr>
                <w:b/>
                <w:sz w:val="20"/>
                <w:szCs w:val="20"/>
              </w:rPr>
              <w:t>(Ont.)</w:t>
            </w:r>
          </w:p>
          <w:p w:rsidR="00242AEE" w:rsidRPr="00ED71E0" w:rsidRDefault="00242AEE" w:rsidP="003B3977">
            <w:pPr>
              <w:keepNext/>
              <w:keepLines/>
              <w:tabs>
                <w:tab w:val="left" w:pos="-1440"/>
                <w:tab w:val="left" w:pos="-720"/>
              </w:tabs>
              <w:rPr>
                <w:sz w:val="20"/>
                <w:szCs w:val="20"/>
              </w:rPr>
            </w:pPr>
            <w:r w:rsidRPr="00ED71E0">
              <w:rPr>
                <w:sz w:val="20"/>
                <w:szCs w:val="20"/>
              </w:rPr>
              <w:tab/>
            </w:r>
            <w:r w:rsidR="00ED71E0">
              <w:rPr>
                <w:sz w:val="20"/>
                <w:szCs w:val="20"/>
              </w:rPr>
              <w:t xml:space="preserve">Frank </w:t>
            </w:r>
            <w:proofErr w:type="spellStart"/>
            <w:r w:rsidR="00ED71E0">
              <w:rPr>
                <w:sz w:val="20"/>
                <w:szCs w:val="20"/>
              </w:rPr>
              <w:t>Addario</w:t>
            </w:r>
            <w:proofErr w:type="spellEnd"/>
          </w:p>
          <w:p w:rsidR="00242AEE" w:rsidRPr="00ED71E0" w:rsidRDefault="00242AEE" w:rsidP="003B3977">
            <w:pPr>
              <w:keepNext/>
              <w:keepLines/>
              <w:tabs>
                <w:tab w:val="left" w:pos="-1440"/>
                <w:tab w:val="left" w:pos="-720"/>
              </w:tabs>
              <w:rPr>
                <w:sz w:val="20"/>
                <w:szCs w:val="20"/>
              </w:rPr>
            </w:pPr>
            <w:r w:rsidRPr="00ED71E0">
              <w:rPr>
                <w:sz w:val="20"/>
                <w:szCs w:val="20"/>
              </w:rPr>
              <w:tab/>
            </w:r>
            <w:r w:rsidR="00ED71E0">
              <w:rPr>
                <w:sz w:val="20"/>
                <w:szCs w:val="20"/>
              </w:rPr>
              <w:t xml:space="preserve">Sack </w:t>
            </w:r>
            <w:proofErr w:type="spellStart"/>
            <w:r w:rsidR="00ED71E0">
              <w:rPr>
                <w:sz w:val="20"/>
                <w:szCs w:val="20"/>
              </w:rPr>
              <w:t>Goldblatt</w:t>
            </w:r>
            <w:proofErr w:type="spellEnd"/>
            <w:r w:rsidR="00ED71E0">
              <w:rPr>
                <w:sz w:val="20"/>
                <w:szCs w:val="20"/>
              </w:rPr>
              <w:t xml:space="preserve"> Mitchell LLP</w:t>
            </w:r>
          </w:p>
          <w:p w:rsidR="00242AEE" w:rsidRPr="00ED71E0" w:rsidRDefault="00242AEE" w:rsidP="003B3977">
            <w:pPr>
              <w:keepNext/>
              <w:keepLines/>
              <w:tabs>
                <w:tab w:val="left" w:pos="-1440"/>
                <w:tab w:val="left" w:pos="-720"/>
              </w:tabs>
              <w:rPr>
                <w:sz w:val="20"/>
                <w:szCs w:val="20"/>
              </w:rPr>
            </w:pPr>
          </w:p>
          <w:p w:rsidR="00242AEE" w:rsidRPr="00A935AA" w:rsidRDefault="00242AEE" w:rsidP="00ED71E0">
            <w:pPr>
              <w:rPr>
                <w:sz w:val="20"/>
                <w:szCs w:val="20"/>
              </w:rPr>
            </w:pPr>
            <w:r w:rsidRPr="00A935AA">
              <w:rPr>
                <w:sz w:val="20"/>
                <w:szCs w:val="20"/>
              </w:rPr>
              <w:t>FILING DATE: 2</w:t>
            </w:r>
            <w:r w:rsidR="00ED71E0">
              <w:rPr>
                <w:sz w:val="20"/>
                <w:szCs w:val="20"/>
              </w:rPr>
              <w:t>0</w:t>
            </w:r>
            <w:r w:rsidRPr="00A935AA">
              <w:rPr>
                <w:sz w:val="20"/>
                <w:szCs w:val="20"/>
              </w:rPr>
              <w:t>.0</w:t>
            </w:r>
            <w:r w:rsidR="00ED71E0">
              <w:rPr>
                <w:sz w:val="20"/>
                <w:szCs w:val="20"/>
              </w:rPr>
              <w:t>5</w:t>
            </w:r>
            <w:r w:rsidRPr="00A935AA">
              <w:rPr>
                <w:sz w:val="20"/>
                <w:szCs w:val="20"/>
              </w:rPr>
              <w:t>.201</w:t>
            </w:r>
            <w:r w:rsidR="00C767C0">
              <w:rPr>
                <w:sz w:val="20"/>
                <w:szCs w:val="20"/>
              </w:rPr>
              <w:t>1</w:t>
            </w:r>
            <w:r w:rsidR="001557DD" w:rsidRPr="001557DD">
              <w:rPr>
                <w:sz w:val="20"/>
                <w:szCs w:val="20"/>
                <w:lang w:val="fr-CA"/>
              </w:rPr>
              <w:pict>
                <v:rect id="_x0000_i1026" style="width:108pt;height:1pt" o:hrpct="0" o:hralign="center" o:hrstd="t" o:hrnoshade="t" o:hr="t" fillcolor="black [3213]" stroked="f"/>
              </w:pict>
            </w:r>
          </w:p>
        </w:tc>
      </w:tr>
      <w:tr w:rsidR="00ED71E0" w:rsidRPr="00A935AA" w:rsidTr="003B3977">
        <w:tc>
          <w:tcPr>
            <w:tcW w:w="4320" w:type="dxa"/>
            <w:shd w:val="clear" w:color="auto" w:fill="auto"/>
          </w:tcPr>
          <w:p w:rsidR="00ED71E0" w:rsidRPr="00ED71E0" w:rsidRDefault="00FC0259" w:rsidP="00FC0259">
            <w:pPr>
              <w:rPr>
                <w:b/>
                <w:sz w:val="20"/>
                <w:szCs w:val="20"/>
                <w:lang w:val="fr-CA"/>
              </w:rPr>
            </w:pPr>
            <w:r>
              <w:rPr>
                <w:b/>
                <w:sz w:val="20"/>
                <w:szCs w:val="20"/>
                <w:lang w:val="fr-CA"/>
              </w:rPr>
              <w:t xml:space="preserve">Sandra </w:t>
            </w:r>
            <w:proofErr w:type="spellStart"/>
            <w:r>
              <w:rPr>
                <w:b/>
                <w:sz w:val="20"/>
                <w:szCs w:val="20"/>
                <w:lang w:val="fr-CA"/>
              </w:rPr>
              <w:t>Nilsen</w:t>
            </w:r>
            <w:proofErr w:type="spellEnd"/>
          </w:p>
          <w:p w:rsidR="00ED71E0" w:rsidRPr="00ED71E0" w:rsidRDefault="00ED71E0" w:rsidP="00FC0259">
            <w:pPr>
              <w:tabs>
                <w:tab w:val="left" w:pos="-1440"/>
                <w:tab w:val="left" w:pos="-720"/>
              </w:tabs>
              <w:rPr>
                <w:sz w:val="20"/>
                <w:szCs w:val="20"/>
                <w:lang w:val="fr-CA"/>
              </w:rPr>
            </w:pPr>
            <w:r w:rsidRPr="00ED71E0">
              <w:rPr>
                <w:sz w:val="20"/>
                <w:szCs w:val="20"/>
                <w:lang w:val="fr-CA"/>
              </w:rPr>
              <w:tab/>
            </w:r>
            <w:r w:rsidR="00FC0259">
              <w:rPr>
                <w:sz w:val="20"/>
                <w:szCs w:val="20"/>
                <w:lang w:val="fr-CA"/>
              </w:rPr>
              <w:t xml:space="preserve">Sandra </w:t>
            </w:r>
            <w:proofErr w:type="spellStart"/>
            <w:r w:rsidR="00FC0259">
              <w:rPr>
                <w:sz w:val="20"/>
                <w:szCs w:val="20"/>
                <w:lang w:val="fr-CA"/>
              </w:rPr>
              <w:t>Nilsen</w:t>
            </w:r>
            <w:proofErr w:type="spellEnd"/>
          </w:p>
          <w:p w:rsidR="00ED71E0" w:rsidRPr="00ED71E0" w:rsidRDefault="00ED71E0" w:rsidP="00FC0259">
            <w:pPr>
              <w:tabs>
                <w:tab w:val="left" w:pos="-1440"/>
                <w:tab w:val="left" w:pos="-720"/>
              </w:tabs>
              <w:rPr>
                <w:sz w:val="20"/>
                <w:szCs w:val="20"/>
                <w:lang w:val="fr-CA"/>
              </w:rPr>
            </w:pPr>
          </w:p>
          <w:p w:rsidR="00ED71E0" w:rsidRPr="00B60050" w:rsidRDefault="00ED71E0" w:rsidP="00FC0259">
            <w:pPr>
              <w:tabs>
                <w:tab w:val="left" w:pos="-1440"/>
                <w:tab w:val="left" w:pos="-720"/>
              </w:tabs>
              <w:rPr>
                <w:sz w:val="20"/>
                <w:szCs w:val="20"/>
                <w:lang w:val="fr-CA"/>
              </w:rPr>
            </w:pPr>
            <w:r w:rsidRPr="00ED71E0">
              <w:rPr>
                <w:sz w:val="20"/>
                <w:szCs w:val="20"/>
                <w:lang w:val="fr-CA"/>
              </w:rPr>
              <w:tab/>
            </w:r>
            <w:r w:rsidRPr="00B60050">
              <w:rPr>
                <w:sz w:val="20"/>
                <w:szCs w:val="20"/>
                <w:lang w:val="fr-CA"/>
              </w:rPr>
              <w:t>v. (34</w:t>
            </w:r>
            <w:r w:rsidR="00FC0259" w:rsidRPr="00B60050">
              <w:rPr>
                <w:sz w:val="20"/>
                <w:szCs w:val="20"/>
                <w:lang w:val="fr-CA"/>
              </w:rPr>
              <w:t>3</w:t>
            </w:r>
            <w:r w:rsidRPr="00B60050">
              <w:rPr>
                <w:sz w:val="20"/>
                <w:szCs w:val="20"/>
                <w:lang w:val="fr-CA"/>
              </w:rPr>
              <w:t>22)</w:t>
            </w:r>
          </w:p>
          <w:p w:rsidR="00ED71E0" w:rsidRPr="00B60050" w:rsidRDefault="00ED71E0" w:rsidP="00FC0259">
            <w:pPr>
              <w:tabs>
                <w:tab w:val="left" w:pos="-1440"/>
                <w:tab w:val="left" w:pos="-720"/>
              </w:tabs>
              <w:rPr>
                <w:sz w:val="20"/>
                <w:szCs w:val="20"/>
                <w:lang w:val="fr-CA"/>
              </w:rPr>
            </w:pPr>
          </w:p>
          <w:p w:rsidR="00ED71E0" w:rsidRPr="00FC0259" w:rsidRDefault="00FC0259" w:rsidP="00FC0259">
            <w:pPr>
              <w:tabs>
                <w:tab w:val="left" w:pos="-1440"/>
                <w:tab w:val="left" w:pos="-720"/>
              </w:tabs>
              <w:rPr>
                <w:b/>
                <w:sz w:val="20"/>
                <w:szCs w:val="20"/>
              </w:rPr>
            </w:pPr>
            <w:r w:rsidRPr="00FC0259">
              <w:rPr>
                <w:b/>
                <w:sz w:val="20"/>
                <w:szCs w:val="20"/>
              </w:rPr>
              <w:t xml:space="preserve">Her Majesty the Queen </w:t>
            </w:r>
            <w:r w:rsidR="00ED71E0" w:rsidRPr="00FC0259">
              <w:rPr>
                <w:b/>
                <w:sz w:val="20"/>
                <w:szCs w:val="20"/>
              </w:rPr>
              <w:t>(</w:t>
            </w:r>
            <w:r w:rsidRPr="00FC0259">
              <w:rPr>
                <w:b/>
                <w:sz w:val="20"/>
                <w:szCs w:val="20"/>
              </w:rPr>
              <w:t>Ont.</w:t>
            </w:r>
            <w:r w:rsidR="00ED71E0" w:rsidRPr="00FC0259">
              <w:rPr>
                <w:b/>
                <w:sz w:val="20"/>
                <w:szCs w:val="20"/>
              </w:rPr>
              <w:t>)</w:t>
            </w:r>
          </w:p>
          <w:p w:rsidR="00ED71E0" w:rsidRPr="00FC0259" w:rsidRDefault="00ED71E0" w:rsidP="00FC0259">
            <w:pPr>
              <w:tabs>
                <w:tab w:val="left" w:pos="-1440"/>
                <w:tab w:val="left" w:pos="-720"/>
              </w:tabs>
              <w:rPr>
                <w:sz w:val="20"/>
                <w:szCs w:val="20"/>
              </w:rPr>
            </w:pPr>
            <w:r w:rsidRPr="00FC0259">
              <w:rPr>
                <w:sz w:val="20"/>
                <w:szCs w:val="20"/>
              </w:rPr>
              <w:tab/>
            </w:r>
            <w:r w:rsidR="00FC0259">
              <w:rPr>
                <w:sz w:val="20"/>
                <w:szCs w:val="20"/>
              </w:rPr>
              <w:t xml:space="preserve">Geoffrey </w:t>
            </w:r>
            <w:proofErr w:type="spellStart"/>
            <w:r w:rsidR="00FC0259">
              <w:rPr>
                <w:sz w:val="20"/>
                <w:szCs w:val="20"/>
              </w:rPr>
              <w:t>Uyeno</w:t>
            </w:r>
            <w:proofErr w:type="spellEnd"/>
          </w:p>
          <w:p w:rsidR="00ED71E0" w:rsidRPr="00FC0259" w:rsidRDefault="00ED71E0" w:rsidP="00FC0259">
            <w:pPr>
              <w:tabs>
                <w:tab w:val="left" w:pos="-1440"/>
                <w:tab w:val="left" w:pos="-720"/>
              </w:tabs>
              <w:rPr>
                <w:sz w:val="20"/>
                <w:szCs w:val="20"/>
              </w:rPr>
            </w:pPr>
            <w:r w:rsidRPr="00FC0259">
              <w:rPr>
                <w:sz w:val="20"/>
                <w:szCs w:val="20"/>
              </w:rPr>
              <w:tab/>
            </w:r>
            <w:r w:rsidR="00FC0259">
              <w:rPr>
                <w:sz w:val="20"/>
                <w:szCs w:val="20"/>
              </w:rPr>
              <w:t>City of Toronto</w:t>
            </w:r>
          </w:p>
          <w:p w:rsidR="00ED71E0" w:rsidRPr="00FC0259" w:rsidRDefault="00ED71E0" w:rsidP="00FC0259">
            <w:pPr>
              <w:tabs>
                <w:tab w:val="left" w:pos="-1440"/>
                <w:tab w:val="left" w:pos="-720"/>
              </w:tabs>
              <w:rPr>
                <w:sz w:val="20"/>
                <w:szCs w:val="20"/>
              </w:rPr>
            </w:pPr>
          </w:p>
          <w:p w:rsidR="00ED71E0" w:rsidRPr="00FC0259" w:rsidRDefault="00ED71E0" w:rsidP="00FC0259">
            <w:pPr>
              <w:rPr>
                <w:sz w:val="20"/>
                <w:szCs w:val="20"/>
              </w:rPr>
            </w:pPr>
            <w:r w:rsidRPr="00FC0259">
              <w:rPr>
                <w:sz w:val="20"/>
                <w:szCs w:val="20"/>
              </w:rPr>
              <w:t xml:space="preserve">FILING DATE: </w:t>
            </w:r>
            <w:r w:rsidR="00FC0259">
              <w:rPr>
                <w:sz w:val="20"/>
                <w:szCs w:val="20"/>
              </w:rPr>
              <w:t>09</w:t>
            </w:r>
            <w:r w:rsidRPr="00FC0259">
              <w:rPr>
                <w:sz w:val="20"/>
                <w:szCs w:val="20"/>
              </w:rPr>
              <w:t>.0</w:t>
            </w:r>
            <w:r w:rsidR="00FC0259">
              <w:rPr>
                <w:sz w:val="20"/>
                <w:szCs w:val="20"/>
              </w:rPr>
              <w:t>6</w:t>
            </w:r>
            <w:r w:rsidRPr="00FC0259">
              <w:rPr>
                <w:sz w:val="20"/>
                <w:szCs w:val="20"/>
              </w:rPr>
              <w:t>.2011</w:t>
            </w:r>
          </w:p>
          <w:p w:rsidR="00ED71E0" w:rsidRPr="00A935AA" w:rsidRDefault="001557DD" w:rsidP="00FC0259">
            <w:pPr>
              <w:rPr>
                <w:sz w:val="20"/>
                <w:szCs w:val="20"/>
              </w:rPr>
            </w:pPr>
            <w:r w:rsidRPr="001557D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tc>
        <w:tc>
          <w:tcPr>
            <w:tcW w:w="4320" w:type="dxa"/>
            <w:shd w:val="clear" w:color="auto" w:fill="auto"/>
          </w:tcPr>
          <w:p w:rsidR="00ED71E0" w:rsidRDefault="00ED71E0" w:rsidP="00FC0259">
            <w:pPr>
              <w:keepNext/>
              <w:keepLines/>
              <w:tabs>
                <w:tab w:val="left" w:pos="-1440"/>
                <w:tab w:val="left" w:pos="-720"/>
              </w:tabs>
              <w:rPr>
                <w:b/>
                <w:sz w:val="20"/>
                <w:szCs w:val="20"/>
              </w:rPr>
            </w:pPr>
          </w:p>
          <w:p w:rsidR="00FC0259" w:rsidRPr="00A935AA" w:rsidRDefault="00FC0259" w:rsidP="00FC0259">
            <w:pPr>
              <w:keepNext/>
              <w:keepLines/>
              <w:tabs>
                <w:tab w:val="left" w:pos="-1440"/>
                <w:tab w:val="left" w:pos="-720"/>
              </w:tabs>
              <w:rPr>
                <w:b/>
                <w:sz w:val="20"/>
                <w:szCs w:val="20"/>
              </w:rPr>
            </w:pPr>
            <w:r>
              <w:rPr>
                <w:b/>
                <w:sz w:val="20"/>
                <w:szCs w:val="20"/>
              </w:rPr>
              <w:t xml:space="preserve">Jeffrey Allan </w:t>
            </w:r>
            <w:proofErr w:type="spellStart"/>
            <w:r>
              <w:rPr>
                <w:b/>
                <w:sz w:val="20"/>
                <w:szCs w:val="20"/>
              </w:rPr>
              <w:t>Ashmore</w:t>
            </w:r>
            <w:proofErr w:type="spellEnd"/>
          </w:p>
          <w:p w:rsidR="00ED71E0" w:rsidRPr="00A935AA" w:rsidRDefault="00ED71E0" w:rsidP="00FC0259">
            <w:pPr>
              <w:keepNext/>
              <w:keepLines/>
              <w:tabs>
                <w:tab w:val="left" w:pos="-1440"/>
                <w:tab w:val="left" w:pos="-720"/>
              </w:tabs>
              <w:rPr>
                <w:sz w:val="20"/>
                <w:szCs w:val="20"/>
              </w:rPr>
            </w:pPr>
            <w:r w:rsidRPr="00A935AA">
              <w:rPr>
                <w:sz w:val="20"/>
                <w:szCs w:val="20"/>
              </w:rPr>
              <w:tab/>
            </w:r>
            <w:r w:rsidR="00FC0259">
              <w:rPr>
                <w:sz w:val="20"/>
                <w:szCs w:val="20"/>
              </w:rPr>
              <w:t xml:space="preserve">Patrick D. </w:t>
            </w:r>
            <w:proofErr w:type="spellStart"/>
            <w:r w:rsidR="00FC0259">
              <w:rPr>
                <w:sz w:val="20"/>
                <w:szCs w:val="20"/>
              </w:rPr>
              <w:t>Angly</w:t>
            </w:r>
            <w:proofErr w:type="spellEnd"/>
          </w:p>
          <w:p w:rsidR="00ED71E0" w:rsidRPr="00A935AA" w:rsidRDefault="00ED71E0" w:rsidP="00FC0259">
            <w:pPr>
              <w:keepNext/>
              <w:keepLines/>
              <w:tabs>
                <w:tab w:val="left" w:pos="-1440"/>
                <w:tab w:val="left" w:pos="-720"/>
              </w:tabs>
              <w:rPr>
                <w:sz w:val="20"/>
                <w:szCs w:val="20"/>
              </w:rPr>
            </w:pPr>
          </w:p>
          <w:p w:rsidR="00ED71E0" w:rsidRPr="00ED71E0" w:rsidRDefault="00ED71E0" w:rsidP="00FC0259">
            <w:pPr>
              <w:keepNext/>
              <w:keepLines/>
              <w:tabs>
                <w:tab w:val="left" w:pos="-1440"/>
                <w:tab w:val="left" w:pos="-720"/>
              </w:tabs>
              <w:rPr>
                <w:sz w:val="20"/>
                <w:szCs w:val="20"/>
              </w:rPr>
            </w:pPr>
            <w:r w:rsidRPr="00A935AA">
              <w:rPr>
                <w:sz w:val="20"/>
                <w:szCs w:val="20"/>
              </w:rPr>
              <w:tab/>
            </w:r>
            <w:r w:rsidRPr="00ED71E0">
              <w:rPr>
                <w:sz w:val="20"/>
                <w:szCs w:val="20"/>
              </w:rPr>
              <w:t>v. (34</w:t>
            </w:r>
            <w:r w:rsidR="00FC0259">
              <w:rPr>
                <w:sz w:val="20"/>
                <w:szCs w:val="20"/>
              </w:rPr>
              <w:t>318</w:t>
            </w:r>
            <w:r w:rsidRPr="00ED71E0">
              <w:rPr>
                <w:sz w:val="20"/>
                <w:szCs w:val="20"/>
              </w:rPr>
              <w:t>)</w:t>
            </w:r>
          </w:p>
          <w:p w:rsidR="00ED71E0" w:rsidRPr="00ED71E0" w:rsidRDefault="00ED71E0" w:rsidP="00FC0259">
            <w:pPr>
              <w:keepNext/>
              <w:keepLines/>
              <w:tabs>
                <w:tab w:val="left" w:pos="-1440"/>
                <w:tab w:val="left" w:pos="-720"/>
              </w:tabs>
              <w:rPr>
                <w:sz w:val="20"/>
                <w:szCs w:val="20"/>
              </w:rPr>
            </w:pPr>
          </w:p>
          <w:p w:rsidR="00ED71E0" w:rsidRPr="00ED71E0" w:rsidRDefault="00FC0259" w:rsidP="00FC0259">
            <w:pPr>
              <w:keepNext/>
              <w:keepLines/>
              <w:tabs>
                <w:tab w:val="left" w:pos="-1440"/>
                <w:tab w:val="left" w:pos="-720"/>
              </w:tabs>
              <w:rPr>
                <w:b/>
                <w:sz w:val="20"/>
                <w:szCs w:val="20"/>
              </w:rPr>
            </w:pPr>
            <w:r>
              <w:rPr>
                <w:b/>
                <w:sz w:val="20"/>
                <w:szCs w:val="20"/>
              </w:rPr>
              <w:t xml:space="preserve">Her Majesty the Queen </w:t>
            </w:r>
            <w:r w:rsidR="00ED71E0" w:rsidRPr="00ED71E0">
              <w:rPr>
                <w:b/>
                <w:sz w:val="20"/>
                <w:szCs w:val="20"/>
              </w:rPr>
              <w:t>(</w:t>
            </w:r>
            <w:r>
              <w:rPr>
                <w:b/>
                <w:sz w:val="20"/>
                <w:szCs w:val="20"/>
              </w:rPr>
              <w:t>B.C</w:t>
            </w:r>
            <w:r w:rsidR="00ED71E0" w:rsidRPr="00ED71E0">
              <w:rPr>
                <w:b/>
                <w:sz w:val="20"/>
                <w:szCs w:val="20"/>
              </w:rPr>
              <w:t>.)</w:t>
            </w:r>
          </w:p>
          <w:p w:rsidR="00ED71E0" w:rsidRPr="00ED71E0" w:rsidRDefault="00ED71E0" w:rsidP="00FC0259">
            <w:pPr>
              <w:keepNext/>
              <w:keepLines/>
              <w:tabs>
                <w:tab w:val="left" w:pos="-1440"/>
                <w:tab w:val="left" w:pos="-720"/>
              </w:tabs>
              <w:rPr>
                <w:sz w:val="20"/>
                <w:szCs w:val="20"/>
              </w:rPr>
            </w:pPr>
            <w:r w:rsidRPr="00ED71E0">
              <w:rPr>
                <w:sz w:val="20"/>
                <w:szCs w:val="20"/>
              </w:rPr>
              <w:tab/>
            </w:r>
            <w:r w:rsidR="00FC0259">
              <w:rPr>
                <w:sz w:val="20"/>
                <w:szCs w:val="20"/>
              </w:rPr>
              <w:t>Jennifer Duncan</w:t>
            </w:r>
          </w:p>
          <w:p w:rsidR="00ED71E0" w:rsidRPr="00ED71E0" w:rsidRDefault="00ED71E0" w:rsidP="00FC0259">
            <w:pPr>
              <w:keepNext/>
              <w:keepLines/>
              <w:tabs>
                <w:tab w:val="left" w:pos="-1440"/>
                <w:tab w:val="left" w:pos="-720"/>
              </w:tabs>
              <w:rPr>
                <w:sz w:val="20"/>
                <w:szCs w:val="20"/>
              </w:rPr>
            </w:pPr>
            <w:r w:rsidRPr="00ED71E0">
              <w:rPr>
                <w:sz w:val="20"/>
                <w:szCs w:val="20"/>
              </w:rPr>
              <w:tab/>
            </w:r>
            <w:r w:rsidR="00FC0259">
              <w:rPr>
                <w:sz w:val="20"/>
                <w:szCs w:val="20"/>
              </w:rPr>
              <w:t>A.G. of British Columbia</w:t>
            </w:r>
          </w:p>
          <w:p w:rsidR="00ED71E0" w:rsidRPr="00ED71E0" w:rsidRDefault="00ED71E0" w:rsidP="00FC0259">
            <w:pPr>
              <w:keepNext/>
              <w:keepLines/>
              <w:tabs>
                <w:tab w:val="left" w:pos="-1440"/>
                <w:tab w:val="left" w:pos="-720"/>
              </w:tabs>
              <w:rPr>
                <w:sz w:val="20"/>
                <w:szCs w:val="20"/>
              </w:rPr>
            </w:pPr>
          </w:p>
          <w:p w:rsidR="00ED71E0" w:rsidRPr="00A935AA" w:rsidRDefault="00ED71E0" w:rsidP="00FC0259">
            <w:pPr>
              <w:rPr>
                <w:sz w:val="20"/>
                <w:szCs w:val="20"/>
              </w:rPr>
            </w:pPr>
            <w:r w:rsidRPr="00A935AA">
              <w:rPr>
                <w:sz w:val="20"/>
                <w:szCs w:val="20"/>
              </w:rPr>
              <w:t xml:space="preserve">FILING DATE: </w:t>
            </w:r>
            <w:r w:rsidR="00FC0259">
              <w:rPr>
                <w:sz w:val="20"/>
                <w:szCs w:val="20"/>
              </w:rPr>
              <w:t>16</w:t>
            </w:r>
            <w:r w:rsidRPr="00A935AA">
              <w:rPr>
                <w:sz w:val="20"/>
                <w:szCs w:val="20"/>
              </w:rPr>
              <w:t>.0</w:t>
            </w:r>
            <w:r w:rsidR="00FC0259">
              <w:rPr>
                <w:sz w:val="20"/>
                <w:szCs w:val="20"/>
              </w:rPr>
              <w:t>6</w:t>
            </w:r>
            <w:r w:rsidRPr="00A935AA">
              <w:rPr>
                <w:sz w:val="20"/>
                <w:szCs w:val="20"/>
              </w:rPr>
              <w:t>.201</w:t>
            </w:r>
            <w:r>
              <w:rPr>
                <w:sz w:val="20"/>
                <w:szCs w:val="20"/>
              </w:rPr>
              <w:t>1</w:t>
            </w:r>
            <w:r w:rsidR="001557DD" w:rsidRPr="001557DD">
              <w:rPr>
                <w:sz w:val="20"/>
                <w:szCs w:val="20"/>
                <w:lang w:val="fr-CA"/>
              </w:rPr>
              <w:pict>
                <v:rect id="_x0000_i1028" style="width:108pt;height:1pt" o:hrpct="0" o:hralign="center" o:hrstd="t" o:hrnoshade="t" o:hr="t" fillcolor="black [3213]" stroked="f"/>
              </w:pict>
            </w:r>
          </w:p>
        </w:tc>
      </w:tr>
      <w:tr w:rsidR="00ED71E0" w:rsidRPr="00A935AA" w:rsidTr="003B3977">
        <w:tc>
          <w:tcPr>
            <w:tcW w:w="4320" w:type="dxa"/>
            <w:shd w:val="clear" w:color="auto" w:fill="auto"/>
          </w:tcPr>
          <w:p w:rsidR="00ED71E0" w:rsidRPr="00FC0259" w:rsidRDefault="003B1DA6" w:rsidP="00FC0259">
            <w:pPr>
              <w:rPr>
                <w:b/>
                <w:sz w:val="20"/>
                <w:szCs w:val="20"/>
              </w:rPr>
            </w:pPr>
            <w:r>
              <w:rPr>
                <w:b/>
                <w:sz w:val="20"/>
                <w:szCs w:val="20"/>
              </w:rPr>
              <w:t xml:space="preserve">Johann Paul Ernest </w:t>
            </w:r>
            <w:proofErr w:type="spellStart"/>
            <w:r>
              <w:rPr>
                <w:b/>
                <w:sz w:val="20"/>
                <w:szCs w:val="20"/>
              </w:rPr>
              <w:t>Schlotfeldt</w:t>
            </w:r>
            <w:proofErr w:type="spellEnd"/>
          </w:p>
          <w:p w:rsidR="00ED71E0" w:rsidRPr="003B1DA6" w:rsidRDefault="00ED71E0" w:rsidP="00FC0259">
            <w:pPr>
              <w:tabs>
                <w:tab w:val="left" w:pos="-1440"/>
                <w:tab w:val="left" w:pos="-720"/>
              </w:tabs>
              <w:rPr>
                <w:sz w:val="20"/>
                <w:szCs w:val="20"/>
              </w:rPr>
            </w:pPr>
            <w:r w:rsidRPr="00FC0259">
              <w:rPr>
                <w:sz w:val="20"/>
                <w:szCs w:val="20"/>
              </w:rPr>
              <w:tab/>
            </w:r>
            <w:r w:rsidR="00DF503A">
              <w:rPr>
                <w:sz w:val="20"/>
                <w:szCs w:val="20"/>
              </w:rPr>
              <w:t xml:space="preserve">Gerhard A. </w:t>
            </w:r>
            <w:proofErr w:type="spellStart"/>
            <w:r w:rsidR="00DF503A">
              <w:rPr>
                <w:sz w:val="20"/>
                <w:szCs w:val="20"/>
              </w:rPr>
              <w:t>Pyper</w:t>
            </w:r>
            <w:proofErr w:type="spellEnd"/>
          </w:p>
          <w:p w:rsidR="00ED71E0" w:rsidRPr="00FC0259" w:rsidRDefault="00ED71E0" w:rsidP="00FC0259">
            <w:pPr>
              <w:tabs>
                <w:tab w:val="left" w:pos="-1440"/>
                <w:tab w:val="left" w:pos="-720"/>
              </w:tabs>
              <w:rPr>
                <w:sz w:val="20"/>
                <w:szCs w:val="20"/>
              </w:rPr>
            </w:pPr>
            <w:r w:rsidRPr="00FC0259">
              <w:rPr>
                <w:sz w:val="20"/>
                <w:szCs w:val="20"/>
              </w:rPr>
              <w:tab/>
            </w:r>
            <w:proofErr w:type="spellStart"/>
            <w:r w:rsidR="003B1DA6">
              <w:rPr>
                <w:sz w:val="20"/>
                <w:szCs w:val="20"/>
              </w:rPr>
              <w:t>Pyper</w:t>
            </w:r>
            <w:proofErr w:type="spellEnd"/>
            <w:r w:rsidR="00DF503A">
              <w:rPr>
                <w:sz w:val="20"/>
                <w:szCs w:val="20"/>
              </w:rPr>
              <w:t xml:space="preserve"> Law Group</w:t>
            </w:r>
          </w:p>
          <w:p w:rsidR="00ED71E0" w:rsidRPr="00FC0259" w:rsidRDefault="00ED71E0" w:rsidP="00FC0259">
            <w:pPr>
              <w:tabs>
                <w:tab w:val="left" w:pos="-1440"/>
                <w:tab w:val="left" w:pos="-720"/>
              </w:tabs>
              <w:rPr>
                <w:sz w:val="20"/>
                <w:szCs w:val="20"/>
              </w:rPr>
            </w:pPr>
          </w:p>
          <w:p w:rsidR="00ED71E0" w:rsidRPr="00FC0259" w:rsidRDefault="00ED71E0" w:rsidP="00FC0259">
            <w:pPr>
              <w:tabs>
                <w:tab w:val="left" w:pos="-1440"/>
                <w:tab w:val="left" w:pos="-720"/>
              </w:tabs>
              <w:rPr>
                <w:sz w:val="20"/>
                <w:szCs w:val="20"/>
              </w:rPr>
            </w:pPr>
            <w:r w:rsidRPr="00FC0259">
              <w:rPr>
                <w:sz w:val="20"/>
                <w:szCs w:val="20"/>
              </w:rPr>
              <w:tab/>
              <w:t>v. (34</w:t>
            </w:r>
            <w:r w:rsidR="003B1DA6">
              <w:rPr>
                <w:sz w:val="20"/>
                <w:szCs w:val="20"/>
              </w:rPr>
              <w:t>3</w:t>
            </w:r>
            <w:r w:rsidRPr="00FC0259">
              <w:rPr>
                <w:sz w:val="20"/>
                <w:szCs w:val="20"/>
              </w:rPr>
              <w:t>2</w:t>
            </w:r>
            <w:r w:rsidR="003B1DA6">
              <w:rPr>
                <w:sz w:val="20"/>
                <w:szCs w:val="20"/>
              </w:rPr>
              <w:t>9</w:t>
            </w:r>
            <w:r w:rsidRPr="00FC0259">
              <w:rPr>
                <w:sz w:val="20"/>
                <w:szCs w:val="20"/>
              </w:rPr>
              <w:t>)</w:t>
            </w:r>
          </w:p>
          <w:p w:rsidR="00ED71E0" w:rsidRPr="00FC0259" w:rsidRDefault="00ED71E0" w:rsidP="00FC0259">
            <w:pPr>
              <w:tabs>
                <w:tab w:val="left" w:pos="-1440"/>
                <w:tab w:val="left" w:pos="-720"/>
              </w:tabs>
              <w:rPr>
                <w:sz w:val="20"/>
                <w:szCs w:val="20"/>
              </w:rPr>
            </w:pPr>
          </w:p>
          <w:p w:rsidR="00ED71E0" w:rsidRPr="00FC0259" w:rsidRDefault="003B1DA6" w:rsidP="00FC0259">
            <w:pPr>
              <w:tabs>
                <w:tab w:val="left" w:pos="-1440"/>
                <w:tab w:val="left" w:pos="-720"/>
              </w:tabs>
              <w:rPr>
                <w:b/>
                <w:sz w:val="20"/>
                <w:szCs w:val="20"/>
              </w:rPr>
            </w:pPr>
            <w:r>
              <w:rPr>
                <w:b/>
                <w:sz w:val="20"/>
                <w:szCs w:val="20"/>
              </w:rPr>
              <w:t xml:space="preserve">Kelly </w:t>
            </w:r>
            <w:proofErr w:type="spellStart"/>
            <w:r>
              <w:rPr>
                <w:b/>
                <w:sz w:val="20"/>
                <w:szCs w:val="20"/>
              </w:rPr>
              <w:t>Lorell</w:t>
            </w:r>
            <w:proofErr w:type="spellEnd"/>
            <w:r>
              <w:rPr>
                <w:b/>
                <w:sz w:val="20"/>
                <w:szCs w:val="20"/>
              </w:rPr>
              <w:t xml:space="preserve"> </w:t>
            </w:r>
            <w:proofErr w:type="spellStart"/>
            <w:r>
              <w:rPr>
                <w:b/>
                <w:sz w:val="20"/>
                <w:szCs w:val="20"/>
              </w:rPr>
              <w:t>Schlotfeldt</w:t>
            </w:r>
            <w:proofErr w:type="spellEnd"/>
            <w:r>
              <w:rPr>
                <w:b/>
                <w:sz w:val="20"/>
                <w:szCs w:val="20"/>
              </w:rPr>
              <w:t xml:space="preserve"> </w:t>
            </w:r>
            <w:r w:rsidR="00ED71E0" w:rsidRPr="00FC0259">
              <w:rPr>
                <w:b/>
                <w:sz w:val="20"/>
                <w:szCs w:val="20"/>
              </w:rPr>
              <w:t>(</w:t>
            </w:r>
            <w:r>
              <w:rPr>
                <w:b/>
                <w:sz w:val="20"/>
                <w:szCs w:val="20"/>
              </w:rPr>
              <w:t>B.C.</w:t>
            </w:r>
            <w:r w:rsidR="00ED71E0" w:rsidRPr="00FC0259">
              <w:rPr>
                <w:b/>
                <w:sz w:val="20"/>
                <w:szCs w:val="20"/>
              </w:rPr>
              <w:t>)</w:t>
            </w:r>
          </w:p>
          <w:p w:rsidR="00ED71E0" w:rsidRPr="00FC0259" w:rsidRDefault="00ED71E0" w:rsidP="00FC0259">
            <w:pPr>
              <w:tabs>
                <w:tab w:val="left" w:pos="-1440"/>
                <w:tab w:val="left" w:pos="-720"/>
              </w:tabs>
              <w:rPr>
                <w:sz w:val="20"/>
                <w:szCs w:val="20"/>
              </w:rPr>
            </w:pPr>
            <w:r w:rsidRPr="00FC0259">
              <w:rPr>
                <w:sz w:val="20"/>
                <w:szCs w:val="20"/>
              </w:rPr>
              <w:tab/>
            </w:r>
            <w:r w:rsidR="003B1DA6">
              <w:rPr>
                <w:sz w:val="20"/>
                <w:szCs w:val="20"/>
              </w:rPr>
              <w:t>Wayne Van Tassel</w:t>
            </w:r>
          </w:p>
          <w:p w:rsidR="00ED71E0" w:rsidRPr="00FC0259" w:rsidRDefault="00ED71E0" w:rsidP="00FC0259">
            <w:pPr>
              <w:tabs>
                <w:tab w:val="left" w:pos="-1440"/>
                <w:tab w:val="left" w:pos="-720"/>
              </w:tabs>
              <w:rPr>
                <w:sz w:val="20"/>
                <w:szCs w:val="20"/>
              </w:rPr>
            </w:pPr>
            <w:r w:rsidRPr="00FC0259">
              <w:rPr>
                <w:sz w:val="20"/>
                <w:szCs w:val="20"/>
              </w:rPr>
              <w:tab/>
            </w:r>
            <w:r w:rsidR="003B1DA6">
              <w:rPr>
                <w:sz w:val="20"/>
                <w:szCs w:val="20"/>
              </w:rPr>
              <w:t>Val</w:t>
            </w:r>
            <w:r w:rsidR="00DF503A">
              <w:rPr>
                <w:sz w:val="20"/>
                <w:szCs w:val="20"/>
              </w:rPr>
              <w:t>l</w:t>
            </w:r>
            <w:r w:rsidR="003B1DA6">
              <w:rPr>
                <w:sz w:val="20"/>
                <w:szCs w:val="20"/>
              </w:rPr>
              <w:t>etta &amp; Company</w:t>
            </w:r>
          </w:p>
          <w:p w:rsidR="00ED71E0" w:rsidRPr="00FC0259" w:rsidRDefault="00ED71E0" w:rsidP="00FC0259">
            <w:pPr>
              <w:tabs>
                <w:tab w:val="left" w:pos="-1440"/>
                <w:tab w:val="left" w:pos="-720"/>
              </w:tabs>
              <w:rPr>
                <w:sz w:val="20"/>
                <w:szCs w:val="20"/>
              </w:rPr>
            </w:pPr>
          </w:p>
          <w:p w:rsidR="00ED71E0" w:rsidRPr="00FC0259" w:rsidRDefault="00ED71E0" w:rsidP="00FC0259">
            <w:pPr>
              <w:rPr>
                <w:sz w:val="20"/>
                <w:szCs w:val="20"/>
              </w:rPr>
            </w:pPr>
            <w:r w:rsidRPr="00FC0259">
              <w:rPr>
                <w:sz w:val="20"/>
                <w:szCs w:val="20"/>
              </w:rPr>
              <w:t xml:space="preserve">FILING DATE: </w:t>
            </w:r>
            <w:r w:rsidR="003B1DA6">
              <w:rPr>
                <w:sz w:val="20"/>
                <w:szCs w:val="20"/>
              </w:rPr>
              <w:t>1</w:t>
            </w:r>
            <w:r w:rsidRPr="00FC0259">
              <w:rPr>
                <w:sz w:val="20"/>
                <w:szCs w:val="20"/>
              </w:rPr>
              <w:t>6.0</w:t>
            </w:r>
            <w:r w:rsidR="003B1DA6">
              <w:rPr>
                <w:sz w:val="20"/>
                <w:szCs w:val="20"/>
              </w:rPr>
              <w:t>6</w:t>
            </w:r>
            <w:r w:rsidRPr="00FC0259">
              <w:rPr>
                <w:sz w:val="20"/>
                <w:szCs w:val="20"/>
              </w:rPr>
              <w:t>.2011</w:t>
            </w:r>
          </w:p>
          <w:p w:rsidR="00ED71E0" w:rsidRPr="00A935AA" w:rsidRDefault="001557DD" w:rsidP="00FC0259">
            <w:pPr>
              <w:rPr>
                <w:sz w:val="20"/>
                <w:szCs w:val="20"/>
              </w:rPr>
            </w:pPr>
            <w:r w:rsidRPr="001557DD">
              <w:rPr>
                <w:sz w:val="20"/>
                <w:szCs w:val="20"/>
                <w:lang w:val="fr-CA"/>
              </w:rPr>
              <w:pict>
                <v:rect id="_x0000_i1029" style="width:108pt;height:1pt" o:hrpct="0" o:hralign="center" o:hrstd="t" o:hrnoshade="t" o:hr="t" fillcolor="black [3213]" stroked="f"/>
              </w:pict>
            </w:r>
          </w:p>
        </w:tc>
        <w:tc>
          <w:tcPr>
            <w:tcW w:w="1181" w:type="dxa"/>
            <w:shd w:val="clear" w:color="auto" w:fill="auto"/>
          </w:tcPr>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Default="00ED71E0" w:rsidP="00242AEE">
            <w:pPr>
              <w:jc w:val="center"/>
              <w:rPr>
                <w:sz w:val="20"/>
                <w:szCs w:val="20"/>
              </w:rPr>
            </w:pPr>
          </w:p>
          <w:p w:rsidR="00ED71E0" w:rsidRDefault="00ED71E0" w:rsidP="00242AEE">
            <w:pPr>
              <w:jc w:val="center"/>
              <w:rPr>
                <w:sz w:val="20"/>
                <w:szCs w:val="20"/>
              </w:rPr>
            </w:pPr>
          </w:p>
          <w:p w:rsidR="00ED71E0" w:rsidRPr="00A935AA" w:rsidRDefault="00ED71E0" w:rsidP="00242AEE">
            <w:pPr>
              <w:jc w:val="center"/>
              <w:rPr>
                <w:sz w:val="20"/>
                <w:szCs w:val="20"/>
              </w:rPr>
            </w:pPr>
          </w:p>
        </w:tc>
        <w:tc>
          <w:tcPr>
            <w:tcW w:w="4320" w:type="dxa"/>
            <w:shd w:val="clear" w:color="auto" w:fill="auto"/>
          </w:tcPr>
          <w:p w:rsidR="003B1DA6" w:rsidRDefault="003B1DA6" w:rsidP="00FC0259">
            <w:pPr>
              <w:keepNext/>
              <w:keepLines/>
              <w:tabs>
                <w:tab w:val="left" w:pos="-1440"/>
                <w:tab w:val="left" w:pos="-720"/>
              </w:tabs>
              <w:rPr>
                <w:b/>
                <w:sz w:val="20"/>
                <w:szCs w:val="20"/>
              </w:rPr>
            </w:pPr>
          </w:p>
          <w:p w:rsidR="00ED71E0" w:rsidRPr="00A935AA" w:rsidRDefault="003B1DA6" w:rsidP="00FC0259">
            <w:pPr>
              <w:keepNext/>
              <w:keepLines/>
              <w:tabs>
                <w:tab w:val="left" w:pos="-1440"/>
                <w:tab w:val="left" w:pos="-720"/>
              </w:tabs>
              <w:rPr>
                <w:b/>
                <w:sz w:val="20"/>
                <w:szCs w:val="20"/>
              </w:rPr>
            </w:pPr>
            <w:r>
              <w:rPr>
                <w:b/>
                <w:sz w:val="20"/>
                <w:szCs w:val="20"/>
              </w:rPr>
              <w:t>J</w:t>
            </w:r>
            <w:r w:rsidR="00FC0259">
              <w:rPr>
                <w:b/>
                <w:sz w:val="20"/>
                <w:szCs w:val="20"/>
              </w:rPr>
              <w:t>a</w:t>
            </w:r>
            <w:r>
              <w:rPr>
                <w:b/>
                <w:sz w:val="20"/>
                <w:szCs w:val="20"/>
              </w:rPr>
              <w:t>mes Whe</w:t>
            </w:r>
            <w:r w:rsidR="00FC0259">
              <w:rPr>
                <w:b/>
                <w:sz w:val="20"/>
                <w:szCs w:val="20"/>
              </w:rPr>
              <w:t>l</w:t>
            </w:r>
            <w:r>
              <w:rPr>
                <w:b/>
                <w:sz w:val="20"/>
                <w:szCs w:val="20"/>
              </w:rPr>
              <w:t>a</w:t>
            </w:r>
            <w:r w:rsidR="00FC0259">
              <w:rPr>
                <w:b/>
                <w:sz w:val="20"/>
                <w:szCs w:val="20"/>
              </w:rPr>
              <w:t>n</w:t>
            </w:r>
          </w:p>
          <w:p w:rsidR="00FC0259" w:rsidRDefault="00FC0259" w:rsidP="00FC0259">
            <w:pPr>
              <w:tabs>
                <w:tab w:val="left" w:pos="-1440"/>
                <w:tab w:val="left" w:pos="-720"/>
              </w:tabs>
              <w:rPr>
                <w:sz w:val="20"/>
                <w:szCs w:val="20"/>
              </w:rPr>
            </w:pPr>
            <w:r w:rsidRPr="00FC0259">
              <w:rPr>
                <w:sz w:val="20"/>
                <w:szCs w:val="20"/>
              </w:rPr>
              <w:tab/>
            </w:r>
            <w:r w:rsidR="003B1DA6">
              <w:rPr>
                <w:sz w:val="20"/>
                <w:szCs w:val="20"/>
              </w:rPr>
              <w:t>Arle</w:t>
            </w:r>
            <w:r w:rsidR="00DF503A">
              <w:rPr>
                <w:sz w:val="20"/>
                <w:szCs w:val="20"/>
              </w:rPr>
              <w:t>n</w:t>
            </w:r>
            <w:r w:rsidR="003B1DA6">
              <w:rPr>
                <w:sz w:val="20"/>
                <w:szCs w:val="20"/>
              </w:rPr>
              <w:t xml:space="preserve"> K. Sternberg</w:t>
            </w:r>
          </w:p>
          <w:p w:rsidR="003B1DA6" w:rsidRPr="00FC0259" w:rsidRDefault="003B1DA6" w:rsidP="00FC0259">
            <w:pPr>
              <w:tabs>
                <w:tab w:val="left" w:pos="-1440"/>
                <w:tab w:val="left" w:pos="-720"/>
              </w:tabs>
              <w:rPr>
                <w:sz w:val="20"/>
                <w:szCs w:val="20"/>
              </w:rPr>
            </w:pPr>
            <w:r>
              <w:rPr>
                <w:sz w:val="20"/>
                <w:szCs w:val="20"/>
              </w:rPr>
              <w:tab/>
            </w:r>
            <w:proofErr w:type="spellStart"/>
            <w:r>
              <w:rPr>
                <w:sz w:val="20"/>
                <w:szCs w:val="20"/>
              </w:rPr>
              <w:t>Torys</w:t>
            </w:r>
            <w:proofErr w:type="spellEnd"/>
            <w:r>
              <w:rPr>
                <w:sz w:val="20"/>
                <w:szCs w:val="20"/>
              </w:rPr>
              <w:t xml:space="preserve"> LLP</w:t>
            </w:r>
          </w:p>
          <w:p w:rsidR="00FC0259" w:rsidRPr="00FC0259" w:rsidRDefault="00FC0259" w:rsidP="00FC0259">
            <w:pPr>
              <w:tabs>
                <w:tab w:val="left" w:pos="-1440"/>
                <w:tab w:val="left" w:pos="-720"/>
              </w:tabs>
              <w:rPr>
                <w:sz w:val="20"/>
                <w:szCs w:val="20"/>
              </w:rPr>
            </w:pPr>
          </w:p>
          <w:p w:rsidR="00FC0259" w:rsidRPr="00FC0259" w:rsidRDefault="00FC0259" w:rsidP="00FC0259">
            <w:pPr>
              <w:tabs>
                <w:tab w:val="left" w:pos="-1440"/>
                <w:tab w:val="left" w:pos="-720"/>
              </w:tabs>
              <w:rPr>
                <w:sz w:val="20"/>
                <w:szCs w:val="20"/>
              </w:rPr>
            </w:pPr>
            <w:r w:rsidRPr="00FC0259">
              <w:rPr>
                <w:sz w:val="20"/>
                <w:szCs w:val="20"/>
              </w:rPr>
              <w:tab/>
              <w:t>v. (3432</w:t>
            </w:r>
            <w:r w:rsidR="003B1DA6">
              <w:rPr>
                <w:sz w:val="20"/>
                <w:szCs w:val="20"/>
              </w:rPr>
              <w:t>7</w:t>
            </w:r>
            <w:r w:rsidRPr="00FC0259">
              <w:rPr>
                <w:sz w:val="20"/>
                <w:szCs w:val="20"/>
              </w:rPr>
              <w:t>)</w:t>
            </w:r>
          </w:p>
          <w:p w:rsidR="00FC0259" w:rsidRPr="00FC0259" w:rsidRDefault="00FC0259" w:rsidP="00FC0259">
            <w:pPr>
              <w:tabs>
                <w:tab w:val="left" w:pos="-1440"/>
                <w:tab w:val="left" w:pos="-720"/>
              </w:tabs>
              <w:rPr>
                <w:sz w:val="20"/>
                <w:szCs w:val="20"/>
              </w:rPr>
            </w:pPr>
          </w:p>
          <w:p w:rsidR="00FC0259" w:rsidRPr="00B60050" w:rsidRDefault="003B1DA6" w:rsidP="00FC0259">
            <w:pPr>
              <w:tabs>
                <w:tab w:val="left" w:pos="-1440"/>
                <w:tab w:val="left" w:pos="-720"/>
              </w:tabs>
              <w:rPr>
                <w:b/>
                <w:sz w:val="20"/>
                <w:szCs w:val="20"/>
                <w:lang w:val="fr-CA"/>
              </w:rPr>
            </w:pPr>
            <w:r>
              <w:rPr>
                <w:b/>
                <w:sz w:val="20"/>
                <w:szCs w:val="20"/>
              </w:rPr>
              <w:t>Woodbine Ent</w:t>
            </w:r>
            <w:r w:rsidR="00FC0259" w:rsidRPr="00FC0259">
              <w:rPr>
                <w:b/>
                <w:sz w:val="20"/>
                <w:szCs w:val="20"/>
              </w:rPr>
              <w:t>er</w:t>
            </w:r>
            <w:r>
              <w:rPr>
                <w:b/>
                <w:sz w:val="20"/>
                <w:szCs w:val="20"/>
              </w:rPr>
              <w:t>t</w:t>
            </w:r>
            <w:r w:rsidR="00FC0259" w:rsidRPr="00FC0259">
              <w:rPr>
                <w:b/>
                <w:sz w:val="20"/>
                <w:szCs w:val="20"/>
              </w:rPr>
              <w:t>a</w:t>
            </w:r>
            <w:r>
              <w:rPr>
                <w:b/>
                <w:sz w:val="20"/>
                <w:szCs w:val="20"/>
              </w:rPr>
              <w:t>inm</w:t>
            </w:r>
            <w:r w:rsidR="00FC0259" w:rsidRPr="00FC0259">
              <w:rPr>
                <w:b/>
                <w:sz w:val="20"/>
                <w:szCs w:val="20"/>
              </w:rPr>
              <w:t>e</w:t>
            </w:r>
            <w:r>
              <w:rPr>
                <w:b/>
                <w:sz w:val="20"/>
                <w:szCs w:val="20"/>
              </w:rPr>
              <w:t>n</w:t>
            </w:r>
            <w:r w:rsidR="00FC0259" w:rsidRPr="00FC0259">
              <w:rPr>
                <w:b/>
                <w:sz w:val="20"/>
                <w:szCs w:val="20"/>
              </w:rPr>
              <w:t>t</w:t>
            </w:r>
            <w:r>
              <w:rPr>
                <w:b/>
                <w:sz w:val="20"/>
                <w:szCs w:val="20"/>
              </w:rPr>
              <w:t xml:space="preserve"> Group et al.</w:t>
            </w:r>
            <w:r w:rsidR="00FC0259" w:rsidRPr="00FC0259">
              <w:rPr>
                <w:b/>
                <w:sz w:val="20"/>
                <w:szCs w:val="20"/>
              </w:rPr>
              <w:t xml:space="preserve"> </w:t>
            </w:r>
            <w:r w:rsidR="00FC0259" w:rsidRPr="00B60050">
              <w:rPr>
                <w:b/>
                <w:sz w:val="20"/>
                <w:szCs w:val="20"/>
                <w:lang w:val="fr-CA"/>
              </w:rPr>
              <w:t>(Ont.)</w:t>
            </w:r>
          </w:p>
          <w:p w:rsidR="00FC0259" w:rsidRPr="00B60050" w:rsidRDefault="00FC0259" w:rsidP="00FC0259">
            <w:pPr>
              <w:tabs>
                <w:tab w:val="left" w:pos="-1440"/>
                <w:tab w:val="left" w:pos="-720"/>
              </w:tabs>
              <w:rPr>
                <w:sz w:val="20"/>
                <w:szCs w:val="20"/>
                <w:lang w:val="fr-CA"/>
              </w:rPr>
            </w:pPr>
            <w:r w:rsidRPr="00B60050">
              <w:rPr>
                <w:sz w:val="20"/>
                <w:szCs w:val="20"/>
                <w:lang w:val="fr-CA"/>
              </w:rPr>
              <w:tab/>
            </w:r>
            <w:r w:rsidR="003B1DA6" w:rsidRPr="00B60050">
              <w:rPr>
                <w:sz w:val="20"/>
                <w:szCs w:val="20"/>
                <w:lang w:val="fr-CA"/>
              </w:rPr>
              <w:t xml:space="preserve">P. David </w:t>
            </w:r>
            <w:proofErr w:type="spellStart"/>
            <w:r w:rsidR="003B1DA6" w:rsidRPr="00B60050">
              <w:rPr>
                <w:sz w:val="20"/>
                <w:szCs w:val="20"/>
                <w:lang w:val="fr-CA"/>
              </w:rPr>
              <w:t>McCutcheon</w:t>
            </w:r>
            <w:proofErr w:type="spellEnd"/>
          </w:p>
          <w:p w:rsidR="00ED71E0" w:rsidRPr="00B60050" w:rsidRDefault="00FC0259" w:rsidP="00FC0259">
            <w:pPr>
              <w:keepNext/>
              <w:keepLines/>
              <w:tabs>
                <w:tab w:val="left" w:pos="-1440"/>
                <w:tab w:val="left" w:pos="-720"/>
              </w:tabs>
              <w:rPr>
                <w:sz w:val="20"/>
                <w:szCs w:val="20"/>
                <w:lang w:val="fr-CA"/>
              </w:rPr>
            </w:pPr>
            <w:r w:rsidRPr="00B60050">
              <w:rPr>
                <w:sz w:val="20"/>
                <w:szCs w:val="20"/>
                <w:lang w:val="fr-CA"/>
              </w:rPr>
              <w:tab/>
            </w:r>
            <w:r w:rsidR="003B1DA6" w:rsidRPr="00B60050">
              <w:rPr>
                <w:sz w:val="20"/>
                <w:szCs w:val="20"/>
                <w:lang w:val="fr-CA"/>
              </w:rPr>
              <w:t xml:space="preserve">Fraser Milner </w:t>
            </w:r>
            <w:proofErr w:type="spellStart"/>
            <w:r w:rsidR="003B1DA6" w:rsidRPr="00B60050">
              <w:rPr>
                <w:sz w:val="20"/>
                <w:szCs w:val="20"/>
                <w:lang w:val="fr-CA"/>
              </w:rPr>
              <w:t>Casgrain</w:t>
            </w:r>
            <w:proofErr w:type="spellEnd"/>
            <w:r w:rsidR="003B1DA6" w:rsidRPr="00B60050">
              <w:rPr>
                <w:sz w:val="20"/>
                <w:szCs w:val="20"/>
                <w:lang w:val="fr-CA"/>
              </w:rPr>
              <w:t xml:space="preserve"> LLP</w:t>
            </w:r>
          </w:p>
          <w:p w:rsidR="003B1DA6" w:rsidRPr="00B60050" w:rsidRDefault="003B1DA6" w:rsidP="00FC0259">
            <w:pPr>
              <w:keepNext/>
              <w:keepLines/>
              <w:tabs>
                <w:tab w:val="left" w:pos="-1440"/>
                <w:tab w:val="left" w:pos="-720"/>
              </w:tabs>
              <w:rPr>
                <w:sz w:val="20"/>
                <w:szCs w:val="20"/>
                <w:lang w:val="fr-CA"/>
              </w:rPr>
            </w:pPr>
          </w:p>
          <w:p w:rsidR="00ED71E0" w:rsidRPr="00A935AA" w:rsidRDefault="00ED71E0" w:rsidP="003B1DA6">
            <w:pPr>
              <w:rPr>
                <w:sz w:val="20"/>
                <w:szCs w:val="20"/>
              </w:rPr>
            </w:pPr>
            <w:r w:rsidRPr="00A935AA">
              <w:rPr>
                <w:sz w:val="20"/>
                <w:szCs w:val="20"/>
              </w:rPr>
              <w:t xml:space="preserve">FILING DATE: </w:t>
            </w:r>
            <w:r w:rsidR="003B1DA6">
              <w:rPr>
                <w:sz w:val="20"/>
                <w:szCs w:val="20"/>
              </w:rPr>
              <w:t>17</w:t>
            </w:r>
            <w:r w:rsidRPr="00A935AA">
              <w:rPr>
                <w:sz w:val="20"/>
                <w:szCs w:val="20"/>
              </w:rPr>
              <w:t>.0</w:t>
            </w:r>
            <w:r w:rsidR="00FC0259">
              <w:rPr>
                <w:sz w:val="20"/>
                <w:szCs w:val="20"/>
              </w:rPr>
              <w:t>6</w:t>
            </w:r>
            <w:r w:rsidRPr="00A935AA">
              <w:rPr>
                <w:sz w:val="20"/>
                <w:szCs w:val="20"/>
              </w:rPr>
              <w:t>.201</w:t>
            </w:r>
            <w:r>
              <w:rPr>
                <w:sz w:val="20"/>
                <w:szCs w:val="20"/>
              </w:rPr>
              <w:t>1</w:t>
            </w:r>
            <w:r w:rsidR="001557DD" w:rsidRPr="001557DD">
              <w:rPr>
                <w:sz w:val="20"/>
                <w:szCs w:val="20"/>
                <w:lang w:val="fr-CA"/>
              </w:rPr>
              <w:pict>
                <v:rect id="_x0000_i1030" style="width:108pt;height:1pt" o:hrpct="0" o:hralign="center" o:hrstd="t" o:hrnoshade="t" o:hr="t" fillcolor="black [3213]" stroked="f"/>
              </w:pict>
            </w:r>
          </w:p>
        </w:tc>
      </w:tr>
      <w:tr w:rsidR="00ED71E0" w:rsidRPr="00A935AA" w:rsidTr="003B3977">
        <w:trPr>
          <w:cantSplit/>
        </w:trPr>
        <w:tc>
          <w:tcPr>
            <w:tcW w:w="4320" w:type="dxa"/>
            <w:shd w:val="clear" w:color="auto" w:fill="auto"/>
          </w:tcPr>
          <w:p w:rsidR="00ED71E0" w:rsidRPr="00FC0259" w:rsidRDefault="003B1DA6" w:rsidP="00FC0259">
            <w:pPr>
              <w:rPr>
                <w:b/>
                <w:sz w:val="20"/>
                <w:szCs w:val="20"/>
              </w:rPr>
            </w:pPr>
            <w:proofErr w:type="spellStart"/>
            <w:r>
              <w:rPr>
                <w:b/>
                <w:sz w:val="20"/>
                <w:szCs w:val="20"/>
              </w:rPr>
              <w:t>Sujenth</w:t>
            </w:r>
            <w:proofErr w:type="spellEnd"/>
            <w:r>
              <w:rPr>
                <w:b/>
                <w:sz w:val="20"/>
                <w:szCs w:val="20"/>
              </w:rPr>
              <w:t xml:space="preserve"> </w:t>
            </w:r>
            <w:proofErr w:type="spellStart"/>
            <w:r>
              <w:rPr>
                <w:b/>
                <w:sz w:val="20"/>
                <w:szCs w:val="20"/>
              </w:rPr>
              <w:t>Ulaganathan</w:t>
            </w:r>
            <w:proofErr w:type="spellEnd"/>
          </w:p>
          <w:p w:rsidR="00ED71E0" w:rsidRPr="00FC0259" w:rsidRDefault="00ED71E0" w:rsidP="00FC0259">
            <w:pPr>
              <w:tabs>
                <w:tab w:val="left" w:pos="-1440"/>
                <w:tab w:val="left" w:pos="-720"/>
              </w:tabs>
              <w:rPr>
                <w:sz w:val="20"/>
                <w:szCs w:val="20"/>
              </w:rPr>
            </w:pPr>
            <w:r w:rsidRPr="00FC0259">
              <w:rPr>
                <w:sz w:val="20"/>
                <w:szCs w:val="20"/>
              </w:rPr>
              <w:tab/>
            </w:r>
            <w:r w:rsidR="003B1DA6">
              <w:rPr>
                <w:sz w:val="20"/>
                <w:szCs w:val="20"/>
              </w:rPr>
              <w:t>Joseph Di Luca</w:t>
            </w:r>
          </w:p>
          <w:p w:rsidR="00ED71E0" w:rsidRPr="003B1DA6" w:rsidRDefault="00ED71E0" w:rsidP="00FC0259">
            <w:pPr>
              <w:tabs>
                <w:tab w:val="left" w:pos="-1440"/>
                <w:tab w:val="left" w:pos="-720"/>
              </w:tabs>
              <w:rPr>
                <w:sz w:val="20"/>
                <w:szCs w:val="20"/>
              </w:rPr>
            </w:pPr>
            <w:r w:rsidRPr="00FC0259">
              <w:rPr>
                <w:sz w:val="20"/>
                <w:szCs w:val="20"/>
              </w:rPr>
              <w:tab/>
            </w:r>
            <w:r w:rsidR="003B1DA6">
              <w:rPr>
                <w:sz w:val="20"/>
                <w:szCs w:val="20"/>
              </w:rPr>
              <w:t>Di Luca Copeland Davies LLP</w:t>
            </w:r>
          </w:p>
          <w:p w:rsidR="00ED71E0" w:rsidRPr="003B1DA6" w:rsidRDefault="00ED71E0" w:rsidP="00FC0259">
            <w:pPr>
              <w:tabs>
                <w:tab w:val="left" w:pos="-1440"/>
                <w:tab w:val="left" w:pos="-720"/>
              </w:tabs>
              <w:rPr>
                <w:sz w:val="20"/>
                <w:szCs w:val="20"/>
              </w:rPr>
            </w:pPr>
          </w:p>
          <w:p w:rsidR="00ED71E0" w:rsidRPr="003B1DA6" w:rsidRDefault="00ED71E0" w:rsidP="00FC0259">
            <w:pPr>
              <w:tabs>
                <w:tab w:val="left" w:pos="-1440"/>
                <w:tab w:val="left" w:pos="-720"/>
              </w:tabs>
              <w:rPr>
                <w:sz w:val="20"/>
                <w:szCs w:val="20"/>
              </w:rPr>
            </w:pPr>
            <w:r w:rsidRPr="003B1DA6">
              <w:rPr>
                <w:sz w:val="20"/>
                <w:szCs w:val="20"/>
              </w:rPr>
              <w:tab/>
              <w:t>v. (34</w:t>
            </w:r>
            <w:r w:rsidR="003B1DA6">
              <w:rPr>
                <w:sz w:val="20"/>
                <w:szCs w:val="20"/>
              </w:rPr>
              <w:t>3</w:t>
            </w:r>
            <w:r w:rsidRPr="003B1DA6">
              <w:rPr>
                <w:sz w:val="20"/>
                <w:szCs w:val="20"/>
              </w:rPr>
              <w:t>2</w:t>
            </w:r>
            <w:r w:rsidR="003B1DA6">
              <w:rPr>
                <w:sz w:val="20"/>
                <w:szCs w:val="20"/>
              </w:rPr>
              <w:t>3</w:t>
            </w:r>
            <w:r w:rsidRPr="003B1DA6">
              <w:rPr>
                <w:sz w:val="20"/>
                <w:szCs w:val="20"/>
              </w:rPr>
              <w:t>)</w:t>
            </w:r>
          </w:p>
          <w:p w:rsidR="00ED71E0" w:rsidRPr="003B1DA6" w:rsidRDefault="00ED71E0" w:rsidP="00FC0259">
            <w:pPr>
              <w:tabs>
                <w:tab w:val="left" w:pos="-1440"/>
                <w:tab w:val="left" w:pos="-720"/>
              </w:tabs>
              <w:rPr>
                <w:sz w:val="20"/>
                <w:szCs w:val="20"/>
              </w:rPr>
            </w:pPr>
          </w:p>
          <w:p w:rsidR="00ED71E0" w:rsidRPr="003B1DA6" w:rsidRDefault="003B1DA6" w:rsidP="00FC0259">
            <w:pPr>
              <w:tabs>
                <w:tab w:val="left" w:pos="-1440"/>
                <w:tab w:val="left" w:pos="-720"/>
              </w:tabs>
              <w:rPr>
                <w:b/>
                <w:sz w:val="20"/>
                <w:szCs w:val="20"/>
              </w:rPr>
            </w:pPr>
            <w:r>
              <w:rPr>
                <w:b/>
                <w:sz w:val="20"/>
                <w:szCs w:val="20"/>
              </w:rPr>
              <w:t xml:space="preserve">Her Majesty the Queen </w:t>
            </w:r>
            <w:r w:rsidR="00ED71E0" w:rsidRPr="003B1DA6">
              <w:rPr>
                <w:b/>
                <w:sz w:val="20"/>
                <w:szCs w:val="20"/>
              </w:rPr>
              <w:t>(</w:t>
            </w:r>
            <w:r>
              <w:rPr>
                <w:b/>
                <w:sz w:val="20"/>
                <w:szCs w:val="20"/>
              </w:rPr>
              <w:t>Ont.</w:t>
            </w:r>
            <w:r w:rsidR="00ED71E0" w:rsidRPr="003B1DA6">
              <w:rPr>
                <w:b/>
                <w:sz w:val="20"/>
                <w:szCs w:val="20"/>
              </w:rPr>
              <w:t>)</w:t>
            </w:r>
          </w:p>
          <w:p w:rsidR="00ED71E0" w:rsidRPr="003B1DA6" w:rsidRDefault="00ED71E0" w:rsidP="00FC0259">
            <w:pPr>
              <w:tabs>
                <w:tab w:val="left" w:pos="-1440"/>
                <w:tab w:val="left" w:pos="-720"/>
              </w:tabs>
              <w:rPr>
                <w:sz w:val="20"/>
                <w:szCs w:val="20"/>
              </w:rPr>
            </w:pPr>
            <w:r w:rsidRPr="003B1DA6">
              <w:rPr>
                <w:sz w:val="20"/>
                <w:szCs w:val="20"/>
              </w:rPr>
              <w:tab/>
            </w:r>
            <w:r w:rsidR="003B1DA6">
              <w:rPr>
                <w:sz w:val="20"/>
                <w:szCs w:val="20"/>
              </w:rPr>
              <w:t>James K. Stewart</w:t>
            </w:r>
          </w:p>
          <w:p w:rsidR="00ED71E0" w:rsidRPr="003B1DA6" w:rsidRDefault="00ED71E0" w:rsidP="00FC0259">
            <w:pPr>
              <w:tabs>
                <w:tab w:val="left" w:pos="-1440"/>
                <w:tab w:val="left" w:pos="-720"/>
              </w:tabs>
              <w:rPr>
                <w:sz w:val="20"/>
                <w:szCs w:val="20"/>
              </w:rPr>
            </w:pPr>
            <w:r w:rsidRPr="003B1DA6">
              <w:rPr>
                <w:sz w:val="20"/>
                <w:szCs w:val="20"/>
              </w:rPr>
              <w:tab/>
            </w:r>
            <w:r w:rsidR="003B1DA6">
              <w:rPr>
                <w:sz w:val="20"/>
                <w:szCs w:val="20"/>
              </w:rPr>
              <w:t>A.G. of Ontario</w:t>
            </w:r>
          </w:p>
          <w:p w:rsidR="00ED71E0" w:rsidRPr="003B1DA6" w:rsidRDefault="00ED71E0" w:rsidP="00FC0259">
            <w:pPr>
              <w:tabs>
                <w:tab w:val="left" w:pos="-1440"/>
                <w:tab w:val="left" w:pos="-720"/>
              </w:tabs>
              <w:rPr>
                <w:sz w:val="20"/>
                <w:szCs w:val="20"/>
              </w:rPr>
            </w:pPr>
          </w:p>
          <w:p w:rsidR="00ED71E0" w:rsidRPr="003B1DA6" w:rsidRDefault="00ED71E0" w:rsidP="00FC0259">
            <w:pPr>
              <w:rPr>
                <w:sz w:val="20"/>
                <w:szCs w:val="20"/>
              </w:rPr>
            </w:pPr>
            <w:r w:rsidRPr="003B1DA6">
              <w:rPr>
                <w:sz w:val="20"/>
                <w:szCs w:val="20"/>
              </w:rPr>
              <w:t xml:space="preserve">FILING DATE: </w:t>
            </w:r>
            <w:r w:rsidR="003B1DA6">
              <w:rPr>
                <w:sz w:val="20"/>
                <w:szCs w:val="20"/>
              </w:rPr>
              <w:t>17</w:t>
            </w:r>
            <w:r w:rsidRPr="003B1DA6">
              <w:rPr>
                <w:sz w:val="20"/>
                <w:szCs w:val="20"/>
              </w:rPr>
              <w:t>.0</w:t>
            </w:r>
            <w:r w:rsidR="003B1DA6">
              <w:rPr>
                <w:sz w:val="20"/>
                <w:szCs w:val="20"/>
              </w:rPr>
              <w:t>6</w:t>
            </w:r>
            <w:r w:rsidRPr="003B1DA6">
              <w:rPr>
                <w:sz w:val="20"/>
                <w:szCs w:val="20"/>
              </w:rPr>
              <w:t>.2011</w:t>
            </w:r>
          </w:p>
          <w:p w:rsidR="00ED71E0" w:rsidRPr="00A935AA" w:rsidRDefault="001557DD" w:rsidP="00FC0259">
            <w:pPr>
              <w:rPr>
                <w:sz w:val="20"/>
                <w:szCs w:val="20"/>
              </w:rPr>
            </w:pPr>
            <w:r w:rsidRPr="001557DD">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tc>
        <w:tc>
          <w:tcPr>
            <w:tcW w:w="4320" w:type="dxa"/>
            <w:shd w:val="clear" w:color="auto" w:fill="auto"/>
          </w:tcPr>
          <w:p w:rsidR="00ED71E0" w:rsidRDefault="00ED71E0" w:rsidP="00FC0259">
            <w:pPr>
              <w:keepNext/>
              <w:keepLines/>
              <w:tabs>
                <w:tab w:val="left" w:pos="-1440"/>
                <w:tab w:val="left" w:pos="-720"/>
              </w:tabs>
              <w:rPr>
                <w:b/>
                <w:sz w:val="20"/>
                <w:szCs w:val="20"/>
              </w:rPr>
            </w:pPr>
          </w:p>
          <w:p w:rsidR="003B1DA6" w:rsidRPr="00A935AA" w:rsidRDefault="003B1DA6" w:rsidP="00FC0259">
            <w:pPr>
              <w:keepNext/>
              <w:keepLines/>
              <w:tabs>
                <w:tab w:val="left" w:pos="-1440"/>
                <w:tab w:val="left" w:pos="-720"/>
              </w:tabs>
              <w:rPr>
                <w:b/>
                <w:sz w:val="20"/>
                <w:szCs w:val="20"/>
              </w:rPr>
            </w:pPr>
            <w:r>
              <w:rPr>
                <w:b/>
                <w:sz w:val="20"/>
                <w:szCs w:val="20"/>
              </w:rPr>
              <w:t>Casco Inc.</w:t>
            </w:r>
          </w:p>
          <w:p w:rsidR="00ED71E0" w:rsidRPr="00A935AA" w:rsidRDefault="00ED71E0" w:rsidP="00FC0259">
            <w:pPr>
              <w:keepNext/>
              <w:keepLines/>
              <w:tabs>
                <w:tab w:val="left" w:pos="-1440"/>
                <w:tab w:val="left" w:pos="-720"/>
              </w:tabs>
              <w:rPr>
                <w:sz w:val="20"/>
                <w:szCs w:val="20"/>
              </w:rPr>
            </w:pPr>
            <w:r w:rsidRPr="00A935AA">
              <w:rPr>
                <w:sz w:val="20"/>
                <w:szCs w:val="20"/>
              </w:rPr>
              <w:tab/>
            </w:r>
            <w:r w:rsidR="003B1DA6">
              <w:rPr>
                <w:sz w:val="20"/>
                <w:szCs w:val="20"/>
              </w:rPr>
              <w:t>John D. Strung</w:t>
            </w:r>
          </w:p>
          <w:p w:rsidR="00ED71E0" w:rsidRPr="00A935AA" w:rsidRDefault="00ED71E0" w:rsidP="00FC0259">
            <w:pPr>
              <w:keepNext/>
              <w:keepLines/>
              <w:tabs>
                <w:tab w:val="left" w:pos="-1440"/>
                <w:tab w:val="left" w:pos="-720"/>
              </w:tabs>
              <w:rPr>
                <w:sz w:val="20"/>
                <w:szCs w:val="20"/>
              </w:rPr>
            </w:pPr>
            <w:r w:rsidRPr="00A935AA">
              <w:rPr>
                <w:sz w:val="20"/>
                <w:szCs w:val="20"/>
              </w:rPr>
              <w:tab/>
            </w:r>
            <w:r w:rsidR="003B1DA6">
              <w:rPr>
                <w:sz w:val="20"/>
                <w:szCs w:val="20"/>
              </w:rPr>
              <w:t>Rogers Partners LLP</w:t>
            </w:r>
          </w:p>
          <w:p w:rsidR="00ED71E0" w:rsidRPr="00A935AA" w:rsidRDefault="00ED71E0" w:rsidP="00FC0259">
            <w:pPr>
              <w:keepNext/>
              <w:keepLines/>
              <w:tabs>
                <w:tab w:val="left" w:pos="-1440"/>
                <w:tab w:val="left" w:pos="-720"/>
              </w:tabs>
              <w:rPr>
                <w:sz w:val="20"/>
                <w:szCs w:val="20"/>
              </w:rPr>
            </w:pPr>
          </w:p>
          <w:p w:rsidR="00ED71E0" w:rsidRPr="00ED71E0" w:rsidRDefault="00ED71E0" w:rsidP="00FC0259">
            <w:pPr>
              <w:keepNext/>
              <w:keepLines/>
              <w:tabs>
                <w:tab w:val="left" w:pos="-1440"/>
                <w:tab w:val="left" w:pos="-720"/>
              </w:tabs>
              <w:rPr>
                <w:sz w:val="20"/>
                <w:szCs w:val="20"/>
              </w:rPr>
            </w:pPr>
            <w:r w:rsidRPr="00A935AA">
              <w:rPr>
                <w:sz w:val="20"/>
                <w:szCs w:val="20"/>
              </w:rPr>
              <w:tab/>
            </w:r>
            <w:r w:rsidRPr="00ED71E0">
              <w:rPr>
                <w:sz w:val="20"/>
                <w:szCs w:val="20"/>
              </w:rPr>
              <w:t>v. (34</w:t>
            </w:r>
            <w:r w:rsidR="003B1DA6">
              <w:rPr>
                <w:sz w:val="20"/>
                <w:szCs w:val="20"/>
              </w:rPr>
              <w:t>321</w:t>
            </w:r>
            <w:r w:rsidRPr="00ED71E0">
              <w:rPr>
                <w:sz w:val="20"/>
                <w:szCs w:val="20"/>
              </w:rPr>
              <w:t>)</w:t>
            </w:r>
          </w:p>
          <w:p w:rsidR="00ED71E0" w:rsidRPr="00ED71E0" w:rsidRDefault="00ED71E0" w:rsidP="00FC0259">
            <w:pPr>
              <w:keepNext/>
              <w:keepLines/>
              <w:tabs>
                <w:tab w:val="left" w:pos="-1440"/>
                <w:tab w:val="left" w:pos="-720"/>
              </w:tabs>
              <w:rPr>
                <w:sz w:val="20"/>
                <w:szCs w:val="20"/>
              </w:rPr>
            </w:pPr>
          </w:p>
          <w:p w:rsidR="00ED71E0" w:rsidRPr="00ED71E0" w:rsidRDefault="003B1DA6" w:rsidP="00FC0259">
            <w:pPr>
              <w:keepNext/>
              <w:keepLines/>
              <w:tabs>
                <w:tab w:val="left" w:pos="-1440"/>
                <w:tab w:val="left" w:pos="-720"/>
              </w:tabs>
              <w:rPr>
                <w:b/>
                <w:sz w:val="20"/>
                <w:szCs w:val="20"/>
              </w:rPr>
            </w:pPr>
            <w:r>
              <w:rPr>
                <w:b/>
                <w:sz w:val="20"/>
                <w:szCs w:val="20"/>
              </w:rPr>
              <w:t xml:space="preserve">Judith Smith </w:t>
            </w:r>
            <w:r w:rsidR="00ED71E0" w:rsidRPr="00ED71E0">
              <w:rPr>
                <w:b/>
                <w:sz w:val="20"/>
                <w:szCs w:val="20"/>
              </w:rPr>
              <w:t>(Ont.)</w:t>
            </w:r>
          </w:p>
          <w:p w:rsidR="00ED71E0" w:rsidRPr="00ED71E0" w:rsidRDefault="00ED71E0" w:rsidP="00FC0259">
            <w:pPr>
              <w:keepNext/>
              <w:keepLines/>
              <w:tabs>
                <w:tab w:val="left" w:pos="-1440"/>
                <w:tab w:val="left" w:pos="-720"/>
              </w:tabs>
              <w:rPr>
                <w:sz w:val="20"/>
                <w:szCs w:val="20"/>
              </w:rPr>
            </w:pPr>
            <w:r w:rsidRPr="00ED71E0">
              <w:rPr>
                <w:sz w:val="20"/>
                <w:szCs w:val="20"/>
              </w:rPr>
              <w:tab/>
            </w:r>
            <w:r w:rsidR="003B1DA6">
              <w:rPr>
                <w:sz w:val="20"/>
                <w:szCs w:val="20"/>
              </w:rPr>
              <w:t>Colin E. Wright</w:t>
            </w:r>
          </w:p>
          <w:p w:rsidR="00ED71E0" w:rsidRPr="00ED71E0" w:rsidRDefault="00ED71E0" w:rsidP="00FC0259">
            <w:pPr>
              <w:keepNext/>
              <w:keepLines/>
              <w:tabs>
                <w:tab w:val="left" w:pos="-1440"/>
                <w:tab w:val="left" w:pos="-720"/>
              </w:tabs>
              <w:rPr>
                <w:sz w:val="20"/>
                <w:szCs w:val="20"/>
              </w:rPr>
            </w:pPr>
            <w:r w:rsidRPr="00ED71E0">
              <w:rPr>
                <w:sz w:val="20"/>
                <w:szCs w:val="20"/>
              </w:rPr>
              <w:tab/>
            </w:r>
            <w:r w:rsidR="003B1DA6">
              <w:rPr>
                <w:sz w:val="20"/>
                <w:szCs w:val="20"/>
              </w:rPr>
              <w:t>Clarke &amp; Wrights</w:t>
            </w:r>
          </w:p>
          <w:p w:rsidR="00ED71E0" w:rsidRPr="00ED71E0" w:rsidRDefault="00ED71E0" w:rsidP="00FC0259">
            <w:pPr>
              <w:keepNext/>
              <w:keepLines/>
              <w:tabs>
                <w:tab w:val="left" w:pos="-1440"/>
                <w:tab w:val="left" w:pos="-720"/>
              </w:tabs>
              <w:rPr>
                <w:sz w:val="20"/>
                <w:szCs w:val="20"/>
              </w:rPr>
            </w:pPr>
          </w:p>
          <w:p w:rsidR="00ED71E0" w:rsidRPr="00A935AA" w:rsidRDefault="00ED71E0" w:rsidP="003B1DA6">
            <w:pPr>
              <w:rPr>
                <w:sz w:val="20"/>
                <w:szCs w:val="20"/>
              </w:rPr>
            </w:pPr>
            <w:r w:rsidRPr="00A935AA">
              <w:rPr>
                <w:sz w:val="20"/>
                <w:szCs w:val="20"/>
              </w:rPr>
              <w:t xml:space="preserve">FILING DATE: </w:t>
            </w:r>
            <w:r w:rsidR="003B1DA6">
              <w:rPr>
                <w:sz w:val="20"/>
                <w:szCs w:val="20"/>
              </w:rPr>
              <w:t>17</w:t>
            </w:r>
            <w:r w:rsidRPr="00A935AA">
              <w:rPr>
                <w:sz w:val="20"/>
                <w:szCs w:val="20"/>
              </w:rPr>
              <w:t>.0</w:t>
            </w:r>
            <w:r w:rsidR="003B1DA6">
              <w:rPr>
                <w:sz w:val="20"/>
                <w:szCs w:val="20"/>
              </w:rPr>
              <w:t>6</w:t>
            </w:r>
            <w:r w:rsidRPr="00A935AA">
              <w:rPr>
                <w:sz w:val="20"/>
                <w:szCs w:val="20"/>
              </w:rPr>
              <w:t>.201</w:t>
            </w:r>
            <w:r>
              <w:rPr>
                <w:sz w:val="20"/>
                <w:szCs w:val="20"/>
              </w:rPr>
              <w:t>1</w:t>
            </w:r>
            <w:r w:rsidR="001557DD" w:rsidRPr="001557DD">
              <w:rPr>
                <w:sz w:val="20"/>
                <w:szCs w:val="20"/>
                <w:lang w:val="fr-CA"/>
              </w:rPr>
              <w:pict>
                <v:rect id="_x0000_i1032" style="width:108pt;height:1pt" o:hrpct="0" o:hralign="center" o:hrstd="t" o:hrnoshade="t" o:hr="t" fillcolor="black [3213]" stroked="f"/>
              </w:pict>
            </w:r>
          </w:p>
        </w:tc>
      </w:tr>
      <w:tr w:rsidR="00ED71E0" w:rsidRPr="00A935AA" w:rsidTr="003B3977">
        <w:trPr>
          <w:cantSplit/>
        </w:trPr>
        <w:tc>
          <w:tcPr>
            <w:tcW w:w="4320" w:type="dxa"/>
            <w:shd w:val="clear" w:color="auto" w:fill="auto"/>
          </w:tcPr>
          <w:p w:rsidR="00ED71E0" w:rsidRPr="003B1DA6" w:rsidRDefault="003B1DA6" w:rsidP="00FC0259">
            <w:pPr>
              <w:rPr>
                <w:b/>
                <w:sz w:val="20"/>
                <w:szCs w:val="20"/>
                <w:lang w:val="fr-CA"/>
              </w:rPr>
            </w:pPr>
            <w:r w:rsidRPr="003B1DA6">
              <w:rPr>
                <w:b/>
                <w:sz w:val="20"/>
                <w:szCs w:val="20"/>
                <w:lang w:val="fr-CA"/>
              </w:rPr>
              <w:lastRenderedPageBreak/>
              <w:t xml:space="preserve">Ivan </w:t>
            </w:r>
            <w:proofErr w:type="spellStart"/>
            <w:r w:rsidRPr="003B1DA6">
              <w:rPr>
                <w:b/>
                <w:sz w:val="20"/>
                <w:szCs w:val="20"/>
                <w:lang w:val="fr-CA"/>
              </w:rPr>
              <w:t>Valovic</w:t>
            </w:r>
            <w:proofErr w:type="spellEnd"/>
            <w:r w:rsidRPr="003B1DA6">
              <w:rPr>
                <w:b/>
                <w:sz w:val="20"/>
                <w:szCs w:val="20"/>
                <w:lang w:val="fr-CA"/>
              </w:rPr>
              <w:t xml:space="preserve"> et al.</w:t>
            </w:r>
          </w:p>
          <w:p w:rsidR="00ED71E0" w:rsidRPr="003B1DA6" w:rsidRDefault="00ED71E0" w:rsidP="00FC0259">
            <w:pPr>
              <w:tabs>
                <w:tab w:val="left" w:pos="-1440"/>
                <w:tab w:val="left" w:pos="-720"/>
              </w:tabs>
              <w:rPr>
                <w:sz w:val="20"/>
                <w:szCs w:val="20"/>
                <w:lang w:val="fr-CA"/>
              </w:rPr>
            </w:pPr>
            <w:r w:rsidRPr="003B1DA6">
              <w:rPr>
                <w:sz w:val="20"/>
                <w:szCs w:val="20"/>
                <w:lang w:val="fr-CA"/>
              </w:rPr>
              <w:tab/>
            </w:r>
            <w:r w:rsidR="003B1DA6" w:rsidRPr="003B1DA6">
              <w:rPr>
                <w:sz w:val="20"/>
                <w:szCs w:val="20"/>
                <w:lang w:val="fr-CA"/>
              </w:rPr>
              <w:t xml:space="preserve">Frank </w:t>
            </w:r>
            <w:proofErr w:type="spellStart"/>
            <w:r w:rsidR="003B1DA6" w:rsidRPr="003B1DA6">
              <w:rPr>
                <w:sz w:val="20"/>
                <w:szCs w:val="20"/>
                <w:lang w:val="fr-CA"/>
              </w:rPr>
              <w:t>Addario</w:t>
            </w:r>
            <w:proofErr w:type="spellEnd"/>
          </w:p>
          <w:p w:rsidR="00ED71E0" w:rsidRPr="003B1DA6" w:rsidRDefault="00ED71E0" w:rsidP="00FC0259">
            <w:pPr>
              <w:tabs>
                <w:tab w:val="left" w:pos="-1440"/>
                <w:tab w:val="left" w:pos="-720"/>
              </w:tabs>
              <w:rPr>
                <w:sz w:val="20"/>
                <w:szCs w:val="20"/>
              </w:rPr>
            </w:pPr>
            <w:r w:rsidRPr="003B1DA6">
              <w:rPr>
                <w:sz w:val="20"/>
                <w:szCs w:val="20"/>
                <w:lang w:val="fr-CA"/>
              </w:rPr>
              <w:tab/>
            </w:r>
            <w:r w:rsidR="003B1DA6">
              <w:rPr>
                <w:sz w:val="20"/>
                <w:szCs w:val="20"/>
              </w:rPr>
              <w:t xml:space="preserve">Sack </w:t>
            </w:r>
            <w:proofErr w:type="spellStart"/>
            <w:r w:rsidR="003B1DA6">
              <w:rPr>
                <w:sz w:val="20"/>
                <w:szCs w:val="20"/>
              </w:rPr>
              <w:t>Golblatt</w:t>
            </w:r>
            <w:proofErr w:type="spellEnd"/>
            <w:r w:rsidR="00A969E2">
              <w:rPr>
                <w:sz w:val="20"/>
                <w:szCs w:val="20"/>
              </w:rPr>
              <w:t xml:space="preserve"> Mitchell LLP</w:t>
            </w:r>
          </w:p>
          <w:p w:rsidR="00ED71E0" w:rsidRPr="003B1DA6" w:rsidRDefault="00ED71E0" w:rsidP="00FC0259">
            <w:pPr>
              <w:tabs>
                <w:tab w:val="left" w:pos="-1440"/>
                <w:tab w:val="left" w:pos="-720"/>
              </w:tabs>
              <w:rPr>
                <w:sz w:val="20"/>
                <w:szCs w:val="20"/>
              </w:rPr>
            </w:pPr>
          </w:p>
          <w:p w:rsidR="00ED71E0" w:rsidRPr="003B1DA6" w:rsidRDefault="00ED71E0" w:rsidP="00FC0259">
            <w:pPr>
              <w:tabs>
                <w:tab w:val="left" w:pos="-1440"/>
                <w:tab w:val="left" w:pos="-720"/>
              </w:tabs>
              <w:rPr>
                <w:sz w:val="20"/>
                <w:szCs w:val="20"/>
              </w:rPr>
            </w:pPr>
            <w:r w:rsidRPr="003B1DA6">
              <w:rPr>
                <w:sz w:val="20"/>
                <w:szCs w:val="20"/>
              </w:rPr>
              <w:tab/>
              <w:t>v. (34</w:t>
            </w:r>
            <w:r w:rsidR="00A969E2">
              <w:rPr>
                <w:sz w:val="20"/>
                <w:szCs w:val="20"/>
              </w:rPr>
              <w:t>3</w:t>
            </w:r>
            <w:r w:rsidRPr="003B1DA6">
              <w:rPr>
                <w:sz w:val="20"/>
                <w:szCs w:val="20"/>
              </w:rPr>
              <w:t>26)</w:t>
            </w:r>
          </w:p>
          <w:p w:rsidR="00ED71E0" w:rsidRPr="003B1DA6" w:rsidRDefault="00ED71E0" w:rsidP="00FC0259">
            <w:pPr>
              <w:tabs>
                <w:tab w:val="left" w:pos="-1440"/>
                <w:tab w:val="left" w:pos="-720"/>
              </w:tabs>
              <w:rPr>
                <w:sz w:val="20"/>
                <w:szCs w:val="20"/>
              </w:rPr>
            </w:pPr>
          </w:p>
          <w:p w:rsidR="00ED71E0" w:rsidRPr="003B1DA6" w:rsidRDefault="00A969E2" w:rsidP="00FC0259">
            <w:pPr>
              <w:tabs>
                <w:tab w:val="left" w:pos="-1440"/>
                <w:tab w:val="left" w:pos="-720"/>
              </w:tabs>
              <w:rPr>
                <w:b/>
                <w:sz w:val="20"/>
                <w:szCs w:val="20"/>
              </w:rPr>
            </w:pPr>
            <w:r>
              <w:rPr>
                <w:b/>
                <w:sz w:val="20"/>
                <w:szCs w:val="20"/>
              </w:rPr>
              <w:t xml:space="preserve">Her Majesty the Queen </w:t>
            </w:r>
            <w:r w:rsidR="00ED71E0" w:rsidRPr="003B1DA6">
              <w:rPr>
                <w:b/>
                <w:sz w:val="20"/>
                <w:szCs w:val="20"/>
              </w:rPr>
              <w:t>(</w:t>
            </w:r>
            <w:r>
              <w:rPr>
                <w:b/>
                <w:sz w:val="20"/>
                <w:szCs w:val="20"/>
              </w:rPr>
              <w:t>Ont.</w:t>
            </w:r>
            <w:r w:rsidR="00ED71E0" w:rsidRPr="003B1DA6">
              <w:rPr>
                <w:b/>
                <w:sz w:val="20"/>
                <w:szCs w:val="20"/>
              </w:rPr>
              <w:t>)</w:t>
            </w:r>
          </w:p>
          <w:p w:rsidR="00ED71E0" w:rsidRPr="003B1DA6" w:rsidRDefault="00ED71E0" w:rsidP="00FC0259">
            <w:pPr>
              <w:tabs>
                <w:tab w:val="left" w:pos="-1440"/>
                <w:tab w:val="left" w:pos="-720"/>
              </w:tabs>
              <w:rPr>
                <w:sz w:val="20"/>
                <w:szCs w:val="20"/>
              </w:rPr>
            </w:pPr>
            <w:r w:rsidRPr="003B1DA6">
              <w:rPr>
                <w:sz w:val="20"/>
                <w:szCs w:val="20"/>
              </w:rPr>
              <w:tab/>
            </w:r>
            <w:r w:rsidR="00A969E2">
              <w:rPr>
                <w:sz w:val="20"/>
                <w:szCs w:val="20"/>
              </w:rPr>
              <w:t xml:space="preserve">Lisa L. </w:t>
            </w:r>
            <w:proofErr w:type="spellStart"/>
            <w:r w:rsidR="00A969E2">
              <w:rPr>
                <w:sz w:val="20"/>
                <w:szCs w:val="20"/>
              </w:rPr>
              <w:t>Csele</w:t>
            </w:r>
            <w:proofErr w:type="spellEnd"/>
          </w:p>
          <w:p w:rsidR="00ED71E0" w:rsidRPr="003B1DA6" w:rsidRDefault="00ED71E0" w:rsidP="00FC0259">
            <w:pPr>
              <w:tabs>
                <w:tab w:val="left" w:pos="-1440"/>
                <w:tab w:val="left" w:pos="-720"/>
              </w:tabs>
              <w:rPr>
                <w:sz w:val="20"/>
                <w:szCs w:val="20"/>
              </w:rPr>
            </w:pPr>
            <w:r w:rsidRPr="003B1DA6">
              <w:rPr>
                <w:sz w:val="20"/>
                <w:szCs w:val="20"/>
              </w:rPr>
              <w:tab/>
            </w:r>
            <w:r w:rsidR="00A969E2">
              <w:rPr>
                <w:sz w:val="20"/>
                <w:szCs w:val="20"/>
              </w:rPr>
              <w:t>Public Prosecution Service of Canada</w:t>
            </w:r>
          </w:p>
          <w:p w:rsidR="00ED71E0" w:rsidRPr="003B1DA6" w:rsidRDefault="00ED71E0" w:rsidP="00FC0259">
            <w:pPr>
              <w:tabs>
                <w:tab w:val="left" w:pos="-1440"/>
                <w:tab w:val="left" w:pos="-720"/>
              </w:tabs>
              <w:rPr>
                <w:sz w:val="20"/>
                <w:szCs w:val="20"/>
              </w:rPr>
            </w:pPr>
          </w:p>
          <w:p w:rsidR="00ED71E0" w:rsidRPr="003B1DA6" w:rsidRDefault="00ED71E0" w:rsidP="00FC0259">
            <w:pPr>
              <w:rPr>
                <w:sz w:val="20"/>
                <w:szCs w:val="20"/>
              </w:rPr>
            </w:pPr>
            <w:r w:rsidRPr="003B1DA6">
              <w:rPr>
                <w:sz w:val="20"/>
                <w:szCs w:val="20"/>
              </w:rPr>
              <w:t>FILING DATE: 2</w:t>
            </w:r>
            <w:r w:rsidR="00A969E2">
              <w:rPr>
                <w:sz w:val="20"/>
                <w:szCs w:val="20"/>
              </w:rPr>
              <w:t>0</w:t>
            </w:r>
            <w:r w:rsidRPr="003B1DA6">
              <w:rPr>
                <w:sz w:val="20"/>
                <w:szCs w:val="20"/>
              </w:rPr>
              <w:t>.0</w:t>
            </w:r>
            <w:r w:rsidR="00A969E2">
              <w:rPr>
                <w:sz w:val="20"/>
                <w:szCs w:val="20"/>
              </w:rPr>
              <w:t>6</w:t>
            </w:r>
            <w:r w:rsidRPr="003B1DA6">
              <w:rPr>
                <w:sz w:val="20"/>
                <w:szCs w:val="20"/>
              </w:rPr>
              <w:t>.2011</w:t>
            </w:r>
          </w:p>
          <w:p w:rsidR="00ED71E0" w:rsidRPr="00A935AA" w:rsidRDefault="001557DD" w:rsidP="00FC0259">
            <w:pPr>
              <w:rPr>
                <w:sz w:val="20"/>
                <w:szCs w:val="20"/>
              </w:rPr>
            </w:pPr>
            <w:r w:rsidRPr="001557DD">
              <w:rPr>
                <w:sz w:val="20"/>
                <w:szCs w:val="20"/>
                <w:lang w:val="fr-CA"/>
              </w:rPr>
              <w:pict>
                <v:rect id="_x0000_i1033" style="width:108pt;height:1pt" o:hrpct="0" o:hralign="center" o:hrstd="t" o:hrnoshade="t" o:hr="t" fillcolor="black [3213]" stroked="f"/>
              </w:pict>
            </w:r>
          </w:p>
        </w:tc>
        <w:tc>
          <w:tcPr>
            <w:tcW w:w="1181" w:type="dxa"/>
            <w:shd w:val="clear" w:color="auto" w:fill="auto"/>
          </w:tcPr>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p w:rsidR="00ED71E0" w:rsidRPr="00A935AA" w:rsidRDefault="00ED71E0" w:rsidP="00242AEE">
            <w:pPr>
              <w:jc w:val="center"/>
              <w:rPr>
                <w:sz w:val="20"/>
                <w:szCs w:val="20"/>
              </w:rPr>
            </w:pPr>
          </w:p>
        </w:tc>
        <w:tc>
          <w:tcPr>
            <w:tcW w:w="4320" w:type="dxa"/>
            <w:shd w:val="clear" w:color="auto" w:fill="auto"/>
          </w:tcPr>
          <w:p w:rsidR="00ED71E0" w:rsidRPr="00B60050" w:rsidRDefault="00A969E2" w:rsidP="00FC0259">
            <w:pPr>
              <w:keepNext/>
              <w:keepLines/>
              <w:tabs>
                <w:tab w:val="left" w:pos="-1440"/>
                <w:tab w:val="left" w:pos="-720"/>
              </w:tabs>
              <w:rPr>
                <w:b/>
                <w:sz w:val="20"/>
                <w:szCs w:val="20"/>
                <w:lang w:val="fr-CA"/>
              </w:rPr>
            </w:pPr>
            <w:proofErr w:type="spellStart"/>
            <w:r w:rsidRPr="00B60050">
              <w:rPr>
                <w:b/>
                <w:sz w:val="20"/>
                <w:szCs w:val="20"/>
                <w:lang w:val="fr-CA"/>
              </w:rPr>
              <w:t>Giao</w:t>
            </w:r>
            <w:proofErr w:type="spellEnd"/>
            <w:r w:rsidRPr="00B60050">
              <w:rPr>
                <w:b/>
                <w:sz w:val="20"/>
                <w:szCs w:val="20"/>
                <w:lang w:val="fr-CA"/>
              </w:rPr>
              <w:t xml:space="preserve"> Le</w:t>
            </w:r>
          </w:p>
          <w:p w:rsidR="00ED71E0" w:rsidRPr="00B60050" w:rsidRDefault="00ED71E0" w:rsidP="00FC0259">
            <w:pPr>
              <w:keepNext/>
              <w:keepLines/>
              <w:tabs>
                <w:tab w:val="left" w:pos="-1440"/>
                <w:tab w:val="left" w:pos="-720"/>
              </w:tabs>
              <w:rPr>
                <w:sz w:val="20"/>
                <w:szCs w:val="20"/>
                <w:lang w:val="fr-CA"/>
              </w:rPr>
            </w:pPr>
            <w:r w:rsidRPr="00B60050">
              <w:rPr>
                <w:sz w:val="20"/>
                <w:szCs w:val="20"/>
                <w:lang w:val="fr-CA"/>
              </w:rPr>
              <w:tab/>
            </w:r>
            <w:r w:rsidR="00A969E2" w:rsidRPr="00B60050">
              <w:rPr>
                <w:sz w:val="20"/>
                <w:szCs w:val="20"/>
                <w:lang w:val="fr-CA"/>
              </w:rPr>
              <w:t>Stéphan Nadeau</w:t>
            </w:r>
          </w:p>
          <w:p w:rsidR="00ED71E0" w:rsidRPr="00B60050" w:rsidRDefault="00ED71E0" w:rsidP="00FC0259">
            <w:pPr>
              <w:keepNext/>
              <w:keepLines/>
              <w:tabs>
                <w:tab w:val="left" w:pos="-1440"/>
                <w:tab w:val="left" w:pos="-720"/>
              </w:tabs>
              <w:rPr>
                <w:sz w:val="20"/>
                <w:szCs w:val="20"/>
                <w:lang w:val="fr-CA"/>
              </w:rPr>
            </w:pPr>
          </w:p>
          <w:p w:rsidR="00ED71E0" w:rsidRPr="00A969E2" w:rsidRDefault="00ED71E0" w:rsidP="00FC0259">
            <w:pPr>
              <w:keepNext/>
              <w:keepLines/>
              <w:tabs>
                <w:tab w:val="left" w:pos="-1440"/>
                <w:tab w:val="left" w:pos="-720"/>
              </w:tabs>
              <w:rPr>
                <w:sz w:val="20"/>
                <w:szCs w:val="20"/>
                <w:lang w:val="fr-CA"/>
              </w:rPr>
            </w:pPr>
            <w:r w:rsidRPr="00B60050">
              <w:rPr>
                <w:sz w:val="20"/>
                <w:szCs w:val="20"/>
                <w:lang w:val="fr-CA"/>
              </w:rPr>
              <w:tab/>
            </w:r>
            <w:r w:rsidR="00A969E2" w:rsidRPr="00A969E2">
              <w:rPr>
                <w:sz w:val="20"/>
                <w:szCs w:val="20"/>
                <w:lang w:val="fr-CA"/>
              </w:rPr>
              <w:t>c</w:t>
            </w:r>
            <w:r w:rsidRPr="00A969E2">
              <w:rPr>
                <w:sz w:val="20"/>
                <w:szCs w:val="20"/>
                <w:lang w:val="fr-CA"/>
              </w:rPr>
              <w:t>. (34</w:t>
            </w:r>
            <w:r w:rsidR="00A969E2" w:rsidRPr="00A969E2">
              <w:rPr>
                <w:sz w:val="20"/>
                <w:szCs w:val="20"/>
                <w:lang w:val="fr-CA"/>
              </w:rPr>
              <w:t>334</w:t>
            </w:r>
            <w:r w:rsidRPr="00A969E2">
              <w:rPr>
                <w:sz w:val="20"/>
                <w:szCs w:val="20"/>
                <w:lang w:val="fr-CA"/>
              </w:rPr>
              <w:t>)</w:t>
            </w:r>
          </w:p>
          <w:p w:rsidR="00ED71E0" w:rsidRPr="00A969E2" w:rsidRDefault="00ED71E0" w:rsidP="00FC0259">
            <w:pPr>
              <w:keepNext/>
              <w:keepLines/>
              <w:tabs>
                <w:tab w:val="left" w:pos="-1440"/>
                <w:tab w:val="left" w:pos="-720"/>
              </w:tabs>
              <w:rPr>
                <w:sz w:val="20"/>
                <w:szCs w:val="20"/>
                <w:lang w:val="fr-CA"/>
              </w:rPr>
            </w:pPr>
          </w:p>
          <w:p w:rsidR="00ED71E0" w:rsidRPr="00A969E2" w:rsidRDefault="00A969E2" w:rsidP="00FC0259">
            <w:pPr>
              <w:keepNext/>
              <w:keepLines/>
              <w:tabs>
                <w:tab w:val="left" w:pos="-1440"/>
                <w:tab w:val="left" w:pos="-720"/>
              </w:tabs>
              <w:rPr>
                <w:b/>
                <w:sz w:val="20"/>
                <w:szCs w:val="20"/>
                <w:lang w:val="fr-CA"/>
              </w:rPr>
            </w:pPr>
            <w:r w:rsidRPr="00A969E2">
              <w:rPr>
                <w:b/>
                <w:sz w:val="20"/>
                <w:szCs w:val="20"/>
                <w:lang w:val="fr-CA"/>
              </w:rPr>
              <w:t xml:space="preserve">Banque de Montréal </w:t>
            </w:r>
            <w:r w:rsidR="00ED71E0" w:rsidRPr="00A969E2">
              <w:rPr>
                <w:b/>
                <w:sz w:val="20"/>
                <w:szCs w:val="20"/>
                <w:lang w:val="fr-CA"/>
              </w:rPr>
              <w:t>(</w:t>
            </w:r>
            <w:r w:rsidRPr="00A969E2">
              <w:rPr>
                <w:b/>
                <w:sz w:val="20"/>
                <w:szCs w:val="20"/>
                <w:lang w:val="fr-CA"/>
              </w:rPr>
              <w:t>Qc</w:t>
            </w:r>
            <w:r w:rsidR="00ED71E0" w:rsidRPr="00A969E2">
              <w:rPr>
                <w:b/>
                <w:sz w:val="20"/>
                <w:szCs w:val="20"/>
                <w:lang w:val="fr-CA"/>
              </w:rPr>
              <w:t>.)</w:t>
            </w:r>
          </w:p>
          <w:p w:rsidR="00ED71E0" w:rsidRPr="00A969E2" w:rsidRDefault="00ED71E0" w:rsidP="00FC0259">
            <w:pPr>
              <w:keepNext/>
              <w:keepLines/>
              <w:tabs>
                <w:tab w:val="left" w:pos="-1440"/>
                <w:tab w:val="left" w:pos="-720"/>
              </w:tabs>
              <w:rPr>
                <w:sz w:val="20"/>
                <w:szCs w:val="20"/>
                <w:lang w:val="fr-CA"/>
              </w:rPr>
            </w:pPr>
            <w:r w:rsidRPr="00A969E2">
              <w:rPr>
                <w:sz w:val="20"/>
                <w:szCs w:val="20"/>
                <w:lang w:val="fr-CA"/>
              </w:rPr>
              <w:tab/>
            </w:r>
            <w:r w:rsidR="00A969E2">
              <w:rPr>
                <w:sz w:val="20"/>
                <w:szCs w:val="20"/>
                <w:lang w:val="fr-CA"/>
              </w:rPr>
              <w:t>Stéphanie La Rocque</w:t>
            </w:r>
          </w:p>
          <w:p w:rsidR="00ED71E0" w:rsidRPr="00A969E2" w:rsidRDefault="00ED71E0" w:rsidP="00FC0259">
            <w:pPr>
              <w:keepNext/>
              <w:keepLines/>
              <w:tabs>
                <w:tab w:val="left" w:pos="-1440"/>
                <w:tab w:val="left" w:pos="-720"/>
              </w:tabs>
              <w:rPr>
                <w:sz w:val="20"/>
                <w:szCs w:val="20"/>
                <w:lang w:val="fr-CA"/>
              </w:rPr>
            </w:pPr>
            <w:r w:rsidRPr="00A969E2">
              <w:rPr>
                <w:sz w:val="20"/>
                <w:szCs w:val="20"/>
                <w:lang w:val="fr-CA"/>
              </w:rPr>
              <w:tab/>
            </w:r>
            <w:r w:rsidR="00A969E2">
              <w:rPr>
                <w:sz w:val="20"/>
                <w:szCs w:val="20"/>
                <w:lang w:val="fr-CA"/>
              </w:rPr>
              <w:t xml:space="preserve">de </w:t>
            </w:r>
            <w:proofErr w:type="spellStart"/>
            <w:r w:rsidR="00A969E2">
              <w:rPr>
                <w:sz w:val="20"/>
                <w:szCs w:val="20"/>
                <w:lang w:val="fr-CA"/>
              </w:rPr>
              <w:t>Granpré</w:t>
            </w:r>
            <w:proofErr w:type="spellEnd"/>
            <w:r w:rsidR="00A969E2">
              <w:rPr>
                <w:sz w:val="20"/>
                <w:szCs w:val="20"/>
                <w:lang w:val="fr-CA"/>
              </w:rPr>
              <w:t xml:space="preserve"> </w:t>
            </w:r>
            <w:proofErr w:type="spellStart"/>
            <w:r w:rsidR="00A969E2">
              <w:rPr>
                <w:sz w:val="20"/>
                <w:szCs w:val="20"/>
                <w:lang w:val="fr-CA"/>
              </w:rPr>
              <w:t>Chait</w:t>
            </w:r>
            <w:proofErr w:type="spellEnd"/>
            <w:r w:rsidR="00A969E2">
              <w:rPr>
                <w:sz w:val="20"/>
                <w:szCs w:val="20"/>
                <w:lang w:val="fr-CA"/>
              </w:rPr>
              <w:t>, s.e.n.c.r.l.</w:t>
            </w:r>
          </w:p>
          <w:p w:rsidR="00ED71E0" w:rsidRPr="00A969E2" w:rsidRDefault="00ED71E0" w:rsidP="00FC0259">
            <w:pPr>
              <w:keepNext/>
              <w:keepLines/>
              <w:tabs>
                <w:tab w:val="left" w:pos="-1440"/>
                <w:tab w:val="left" w:pos="-720"/>
              </w:tabs>
              <w:rPr>
                <w:sz w:val="20"/>
                <w:szCs w:val="20"/>
                <w:lang w:val="fr-CA"/>
              </w:rPr>
            </w:pPr>
          </w:p>
          <w:p w:rsidR="00ED71E0" w:rsidRPr="00A935AA" w:rsidRDefault="00ED71E0" w:rsidP="00A969E2">
            <w:pPr>
              <w:rPr>
                <w:sz w:val="20"/>
                <w:szCs w:val="20"/>
              </w:rPr>
            </w:pPr>
            <w:r w:rsidRPr="00A935AA">
              <w:rPr>
                <w:sz w:val="20"/>
                <w:szCs w:val="20"/>
              </w:rPr>
              <w:t>DATE</w:t>
            </w:r>
            <w:r w:rsidR="00A969E2">
              <w:rPr>
                <w:sz w:val="20"/>
                <w:szCs w:val="20"/>
              </w:rPr>
              <w:t xml:space="preserve"> DE PRODUCTION </w:t>
            </w:r>
            <w:r w:rsidRPr="00A935AA">
              <w:rPr>
                <w:sz w:val="20"/>
                <w:szCs w:val="20"/>
              </w:rPr>
              <w:t>: 2</w:t>
            </w:r>
            <w:r w:rsidR="00A969E2">
              <w:rPr>
                <w:sz w:val="20"/>
                <w:szCs w:val="20"/>
              </w:rPr>
              <w:t>4</w:t>
            </w:r>
            <w:r w:rsidRPr="00A935AA">
              <w:rPr>
                <w:sz w:val="20"/>
                <w:szCs w:val="20"/>
              </w:rPr>
              <w:t>.0</w:t>
            </w:r>
            <w:r w:rsidR="00A969E2">
              <w:rPr>
                <w:sz w:val="20"/>
                <w:szCs w:val="20"/>
              </w:rPr>
              <w:t>6</w:t>
            </w:r>
            <w:r w:rsidRPr="00A935AA">
              <w:rPr>
                <w:sz w:val="20"/>
                <w:szCs w:val="20"/>
              </w:rPr>
              <w:t>.201</w:t>
            </w:r>
            <w:r>
              <w:rPr>
                <w:sz w:val="20"/>
                <w:szCs w:val="20"/>
              </w:rPr>
              <w:t>1</w:t>
            </w:r>
            <w:r w:rsidR="001557DD" w:rsidRPr="001557DD">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767C0">
          <w:headerReference w:type="default" r:id="rId15"/>
          <w:footerReference w:type="default" r:id="rId16"/>
          <w:headerReference w:type="first" r:id="rId17"/>
          <w:footerReference w:type="first" r:id="rId18"/>
          <w:pgSz w:w="12240" w:h="15840"/>
          <w:pgMar w:top="720" w:right="965" w:bottom="1080" w:left="1656" w:header="706" w:footer="706" w:gutter="0"/>
          <w:pgNumType w:start="110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D66BAA"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545CD2" w:rsidP="003359D3">
      <w:pPr>
        <w:widowControl w:val="0"/>
        <w:rPr>
          <w:b/>
          <w:sz w:val="20"/>
          <w:szCs w:val="20"/>
        </w:rPr>
      </w:pPr>
      <w:r>
        <w:rPr>
          <w:b/>
          <w:sz w:val="20"/>
          <w:szCs w:val="20"/>
        </w:rPr>
        <w:t>JU</w:t>
      </w:r>
      <w:r w:rsidR="003359D3">
        <w:rPr>
          <w:b/>
          <w:sz w:val="20"/>
          <w:szCs w:val="20"/>
        </w:rPr>
        <w:t>L</w:t>
      </w:r>
      <w:r>
        <w:rPr>
          <w:b/>
          <w:sz w:val="20"/>
          <w:szCs w:val="20"/>
        </w:rPr>
        <w:t>Y</w:t>
      </w:r>
      <w:r w:rsidR="003359D3" w:rsidRPr="00C50A5C">
        <w:rPr>
          <w:b/>
          <w:sz w:val="20"/>
          <w:szCs w:val="20"/>
        </w:rPr>
        <w:t xml:space="preserve"> </w:t>
      </w:r>
      <w:r w:rsidR="003359D3">
        <w:rPr>
          <w:b/>
          <w:sz w:val="20"/>
          <w:szCs w:val="20"/>
        </w:rPr>
        <w:t>1</w:t>
      </w:r>
      <w:r>
        <w:rPr>
          <w:b/>
          <w:sz w:val="20"/>
          <w:szCs w:val="20"/>
        </w:rPr>
        <w:t>8</w:t>
      </w:r>
      <w:r w:rsidR="003359D3" w:rsidRPr="00C50A5C">
        <w:rPr>
          <w:b/>
          <w:sz w:val="20"/>
          <w:szCs w:val="20"/>
        </w:rPr>
        <w:t>, 201</w:t>
      </w:r>
      <w:r w:rsidR="003359D3">
        <w:rPr>
          <w:b/>
          <w:sz w:val="20"/>
          <w:szCs w:val="20"/>
        </w:rPr>
        <w:t>1</w:t>
      </w:r>
      <w:r w:rsidR="003359D3" w:rsidRPr="00C50A5C">
        <w:rPr>
          <w:b/>
          <w:sz w:val="20"/>
          <w:szCs w:val="20"/>
        </w:rPr>
        <w:t xml:space="preserve"> / LE </w:t>
      </w:r>
      <w:r w:rsidR="003359D3">
        <w:rPr>
          <w:b/>
          <w:sz w:val="20"/>
          <w:szCs w:val="20"/>
        </w:rPr>
        <w:t>1</w:t>
      </w:r>
      <w:r>
        <w:rPr>
          <w:b/>
          <w:sz w:val="20"/>
          <w:szCs w:val="20"/>
        </w:rPr>
        <w:t>8</w:t>
      </w:r>
      <w:r w:rsidR="003359D3" w:rsidRPr="00C50A5C">
        <w:rPr>
          <w:b/>
          <w:sz w:val="20"/>
          <w:szCs w:val="20"/>
        </w:rPr>
        <w:t xml:space="preserve"> </w:t>
      </w:r>
      <w:r>
        <w:rPr>
          <w:b/>
          <w:sz w:val="20"/>
          <w:szCs w:val="20"/>
        </w:rPr>
        <w:t>JU</w:t>
      </w:r>
      <w:r w:rsidR="003359D3" w:rsidRPr="00C50A5C">
        <w:rPr>
          <w:b/>
          <w:sz w:val="20"/>
          <w:szCs w:val="20"/>
        </w:rPr>
        <w:t>I</w:t>
      </w:r>
      <w:r w:rsidR="003359D3">
        <w:rPr>
          <w:b/>
          <w:sz w:val="20"/>
          <w:szCs w:val="20"/>
        </w:rPr>
        <w:t>L</w:t>
      </w:r>
      <w:r>
        <w:rPr>
          <w:b/>
          <w:sz w:val="20"/>
          <w:szCs w:val="20"/>
        </w:rPr>
        <w:t>LET</w:t>
      </w:r>
      <w:r w:rsidR="003359D3" w:rsidRPr="00C50A5C">
        <w:rPr>
          <w:b/>
          <w:sz w:val="20"/>
          <w:szCs w:val="20"/>
        </w:rPr>
        <w:t xml:space="preserve">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3359D3" w:rsidRPr="00C50A5C" w:rsidRDefault="003359D3" w:rsidP="003359D3">
      <w:pPr>
        <w:widowControl w:val="0"/>
        <w:rPr>
          <w:sz w:val="20"/>
          <w:szCs w:val="20"/>
          <w:lang w:val="fr-CA"/>
        </w:rPr>
      </w:pPr>
    </w:p>
    <w:p w:rsidR="003359D3" w:rsidRPr="00C50A5C" w:rsidRDefault="00D62461" w:rsidP="003359D3">
      <w:pPr>
        <w:pStyle w:val="ListParagraph"/>
        <w:widowControl w:val="0"/>
        <w:numPr>
          <w:ilvl w:val="0"/>
          <w:numId w:val="1"/>
        </w:numPr>
        <w:ind w:hanging="720"/>
        <w:jc w:val="both"/>
        <w:rPr>
          <w:sz w:val="20"/>
          <w:szCs w:val="20"/>
        </w:rPr>
      </w:pPr>
      <w:r w:rsidRPr="00D62461">
        <w:rPr>
          <w:i/>
          <w:sz w:val="20"/>
          <w:szCs w:val="20"/>
        </w:rPr>
        <w:t xml:space="preserve">Carl Christopher </w:t>
      </w:r>
      <w:proofErr w:type="spellStart"/>
      <w:r w:rsidRPr="00D62461">
        <w:rPr>
          <w:i/>
          <w:sz w:val="20"/>
          <w:szCs w:val="20"/>
        </w:rPr>
        <w:t>Nqumayo</w:t>
      </w:r>
      <w:proofErr w:type="spellEnd"/>
      <w:r w:rsidRPr="00D62461">
        <w:rPr>
          <w:i/>
          <w:sz w:val="20"/>
          <w:szCs w:val="20"/>
        </w:rPr>
        <w:t xml:space="preserve"> aka Christopher Carl </w:t>
      </w:r>
      <w:proofErr w:type="spellStart"/>
      <w:r w:rsidRPr="00D62461">
        <w:rPr>
          <w:i/>
          <w:sz w:val="20"/>
          <w:szCs w:val="20"/>
        </w:rPr>
        <w:t>Nqumayo</w:t>
      </w:r>
      <w:proofErr w:type="spellEnd"/>
      <w:r w:rsidRPr="00D62461">
        <w:rPr>
          <w:i/>
          <w:sz w:val="20"/>
          <w:szCs w:val="20"/>
        </w:rPr>
        <w:t xml:space="preserve"> v. Her Majesty the Queen</w:t>
      </w:r>
      <w:r w:rsidRPr="005605D7">
        <w:rPr>
          <w:sz w:val="20"/>
          <w:szCs w:val="20"/>
        </w:rPr>
        <w:t xml:space="preserve"> (Alta.) (Crim</w:t>
      </w:r>
      <w:r>
        <w:rPr>
          <w:sz w:val="20"/>
          <w:szCs w:val="20"/>
        </w:rPr>
        <w:t>.</w:t>
      </w:r>
      <w:r w:rsidRPr="005605D7">
        <w:rPr>
          <w:sz w:val="20"/>
          <w:szCs w:val="20"/>
        </w:rPr>
        <w:t>) (By Leave)</w:t>
      </w:r>
      <w:r w:rsidR="003359D3" w:rsidRPr="00C50A5C">
        <w:rPr>
          <w:sz w:val="20"/>
          <w:szCs w:val="20"/>
        </w:rPr>
        <w:t xml:space="preserve"> (3</w:t>
      </w:r>
      <w:r w:rsidR="003359D3">
        <w:rPr>
          <w:sz w:val="20"/>
          <w:szCs w:val="20"/>
        </w:rPr>
        <w:t>41</w:t>
      </w:r>
      <w:r>
        <w:rPr>
          <w:sz w:val="20"/>
          <w:szCs w:val="20"/>
        </w:rPr>
        <w:t>86</w:t>
      </w:r>
      <w:r w:rsidR="003359D3" w:rsidRPr="00C50A5C">
        <w:rPr>
          <w:sz w:val="20"/>
          <w:szCs w:val="20"/>
        </w:rPr>
        <w:t>)</w:t>
      </w:r>
    </w:p>
    <w:p w:rsidR="003359D3" w:rsidRPr="00C50A5C" w:rsidRDefault="003359D3" w:rsidP="003359D3">
      <w:pPr>
        <w:widowControl w:val="0"/>
        <w:jc w:val="both"/>
        <w:rPr>
          <w:sz w:val="20"/>
          <w:szCs w:val="20"/>
        </w:rPr>
      </w:pPr>
    </w:p>
    <w:p w:rsidR="003359D3" w:rsidRPr="000D3B6E" w:rsidRDefault="00D62461" w:rsidP="003359D3">
      <w:pPr>
        <w:pStyle w:val="ListParagraph"/>
        <w:widowControl w:val="0"/>
        <w:numPr>
          <w:ilvl w:val="0"/>
          <w:numId w:val="1"/>
        </w:numPr>
        <w:ind w:hanging="720"/>
        <w:jc w:val="both"/>
        <w:rPr>
          <w:sz w:val="20"/>
          <w:szCs w:val="20"/>
          <w:lang w:val="fr-CA"/>
        </w:rPr>
      </w:pPr>
      <w:r w:rsidRPr="00D62461">
        <w:rPr>
          <w:i/>
          <w:sz w:val="20"/>
          <w:szCs w:val="20"/>
          <w:lang w:val="fr-CA"/>
        </w:rPr>
        <w:t>Michel Mayer c. Sa Majesté la Reine</w:t>
      </w:r>
      <w:r w:rsidRPr="00D62461">
        <w:rPr>
          <w:sz w:val="20"/>
          <w:szCs w:val="20"/>
          <w:lang w:val="fr-CA"/>
        </w:rPr>
        <w:t xml:space="preserve"> (</w:t>
      </w:r>
      <w:proofErr w:type="spellStart"/>
      <w:r w:rsidRPr="00D62461">
        <w:rPr>
          <w:sz w:val="20"/>
          <w:szCs w:val="20"/>
          <w:lang w:val="fr-CA"/>
        </w:rPr>
        <w:t>Qc</w:t>
      </w:r>
      <w:proofErr w:type="spellEnd"/>
      <w:r w:rsidRPr="00D62461">
        <w:rPr>
          <w:sz w:val="20"/>
          <w:szCs w:val="20"/>
          <w:lang w:val="fr-CA"/>
        </w:rPr>
        <w:t>) (</w:t>
      </w:r>
      <w:proofErr w:type="spellStart"/>
      <w:r w:rsidRPr="00D62461">
        <w:rPr>
          <w:sz w:val="20"/>
          <w:szCs w:val="20"/>
          <w:lang w:val="fr-CA"/>
        </w:rPr>
        <w:t>Crim</w:t>
      </w:r>
      <w:proofErr w:type="spellEnd"/>
      <w:r w:rsidRPr="00D62461">
        <w:rPr>
          <w:sz w:val="20"/>
          <w:szCs w:val="20"/>
          <w:lang w:val="fr-CA"/>
        </w:rPr>
        <w:t xml:space="preserve">.) </w:t>
      </w:r>
      <w:r w:rsidRPr="005605D7">
        <w:rPr>
          <w:sz w:val="20"/>
          <w:szCs w:val="20"/>
          <w:lang w:val="fr-CA"/>
        </w:rPr>
        <w:t>(Autorisation)</w:t>
      </w:r>
      <w:r w:rsidRPr="000D3B6E">
        <w:rPr>
          <w:sz w:val="20"/>
          <w:szCs w:val="20"/>
          <w:lang w:val="fr-CA"/>
        </w:rPr>
        <w:t xml:space="preserve"> </w:t>
      </w:r>
      <w:r w:rsidR="003359D3" w:rsidRPr="000D3B6E">
        <w:rPr>
          <w:sz w:val="20"/>
          <w:szCs w:val="20"/>
          <w:lang w:val="fr-CA"/>
        </w:rPr>
        <w:t>(341</w:t>
      </w:r>
      <w:r>
        <w:rPr>
          <w:sz w:val="20"/>
          <w:szCs w:val="20"/>
          <w:lang w:val="fr-CA"/>
        </w:rPr>
        <w:t>80</w:t>
      </w:r>
      <w:r w:rsidR="003359D3" w:rsidRPr="000D3B6E">
        <w:rPr>
          <w:sz w:val="20"/>
          <w:szCs w:val="20"/>
          <w:lang w:val="fr-CA"/>
        </w:rPr>
        <w:t>)</w:t>
      </w:r>
    </w:p>
    <w:p w:rsidR="003359D3" w:rsidRPr="000D3B6E" w:rsidRDefault="003359D3" w:rsidP="003359D3">
      <w:pPr>
        <w:widowControl w:val="0"/>
        <w:jc w:val="both"/>
        <w:rPr>
          <w:sz w:val="20"/>
          <w:szCs w:val="20"/>
          <w:lang w:val="fr-CA"/>
        </w:rPr>
      </w:pPr>
    </w:p>
    <w:p w:rsidR="003359D3" w:rsidRPr="00D62461" w:rsidRDefault="00D62461" w:rsidP="003359D3">
      <w:pPr>
        <w:pStyle w:val="ListParagraph"/>
        <w:widowControl w:val="0"/>
        <w:numPr>
          <w:ilvl w:val="0"/>
          <w:numId w:val="1"/>
        </w:numPr>
        <w:ind w:hanging="720"/>
        <w:jc w:val="both"/>
        <w:rPr>
          <w:sz w:val="20"/>
          <w:szCs w:val="20"/>
          <w:lang w:val="fr-CA"/>
        </w:rPr>
      </w:pPr>
      <w:r w:rsidRPr="00D62461">
        <w:rPr>
          <w:i/>
          <w:sz w:val="20"/>
          <w:szCs w:val="20"/>
          <w:lang w:val="fr-CA"/>
        </w:rPr>
        <w:t>Daniel Hurtubise c. Sa Majesté la Reine</w:t>
      </w:r>
      <w:r w:rsidRPr="005605D7">
        <w:rPr>
          <w:sz w:val="20"/>
          <w:szCs w:val="20"/>
          <w:lang w:val="fr-CA"/>
        </w:rPr>
        <w:t xml:space="preserve"> (</w:t>
      </w:r>
      <w:proofErr w:type="spellStart"/>
      <w:r w:rsidRPr="005605D7">
        <w:rPr>
          <w:sz w:val="20"/>
          <w:szCs w:val="20"/>
          <w:lang w:val="fr-CA"/>
        </w:rPr>
        <w:t>Qc</w:t>
      </w:r>
      <w:proofErr w:type="spellEnd"/>
      <w:r w:rsidRPr="005605D7">
        <w:rPr>
          <w:sz w:val="20"/>
          <w:szCs w:val="20"/>
          <w:lang w:val="fr-CA"/>
        </w:rPr>
        <w:t>) (</w:t>
      </w:r>
      <w:proofErr w:type="spellStart"/>
      <w:r w:rsidRPr="005605D7">
        <w:rPr>
          <w:sz w:val="20"/>
          <w:szCs w:val="20"/>
          <w:lang w:val="fr-CA"/>
        </w:rPr>
        <w:t>Crim</w:t>
      </w:r>
      <w:proofErr w:type="spellEnd"/>
      <w:r>
        <w:rPr>
          <w:sz w:val="20"/>
          <w:szCs w:val="20"/>
          <w:lang w:val="fr-CA"/>
        </w:rPr>
        <w:t>.</w:t>
      </w:r>
      <w:r w:rsidRPr="005605D7">
        <w:rPr>
          <w:sz w:val="20"/>
          <w:szCs w:val="20"/>
          <w:lang w:val="fr-CA"/>
        </w:rPr>
        <w:t>) (Autorisation)</w:t>
      </w:r>
      <w:r w:rsidRPr="00D62461">
        <w:rPr>
          <w:sz w:val="20"/>
          <w:szCs w:val="20"/>
          <w:lang w:val="fr-CA"/>
        </w:rPr>
        <w:t xml:space="preserve"> </w:t>
      </w:r>
      <w:r w:rsidR="003359D3" w:rsidRPr="00D62461">
        <w:rPr>
          <w:sz w:val="20"/>
          <w:szCs w:val="20"/>
          <w:lang w:val="fr-CA"/>
        </w:rPr>
        <w:t>(341</w:t>
      </w:r>
      <w:r>
        <w:rPr>
          <w:sz w:val="20"/>
          <w:szCs w:val="20"/>
          <w:lang w:val="fr-CA"/>
        </w:rPr>
        <w:t>81</w:t>
      </w:r>
      <w:r w:rsidR="003359D3" w:rsidRPr="00D62461">
        <w:rPr>
          <w:sz w:val="20"/>
          <w:szCs w:val="20"/>
          <w:lang w:val="fr-CA"/>
        </w:rPr>
        <w:t>)</w:t>
      </w:r>
    </w:p>
    <w:p w:rsidR="003359D3" w:rsidRPr="00D62461" w:rsidRDefault="003359D3" w:rsidP="003359D3">
      <w:pPr>
        <w:widowControl w:val="0"/>
        <w:rPr>
          <w:sz w:val="20"/>
          <w:szCs w:val="20"/>
          <w:lang w:val="fr-CA"/>
        </w:rPr>
      </w:pPr>
    </w:p>
    <w:p w:rsidR="005605D7" w:rsidRPr="00D62461" w:rsidRDefault="005605D7" w:rsidP="003359D3">
      <w:pPr>
        <w:widowControl w:val="0"/>
        <w:rPr>
          <w:sz w:val="20"/>
          <w:szCs w:val="20"/>
          <w:lang w:val="fr-CA"/>
        </w:rPr>
      </w:pPr>
    </w:p>
    <w:p w:rsidR="005605D7" w:rsidRPr="00C50A5C" w:rsidRDefault="005605D7" w:rsidP="005605D7">
      <w:pPr>
        <w:widowControl w:val="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Rothstein JJ.</w:t>
      </w:r>
    </w:p>
    <w:p w:rsidR="005605D7" w:rsidRDefault="005605D7" w:rsidP="005605D7">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Binnie</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proofErr w:type="spellStart"/>
      <w:r w:rsidRPr="00C50A5C">
        <w:rPr>
          <w:b/>
          <w:sz w:val="20"/>
          <w:szCs w:val="20"/>
          <w:lang w:val="fr-CA"/>
        </w:rPr>
        <w:t>Rothstein</w:t>
      </w:r>
      <w:proofErr w:type="spellEnd"/>
    </w:p>
    <w:p w:rsidR="005605D7" w:rsidRPr="005605D7" w:rsidRDefault="005605D7" w:rsidP="005605D7">
      <w:pPr>
        <w:widowControl w:val="0"/>
        <w:rPr>
          <w:sz w:val="20"/>
          <w:szCs w:val="20"/>
          <w:lang w:val="fr-CA"/>
        </w:rPr>
      </w:pPr>
    </w:p>
    <w:p w:rsidR="003359D3" w:rsidRPr="00C50A5C" w:rsidRDefault="006D5B9A" w:rsidP="003359D3">
      <w:pPr>
        <w:pStyle w:val="ListParagraph"/>
        <w:widowControl w:val="0"/>
        <w:numPr>
          <w:ilvl w:val="0"/>
          <w:numId w:val="1"/>
        </w:numPr>
        <w:ind w:hanging="720"/>
        <w:jc w:val="both"/>
        <w:rPr>
          <w:sz w:val="20"/>
          <w:szCs w:val="20"/>
        </w:rPr>
      </w:pPr>
      <w:r w:rsidRPr="006D5B9A">
        <w:rPr>
          <w:i/>
          <w:sz w:val="20"/>
          <w:szCs w:val="20"/>
        </w:rPr>
        <w:t>Her Majesty the Queen v. Richard Cole</w:t>
      </w:r>
      <w:r w:rsidRPr="005605D7">
        <w:rPr>
          <w:sz w:val="20"/>
          <w:szCs w:val="20"/>
        </w:rPr>
        <w:t xml:space="preserve"> (Ont.) (Crim</w:t>
      </w:r>
      <w:r>
        <w:rPr>
          <w:sz w:val="20"/>
          <w:szCs w:val="20"/>
        </w:rPr>
        <w:t>.</w:t>
      </w:r>
      <w:r w:rsidRPr="005605D7">
        <w:rPr>
          <w:sz w:val="20"/>
          <w:szCs w:val="20"/>
        </w:rPr>
        <w:t>) (By Leave)</w:t>
      </w:r>
      <w:r w:rsidRPr="00C50A5C">
        <w:rPr>
          <w:sz w:val="20"/>
          <w:szCs w:val="20"/>
        </w:rPr>
        <w:t xml:space="preserve"> </w:t>
      </w:r>
      <w:r w:rsidR="003359D3" w:rsidRPr="00C50A5C">
        <w:rPr>
          <w:sz w:val="20"/>
          <w:szCs w:val="20"/>
        </w:rPr>
        <w:t>(3</w:t>
      </w:r>
      <w:r w:rsidR="003359D3">
        <w:rPr>
          <w:sz w:val="20"/>
          <w:szCs w:val="20"/>
        </w:rPr>
        <w:t>4</w:t>
      </w:r>
      <w:r>
        <w:rPr>
          <w:sz w:val="20"/>
          <w:szCs w:val="20"/>
        </w:rPr>
        <w:t>268</w:t>
      </w:r>
      <w:r w:rsidR="003359D3" w:rsidRPr="00C50A5C">
        <w:rPr>
          <w:sz w:val="20"/>
          <w:szCs w:val="20"/>
        </w:rPr>
        <w:t>)</w:t>
      </w:r>
    </w:p>
    <w:p w:rsidR="003359D3" w:rsidRDefault="003359D3" w:rsidP="003359D3">
      <w:pPr>
        <w:widowControl w:val="0"/>
        <w:jc w:val="both"/>
        <w:rPr>
          <w:sz w:val="20"/>
          <w:szCs w:val="20"/>
        </w:rPr>
      </w:pPr>
    </w:p>
    <w:p w:rsidR="003359D3" w:rsidRPr="00C50A5C" w:rsidRDefault="006D5B9A" w:rsidP="003359D3">
      <w:pPr>
        <w:pStyle w:val="ListParagraph"/>
        <w:widowControl w:val="0"/>
        <w:numPr>
          <w:ilvl w:val="0"/>
          <w:numId w:val="1"/>
        </w:numPr>
        <w:ind w:hanging="720"/>
        <w:jc w:val="both"/>
        <w:rPr>
          <w:sz w:val="20"/>
          <w:szCs w:val="20"/>
        </w:rPr>
      </w:pPr>
      <w:r w:rsidRPr="006D5B9A">
        <w:rPr>
          <w:i/>
          <w:sz w:val="20"/>
          <w:szCs w:val="20"/>
        </w:rPr>
        <w:t>P.C. v. P.M.</w:t>
      </w:r>
      <w:r w:rsidRPr="005605D7">
        <w:rPr>
          <w:sz w:val="20"/>
          <w:szCs w:val="20"/>
        </w:rPr>
        <w:t xml:space="preserve"> (Que.) (Civil) (By Leave)</w:t>
      </w:r>
      <w:r>
        <w:rPr>
          <w:sz w:val="20"/>
          <w:szCs w:val="20"/>
        </w:rPr>
        <w:t xml:space="preserve"> </w:t>
      </w:r>
      <w:r w:rsidR="003359D3" w:rsidRPr="00C50A5C">
        <w:rPr>
          <w:sz w:val="20"/>
          <w:szCs w:val="20"/>
        </w:rPr>
        <w:t>(34</w:t>
      </w:r>
      <w:r>
        <w:rPr>
          <w:sz w:val="20"/>
          <w:szCs w:val="20"/>
        </w:rPr>
        <w:t>259</w:t>
      </w:r>
      <w:r w:rsidR="003359D3" w:rsidRPr="00C50A5C">
        <w:rPr>
          <w:sz w:val="20"/>
          <w:szCs w:val="20"/>
        </w:rPr>
        <w:t>)</w:t>
      </w:r>
    </w:p>
    <w:p w:rsidR="003359D3" w:rsidRPr="00C50A5C" w:rsidRDefault="003359D3" w:rsidP="003359D3">
      <w:pPr>
        <w:widowControl w:val="0"/>
        <w:rPr>
          <w:sz w:val="20"/>
          <w:szCs w:val="20"/>
        </w:rPr>
      </w:pPr>
    </w:p>
    <w:p w:rsidR="003359D3" w:rsidRPr="000D3B6E" w:rsidRDefault="006D5B9A" w:rsidP="003359D3">
      <w:pPr>
        <w:pStyle w:val="ListParagraph"/>
        <w:widowControl w:val="0"/>
        <w:numPr>
          <w:ilvl w:val="0"/>
          <w:numId w:val="1"/>
        </w:numPr>
        <w:ind w:hanging="720"/>
        <w:jc w:val="both"/>
        <w:rPr>
          <w:sz w:val="20"/>
          <w:szCs w:val="20"/>
        </w:rPr>
      </w:pPr>
      <w:r w:rsidRPr="006D5B9A">
        <w:rPr>
          <w:i/>
          <w:sz w:val="20"/>
          <w:szCs w:val="20"/>
        </w:rPr>
        <w:t>Paul R. Love v. Acuity Investment Management Inc. et al.</w:t>
      </w:r>
      <w:r w:rsidRPr="005605D7">
        <w:rPr>
          <w:sz w:val="20"/>
          <w:szCs w:val="20"/>
        </w:rPr>
        <w:t xml:space="preserve"> (Ont.) (Civil) (By Leave)</w:t>
      </w:r>
      <w:r w:rsidRPr="000D3B6E">
        <w:rPr>
          <w:sz w:val="20"/>
          <w:szCs w:val="20"/>
        </w:rPr>
        <w:t xml:space="preserve"> </w:t>
      </w:r>
      <w:r w:rsidR="003359D3" w:rsidRPr="000D3B6E">
        <w:rPr>
          <w:sz w:val="20"/>
          <w:szCs w:val="20"/>
        </w:rPr>
        <w:t>(34</w:t>
      </w:r>
      <w:r>
        <w:rPr>
          <w:sz w:val="20"/>
          <w:szCs w:val="20"/>
        </w:rPr>
        <w:t>2</w:t>
      </w:r>
      <w:r w:rsidR="003359D3" w:rsidRPr="000D3B6E">
        <w:rPr>
          <w:sz w:val="20"/>
          <w:szCs w:val="20"/>
        </w:rPr>
        <w:t>06)</w:t>
      </w:r>
    </w:p>
    <w:p w:rsidR="003359D3" w:rsidRDefault="003359D3" w:rsidP="003359D3">
      <w:pPr>
        <w:widowControl w:val="0"/>
        <w:jc w:val="both"/>
        <w:rPr>
          <w:sz w:val="20"/>
          <w:szCs w:val="20"/>
        </w:rPr>
      </w:pPr>
    </w:p>
    <w:p w:rsidR="005605D7" w:rsidRDefault="005605D7" w:rsidP="003359D3">
      <w:pPr>
        <w:widowControl w:val="0"/>
        <w:jc w:val="both"/>
        <w:rPr>
          <w:sz w:val="20"/>
          <w:szCs w:val="20"/>
        </w:rPr>
      </w:pPr>
    </w:p>
    <w:p w:rsidR="005605D7" w:rsidRPr="00C50A5C" w:rsidRDefault="005605D7" w:rsidP="005605D7">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5605D7" w:rsidRPr="00C50A5C" w:rsidRDefault="005605D7" w:rsidP="005605D7">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xml:space="preserve">, </w:t>
      </w:r>
      <w:r>
        <w:rPr>
          <w:b/>
          <w:sz w:val="20"/>
          <w:szCs w:val="20"/>
          <w:lang w:val="fr-CA"/>
        </w:rPr>
        <w:t>Fish</w:t>
      </w:r>
      <w:r w:rsidRPr="00C50A5C">
        <w:rPr>
          <w:b/>
          <w:sz w:val="20"/>
          <w:szCs w:val="20"/>
          <w:lang w:val="fr-CA"/>
        </w:rPr>
        <w:t xml:space="preserve"> et Cro</w:t>
      </w:r>
      <w:r>
        <w:rPr>
          <w:b/>
          <w:sz w:val="20"/>
          <w:szCs w:val="20"/>
          <w:lang w:val="fr-CA"/>
        </w:rPr>
        <w:t>mwell</w:t>
      </w:r>
    </w:p>
    <w:p w:rsidR="005605D7" w:rsidRPr="00C50A5C" w:rsidRDefault="005605D7" w:rsidP="005605D7">
      <w:pPr>
        <w:widowControl w:val="0"/>
        <w:jc w:val="both"/>
        <w:rPr>
          <w:sz w:val="20"/>
          <w:szCs w:val="20"/>
          <w:lang w:val="fr-CA"/>
        </w:rPr>
      </w:pPr>
    </w:p>
    <w:p w:rsidR="005605D7" w:rsidRPr="005605D7" w:rsidRDefault="005605D7" w:rsidP="003359D3">
      <w:pPr>
        <w:widowControl w:val="0"/>
        <w:jc w:val="both"/>
        <w:rPr>
          <w:sz w:val="20"/>
          <w:szCs w:val="20"/>
          <w:lang w:val="fr-CA"/>
        </w:rPr>
      </w:pPr>
    </w:p>
    <w:p w:rsidR="003359D3" w:rsidRPr="00524063" w:rsidRDefault="00524063" w:rsidP="003359D3">
      <w:pPr>
        <w:pStyle w:val="ListParagraph"/>
        <w:widowControl w:val="0"/>
        <w:numPr>
          <w:ilvl w:val="0"/>
          <w:numId w:val="1"/>
        </w:numPr>
        <w:ind w:hanging="720"/>
        <w:jc w:val="both"/>
        <w:rPr>
          <w:sz w:val="20"/>
          <w:szCs w:val="20"/>
          <w:lang w:val="fr-CA"/>
        </w:rPr>
      </w:pPr>
      <w:r w:rsidRPr="00524063">
        <w:rPr>
          <w:i/>
          <w:sz w:val="20"/>
          <w:szCs w:val="20"/>
          <w:lang w:val="fr-CA"/>
        </w:rPr>
        <w:t xml:space="preserve">Annie </w:t>
      </w:r>
      <w:proofErr w:type="spellStart"/>
      <w:r w:rsidRPr="00524063">
        <w:rPr>
          <w:i/>
          <w:sz w:val="20"/>
          <w:szCs w:val="20"/>
          <w:lang w:val="fr-CA"/>
        </w:rPr>
        <w:t>Chélin</w:t>
      </w:r>
      <w:proofErr w:type="spellEnd"/>
      <w:r w:rsidRPr="00524063">
        <w:rPr>
          <w:i/>
          <w:sz w:val="20"/>
          <w:szCs w:val="20"/>
          <w:lang w:val="fr-CA"/>
        </w:rPr>
        <w:t xml:space="preserve"> c. Université du Québec à Montréal et a</w:t>
      </w:r>
      <w:r>
        <w:rPr>
          <w:i/>
          <w:sz w:val="20"/>
          <w:szCs w:val="20"/>
          <w:lang w:val="fr-CA"/>
        </w:rPr>
        <w:t>utres</w:t>
      </w:r>
      <w:r w:rsidRPr="00E32C99">
        <w:rPr>
          <w:sz w:val="20"/>
          <w:szCs w:val="20"/>
          <w:lang w:val="fr-CA"/>
        </w:rPr>
        <w:t xml:space="preserve"> (</w:t>
      </w:r>
      <w:proofErr w:type="spellStart"/>
      <w:r w:rsidRPr="00E32C99">
        <w:rPr>
          <w:sz w:val="20"/>
          <w:szCs w:val="20"/>
          <w:lang w:val="fr-CA"/>
        </w:rPr>
        <w:t>Qc</w:t>
      </w:r>
      <w:proofErr w:type="spellEnd"/>
      <w:r w:rsidRPr="00E32C99">
        <w:rPr>
          <w:sz w:val="20"/>
          <w:szCs w:val="20"/>
          <w:lang w:val="fr-CA"/>
        </w:rPr>
        <w:t>) (Civile) (Autorisa</w:t>
      </w:r>
      <w:r w:rsidRPr="005605D7">
        <w:rPr>
          <w:sz w:val="20"/>
          <w:szCs w:val="20"/>
          <w:lang w:val="fr-CA"/>
        </w:rPr>
        <w:t>tion)</w:t>
      </w:r>
      <w:r w:rsidRPr="00524063">
        <w:rPr>
          <w:sz w:val="20"/>
          <w:szCs w:val="20"/>
          <w:lang w:val="fr-CA"/>
        </w:rPr>
        <w:t xml:space="preserve"> </w:t>
      </w:r>
      <w:r w:rsidR="003359D3" w:rsidRPr="00524063">
        <w:rPr>
          <w:sz w:val="20"/>
          <w:szCs w:val="20"/>
          <w:lang w:val="fr-CA"/>
        </w:rPr>
        <w:t>(34</w:t>
      </w:r>
      <w:r w:rsidR="006D5B9A" w:rsidRPr="00524063">
        <w:rPr>
          <w:sz w:val="20"/>
          <w:szCs w:val="20"/>
          <w:lang w:val="fr-CA"/>
        </w:rPr>
        <w:t>15</w:t>
      </w:r>
      <w:r w:rsidR="003359D3" w:rsidRPr="00524063">
        <w:rPr>
          <w:sz w:val="20"/>
          <w:szCs w:val="20"/>
          <w:lang w:val="fr-CA"/>
        </w:rPr>
        <w:t>0)</w:t>
      </w:r>
    </w:p>
    <w:p w:rsidR="003359D3" w:rsidRPr="00C50A5C" w:rsidRDefault="003359D3" w:rsidP="003359D3">
      <w:pPr>
        <w:widowControl w:val="0"/>
        <w:jc w:val="both"/>
        <w:rPr>
          <w:sz w:val="20"/>
          <w:szCs w:val="20"/>
          <w:lang w:val="fr-CA"/>
        </w:rPr>
      </w:pPr>
    </w:p>
    <w:p w:rsidR="003359D3" w:rsidRPr="00C50A5C" w:rsidRDefault="00524063" w:rsidP="003359D3">
      <w:pPr>
        <w:pStyle w:val="ListParagraph"/>
        <w:widowControl w:val="0"/>
        <w:numPr>
          <w:ilvl w:val="0"/>
          <w:numId w:val="1"/>
        </w:numPr>
        <w:ind w:hanging="720"/>
        <w:jc w:val="both"/>
        <w:rPr>
          <w:sz w:val="20"/>
          <w:szCs w:val="20"/>
          <w:lang w:val="fr-CA"/>
        </w:rPr>
      </w:pPr>
      <w:r w:rsidRPr="00524063">
        <w:rPr>
          <w:i/>
          <w:sz w:val="20"/>
          <w:szCs w:val="20"/>
          <w:lang w:val="fr-CA"/>
        </w:rPr>
        <w:t xml:space="preserve">Benoît Pitre c. Gestion GB-7 Inc. </w:t>
      </w:r>
      <w:r w:rsidRPr="005605D7">
        <w:rPr>
          <w:sz w:val="20"/>
          <w:szCs w:val="20"/>
          <w:lang w:val="fr-CA"/>
        </w:rPr>
        <w:t>(</w:t>
      </w:r>
      <w:proofErr w:type="spellStart"/>
      <w:r w:rsidRPr="005605D7">
        <w:rPr>
          <w:sz w:val="20"/>
          <w:szCs w:val="20"/>
          <w:lang w:val="fr-CA"/>
        </w:rPr>
        <w:t>Qc</w:t>
      </w:r>
      <w:proofErr w:type="spellEnd"/>
      <w:r w:rsidRPr="005605D7">
        <w:rPr>
          <w:sz w:val="20"/>
          <w:szCs w:val="20"/>
          <w:lang w:val="fr-CA"/>
        </w:rPr>
        <w:t>) (Civile) (Autorisation)</w:t>
      </w:r>
      <w:r w:rsidRPr="00C50A5C">
        <w:rPr>
          <w:sz w:val="20"/>
          <w:szCs w:val="20"/>
          <w:lang w:val="fr-CA"/>
        </w:rPr>
        <w:t xml:space="preserve"> </w:t>
      </w:r>
      <w:r w:rsidR="003359D3" w:rsidRPr="00C50A5C">
        <w:rPr>
          <w:sz w:val="20"/>
          <w:szCs w:val="20"/>
          <w:lang w:val="fr-CA"/>
        </w:rPr>
        <w:t>(3</w:t>
      </w:r>
      <w:r w:rsidR="003359D3">
        <w:rPr>
          <w:sz w:val="20"/>
          <w:szCs w:val="20"/>
          <w:lang w:val="fr-CA"/>
        </w:rPr>
        <w:t>4</w:t>
      </w:r>
      <w:r w:rsidR="006D5B9A">
        <w:rPr>
          <w:sz w:val="20"/>
          <w:szCs w:val="20"/>
          <w:lang w:val="fr-CA"/>
        </w:rPr>
        <w:t>166</w:t>
      </w:r>
      <w:r w:rsidR="003359D3" w:rsidRPr="00C50A5C">
        <w:rPr>
          <w:sz w:val="20"/>
          <w:szCs w:val="20"/>
          <w:lang w:val="fr-CA"/>
        </w:rPr>
        <w:t>)</w:t>
      </w:r>
    </w:p>
    <w:p w:rsidR="003359D3" w:rsidRDefault="003359D3" w:rsidP="003359D3">
      <w:pPr>
        <w:widowControl w:val="0"/>
        <w:rPr>
          <w:sz w:val="20"/>
          <w:szCs w:val="20"/>
          <w:lang w:val="fr-CA"/>
        </w:rPr>
      </w:pPr>
    </w:p>
    <w:p w:rsidR="002E2327" w:rsidRPr="00C50A5C" w:rsidRDefault="001557DD" w:rsidP="002E2327">
      <w:pPr>
        <w:widowControl w:val="0"/>
        <w:rPr>
          <w:sz w:val="20"/>
          <w:szCs w:val="20"/>
        </w:rPr>
      </w:pPr>
      <w:r w:rsidRPr="001557DD">
        <w:rPr>
          <w:sz w:val="20"/>
          <w:szCs w:val="20"/>
        </w:rPr>
        <w:pict>
          <v:rect id="_x0000_i103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0" w:name="QuickMark_1"/>
            <w:bookmarkEnd w:id="0"/>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5B0F40" w:rsidRPr="005B0F40" w:rsidRDefault="005B0F40" w:rsidP="005B0F40">
      <w:pPr>
        <w:tabs>
          <w:tab w:val="left" w:pos="-1440"/>
          <w:tab w:val="left" w:pos="-720"/>
        </w:tabs>
        <w:jc w:val="both"/>
        <w:rPr>
          <w:rFonts w:eastAsia="Times New Roman" w:cs="Times New Roman"/>
          <w:sz w:val="20"/>
          <w:szCs w:val="20"/>
          <w:lang w:val="fr-CA" w:eastAsia="en-CA"/>
        </w:rPr>
      </w:pPr>
      <w:r w:rsidRPr="005B0F40">
        <w:rPr>
          <w:rFonts w:eastAsia="Times New Roman" w:cs="Times New Roman"/>
          <w:sz w:val="20"/>
          <w:szCs w:val="20"/>
          <w:lang w:val="fr-CA" w:eastAsia="en-CA"/>
        </w:rPr>
        <w:t>05.07.2011</w:t>
      </w:r>
    </w:p>
    <w:p w:rsidR="005B0F40" w:rsidRPr="005B0F40" w:rsidRDefault="005B0F40" w:rsidP="005B0F40">
      <w:pPr>
        <w:tabs>
          <w:tab w:val="left" w:pos="-1440"/>
          <w:tab w:val="left" w:pos="-720"/>
        </w:tabs>
        <w:jc w:val="both"/>
        <w:rPr>
          <w:rFonts w:eastAsia="Times New Roman" w:cs="Times New Roman"/>
          <w:sz w:val="20"/>
          <w:szCs w:val="20"/>
          <w:lang w:val="fr-CA" w:eastAsia="en-CA"/>
        </w:rPr>
      </w:pPr>
    </w:p>
    <w:p w:rsidR="005B0F40" w:rsidRPr="005B0F40" w:rsidRDefault="005B0F40" w:rsidP="005B0F40">
      <w:pPr>
        <w:tabs>
          <w:tab w:val="left" w:pos="-1440"/>
          <w:tab w:val="left" w:pos="-720"/>
        </w:tabs>
        <w:jc w:val="both"/>
        <w:rPr>
          <w:rFonts w:eastAsia="Times New Roman" w:cs="Times New Roman"/>
          <w:sz w:val="20"/>
          <w:szCs w:val="20"/>
          <w:lang w:val="fr-CA" w:eastAsia="en-CA"/>
        </w:rPr>
      </w:pPr>
      <w:proofErr w:type="spellStart"/>
      <w:r w:rsidRPr="005B0F40">
        <w:rPr>
          <w:rFonts w:eastAsia="Times New Roman" w:cs="Times New Roman"/>
          <w:sz w:val="20"/>
          <w:szCs w:val="20"/>
          <w:lang w:val="fr-CA" w:eastAsia="en-CA"/>
        </w:rPr>
        <w:t>Before</w:t>
      </w:r>
      <w:proofErr w:type="spellEnd"/>
      <w:r w:rsidRPr="005B0F40">
        <w:rPr>
          <w:rFonts w:eastAsia="Times New Roman" w:cs="Times New Roman"/>
          <w:sz w:val="20"/>
          <w:szCs w:val="20"/>
          <w:lang w:val="fr-CA" w:eastAsia="en-CA"/>
        </w:rPr>
        <w:t xml:space="preserve"> / Devant :   ROTHSTEIN J. / LE JUGE ROTHSTEIN</w:t>
      </w:r>
    </w:p>
    <w:p w:rsidR="005B0F40" w:rsidRPr="005B0F40" w:rsidRDefault="005B0F40" w:rsidP="005B0F4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B0F40" w:rsidRPr="00D66BAA" w:rsidTr="00BE36BA">
        <w:tc>
          <w:tcPr>
            <w:tcW w:w="4338" w:type="dxa"/>
          </w:tcPr>
          <w:p w:rsidR="005B0F40" w:rsidRPr="005B0F40" w:rsidRDefault="001557DD" w:rsidP="005B0F40">
            <w:pPr>
              <w:tabs>
                <w:tab w:val="left" w:pos="-1440"/>
                <w:tab w:val="left" w:pos="-720"/>
              </w:tabs>
              <w:jc w:val="both"/>
              <w:rPr>
                <w:b/>
              </w:rPr>
            </w:pPr>
            <w:r w:rsidRPr="005B0F40">
              <w:rPr>
                <w:szCs w:val="24"/>
                <w:lang w:val="en-US"/>
              </w:rPr>
              <w:fldChar w:fldCharType="begin"/>
            </w:r>
            <w:r w:rsidR="005B0F40" w:rsidRPr="005B0F40">
              <w:rPr>
                <w:szCs w:val="24"/>
                <w:lang w:val="en-US"/>
              </w:rPr>
              <w:instrText xml:space="preserve"> SEQ CHAPTER \h \r 1</w:instrText>
            </w:r>
            <w:r w:rsidRPr="005B0F40">
              <w:rPr>
                <w:szCs w:val="24"/>
                <w:lang w:val="en-US"/>
              </w:rPr>
              <w:fldChar w:fldCharType="end"/>
            </w:r>
            <w:r w:rsidR="005B0F40" w:rsidRPr="005B0F40">
              <w:rPr>
                <w:b/>
                <w:bCs/>
                <w:lang w:val="en-US"/>
              </w:rPr>
              <w:t>Request to be held in abeyance</w:t>
            </w:r>
          </w:p>
        </w:tc>
        <w:tc>
          <w:tcPr>
            <w:tcW w:w="1170" w:type="dxa"/>
          </w:tcPr>
          <w:p w:rsidR="005B0F40" w:rsidRPr="005B0F40" w:rsidRDefault="005B0F40" w:rsidP="005B0F40">
            <w:pPr>
              <w:tabs>
                <w:tab w:val="left" w:pos="-1440"/>
                <w:tab w:val="left" w:pos="-720"/>
              </w:tabs>
              <w:jc w:val="both"/>
            </w:pPr>
          </w:p>
          <w:p w:rsidR="005B0F40" w:rsidRPr="005B0F40" w:rsidRDefault="005B0F40" w:rsidP="005B0F40">
            <w:pPr>
              <w:tabs>
                <w:tab w:val="left" w:pos="-1440"/>
                <w:tab w:val="left" w:pos="-720"/>
              </w:tabs>
              <w:jc w:val="both"/>
            </w:pPr>
          </w:p>
        </w:tc>
        <w:tc>
          <w:tcPr>
            <w:tcW w:w="4327" w:type="dxa"/>
          </w:tcPr>
          <w:p w:rsidR="005B0F40" w:rsidRPr="005B0F40" w:rsidRDefault="005B0F40" w:rsidP="005B0F40">
            <w:pPr>
              <w:tabs>
                <w:tab w:val="left" w:pos="-1440"/>
                <w:tab w:val="left" w:pos="-720"/>
              </w:tabs>
              <w:jc w:val="both"/>
              <w:rPr>
                <w:b/>
                <w:lang w:val="fr-CA"/>
              </w:rPr>
            </w:pPr>
            <w:r w:rsidRPr="005B0F40">
              <w:rPr>
                <w:b/>
                <w:lang w:val="fr-CA"/>
              </w:rPr>
              <w:t>D</w:t>
            </w:r>
            <w:r w:rsidR="001557DD" w:rsidRPr="005B0F40">
              <w:rPr>
                <w:b/>
                <w:lang w:val="en-US"/>
              </w:rPr>
              <w:fldChar w:fldCharType="begin"/>
            </w:r>
            <w:r w:rsidRPr="005B0F40">
              <w:rPr>
                <w:b/>
                <w:lang w:val="fr-CA"/>
              </w:rPr>
              <w:instrText xml:space="preserve"> SEQ CHAPTER \h \r 1</w:instrText>
            </w:r>
            <w:r w:rsidR="001557DD" w:rsidRPr="005B0F40">
              <w:rPr>
                <w:b/>
                <w:lang w:val="en-US"/>
              </w:rPr>
              <w:fldChar w:fldCharType="end"/>
            </w:r>
            <w:r w:rsidRPr="005B0F40">
              <w:rPr>
                <w:b/>
                <w:bCs/>
                <w:lang w:val="fr-CA"/>
              </w:rPr>
              <w:t xml:space="preserve">emande de report de l’examen de la demande </w:t>
            </w:r>
            <w:r w:rsidR="001557DD" w:rsidRPr="005B0F40">
              <w:rPr>
                <w:b/>
                <w:lang w:val="en-US"/>
              </w:rPr>
              <w:fldChar w:fldCharType="begin"/>
            </w:r>
            <w:r w:rsidRPr="005B0F40">
              <w:rPr>
                <w:b/>
                <w:lang w:val="fr-CA"/>
              </w:rPr>
              <w:instrText xml:space="preserve"> SEQ CHAPTER \h \r 1</w:instrText>
            </w:r>
            <w:r w:rsidR="001557DD" w:rsidRPr="005B0F40">
              <w:rPr>
                <w:b/>
                <w:lang w:val="en-US"/>
              </w:rPr>
              <w:fldChar w:fldCharType="end"/>
            </w:r>
          </w:p>
        </w:tc>
      </w:tr>
      <w:tr w:rsidR="005B0F40" w:rsidRPr="00D66BAA" w:rsidTr="00BE36BA">
        <w:tc>
          <w:tcPr>
            <w:tcW w:w="4338" w:type="dxa"/>
          </w:tcPr>
          <w:p w:rsidR="005B0F40" w:rsidRPr="005B0F40" w:rsidRDefault="005B0F40" w:rsidP="005B0F40">
            <w:pPr>
              <w:tabs>
                <w:tab w:val="left" w:pos="-1440"/>
                <w:tab w:val="left" w:pos="-720"/>
              </w:tabs>
              <w:jc w:val="both"/>
            </w:pPr>
            <w:r w:rsidRPr="005B0F40">
              <w:t>Nigel John Hamilton-Smith et al.</w:t>
            </w:r>
          </w:p>
          <w:p w:rsidR="005B0F40" w:rsidRPr="005B0F40" w:rsidRDefault="005B0F40" w:rsidP="005B0F40">
            <w:pPr>
              <w:tabs>
                <w:tab w:val="left" w:pos="-1440"/>
                <w:tab w:val="left" w:pos="-720"/>
              </w:tabs>
              <w:jc w:val="both"/>
            </w:pPr>
          </w:p>
          <w:p w:rsidR="005B0F40" w:rsidRPr="005B0F40" w:rsidRDefault="005B0F40" w:rsidP="005B0F40">
            <w:pPr>
              <w:tabs>
                <w:tab w:val="left" w:pos="-1440"/>
                <w:tab w:val="left" w:pos="-720"/>
              </w:tabs>
              <w:jc w:val="both"/>
              <w:rPr>
                <w:lang w:val="fr-CA"/>
              </w:rPr>
            </w:pPr>
            <w:r w:rsidRPr="005B0F40">
              <w:tab/>
            </w:r>
            <w:r w:rsidRPr="005B0F40">
              <w:rPr>
                <w:lang w:val="fr-CA"/>
              </w:rPr>
              <w:t>v. (33568)</w:t>
            </w:r>
          </w:p>
          <w:p w:rsidR="005B0F40" w:rsidRPr="005B0F40" w:rsidRDefault="005B0F40" w:rsidP="005B0F40">
            <w:pPr>
              <w:tabs>
                <w:tab w:val="left" w:pos="-1440"/>
                <w:tab w:val="left" w:pos="-720"/>
              </w:tabs>
              <w:jc w:val="both"/>
              <w:rPr>
                <w:lang w:val="fr-CA"/>
              </w:rPr>
            </w:pPr>
          </w:p>
          <w:p w:rsidR="005B0F40" w:rsidRPr="005B0F40" w:rsidRDefault="005B0F40" w:rsidP="005B0F40">
            <w:pPr>
              <w:tabs>
                <w:tab w:val="left" w:pos="-1440"/>
                <w:tab w:val="left" w:pos="-720"/>
              </w:tabs>
              <w:jc w:val="both"/>
              <w:rPr>
                <w:lang w:val="fr-CA"/>
              </w:rPr>
            </w:pPr>
            <w:r w:rsidRPr="005B0F40">
              <w:rPr>
                <w:lang w:val="fr-CA"/>
              </w:rPr>
              <w:t xml:space="preserve">Ralph S. </w:t>
            </w:r>
            <w:proofErr w:type="spellStart"/>
            <w:r w:rsidRPr="005B0F40">
              <w:rPr>
                <w:lang w:val="fr-CA"/>
              </w:rPr>
              <w:t>Janvey</w:t>
            </w:r>
            <w:proofErr w:type="spellEnd"/>
            <w:r w:rsidRPr="005B0F40">
              <w:rPr>
                <w:lang w:val="fr-CA"/>
              </w:rPr>
              <w:t xml:space="preserve"> (Que.)</w:t>
            </w:r>
          </w:p>
        </w:tc>
        <w:tc>
          <w:tcPr>
            <w:tcW w:w="1170" w:type="dxa"/>
          </w:tcPr>
          <w:p w:rsidR="005B0F40" w:rsidRPr="005B0F40" w:rsidRDefault="005B0F40" w:rsidP="005B0F40">
            <w:pPr>
              <w:tabs>
                <w:tab w:val="left" w:pos="-1440"/>
                <w:tab w:val="left" w:pos="-720"/>
              </w:tabs>
              <w:jc w:val="both"/>
              <w:rPr>
                <w:lang w:val="fr-CA"/>
              </w:rPr>
            </w:pPr>
          </w:p>
        </w:tc>
        <w:tc>
          <w:tcPr>
            <w:tcW w:w="4327" w:type="dxa"/>
          </w:tcPr>
          <w:p w:rsidR="005B0F40" w:rsidRPr="005B0F40" w:rsidRDefault="005B0F40" w:rsidP="005B0F40">
            <w:pPr>
              <w:tabs>
                <w:tab w:val="left" w:pos="-1440"/>
                <w:tab w:val="left" w:pos="-720"/>
              </w:tabs>
              <w:jc w:val="both"/>
              <w:rPr>
                <w:lang w:val="fr-CA"/>
              </w:rPr>
            </w:pPr>
          </w:p>
        </w:tc>
      </w:tr>
    </w:tbl>
    <w:p w:rsidR="005B0F40" w:rsidRPr="005B0F40" w:rsidRDefault="005B0F40" w:rsidP="005B0F40">
      <w:pPr>
        <w:tabs>
          <w:tab w:val="left" w:pos="-1440"/>
          <w:tab w:val="left" w:pos="-720"/>
        </w:tabs>
        <w:jc w:val="both"/>
        <w:rPr>
          <w:rFonts w:eastAsia="Times New Roman" w:cs="Times New Roman"/>
          <w:sz w:val="20"/>
          <w:szCs w:val="20"/>
          <w:lang w:val="fr-CA" w:eastAsia="en-CA"/>
        </w:rPr>
      </w:pPr>
    </w:p>
    <w:p w:rsidR="005B0F40" w:rsidRPr="005B0F40" w:rsidRDefault="005B0F40" w:rsidP="005B0F40">
      <w:pPr>
        <w:tabs>
          <w:tab w:val="left" w:pos="-1440"/>
          <w:tab w:val="left" w:pos="-720"/>
        </w:tabs>
        <w:jc w:val="both"/>
        <w:rPr>
          <w:rFonts w:eastAsia="Times New Roman" w:cs="Times New Roman"/>
          <w:b/>
          <w:sz w:val="20"/>
          <w:szCs w:val="20"/>
          <w:lang w:eastAsia="en-CA"/>
        </w:rPr>
      </w:pPr>
      <w:r w:rsidRPr="005B0F40">
        <w:rPr>
          <w:rFonts w:eastAsia="Times New Roman" w:cs="Times New Roman"/>
          <w:b/>
          <w:sz w:val="20"/>
          <w:szCs w:val="20"/>
          <w:lang w:eastAsia="en-CA"/>
        </w:rPr>
        <w:t>GRANTED / ACCORDÉE</w:t>
      </w:r>
    </w:p>
    <w:p w:rsidR="005B0F40" w:rsidRPr="005B0F40" w:rsidRDefault="005B0F40" w:rsidP="005B0F40">
      <w:pPr>
        <w:tabs>
          <w:tab w:val="left" w:pos="-1440"/>
          <w:tab w:val="left" w:pos="-720"/>
        </w:tabs>
        <w:jc w:val="both"/>
        <w:rPr>
          <w:rFonts w:eastAsia="Times New Roman" w:cs="Times New Roman"/>
          <w:sz w:val="20"/>
          <w:szCs w:val="20"/>
          <w:lang w:eastAsia="en-CA"/>
        </w:rPr>
      </w:pPr>
    </w:p>
    <w:p w:rsidR="005B0F40" w:rsidRPr="005B0F40" w:rsidRDefault="005B0F40" w:rsidP="005B0F40">
      <w:pPr>
        <w:jc w:val="both"/>
        <w:rPr>
          <w:rFonts w:eastAsia="Times New Roman" w:cs="Times New Roman"/>
          <w:sz w:val="20"/>
          <w:szCs w:val="20"/>
          <w:lang w:val="en-US" w:eastAsia="en-CA"/>
        </w:rPr>
      </w:pPr>
      <w:r w:rsidRPr="005B0F40">
        <w:rPr>
          <w:rFonts w:eastAsia="Times New Roman" w:cs="Times New Roman"/>
          <w:b/>
          <w:sz w:val="20"/>
          <w:szCs w:val="20"/>
          <w:lang w:val="en-US" w:eastAsia="en-CA"/>
        </w:rPr>
        <w:t>UPON REQUEST</w:t>
      </w:r>
      <w:r w:rsidRPr="005B0F40">
        <w:rPr>
          <w:rFonts w:eastAsia="Times New Roman" w:cs="Times New Roman"/>
          <w:sz w:val="20"/>
          <w:szCs w:val="20"/>
          <w:lang w:val="en-US" w:eastAsia="en-CA"/>
        </w:rPr>
        <w:t xml:space="preserve"> by the applicants for an order holding in abeyance the application for leave to appeal until August 12, 2011;</w:t>
      </w:r>
    </w:p>
    <w:p w:rsidR="005B0F40" w:rsidRPr="005B0F40" w:rsidRDefault="005B0F40" w:rsidP="005B0F40">
      <w:pPr>
        <w:jc w:val="both"/>
        <w:rPr>
          <w:rFonts w:eastAsia="Times New Roman" w:cs="Times New Roman"/>
          <w:sz w:val="20"/>
          <w:szCs w:val="20"/>
          <w:lang w:val="en-US" w:eastAsia="en-CA"/>
        </w:rPr>
      </w:pPr>
    </w:p>
    <w:p w:rsidR="005B0F40" w:rsidRPr="005B0F40" w:rsidRDefault="005B0F40" w:rsidP="005B0F40">
      <w:pPr>
        <w:jc w:val="both"/>
        <w:rPr>
          <w:rFonts w:eastAsia="Times New Roman" w:cs="Times New Roman"/>
          <w:sz w:val="20"/>
          <w:szCs w:val="20"/>
          <w:lang w:val="en-US" w:eastAsia="en-CA"/>
        </w:rPr>
      </w:pPr>
      <w:r w:rsidRPr="005B0F40">
        <w:rPr>
          <w:rFonts w:eastAsia="Times New Roman" w:cs="Times New Roman"/>
          <w:b/>
          <w:sz w:val="20"/>
          <w:szCs w:val="20"/>
          <w:lang w:val="en-US" w:eastAsia="en-CA"/>
        </w:rPr>
        <w:t xml:space="preserve">AND HAVING READ </w:t>
      </w:r>
      <w:r w:rsidRPr="005B0F40">
        <w:rPr>
          <w:rFonts w:eastAsia="Times New Roman" w:cs="Times New Roman"/>
          <w:sz w:val="20"/>
          <w:szCs w:val="20"/>
          <w:lang w:val="en-US" w:eastAsia="en-CA"/>
        </w:rPr>
        <w:t>the material filed;</w:t>
      </w:r>
    </w:p>
    <w:p w:rsidR="005B0F40" w:rsidRPr="005B0F40" w:rsidRDefault="005B0F40" w:rsidP="005B0F40">
      <w:pPr>
        <w:jc w:val="both"/>
        <w:rPr>
          <w:rFonts w:eastAsia="Times New Roman" w:cs="Times New Roman"/>
          <w:sz w:val="20"/>
          <w:szCs w:val="20"/>
          <w:lang w:val="en-US" w:eastAsia="en-CA"/>
        </w:rPr>
      </w:pPr>
    </w:p>
    <w:p w:rsidR="005B0F40" w:rsidRPr="005B0F40" w:rsidRDefault="005B0F40" w:rsidP="005B0F40">
      <w:pPr>
        <w:jc w:val="both"/>
        <w:rPr>
          <w:rFonts w:eastAsia="Times New Roman" w:cs="Times New Roman"/>
          <w:b/>
          <w:caps/>
          <w:sz w:val="20"/>
          <w:szCs w:val="20"/>
          <w:lang w:val="en-US" w:eastAsia="en-CA"/>
        </w:rPr>
      </w:pPr>
      <w:r w:rsidRPr="005B0F40">
        <w:rPr>
          <w:rFonts w:eastAsia="Times New Roman" w:cs="Times New Roman"/>
          <w:b/>
          <w:caps/>
          <w:sz w:val="20"/>
          <w:szCs w:val="20"/>
          <w:lang w:val="en-US" w:eastAsia="en-CA"/>
        </w:rPr>
        <w:t>It is hereby ordered that:</w:t>
      </w:r>
    </w:p>
    <w:p w:rsidR="005B0F40" w:rsidRPr="005B0F40" w:rsidRDefault="005B0F40" w:rsidP="005B0F40">
      <w:pPr>
        <w:jc w:val="both"/>
        <w:rPr>
          <w:rFonts w:eastAsia="Times New Roman" w:cs="Times New Roman"/>
          <w:sz w:val="20"/>
          <w:szCs w:val="20"/>
          <w:lang w:val="en-US" w:eastAsia="en-CA"/>
        </w:rPr>
      </w:pPr>
    </w:p>
    <w:p w:rsidR="005B0F40" w:rsidRPr="005B0F40" w:rsidRDefault="005B0F40" w:rsidP="005B0F40">
      <w:pPr>
        <w:ind w:left="360"/>
        <w:contextualSpacing/>
        <w:jc w:val="both"/>
        <w:rPr>
          <w:sz w:val="20"/>
          <w:szCs w:val="20"/>
        </w:rPr>
      </w:pPr>
      <w:r w:rsidRPr="005B0F40">
        <w:rPr>
          <w:sz w:val="20"/>
          <w:szCs w:val="20"/>
        </w:rPr>
        <w:t>The application for leave to appeal is further held in abeyance until August 12, 2011.</w:t>
      </w:r>
    </w:p>
    <w:p w:rsidR="005B0F40" w:rsidRPr="005B0F40" w:rsidRDefault="005B0F40" w:rsidP="005B0F40">
      <w:pPr>
        <w:jc w:val="both"/>
        <w:rPr>
          <w:rFonts w:eastAsia="Times New Roman" w:cs="Times New Roman"/>
          <w:sz w:val="20"/>
          <w:szCs w:val="20"/>
          <w:lang w:val="en-US" w:eastAsia="en-CA"/>
        </w:rPr>
      </w:pPr>
    </w:p>
    <w:p w:rsidR="005B0F40" w:rsidRPr="005B0F40" w:rsidRDefault="005B0F40" w:rsidP="005B0F40">
      <w:pPr>
        <w:tabs>
          <w:tab w:val="left" w:pos="-1440"/>
          <w:tab w:val="left" w:pos="-720"/>
        </w:tabs>
        <w:jc w:val="both"/>
        <w:rPr>
          <w:rFonts w:eastAsia="Times New Roman" w:cs="Times New Roman"/>
          <w:sz w:val="20"/>
          <w:szCs w:val="20"/>
          <w:lang w:eastAsia="en-CA"/>
        </w:rPr>
      </w:pPr>
    </w:p>
    <w:p w:rsidR="005B0F40" w:rsidRPr="005B0F40" w:rsidRDefault="005B0F40" w:rsidP="005B0F40">
      <w:pPr>
        <w:tabs>
          <w:tab w:val="left" w:pos="-1440"/>
          <w:tab w:val="left" w:pos="-720"/>
        </w:tabs>
        <w:jc w:val="both"/>
        <w:rPr>
          <w:rFonts w:eastAsia="Times New Roman" w:cs="Times New Roman"/>
          <w:sz w:val="20"/>
          <w:szCs w:val="20"/>
          <w:lang w:eastAsia="en-CA"/>
        </w:rPr>
      </w:pPr>
    </w:p>
    <w:p w:rsidR="005B0F40" w:rsidRPr="005B0F40" w:rsidRDefault="005B0F40" w:rsidP="005B0F40">
      <w:pPr>
        <w:rPr>
          <w:rFonts w:eastAsia="Times New Roman" w:cs="Times New Roman"/>
          <w:b/>
          <w:sz w:val="20"/>
          <w:szCs w:val="20"/>
          <w:lang w:val="fr-CA" w:eastAsia="en-CA"/>
        </w:rPr>
      </w:pPr>
      <w:r w:rsidRPr="005B0F40">
        <w:rPr>
          <w:rFonts w:eastAsia="Times New Roman" w:cs="Times New Roman"/>
          <w:b/>
          <w:sz w:val="20"/>
          <w:szCs w:val="20"/>
          <w:lang w:val="fr-CA" w:eastAsia="en-CA"/>
        </w:rPr>
        <w:t>LE JUGE ROTHSTEIN :</w:t>
      </w:r>
    </w:p>
    <w:p w:rsidR="005B0F40" w:rsidRPr="005B0F40" w:rsidRDefault="005B0F40" w:rsidP="005B0F40">
      <w:pPr>
        <w:rPr>
          <w:rFonts w:eastAsia="Times New Roman" w:cs="Times New Roman"/>
          <w:sz w:val="20"/>
          <w:szCs w:val="20"/>
          <w:lang w:val="fr-CA" w:eastAsia="en-CA"/>
        </w:rPr>
      </w:pPr>
    </w:p>
    <w:p w:rsidR="005B0F40" w:rsidRPr="005B0F40" w:rsidRDefault="005B0F40" w:rsidP="005B0F40">
      <w:pPr>
        <w:jc w:val="both"/>
        <w:rPr>
          <w:rFonts w:eastAsia="Times New Roman" w:cs="Times New Roman"/>
          <w:sz w:val="20"/>
          <w:szCs w:val="20"/>
          <w:lang w:val="fr-CA" w:eastAsia="en-CA"/>
        </w:rPr>
      </w:pPr>
      <w:r w:rsidRPr="005B0F40">
        <w:rPr>
          <w:rFonts w:eastAsia="Times New Roman" w:cs="Times New Roman"/>
          <w:b/>
          <w:sz w:val="20"/>
          <w:szCs w:val="20"/>
          <w:lang w:val="fr-CA" w:eastAsia="en-CA"/>
        </w:rPr>
        <w:t>À LA SUITE D’UNE DEMANDE</w:t>
      </w:r>
      <w:r w:rsidRPr="005B0F40">
        <w:rPr>
          <w:rFonts w:eastAsia="Times New Roman" w:cs="Times New Roman"/>
          <w:sz w:val="20"/>
          <w:szCs w:val="20"/>
          <w:lang w:val="fr-CA" w:eastAsia="en-CA"/>
        </w:rPr>
        <w:t xml:space="preserve"> des demandeurs visant la suspension de la demande d’autorisation d’appel jusqu’au 12 août 2011;</w:t>
      </w:r>
    </w:p>
    <w:p w:rsidR="005B0F40" w:rsidRPr="005B0F40" w:rsidRDefault="005B0F40" w:rsidP="005B0F40">
      <w:pPr>
        <w:jc w:val="both"/>
        <w:rPr>
          <w:rFonts w:eastAsia="Times New Roman" w:cs="Times New Roman"/>
          <w:sz w:val="20"/>
          <w:szCs w:val="20"/>
          <w:lang w:val="fr-CA" w:eastAsia="en-CA"/>
        </w:rPr>
      </w:pPr>
    </w:p>
    <w:p w:rsidR="005B0F40" w:rsidRPr="005B0F40" w:rsidRDefault="005B0F40" w:rsidP="005B0F40">
      <w:pPr>
        <w:jc w:val="both"/>
        <w:rPr>
          <w:rFonts w:eastAsia="Times New Roman" w:cs="Times New Roman"/>
          <w:sz w:val="20"/>
          <w:szCs w:val="20"/>
          <w:lang w:val="fr-CA" w:eastAsia="en-CA"/>
        </w:rPr>
      </w:pPr>
      <w:r w:rsidRPr="005B0F40">
        <w:rPr>
          <w:rFonts w:eastAsia="Times New Roman" w:cs="Times New Roman"/>
          <w:b/>
          <w:sz w:val="20"/>
          <w:szCs w:val="20"/>
          <w:lang w:val="fr-CA" w:eastAsia="en-CA"/>
        </w:rPr>
        <w:t xml:space="preserve">ET APRÈS EXAMEN </w:t>
      </w:r>
      <w:r w:rsidRPr="005B0F40">
        <w:rPr>
          <w:rFonts w:eastAsia="Times New Roman" w:cs="Times New Roman"/>
          <w:sz w:val="20"/>
          <w:szCs w:val="20"/>
          <w:lang w:val="fr-CA" w:eastAsia="en-CA"/>
        </w:rPr>
        <w:t>des documents déposés;</w:t>
      </w:r>
    </w:p>
    <w:p w:rsidR="005B0F40" w:rsidRPr="005B0F40" w:rsidRDefault="005B0F40" w:rsidP="005B0F40">
      <w:pPr>
        <w:jc w:val="both"/>
        <w:rPr>
          <w:rFonts w:eastAsia="Times New Roman" w:cs="Times New Roman"/>
          <w:sz w:val="20"/>
          <w:szCs w:val="20"/>
          <w:lang w:val="fr-CA" w:eastAsia="en-CA"/>
        </w:rPr>
      </w:pPr>
    </w:p>
    <w:p w:rsidR="005B0F40" w:rsidRPr="005B0F40" w:rsidRDefault="005B0F40" w:rsidP="005B0F40">
      <w:pPr>
        <w:jc w:val="both"/>
        <w:rPr>
          <w:rFonts w:eastAsia="Times New Roman" w:cs="Times New Roman"/>
          <w:b/>
          <w:caps/>
          <w:sz w:val="20"/>
          <w:szCs w:val="20"/>
          <w:lang w:val="fr-CA" w:eastAsia="en-CA"/>
        </w:rPr>
      </w:pPr>
      <w:r w:rsidRPr="005B0F40">
        <w:rPr>
          <w:rFonts w:eastAsia="Times New Roman" w:cs="Times New Roman"/>
          <w:b/>
          <w:caps/>
          <w:sz w:val="20"/>
          <w:szCs w:val="20"/>
          <w:lang w:val="fr-CA" w:eastAsia="en-CA"/>
        </w:rPr>
        <w:t>IL EST ORDONNÉ CE QUI SUIT :</w:t>
      </w:r>
    </w:p>
    <w:p w:rsidR="005B0F40" w:rsidRPr="005B0F40" w:rsidRDefault="005B0F40" w:rsidP="005B0F40">
      <w:pPr>
        <w:jc w:val="both"/>
        <w:rPr>
          <w:rFonts w:eastAsia="Times New Roman" w:cs="Times New Roman"/>
          <w:sz w:val="20"/>
          <w:szCs w:val="20"/>
          <w:lang w:val="fr-CA" w:eastAsia="en-CA"/>
        </w:rPr>
      </w:pPr>
    </w:p>
    <w:p w:rsidR="005B0F40" w:rsidRPr="005B0F40" w:rsidRDefault="005B0F40" w:rsidP="005B0F40">
      <w:pPr>
        <w:ind w:left="360"/>
        <w:contextualSpacing/>
        <w:jc w:val="both"/>
        <w:rPr>
          <w:sz w:val="20"/>
          <w:szCs w:val="20"/>
          <w:lang w:val="fr-CA"/>
        </w:rPr>
      </w:pPr>
      <w:r w:rsidRPr="005B0F40">
        <w:rPr>
          <w:sz w:val="20"/>
          <w:szCs w:val="20"/>
          <w:lang w:val="fr-CA"/>
        </w:rPr>
        <w:t>La demande d’autorisation d’appel est suspendue de nouveau jusqu’au 12 août 2011.</w:t>
      </w:r>
    </w:p>
    <w:p w:rsidR="005B0F40" w:rsidRPr="005B0F40" w:rsidRDefault="005B0F40" w:rsidP="005B0F40">
      <w:pPr>
        <w:tabs>
          <w:tab w:val="left" w:pos="-1440"/>
          <w:tab w:val="left" w:pos="-720"/>
        </w:tabs>
        <w:jc w:val="both"/>
        <w:rPr>
          <w:rFonts w:eastAsia="Times New Roman" w:cs="Times New Roman"/>
          <w:sz w:val="20"/>
          <w:szCs w:val="20"/>
          <w:lang w:val="fr-CA" w:eastAsia="en-CA"/>
        </w:rPr>
      </w:pPr>
    </w:p>
    <w:p w:rsidR="005B0F40" w:rsidRPr="005B0F40" w:rsidRDefault="001557DD" w:rsidP="005B0F40">
      <w:pPr>
        <w:tabs>
          <w:tab w:val="left" w:pos="-1440"/>
          <w:tab w:val="left" w:pos="-720"/>
        </w:tabs>
        <w:jc w:val="both"/>
        <w:rPr>
          <w:rFonts w:eastAsia="Times New Roman" w:cs="Times New Roman"/>
          <w:sz w:val="20"/>
          <w:szCs w:val="20"/>
          <w:lang w:eastAsia="en-CA"/>
        </w:rPr>
      </w:pPr>
      <w:r w:rsidRPr="001557DD">
        <w:rPr>
          <w:rFonts w:eastAsia="Times New Roman" w:cs="Times New Roman"/>
          <w:sz w:val="20"/>
          <w:szCs w:val="20"/>
          <w:lang w:val="fr-CA" w:eastAsia="en-CA"/>
        </w:rPr>
        <w:pict>
          <v:rect id="_x0000_i1040" style="width:2in;height:1pt" o:hrpct="0" o:hralign="center" o:hrstd="t" o:hrnoshade="t" o:hr="t" fillcolor="black [3213]" stroked="f"/>
        </w:pict>
      </w:r>
    </w:p>
    <w:p w:rsidR="005B0F40" w:rsidRPr="005B0F40" w:rsidRDefault="005B0F40" w:rsidP="005B0F40">
      <w:pPr>
        <w:rPr>
          <w:rFonts w:eastAsia="Times New Roman" w:cs="Times New Roman"/>
          <w:sz w:val="20"/>
          <w:szCs w:val="20"/>
          <w:lang w:val="fr-CA" w:eastAsia="en-CA"/>
        </w:rPr>
      </w:pPr>
    </w:p>
    <w:p w:rsidR="005B0F40" w:rsidRPr="005B0F40" w:rsidRDefault="005B0F40" w:rsidP="005B0F40">
      <w:pPr>
        <w:tabs>
          <w:tab w:val="left" w:pos="-1440"/>
          <w:tab w:val="left" w:pos="-720"/>
        </w:tabs>
        <w:jc w:val="both"/>
        <w:rPr>
          <w:rFonts w:eastAsia="Times New Roman" w:cs="Times New Roman"/>
          <w:sz w:val="20"/>
          <w:szCs w:val="20"/>
          <w:lang w:val="fr-CA" w:eastAsia="en-CA"/>
        </w:rPr>
      </w:pPr>
      <w:r w:rsidRPr="005B0F40">
        <w:rPr>
          <w:rFonts w:eastAsia="Times New Roman" w:cs="Times New Roman"/>
          <w:sz w:val="20"/>
          <w:szCs w:val="20"/>
          <w:lang w:val="fr-CA" w:eastAsia="en-CA"/>
        </w:rPr>
        <w:t>12.07.2011</w:t>
      </w:r>
    </w:p>
    <w:p w:rsidR="005B0F40" w:rsidRPr="005B0F40" w:rsidRDefault="005B0F40" w:rsidP="005B0F40">
      <w:pPr>
        <w:tabs>
          <w:tab w:val="left" w:pos="-1440"/>
          <w:tab w:val="left" w:pos="-720"/>
        </w:tabs>
        <w:jc w:val="both"/>
        <w:rPr>
          <w:rFonts w:eastAsia="Times New Roman" w:cs="Times New Roman"/>
          <w:sz w:val="20"/>
          <w:szCs w:val="20"/>
          <w:lang w:val="fr-CA" w:eastAsia="en-CA"/>
        </w:rPr>
      </w:pPr>
    </w:p>
    <w:p w:rsidR="005B0F40" w:rsidRPr="005B0F40" w:rsidRDefault="005B0F40" w:rsidP="005B0F40">
      <w:pPr>
        <w:tabs>
          <w:tab w:val="left" w:pos="-1440"/>
          <w:tab w:val="left" w:pos="-720"/>
        </w:tabs>
        <w:jc w:val="both"/>
        <w:rPr>
          <w:rFonts w:eastAsia="Times New Roman" w:cs="Times New Roman"/>
          <w:sz w:val="20"/>
          <w:szCs w:val="20"/>
          <w:lang w:val="fr-CA" w:eastAsia="en-CA"/>
        </w:rPr>
      </w:pPr>
      <w:proofErr w:type="spellStart"/>
      <w:r w:rsidRPr="005B0F40">
        <w:rPr>
          <w:rFonts w:eastAsia="Times New Roman" w:cs="Times New Roman"/>
          <w:sz w:val="20"/>
          <w:szCs w:val="20"/>
          <w:lang w:val="fr-CA" w:eastAsia="en-CA"/>
        </w:rPr>
        <w:t>Before</w:t>
      </w:r>
      <w:proofErr w:type="spellEnd"/>
      <w:r w:rsidRPr="005B0F40">
        <w:rPr>
          <w:rFonts w:eastAsia="Times New Roman" w:cs="Times New Roman"/>
          <w:sz w:val="20"/>
          <w:szCs w:val="20"/>
          <w:lang w:val="fr-CA" w:eastAsia="en-CA"/>
        </w:rPr>
        <w:t xml:space="preserve"> / Devant :   CHARRON J. / LA JUGE CHARRON</w:t>
      </w:r>
    </w:p>
    <w:p w:rsidR="005B0F40" w:rsidRPr="005B0F40" w:rsidRDefault="005B0F40" w:rsidP="005B0F4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B0F40" w:rsidRPr="00D66BAA" w:rsidTr="00BE36BA">
        <w:tc>
          <w:tcPr>
            <w:tcW w:w="4338" w:type="dxa"/>
          </w:tcPr>
          <w:p w:rsidR="005B0F40" w:rsidRPr="005B0F40" w:rsidRDefault="001557DD" w:rsidP="005B0F40">
            <w:pPr>
              <w:tabs>
                <w:tab w:val="left" w:pos="-1440"/>
                <w:tab w:val="left" w:pos="-720"/>
              </w:tabs>
              <w:jc w:val="both"/>
            </w:pPr>
            <w:r w:rsidRPr="005B0F40">
              <w:rPr>
                <w:szCs w:val="24"/>
                <w:lang w:val="en-US"/>
              </w:rPr>
              <w:fldChar w:fldCharType="begin"/>
            </w:r>
            <w:r w:rsidR="005B0F40" w:rsidRPr="005B0F40">
              <w:rPr>
                <w:szCs w:val="24"/>
                <w:lang w:val="en-US"/>
              </w:rPr>
              <w:instrText xml:space="preserve"> SEQ CHAPTER \h \r 1</w:instrText>
            </w:r>
            <w:r w:rsidRPr="005B0F40">
              <w:rPr>
                <w:szCs w:val="24"/>
                <w:lang w:val="en-US"/>
              </w:rPr>
              <w:fldChar w:fldCharType="end"/>
            </w:r>
            <w:r w:rsidR="005B0F40" w:rsidRPr="005B0F40">
              <w:rPr>
                <w:b/>
                <w:bCs/>
                <w:lang w:val="en-US"/>
              </w:rPr>
              <w:t>Motion to extend the time to serve and file the respondents’ response</w:t>
            </w:r>
          </w:p>
        </w:tc>
        <w:tc>
          <w:tcPr>
            <w:tcW w:w="1170" w:type="dxa"/>
          </w:tcPr>
          <w:p w:rsidR="005B0F40" w:rsidRPr="005B0F40" w:rsidRDefault="005B0F40" w:rsidP="005B0F40">
            <w:pPr>
              <w:tabs>
                <w:tab w:val="left" w:pos="-1440"/>
                <w:tab w:val="left" w:pos="-720"/>
              </w:tabs>
              <w:jc w:val="both"/>
            </w:pPr>
          </w:p>
          <w:p w:rsidR="005B0F40" w:rsidRPr="005B0F40" w:rsidRDefault="005B0F40" w:rsidP="005B0F40">
            <w:pPr>
              <w:tabs>
                <w:tab w:val="left" w:pos="-1440"/>
                <w:tab w:val="left" w:pos="-720"/>
              </w:tabs>
              <w:jc w:val="both"/>
            </w:pPr>
          </w:p>
          <w:p w:rsidR="005B0F40" w:rsidRPr="005B0F40" w:rsidRDefault="005B0F40" w:rsidP="005B0F40">
            <w:pPr>
              <w:tabs>
                <w:tab w:val="left" w:pos="-1440"/>
                <w:tab w:val="left" w:pos="-720"/>
              </w:tabs>
              <w:jc w:val="both"/>
            </w:pPr>
          </w:p>
        </w:tc>
        <w:tc>
          <w:tcPr>
            <w:tcW w:w="4327" w:type="dxa"/>
          </w:tcPr>
          <w:p w:rsidR="005B0F40" w:rsidRPr="005B0F40" w:rsidRDefault="001557DD" w:rsidP="005B0F40">
            <w:pPr>
              <w:tabs>
                <w:tab w:val="left" w:pos="-1440"/>
                <w:tab w:val="left" w:pos="-720"/>
              </w:tabs>
              <w:jc w:val="both"/>
              <w:rPr>
                <w:lang w:val="fr-CA"/>
              </w:rPr>
            </w:pPr>
            <w:r w:rsidRPr="005B0F40">
              <w:rPr>
                <w:szCs w:val="24"/>
                <w:lang w:val="en-US"/>
              </w:rPr>
              <w:fldChar w:fldCharType="begin"/>
            </w:r>
            <w:r w:rsidR="005B0F40" w:rsidRPr="005B0F40">
              <w:rPr>
                <w:szCs w:val="24"/>
                <w:lang w:val="fr-CA"/>
              </w:rPr>
              <w:instrText xml:space="preserve"> SEQ CHAPTER \h \r 1</w:instrText>
            </w:r>
            <w:r w:rsidRPr="005B0F40">
              <w:rPr>
                <w:szCs w:val="24"/>
                <w:lang w:val="en-US"/>
              </w:rPr>
              <w:fldChar w:fldCharType="end"/>
            </w:r>
            <w:r w:rsidR="005B0F40" w:rsidRPr="005B0F40">
              <w:rPr>
                <w:b/>
                <w:bCs/>
                <w:lang w:val="fr-CA"/>
              </w:rPr>
              <w:t>Requête en prorogation du délai de signification et de dépôt de la réponse de l’intimée</w:t>
            </w:r>
          </w:p>
        </w:tc>
      </w:tr>
      <w:tr w:rsidR="005B0F40" w:rsidRPr="005B0F40" w:rsidTr="00BE36BA">
        <w:tc>
          <w:tcPr>
            <w:tcW w:w="4338" w:type="dxa"/>
          </w:tcPr>
          <w:p w:rsidR="005B0F40" w:rsidRPr="005B0F40" w:rsidRDefault="005B0F40" w:rsidP="005B0F40">
            <w:pPr>
              <w:tabs>
                <w:tab w:val="left" w:pos="-1440"/>
                <w:tab w:val="left" w:pos="-720"/>
              </w:tabs>
              <w:jc w:val="both"/>
            </w:pPr>
            <w:r w:rsidRPr="005B0F40">
              <w:t>Victor Garnet Harris</w:t>
            </w:r>
          </w:p>
          <w:p w:rsidR="005B0F40" w:rsidRPr="005B0F40" w:rsidRDefault="005B0F40" w:rsidP="005B0F40">
            <w:pPr>
              <w:tabs>
                <w:tab w:val="left" w:pos="-1440"/>
                <w:tab w:val="left" w:pos="-720"/>
              </w:tabs>
              <w:jc w:val="both"/>
            </w:pPr>
          </w:p>
          <w:p w:rsidR="005B0F40" w:rsidRPr="005B0F40" w:rsidRDefault="005B0F40" w:rsidP="005B0F40">
            <w:pPr>
              <w:tabs>
                <w:tab w:val="left" w:pos="-1440"/>
                <w:tab w:val="left" w:pos="-720"/>
              </w:tabs>
              <w:jc w:val="both"/>
              <w:rPr>
                <w:lang w:val="fr-CA"/>
              </w:rPr>
            </w:pPr>
            <w:r w:rsidRPr="005B0F40">
              <w:tab/>
              <w:t>v. (34070)</w:t>
            </w:r>
          </w:p>
          <w:p w:rsidR="005B0F40" w:rsidRPr="005B0F40" w:rsidRDefault="005B0F40" w:rsidP="005B0F40">
            <w:pPr>
              <w:tabs>
                <w:tab w:val="left" w:pos="-1440"/>
                <w:tab w:val="left" w:pos="-720"/>
              </w:tabs>
              <w:jc w:val="both"/>
              <w:rPr>
                <w:lang w:val="fr-CA"/>
              </w:rPr>
            </w:pPr>
          </w:p>
          <w:p w:rsidR="005B0F40" w:rsidRPr="005B0F40" w:rsidRDefault="005B0F40" w:rsidP="005B0F40">
            <w:pPr>
              <w:tabs>
                <w:tab w:val="left" w:pos="-1440"/>
                <w:tab w:val="left" w:pos="-720"/>
              </w:tabs>
              <w:jc w:val="both"/>
              <w:rPr>
                <w:lang w:val="fr-CA"/>
              </w:rPr>
            </w:pPr>
            <w:r w:rsidRPr="005B0F40">
              <w:rPr>
                <w:lang w:val="fr-CA"/>
              </w:rPr>
              <w:t>Paulette Louise Harris (N.S.)</w:t>
            </w:r>
          </w:p>
        </w:tc>
        <w:tc>
          <w:tcPr>
            <w:tcW w:w="1170" w:type="dxa"/>
          </w:tcPr>
          <w:p w:rsidR="005B0F40" w:rsidRPr="005B0F40" w:rsidRDefault="005B0F40" w:rsidP="005B0F40">
            <w:pPr>
              <w:tabs>
                <w:tab w:val="left" w:pos="-1440"/>
                <w:tab w:val="left" w:pos="-720"/>
              </w:tabs>
              <w:jc w:val="both"/>
              <w:rPr>
                <w:lang w:val="fr-CA"/>
              </w:rPr>
            </w:pPr>
          </w:p>
        </w:tc>
        <w:tc>
          <w:tcPr>
            <w:tcW w:w="4327" w:type="dxa"/>
          </w:tcPr>
          <w:p w:rsidR="005B0F40" w:rsidRPr="005B0F40" w:rsidRDefault="005B0F40" w:rsidP="005B0F40">
            <w:pPr>
              <w:tabs>
                <w:tab w:val="left" w:pos="-1440"/>
                <w:tab w:val="left" w:pos="-720"/>
              </w:tabs>
              <w:jc w:val="both"/>
              <w:rPr>
                <w:lang w:val="fr-CA"/>
              </w:rPr>
            </w:pPr>
          </w:p>
        </w:tc>
      </w:tr>
    </w:tbl>
    <w:p w:rsidR="00FF09F4" w:rsidRDefault="00FF09F4" w:rsidP="005B0F40">
      <w:pPr>
        <w:tabs>
          <w:tab w:val="left" w:pos="-1440"/>
          <w:tab w:val="left" w:pos="-720"/>
        </w:tabs>
        <w:jc w:val="both"/>
        <w:rPr>
          <w:rFonts w:eastAsia="Times New Roman" w:cs="Times New Roman"/>
          <w:b/>
          <w:sz w:val="20"/>
          <w:szCs w:val="20"/>
          <w:lang w:val="fr-CA" w:eastAsia="en-CA"/>
        </w:rPr>
      </w:pPr>
    </w:p>
    <w:p w:rsidR="005B0F40" w:rsidRPr="005B0F40" w:rsidRDefault="005B0F40" w:rsidP="005B0F40">
      <w:pPr>
        <w:tabs>
          <w:tab w:val="left" w:pos="-1440"/>
          <w:tab w:val="left" w:pos="-720"/>
        </w:tabs>
        <w:jc w:val="both"/>
        <w:rPr>
          <w:rFonts w:eastAsia="Times New Roman" w:cs="Times New Roman"/>
          <w:sz w:val="20"/>
          <w:szCs w:val="20"/>
          <w:lang w:val="fr-CA" w:eastAsia="en-CA"/>
        </w:rPr>
      </w:pPr>
      <w:r w:rsidRPr="005B0F40">
        <w:rPr>
          <w:rFonts w:eastAsia="Times New Roman" w:cs="Times New Roman"/>
          <w:b/>
          <w:sz w:val="20"/>
          <w:szCs w:val="20"/>
          <w:lang w:val="fr-CA" w:eastAsia="en-CA"/>
        </w:rPr>
        <w:t>GRANTED IN PART/ ACCORDÉE EN PARTIE</w:t>
      </w:r>
    </w:p>
    <w:p w:rsidR="005B0F40" w:rsidRPr="005B0F40" w:rsidRDefault="005B0F40" w:rsidP="005B0F40">
      <w:pPr>
        <w:tabs>
          <w:tab w:val="left" w:pos="-1440"/>
          <w:tab w:val="left" w:pos="-720"/>
        </w:tabs>
        <w:jc w:val="both"/>
        <w:rPr>
          <w:rFonts w:eastAsia="Times New Roman" w:cs="Times New Roman"/>
          <w:sz w:val="20"/>
          <w:szCs w:val="20"/>
          <w:lang w:val="fr-CA" w:eastAsia="en-CA"/>
        </w:rPr>
      </w:pPr>
    </w:p>
    <w:p w:rsidR="005B0F40" w:rsidRPr="005B0F40" w:rsidRDefault="005B0F40" w:rsidP="005B0F40">
      <w:pPr>
        <w:spacing w:line="233" w:lineRule="auto"/>
        <w:jc w:val="both"/>
        <w:rPr>
          <w:rFonts w:eastAsia="Times New Roman" w:cs="Times New Roman"/>
          <w:sz w:val="20"/>
          <w:szCs w:val="20"/>
          <w:lang w:val="en-US" w:eastAsia="en-CA"/>
        </w:rPr>
      </w:pPr>
      <w:r w:rsidRPr="005B0F40">
        <w:rPr>
          <w:rFonts w:eastAsia="Times New Roman" w:cs="Times New Roman"/>
          <w:b/>
          <w:bCs/>
          <w:sz w:val="20"/>
          <w:szCs w:val="20"/>
          <w:lang w:val="en-US" w:eastAsia="en-CA"/>
        </w:rPr>
        <w:lastRenderedPageBreak/>
        <w:t xml:space="preserve">UPON APPLICATION </w:t>
      </w:r>
      <w:r w:rsidR="001557DD" w:rsidRPr="005B0F40">
        <w:rPr>
          <w:rFonts w:eastAsia="Times New Roman" w:cs="Times New Roman"/>
          <w:sz w:val="20"/>
          <w:szCs w:val="20"/>
          <w:lang w:eastAsia="en-CA"/>
        </w:rPr>
        <w:fldChar w:fldCharType="begin"/>
      </w:r>
      <w:r w:rsidRPr="005B0F40">
        <w:rPr>
          <w:rFonts w:eastAsia="Times New Roman" w:cs="Times New Roman"/>
          <w:sz w:val="20"/>
          <w:szCs w:val="20"/>
          <w:lang w:val="en-US" w:eastAsia="en-CA"/>
        </w:rPr>
        <w:instrText xml:space="preserve"> SEQ CHAPTER \h \r 1</w:instrText>
      </w:r>
      <w:r w:rsidR="001557DD" w:rsidRPr="005B0F40">
        <w:rPr>
          <w:rFonts w:eastAsia="Times New Roman" w:cs="Times New Roman"/>
          <w:sz w:val="20"/>
          <w:szCs w:val="20"/>
          <w:lang w:eastAsia="en-CA"/>
        </w:rPr>
        <w:fldChar w:fldCharType="end"/>
      </w:r>
      <w:r w:rsidRPr="005B0F40">
        <w:rPr>
          <w:rFonts w:eastAsia="Times New Roman" w:cs="Times New Roman"/>
          <w:sz w:val="20"/>
          <w:szCs w:val="20"/>
          <w:lang w:val="en-US" w:eastAsia="en-CA"/>
        </w:rPr>
        <w:t xml:space="preserve">by the </w:t>
      </w:r>
      <w:r w:rsidR="001557DD" w:rsidRPr="005B0F40">
        <w:rPr>
          <w:rFonts w:eastAsia="Times New Roman" w:cs="Times New Roman"/>
          <w:sz w:val="20"/>
          <w:szCs w:val="20"/>
          <w:lang w:eastAsia="en-CA"/>
        </w:rPr>
        <w:fldChar w:fldCharType="begin"/>
      </w:r>
      <w:r w:rsidRPr="005B0F40">
        <w:rPr>
          <w:rFonts w:eastAsia="Times New Roman" w:cs="Times New Roman"/>
          <w:sz w:val="20"/>
          <w:szCs w:val="20"/>
          <w:lang w:val="en-US" w:eastAsia="en-CA"/>
        </w:rPr>
        <w:instrText xml:space="preserve"> SEQ CHAPTER \h \r 1</w:instrText>
      </w:r>
      <w:r w:rsidR="001557DD" w:rsidRPr="005B0F40">
        <w:rPr>
          <w:rFonts w:eastAsia="Times New Roman" w:cs="Times New Roman"/>
          <w:sz w:val="20"/>
          <w:szCs w:val="20"/>
          <w:lang w:eastAsia="en-CA"/>
        </w:rPr>
        <w:fldChar w:fldCharType="end"/>
      </w:r>
      <w:r w:rsidRPr="005B0F40">
        <w:rPr>
          <w:rFonts w:eastAsia="Times New Roman" w:cs="Times New Roman"/>
          <w:sz w:val="20"/>
          <w:szCs w:val="20"/>
          <w:lang w:eastAsia="en-CA"/>
        </w:rPr>
        <w:t xml:space="preserve">respondent </w:t>
      </w:r>
      <w:r w:rsidRPr="005B0F40">
        <w:rPr>
          <w:rFonts w:eastAsia="Times New Roman" w:cs="Times New Roman"/>
          <w:sz w:val="20"/>
          <w:szCs w:val="20"/>
          <w:lang w:val="en-US" w:eastAsia="en-CA"/>
        </w:rPr>
        <w:t>for a further order extending the time within which to serve and file her response to the application for leave to appeal to August 24, 2011;</w:t>
      </w:r>
    </w:p>
    <w:p w:rsidR="005B0F40" w:rsidRPr="005B0F40" w:rsidRDefault="005B0F40" w:rsidP="005B0F40">
      <w:pPr>
        <w:spacing w:line="233" w:lineRule="auto"/>
        <w:jc w:val="both"/>
        <w:rPr>
          <w:rFonts w:eastAsia="Times New Roman" w:cs="Times New Roman"/>
          <w:sz w:val="20"/>
          <w:szCs w:val="20"/>
          <w:lang w:val="en-US" w:eastAsia="en-CA"/>
        </w:rPr>
      </w:pPr>
    </w:p>
    <w:p w:rsidR="005B0F40" w:rsidRPr="005B0F40" w:rsidRDefault="005B0F40" w:rsidP="005B0F40">
      <w:pPr>
        <w:spacing w:line="233" w:lineRule="auto"/>
        <w:jc w:val="both"/>
        <w:rPr>
          <w:rFonts w:eastAsia="Times New Roman" w:cs="Times New Roman"/>
          <w:sz w:val="20"/>
          <w:szCs w:val="20"/>
          <w:lang w:val="en-US" w:eastAsia="en-CA"/>
        </w:rPr>
      </w:pPr>
      <w:r w:rsidRPr="005B0F40">
        <w:rPr>
          <w:rFonts w:eastAsia="Times New Roman" w:cs="Times New Roman"/>
          <w:b/>
          <w:bCs/>
          <w:sz w:val="20"/>
          <w:szCs w:val="20"/>
          <w:lang w:val="en-US" w:eastAsia="en-CA"/>
        </w:rPr>
        <w:t>AND THE MATERIAL FILED</w:t>
      </w:r>
      <w:r w:rsidRPr="005B0F40">
        <w:rPr>
          <w:rFonts w:eastAsia="Times New Roman" w:cs="Times New Roman"/>
          <w:sz w:val="20"/>
          <w:szCs w:val="20"/>
          <w:lang w:val="en-US" w:eastAsia="en-CA"/>
        </w:rPr>
        <w:t xml:space="preserve"> having been read;</w:t>
      </w:r>
    </w:p>
    <w:p w:rsidR="005B0F40" w:rsidRPr="005B0F40" w:rsidRDefault="005B0F40" w:rsidP="005B0F40">
      <w:pPr>
        <w:spacing w:line="233" w:lineRule="auto"/>
        <w:jc w:val="both"/>
        <w:rPr>
          <w:rFonts w:eastAsia="Times New Roman" w:cs="Times New Roman"/>
          <w:sz w:val="20"/>
          <w:szCs w:val="20"/>
          <w:lang w:val="en-US" w:eastAsia="en-CA"/>
        </w:rPr>
      </w:pPr>
    </w:p>
    <w:p w:rsidR="005B0F40" w:rsidRPr="005B0F40" w:rsidRDefault="005B0F40" w:rsidP="005B0F40">
      <w:pPr>
        <w:spacing w:line="233" w:lineRule="auto"/>
        <w:jc w:val="both"/>
        <w:rPr>
          <w:rFonts w:eastAsia="Times New Roman" w:cs="Times New Roman"/>
          <w:sz w:val="20"/>
          <w:szCs w:val="20"/>
          <w:lang w:val="en-US" w:eastAsia="en-CA"/>
        </w:rPr>
      </w:pPr>
      <w:r w:rsidRPr="005B0F40">
        <w:rPr>
          <w:rFonts w:eastAsia="Times New Roman" w:cs="Times New Roman"/>
          <w:b/>
          <w:bCs/>
          <w:sz w:val="20"/>
          <w:szCs w:val="20"/>
          <w:lang w:val="en-US" w:eastAsia="en-CA"/>
        </w:rPr>
        <w:t>IT IS HEREBY ORDERED THAT:</w:t>
      </w:r>
    </w:p>
    <w:p w:rsidR="005B0F40" w:rsidRPr="005B0F40" w:rsidRDefault="005B0F40" w:rsidP="005B0F40">
      <w:pPr>
        <w:spacing w:line="233" w:lineRule="auto"/>
        <w:jc w:val="both"/>
        <w:rPr>
          <w:rFonts w:eastAsia="Times New Roman" w:cs="Times New Roman"/>
          <w:sz w:val="20"/>
          <w:szCs w:val="20"/>
          <w:lang w:val="en-US" w:eastAsia="en-CA"/>
        </w:rPr>
      </w:pPr>
    </w:p>
    <w:p w:rsidR="005B0F40" w:rsidRPr="005B0F40" w:rsidRDefault="001557DD" w:rsidP="005B0F40">
      <w:pPr>
        <w:jc w:val="both"/>
        <w:rPr>
          <w:rFonts w:eastAsia="Times New Roman" w:cs="Times New Roman"/>
          <w:sz w:val="20"/>
          <w:szCs w:val="20"/>
          <w:lang w:val="en-US" w:eastAsia="en-CA"/>
        </w:rPr>
      </w:pPr>
      <w:r w:rsidRPr="005B0F40">
        <w:rPr>
          <w:rFonts w:eastAsia="Times New Roman" w:cs="Times New Roman"/>
          <w:sz w:val="20"/>
          <w:szCs w:val="20"/>
          <w:lang w:eastAsia="en-CA"/>
        </w:rPr>
        <w:fldChar w:fldCharType="begin"/>
      </w:r>
      <w:r w:rsidR="005B0F40" w:rsidRPr="005B0F40">
        <w:rPr>
          <w:rFonts w:eastAsia="Times New Roman" w:cs="Times New Roman"/>
          <w:sz w:val="20"/>
          <w:szCs w:val="20"/>
          <w:lang w:eastAsia="en-CA"/>
        </w:rPr>
        <w:instrText xml:space="preserve"> SEQ CHAPTER \h \r 1</w:instrText>
      </w:r>
      <w:r w:rsidRPr="005B0F40">
        <w:rPr>
          <w:rFonts w:eastAsia="Times New Roman" w:cs="Times New Roman"/>
          <w:sz w:val="20"/>
          <w:szCs w:val="20"/>
          <w:lang w:eastAsia="en-CA"/>
        </w:rPr>
        <w:fldChar w:fldCharType="end"/>
      </w:r>
      <w:r w:rsidR="005B0F40" w:rsidRPr="005B0F40">
        <w:rPr>
          <w:rFonts w:eastAsia="Times New Roman" w:cs="Times New Roman"/>
          <w:sz w:val="20"/>
          <w:szCs w:val="20"/>
          <w:lang w:val="en-US" w:eastAsia="en-CA"/>
        </w:rPr>
        <w:t xml:space="preserve">The motion is granted in part. The respondent is granted one final ten day extension from the date of this order to serve and file her response to the application for leave to appeal. </w:t>
      </w:r>
    </w:p>
    <w:p w:rsidR="005B0F40" w:rsidRPr="005B0F40" w:rsidRDefault="005B0F40" w:rsidP="005B0F40">
      <w:pPr>
        <w:tabs>
          <w:tab w:val="left" w:pos="-1440"/>
          <w:tab w:val="left" w:pos="-720"/>
        </w:tabs>
        <w:jc w:val="both"/>
        <w:rPr>
          <w:rFonts w:eastAsia="Times New Roman" w:cs="Times New Roman"/>
          <w:sz w:val="20"/>
          <w:szCs w:val="20"/>
          <w:lang w:val="en-US" w:eastAsia="en-CA"/>
        </w:rPr>
      </w:pPr>
    </w:p>
    <w:p w:rsidR="005B0F40" w:rsidRPr="005B0F40" w:rsidRDefault="005B0F40" w:rsidP="005B0F40">
      <w:pPr>
        <w:tabs>
          <w:tab w:val="left" w:pos="-1440"/>
          <w:tab w:val="left" w:pos="-720"/>
        </w:tabs>
        <w:jc w:val="both"/>
        <w:rPr>
          <w:rFonts w:eastAsia="Times New Roman" w:cs="Times New Roman"/>
          <w:sz w:val="20"/>
          <w:szCs w:val="20"/>
          <w:lang w:val="en-US" w:eastAsia="en-CA"/>
        </w:rPr>
      </w:pPr>
    </w:p>
    <w:p w:rsidR="005B0F40" w:rsidRPr="005B0F40" w:rsidRDefault="005B0F40" w:rsidP="005B0F40">
      <w:pPr>
        <w:tabs>
          <w:tab w:val="left" w:pos="-1440"/>
          <w:tab w:val="left" w:pos="-720"/>
        </w:tabs>
        <w:jc w:val="both"/>
        <w:rPr>
          <w:rFonts w:eastAsia="Times New Roman" w:cs="Times New Roman"/>
          <w:sz w:val="20"/>
          <w:szCs w:val="20"/>
          <w:lang w:eastAsia="en-CA"/>
        </w:rPr>
      </w:pPr>
    </w:p>
    <w:p w:rsidR="005B0F40" w:rsidRPr="005B0F40" w:rsidRDefault="005B0F40" w:rsidP="005B0F40">
      <w:pPr>
        <w:widowControl w:val="0"/>
        <w:autoSpaceDE w:val="0"/>
        <w:autoSpaceDN w:val="0"/>
        <w:adjustRightInd w:val="0"/>
        <w:spacing w:line="233" w:lineRule="auto"/>
        <w:jc w:val="both"/>
        <w:rPr>
          <w:rFonts w:eastAsiaTheme="minorEastAsia" w:cs="Times New Roman"/>
          <w:sz w:val="20"/>
          <w:szCs w:val="20"/>
          <w:lang w:val="fr-CA"/>
        </w:rPr>
      </w:pPr>
      <w:r w:rsidRPr="005B0F40">
        <w:rPr>
          <w:rFonts w:eastAsiaTheme="minorEastAsia" w:cs="Times New Roman"/>
          <w:b/>
          <w:bCs/>
          <w:sz w:val="20"/>
          <w:szCs w:val="20"/>
          <w:lang w:val="fr-CA"/>
        </w:rPr>
        <w:t xml:space="preserve">À LA SUITE D’UNE DEMANDE </w:t>
      </w:r>
      <w:r w:rsidR="001557DD" w:rsidRPr="005B0F40">
        <w:rPr>
          <w:rFonts w:eastAsiaTheme="minorEastAsia" w:cs="Times New Roman"/>
          <w:sz w:val="20"/>
          <w:szCs w:val="20"/>
          <w:lang w:val="fr-CA"/>
        </w:rPr>
        <w:fldChar w:fldCharType="begin"/>
      </w:r>
      <w:r w:rsidRPr="005B0F40">
        <w:rPr>
          <w:rFonts w:eastAsiaTheme="minorEastAsia" w:cs="Times New Roman"/>
          <w:sz w:val="20"/>
          <w:szCs w:val="20"/>
          <w:lang w:val="fr-CA"/>
        </w:rPr>
        <w:instrText xml:space="preserve"> SEQ CHAPTER \h \r 1</w:instrText>
      </w:r>
      <w:r w:rsidR="001557DD" w:rsidRPr="005B0F40">
        <w:rPr>
          <w:rFonts w:eastAsiaTheme="minorEastAsia" w:cs="Times New Roman"/>
          <w:sz w:val="20"/>
          <w:szCs w:val="20"/>
          <w:lang w:val="fr-CA"/>
        </w:rPr>
        <w:fldChar w:fldCharType="end"/>
      </w:r>
      <w:r w:rsidRPr="005B0F40">
        <w:rPr>
          <w:rFonts w:eastAsiaTheme="minorEastAsia" w:cs="Times New Roman"/>
          <w:sz w:val="20"/>
          <w:szCs w:val="20"/>
          <w:lang w:val="fr-CA"/>
        </w:rPr>
        <w:t>de la défenderesse</w:t>
      </w:r>
      <w:r w:rsidR="001557DD" w:rsidRPr="005B0F40">
        <w:rPr>
          <w:rFonts w:eastAsiaTheme="minorEastAsia" w:cs="Times New Roman"/>
          <w:sz w:val="20"/>
          <w:szCs w:val="20"/>
          <w:lang w:val="fr-CA"/>
        </w:rPr>
        <w:fldChar w:fldCharType="begin"/>
      </w:r>
      <w:r w:rsidRPr="005B0F40">
        <w:rPr>
          <w:rFonts w:eastAsiaTheme="minorEastAsia" w:cs="Times New Roman"/>
          <w:sz w:val="20"/>
          <w:szCs w:val="20"/>
          <w:lang w:val="fr-CA"/>
        </w:rPr>
        <w:instrText xml:space="preserve"> SEQ CHAPTER \h \r 1</w:instrText>
      </w:r>
      <w:r w:rsidR="001557DD" w:rsidRPr="005B0F40">
        <w:rPr>
          <w:rFonts w:eastAsiaTheme="minorEastAsia" w:cs="Times New Roman"/>
          <w:sz w:val="20"/>
          <w:szCs w:val="20"/>
          <w:lang w:val="fr-CA"/>
        </w:rPr>
        <w:fldChar w:fldCharType="end"/>
      </w:r>
      <w:r w:rsidRPr="005B0F40">
        <w:rPr>
          <w:rFonts w:eastAsiaTheme="minorEastAsia" w:cs="Times New Roman"/>
          <w:sz w:val="20"/>
          <w:szCs w:val="20"/>
          <w:lang w:val="fr-CA"/>
        </w:rPr>
        <w:t xml:space="preserve"> visant une prorogation supplémentaire jusqu’au 24 août 2011 du délai de signification et de dépôt de sa réponse à la demande d’autorisation d’appel;</w:t>
      </w:r>
    </w:p>
    <w:p w:rsidR="005B0F40" w:rsidRPr="005B0F40" w:rsidRDefault="005B0F40" w:rsidP="005B0F40">
      <w:pPr>
        <w:widowControl w:val="0"/>
        <w:autoSpaceDE w:val="0"/>
        <w:autoSpaceDN w:val="0"/>
        <w:adjustRightInd w:val="0"/>
        <w:spacing w:line="233" w:lineRule="auto"/>
        <w:jc w:val="both"/>
        <w:rPr>
          <w:rFonts w:eastAsiaTheme="minorEastAsia" w:cs="Times New Roman"/>
          <w:sz w:val="20"/>
          <w:szCs w:val="20"/>
          <w:lang w:val="fr-CA"/>
        </w:rPr>
      </w:pPr>
    </w:p>
    <w:p w:rsidR="005B0F40" w:rsidRPr="005B0F40" w:rsidRDefault="005B0F40" w:rsidP="005B0F40">
      <w:pPr>
        <w:widowControl w:val="0"/>
        <w:autoSpaceDE w:val="0"/>
        <w:autoSpaceDN w:val="0"/>
        <w:adjustRightInd w:val="0"/>
        <w:spacing w:line="233" w:lineRule="auto"/>
        <w:jc w:val="both"/>
        <w:rPr>
          <w:rFonts w:eastAsiaTheme="minorEastAsia" w:cs="Times New Roman"/>
          <w:sz w:val="20"/>
          <w:szCs w:val="20"/>
          <w:lang w:val="fr-CA"/>
        </w:rPr>
      </w:pPr>
      <w:r w:rsidRPr="005B0F40">
        <w:rPr>
          <w:rFonts w:eastAsiaTheme="minorEastAsia" w:cs="Times New Roman"/>
          <w:b/>
          <w:bCs/>
          <w:sz w:val="20"/>
          <w:szCs w:val="20"/>
          <w:lang w:val="fr-CA"/>
        </w:rPr>
        <w:t xml:space="preserve">ET APRÈS EXAMEN </w:t>
      </w:r>
      <w:r w:rsidRPr="005B0F40">
        <w:rPr>
          <w:rFonts w:eastAsiaTheme="minorEastAsia" w:cs="Times New Roman"/>
          <w:sz w:val="20"/>
          <w:szCs w:val="20"/>
          <w:lang w:val="fr-CA"/>
        </w:rPr>
        <w:t>des documents déposés;</w:t>
      </w:r>
    </w:p>
    <w:p w:rsidR="005B0F40" w:rsidRPr="005B0F40" w:rsidRDefault="005B0F40" w:rsidP="005B0F40">
      <w:pPr>
        <w:widowControl w:val="0"/>
        <w:autoSpaceDE w:val="0"/>
        <w:autoSpaceDN w:val="0"/>
        <w:adjustRightInd w:val="0"/>
        <w:spacing w:line="233" w:lineRule="auto"/>
        <w:jc w:val="both"/>
        <w:rPr>
          <w:rFonts w:eastAsiaTheme="minorEastAsia" w:cs="Times New Roman"/>
          <w:sz w:val="20"/>
          <w:szCs w:val="20"/>
          <w:lang w:val="fr-CA"/>
        </w:rPr>
      </w:pPr>
    </w:p>
    <w:p w:rsidR="005B0F40" w:rsidRPr="005B0F40" w:rsidRDefault="005B0F40" w:rsidP="005B0F40">
      <w:pPr>
        <w:widowControl w:val="0"/>
        <w:autoSpaceDE w:val="0"/>
        <w:autoSpaceDN w:val="0"/>
        <w:adjustRightInd w:val="0"/>
        <w:spacing w:line="233" w:lineRule="auto"/>
        <w:jc w:val="both"/>
        <w:rPr>
          <w:rFonts w:eastAsiaTheme="minorEastAsia" w:cs="Times New Roman"/>
          <w:sz w:val="20"/>
          <w:szCs w:val="20"/>
          <w:lang w:val="fr-CA"/>
        </w:rPr>
      </w:pPr>
      <w:r w:rsidRPr="005B0F40">
        <w:rPr>
          <w:rFonts w:eastAsiaTheme="minorEastAsia" w:cs="Times New Roman"/>
          <w:b/>
          <w:bCs/>
          <w:sz w:val="20"/>
          <w:szCs w:val="20"/>
          <w:lang w:val="fr-CA"/>
        </w:rPr>
        <w:t>IL EST ORDONNÉ CE</w:t>
      </w:r>
      <w:r>
        <w:rPr>
          <w:rFonts w:eastAsiaTheme="minorEastAsia" w:cs="Times New Roman"/>
          <w:b/>
          <w:bCs/>
          <w:sz w:val="20"/>
          <w:szCs w:val="20"/>
          <w:lang w:val="fr-CA"/>
        </w:rPr>
        <w:t xml:space="preserve"> </w:t>
      </w:r>
      <w:r w:rsidRPr="005B0F40">
        <w:rPr>
          <w:rFonts w:eastAsiaTheme="minorEastAsia" w:cs="Times New Roman"/>
          <w:b/>
          <w:bCs/>
          <w:sz w:val="20"/>
          <w:szCs w:val="20"/>
          <w:lang w:val="fr-CA"/>
        </w:rPr>
        <w:t>QUI SUIT :</w:t>
      </w:r>
    </w:p>
    <w:p w:rsidR="005B0F40" w:rsidRPr="005B0F40" w:rsidRDefault="005B0F40" w:rsidP="005B0F40">
      <w:pPr>
        <w:widowControl w:val="0"/>
        <w:autoSpaceDE w:val="0"/>
        <w:autoSpaceDN w:val="0"/>
        <w:adjustRightInd w:val="0"/>
        <w:spacing w:line="233" w:lineRule="auto"/>
        <w:jc w:val="both"/>
        <w:rPr>
          <w:rFonts w:eastAsiaTheme="minorEastAsia" w:cs="Times New Roman"/>
          <w:sz w:val="20"/>
          <w:szCs w:val="20"/>
          <w:lang w:val="fr-CA"/>
        </w:rPr>
      </w:pPr>
    </w:p>
    <w:p w:rsidR="005B0F40" w:rsidRPr="005B0F40" w:rsidRDefault="005B0F40" w:rsidP="005B0F40">
      <w:pPr>
        <w:widowControl w:val="0"/>
        <w:autoSpaceDE w:val="0"/>
        <w:autoSpaceDN w:val="0"/>
        <w:adjustRightInd w:val="0"/>
        <w:jc w:val="both"/>
        <w:rPr>
          <w:rFonts w:eastAsiaTheme="minorEastAsia" w:cs="Times New Roman"/>
          <w:sz w:val="20"/>
          <w:szCs w:val="20"/>
          <w:lang w:val="fr-CA"/>
        </w:rPr>
      </w:pPr>
      <w:r w:rsidRPr="005B0F40">
        <w:rPr>
          <w:rFonts w:eastAsiaTheme="minorEastAsia" w:cs="Times New Roman"/>
          <w:sz w:val="20"/>
          <w:szCs w:val="20"/>
          <w:lang w:val="fr-CA"/>
        </w:rPr>
        <w:t>La requête est accueillie en partie</w:t>
      </w:r>
      <w:r w:rsidR="001557DD" w:rsidRPr="005B0F40">
        <w:rPr>
          <w:rFonts w:eastAsiaTheme="minorEastAsia" w:cs="Times New Roman"/>
          <w:sz w:val="20"/>
          <w:szCs w:val="20"/>
          <w:lang w:val="fr-CA"/>
        </w:rPr>
        <w:fldChar w:fldCharType="begin"/>
      </w:r>
      <w:r w:rsidRPr="005B0F40">
        <w:rPr>
          <w:rFonts w:eastAsiaTheme="minorEastAsia" w:cs="Times New Roman"/>
          <w:sz w:val="20"/>
          <w:szCs w:val="20"/>
          <w:lang w:val="fr-CA"/>
        </w:rPr>
        <w:instrText xml:space="preserve"> SEQ CHAPTER \h \r 1</w:instrText>
      </w:r>
      <w:r w:rsidR="001557DD" w:rsidRPr="005B0F40">
        <w:rPr>
          <w:rFonts w:eastAsiaTheme="minorEastAsia" w:cs="Times New Roman"/>
          <w:sz w:val="20"/>
          <w:szCs w:val="20"/>
          <w:lang w:val="fr-CA"/>
        </w:rPr>
        <w:fldChar w:fldCharType="end"/>
      </w:r>
      <w:r w:rsidRPr="005B0F40">
        <w:rPr>
          <w:rFonts w:eastAsiaTheme="minorEastAsia" w:cs="Times New Roman"/>
          <w:sz w:val="20"/>
          <w:szCs w:val="20"/>
          <w:lang w:val="fr-CA"/>
        </w:rPr>
        <w:t xml:space="preserve">.  La défenderesse se voit accorder un dernier délai de dix jours, à compter de la date de la présente ordonnance, pour signifier et déposer sa réponse à la demande d’autorisation d’appel. </w:t>
      </w:r>
    </w:p>
    <w:p w:rsidR="005B0F40" w:rsidRPr="005B0F40" w:rsidRDefault="005B0F40" w:rsidP="005B0F40">
      <w:pPr>
        <w:tabs>
          <w:tab w:val="left" w:pos="-1440"/>
          <w:tab w:val="left" w:pos="-720"/>
        </w:tabs>
        <w:jc w:val="both"/>
        <w:rPr>
          <w:rFonts w:eastAsia="Times New Roman" w:cs="Times New Roman"/>
          <w:sz w:val="20"/>
          <w:szCs w:val="20"/>
          <w:lang w:val="fr-CA" w:eastAsia="en-CA"/>
        </w:rPr>
      </w:pPr>
    </w:p>
    <w:p w:rsidR="005B0F40" w:rsidRPr="005B0F40" w:rsidRDefault="005B0F40" w:rsidP="005B0F40">
      <w:pPr>
        <w:tabs>
          <w:tab w:val="left" w:pos="-1440"/>
          <w:tab w:val="left" w:pos="-720"/>
        </w:tabs>
        <w:spacing w:line="-19" w:lineRule="auto"/>
        <w:jc w:val="both"/>
        <w:rPr>
          <w:rFonts w:eastAsia="Times New Roman" w:cs="Times New Roman"/>
          <w:sz w:val="20"/>
          <w:szCs w:val="20"/>
          <w:lang w:val="fr-CA" w:eastAsia="en-CA"/>
        </w:rPr>
      </w:pPr>
    </w:p>
    <w:p w:rsidR="005B0F40" w:rsidRPr="005B0F40" w:rsidRDefault="001557DD" w:rsidP="005B0F40">
      <w:pPr>
        <w:tabs>
          <w:tab w:val="left" w:pos="-1440"/>
          <w:tab w:val="left" w:pos="-720"/>
        </w:tabs>
        <w:jc w:val="both"/>
        <w:rPr>
          <w:rFonts w:eastAsia="Times New Roman" w:cs="Times New Roman"/>
          <w:sz w:val="20"/>
          <w:szCs w:val="20"/>
          <w:lang w:eastAsia="en-CA"/>
        </w:rPr>
      </w:pPr>
      <w:r w:rsidRPr="001557DD">
        <w:rPr>
          <w:rFonts w:eastAsia="Times New Roman" w:cs="Times New Roman"/>
          <w:sz w:val="20"/>
          <w:szCs w:val="20"/>
          <w:lang w:val="fr-CA" w:eastAsia="en-CA"/>
        </w:rPr>
        <w:pict>
          <v:rect id="_x0000_i1041" style="width:2in;height:1pt" o:hrpct="0" o:hralign="center" o:hrstd="t" o:hrnoshade="t" o:hr="t" fillcolor="black [3213]" stroked="f"/>
        </w:pict>
      </w:r>
    </w:p>
    <w:p w:rsidR="005B0F40" w:rsidRDefault="005B0F40">
      <w:pPr>
        <w:rPr>
          <w:rFonts w:eastAsia="Times New Roman" w:cs="Times New Roman"/>
          <w:sz w:val="20"/>
          <w:szCs w:val="20"/>
          <w:lang w:val="fr-CA" w:eastAsia="en-CA"/>
        </w:rPr>
      </w:pPr>
    </w:p>
    <w:p w:rsidR="005B0F40" w:rsidRPr="005B0F40" w:rsidRDefault="005B0F40" w:rsidP="005B0F40">
      <w:pPr>
        <w:tabs>
          <w:tab w:val="left" w:pos="-1440"/>
          <w:tab w:val="left" w:pos="-720"/>
        </w:tabs>
        <w:jc w:val="both"/>
        <w:rPr>
          <w:rFonts w:eastAsia="Times New Roman" w:cs="Times New Roman"/>
          <w:sz w:val="20"/>
          <w:szCs w:val="20"/>
          <w:lang w:val="fr-CA" w:eastAsia="en-CA"/>
        </w:rPr>
      </w:pPr>
      <w:r w:rsidRPr="005B0F40">
        <w:rPr>
          <w:rFonts w:eastAsia="Times New Roman" w:cs="Times New Roman"/>
          <w:sz w:val="20"/>
          <w:szCs w:val="20"/>
          <w:lang w:val="fr-CA" w:eastAsia="en-CA"/>
        </w:rPr>
        <w:t>12.07.2011</w:t>
      </w:r>
    </w:p>
    <w:p w:rsidR="005B0F40" w:rsidRPr="005B0F40" w:rsidRDefault="005B0F40" w:rsidP="005B0F40">
      <w:pPr>
        <w:tabs>
          <w:tab w:val="left" w:pos="-1440"/>
          <w:tab w:val="left" w:pos="-720"/>
        </w:tabs>
        <w:jc w:val="both"/>
        <w:rPr>
          <w:rFonts w:eastAsia="Times New Roman" w:cs="Times New Roman"/>
          <w:sz w:val="20"/>
          <w:szCs w:val="20"/>
          <w:lang w:val="fr-CA" w:eastAsia="en-CA"/>
        </w:rPr>
      </w:pPr>
    </w:p>
    <w:p w:rsidR="005B0F40" w:rsidRPr="005B0F40" w:rsidRDefault="005B0F40" w:rsidP="005B0F40">
      <w:pPr>
        <w:jc w:val="both"/>
        <w:rPr>
          <w:rFonts w:eastAsia="Times New Roman" w:cs="Times New Roman"/>
          <w:sz w:val="20"/>
          <w:szCs w:val="20"/>
          <w:lang w:val="fr-CA" w:eastAsia="en-CA"/>
        </w:rPr>
      </w:pPr>
      <w:proofErr w:type="spellStart"/>
      <w:r w:rsidRPr="005B0F40">
        <w:rPr>
          <w:rFonts w:eastAsia="Times New Roman" w:cs="Times New Roman"/>
          <w:sz w:val="20"/>
          <w:szCs w:val="20"/>
          <w:lang w:val="fr-CA" w:eastAsia="en-CA"/>
        </w:rPr>
        <w:t>Before</w:t>
      </w:r>
      <w:proofErr w:type="spellEnd"/>
      <w:r w:rsidRPr="005B0F40">
        <w:rPr>
          <w:rFonts w:eastAsia="Times New Roman" w:cs="Times New Roman"/>
          <w:sz w:val="20"/>
          <w:szCs w:val="20"/>
          <w:lang w:val="fr-CA" w:eastAsia="en-CA"/>
        </w:rPr>
        <w:t xml:space="preserve"> / Devant:   CHARRON J. / LA JUGE CHARRON</w:t>
      </w:r>
    </w:p>
    <w:p w:rsidR="005B0F40" w:rsidRPr="005B0F40" w:rsidRDefault="005B0F40" w:rsidP="005B0F40">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B0F40" w:rsidRPr="00D66BAA" w:rsidTr="00BE36BA">
        <w:trPr>
          <w:trHeight w:val="151"/>
        </w:trPr>
        <w:tc>
          <w:tcPr>
            <w:tcW w:w="4338" w:type="dxa"/>
          </w:tcPr>
          <w:p w:rsidR="005B0F40" w:rsidRPr="005B0F40" w:rsidRDefault="005B0F40" w:rsidP="00BE36BA">
            <w:pPr>
              <w:tabs>
                <w:tab w:val="left" w:pos="-1440"/>
                <w:tab w:val="left" w:pos="-720"/>
              </w:tabs>
              <w:jc w:val="both"/>
            </w:pPr>
            <w:r w:rsidRPr="005B0F40">
              <w:rPr>
                <w:b/>
                <w:bCs/>
                <w:lang w:val="en-US"/>
              </w:rPr>
              <w:t>Motion to extend the time to serve the notice of appeal</w:t>
            </w:r>
          </w:p>
        </w:tc>
        <w:tc>
          <w:tcPr>
            <w:tcW w:w="1170" w:type="dxa"/>
          </w:tcPr>
          <w:p w:rsidR="005B0F40" w:rsidRPr="005B0F40" w:rsidRDefault="005B0F40" w:rsidP="00BE36BA">
            <w:pPr>
              <w:jc w:val="both"/>
            </w:pPr>
          </w:p>
          <w:p w:rsidR="005B0F40" w:rsidRPr="005B0F40" w:rsidRDefault="005B0F40" w:rsidP="00BE36BA">
            <w:pPr>
              <w:jc w:val="both"/>
            </w:pPr>
          </w:p>
          <w:p w:rsidR="005B0F40" w:rsidRPr="005B0F40" w:rsidRDefault="005B0F40" w:rsidP="00BE36BA">
            <w:pPr>
              <w:jc w:val="both"/>
            </w:pPr>
          </w:p>
        </w:tc>
        <w:tc>
          <w:tcPr>
            <w:tcW w:w="4327" w:type="dxa"/>
          </w:tcPr>
          <w:p w:rsidR="005B0F40" w:rsidRPr="005B0F40" w:rsidRDefault="005B0F40" w:rsidP="00BE36BA">
            <w:pPr>
              <w:jc w:val="both"/>
              <w:rPr>
                <w:b/>
                <w:lang w:val="fr-CA"/>
              </w:rPr>
            </w:pPr>
            <w:r w:rsidRPr="005B0F40">
              <w:rPr>
                <w:b/>
                <w:bCs/>
                <w:lang w:val="fr-CA"/>
              </w:rPr>
              <w:t>Requête en prorogation du délai de signification de l’avis d’appel</w:t>
            </w:r>
            <w:r w:rsidR="001557DD" w:rsidRPr="005B0F40">
              <w:rPr>
                <w:b/>
                <w:szCs w:val="24"/>
                <w:lang w:val="en-US"/>
              </w:rPr>
              <w:fldChar w:fldCharType="begin"/>
            </w:r>
            <w:r w:rsidRPr="005B0F40">
              <w:rPr>
                <w:b/>
                <w:szCs w:val="24"/>
                <w:lang w:val="fr-CA"/>
              </w:rPr>
              <w:instrText xml:space="preserve"> SEQ CHAPTER \h \r 1</w:instrText>
            </w:r>
            <w:r w:rsidR="001557DD" w:rsidRPr="005B0F40">
              <w:rPr>
                <w:b/>
                <w:szCs w:val="24"/>
                <w:lang w:val="en-US"/>
              </w:rPr>
              <w:fldChar w:fldCharType="end"/>
            </w:r>
            <w:r w:rsidR="001557DD" w:rsidRPr="005B0F40">
              <w:rPr>
                <w:b/>
                <w:szCs w:val="24"/>
                <w:lang w:val="en-US"/>
              </w:rPr>
              <w:fldChar w:fldCharType="begin"/>
            </w:r>
            <w:r w:rsidRPr="005B0F40">
              <w:rPr>
                <w:b/>
                <w:szCs w:val="24"/>
                <w:lang w:val="fr-CA"/>
              </w:rPr>
              <w:instrText xml:space="preserve"> SEQ CHAPTER \h \r 1</w:instrText>
            </w:r>
            <w:r w:rsidR="001557DD" w:rsidRPr="005B0F40">
              <w:rPr>
                <w:b/>
                <w:szCs w:val="24"/>
                <w:lang w:val="en-US"/>
              </w:rPr>
              <w:fldChar w:fldCharType="end"/>
            </w:r>
            <w:r w:rsidR="001557DD" w:rsidRPr="005B0F40">
              <w:rPr>
                <w:b/>
                <w:szCs w:val="24"/>
                <w:lang w:val="en-US"/>
              </w:rPr>
              <w:fldChar w:fldCharType="begin"/>
            </w:r>
            <w:r w:rsidRPr="005B0F40">
              <w:rPr>
                <w:b/>
                <w:szCs w:val="24"/>
                <w:lang w:val="fr-CA"/>
              </w:rPr>
              <w:instrText xml:space="preserve"> SEQ CHAPTER \h \r 1</w:instrText>
            </w:r>
            <w:r w:rsidR="001557DD" w:rsidRPr="005B0F40">
              <w:rPr>
                <w:b/>
                <w:szCs w:val="24"/>
                <w:lang w:val="en-US"/>
              </w:rPr>
              <w:fldChar w:fldCharType="end"/>
            </w:r>
          </w:p>
        </w:tc>
      </w:tr>
      <w:tr w:rsidR="005B0F40" w:rsidRPr="005B0F40" w:rsidTr="00BE36BA">
        <w:trPr>
          <w:trHeight w:val="150"/>
        </w:trPr>
        <w:tc>
          <w:tcPr>
            <w:tcW w:w="4338" w:type="dxa"/>
          </w:tcPr>
          <w:p w:rsidR="005B0F40" w:rsidRPr="005B0F40" w:rsidRDefault="005B0F40" w:rsidP="00BE36BA">
            <w:pPr>
              <w:tabs>
                <w:tab w:val="left" w:pos="-1440"/>
                <w:tab w:val="left" w:pos="-720"/>
              </w:tabs>
              <w:jc w:val="both"/>
            </w:pPr>
            <w:r w:rsidRPr="005B0F40">
              <w:t>S.T.V.</w:t>
            </w:r>
          </w:p>
          <w:p w:rsidR="005B0F40" w:rsidRPr="005B0F40" w:rsidRDefault="005B0F40" w:rsidP="00BE36BA">
            <w:pPr>
              <w:tabs>
                <w:tab w:val="left" w:pos="-1440"/>
                <w:tab w:val="left" w:pos="-720"/>
              </w:tabs>
              <w:jc w:val="both"/>
            </w:pPr>
          </w:p>
          <w:p w:rsidR="005B0F40" w:rsidRPr="005B0F40" w:rsidRDefault="005B0F40" w:rsidP="00BE36BA">
            <w:pPr>
              <w:tabs>
                <w:tab w:val="left" w:pos="-1440"/>
                <w:tab w:val="left" w:pos="-720"/>
              </w:tabs>
              <w:jc w:val="both"/>
            </w:pPr>
            <w:r w:rsidRPr="005B0F40">
              <w:tab/>
              <w:t>v. (34286)</w:t>
            </w:r>
          </w:p>
          <w:p w:rsidR="005B0F40" w:rsidRPr="005B0F40" w:rsidRDefault="005B0F40" w:rsidP="00BE36BA">
            <w:pPr>
              <w:tabs>
                <w:tab w:val="left" w:pos="-1440"/>
                <w:tab w:val="left" w:pos="-720"/>
              </w:tabs>
              <w:jc w:val="both"/>
            </w:pPr>
          </w:p>
          <w:p w:rsidR="005B0F40" w:rsidRPr="005B0F40" w:rsidRDefault="005B0F40" w:rsidP="00BE36BA">
            <w:pPr>
              <w:tabs>
                <w:tab w:val="left" w:pos="-1440"/>
                <w:tab w:val="left" w:pos="-720"/>
              </w:tabs>
              <w:jc w:val="both"/>
            </w:pPr>
            <w:r w:rsidRPr="005B0F40">
              <w:t>Her Majesty the Queen (Crim.) (B.C.)</w:t>
            </w:r>
          </w:p>
        </w:tc>
        <w:tc>
          <w:tcPr>
            <w:tcW w:w="1170" w:type="dxa"/>
          </w:tcPr>
          <w:p w:rsidR="005B0F40" w:rsidRPr="005B0F40" w:rsidRDefault="005B0F40" w:rsidP="00BE36BA">
            <w:pPr>
              <w:jc w:val="both"/>
            </w:pPr>
          </w:p>
        </w:tc>
        <w:tc>
          <w:tcPr>
            <w:tcW w:w="4327" w:type="dxa"/>
          </w:tcPr>
          <w:p w:rsidR="005B0F40" w:rsidRPr="005B0F40" w:rsidRDefault="005B0F40" w:rsidP="00BE36BA">
            <w:pPr>
              <w:jc w:val="both"/>
            </w:pPr>
          </w:p>
        </w:tc>
      </w:tr>
    </w:tbl>
    <w:p w:rsidR="005B0F40" w:rsidRDefault="005B0F40" w:rsidP="005B0F40">
      <w:pPr>
        <w:tabs>
          <w:tab w:val="left" w:pos="-1440"/>
          <w:tab w:val="left" w:pos="-720"/>
        </w:tabs>
        <w:jc w:val="both"/>
        <w:rPr>
          <w:rFonts w:eastAsia="Times New Roman" w:cs="Times New Roman"/>
          <w:b/>
          <w:sz w:val="20"/>
          <w:szCs w:val="20"/>
          <w:lang w:eastAsia="en-CA"/>
        </w:rPr>
      </w:pPr>
    </w:p>
    <w:p w:rsidR="005B0F40" w:rsidRPr="005B0F40" w:rsidRDefault="005B0F40" w:rsidP="005B0F40">
      <w:pPr>
        <w:tabs>
          <w:tab w:val="left" w:pos="-1440"/>
          <w:tab w:val="left" w:pos="-720"/>
        </w:tabs>
        <w:jc w:val="both"/>
        <w:rPr>
          <w:rFonts w:eastAsia="Times New Roman" w:cs="Times New Roman"/>
          <w:sz w:val="20"/>
          <w:szCs w:val="20"/>
          <w:lang w:eastAsia="en-CA"/>
        </w:rPr>
      </w:pPr>
      <w:r w:rsidRPr="005B0F40">
        <w:rPr>
          <w:rFonts w:eastAsia="Times New Roman" w:cs="Times New Roman"/>
          <w:b/>
          <w:sz w:val="20"/>
          <w:szCs w:val="20"/>
          <w:lang w:eastAsia="en-CA"/>
        </w:rPr>
        <w:t>GRANTED / ACCORDÉE</w:t>
      </w:r>
    </w:p>
    <w:p w:rsidR="005B0F40" w:rsidRPr="005B0F40" w:rsidRDefault="005B0F40" w:rsidP="005B0F40">
      <w:pPr>
        <w:tabs>
          <w:tab w:val="left" w:pos="-1440"/>
          <w:tab w:val="left" w:pos="-720"/>
        </w:tabs>
        <w:jc w:val="both"/>
        <w:rPr>
          <w:rFonts w:eastAsia="Times New Roman" w:cs="Times New Roman"/>
          <w:sz w:val="20"/>
          <w:szCs w:val="20"/>
          <w:lang w:eastAsia="en-CA"/>
        </w:rPr>
      </w:pPr>
    </w:p>
    <w:p w:rsidR="005B0F40" w:rsidRPr="005B0F40" w:rsidRDefault="005B0F40" w:rsidP="005B0F40">
      <w:pPr>
        <w:tabs>
          <w:tab w:val="left" w:pos="-1440"/>
          <w:tab w:val="left" w:pos="-720"/>
        </w:tabs>
        <w:spacing w:line="-19" w:lineRule="auto"/>
        <w:jc w:val="both"/>
        <w:rPr>
          <w:rFonts w:eastAsia="Times New Roman" w:cs="Times New Roman"/>
          <w:sz w:val="20"/>
          <w:szCs w:val="20"/>
          <w:lang w:eastAsia="en-CA"/>
        </w:rPr>
      </w:pPr>
    </w:p>
    <w:p w:rsidR="005B0F40" w:rsidRPr="005B0F40" w:rsidRDefault="001557DD" w:rsidP="005B0F40">
      <w:pPr>
        <w:tabs>
          <w:tab w:val="left" w:pos="-1440"/>
          <w:tab w:val="left" w:pos="-720"/>
        </w:tabs>
        <w:jc w:val="both"/>
        <w:rPr>
          <w:rFonts w:eastAsia="Times New Roman" w:cs="Times New Roman"/>
          <w:sz w:val="20"/>
          <w:szCs w:val="20"/>
          <w:lang w:eastAsia="en-CA"/>
        </w:rPr>
      </w:pPr>
      <w:r w:rsidRPr="001557DD">
        <w:rPr>
          <w:rFonts w:eastAsia="Times New Roman" w:cs="Times New Roman"/>
          <w:sz w:val="20"/>
          <w:szCs w:val="20"/>
          <w:lang w:val="fr-CA" w:eastAsia="en-CA"/>
        </w:rPr>
        <w:pict>
          <v:rect id="_x0000_i1042" style="width:2in;height:1pt" o:hrpct="0" o:hralign="center" o:hrstd="t" o:hrnoshade="t" o:hr="t" fillcolor="black [3213]" stroked="f"/>
        </w:pict>
      </w:r>
    </w:p>
    <w:p w:rsidR="005B0F40" w:rsidRDefault="005B0F40">
      <w:pPr>
        <w:rPr>
          <w:rFonts w:eastAsia="Times New Roman" w:cs="Times New Roman"/>
          <w:sz w:val="20"/>
          <w:szCs w:val="20"/>
          <w:lang w:eastAsia="en-CA"/>
        </w:rPr>
      </w:pPr>
    </w:p>
    <w:p w:rsidR="005B0F40" w:rsidRPr="005B0F40" w:rsidRDefault="005B0F40" w:rsidP="005B0F40">
      <w:pPr>
        <w:tabs>
          <w:tab w:val="left" w:pos="-1440"/>
          <w:tab w:val="left" w:pos="-720"/>
        </w:tabs>
        <w:jc w:val="both"/>
        <w:rPr>
          <w:rFonts w:eastAsia="Times New Roman" w:cs="Times New Roman"/>
          <w:sz w:val="20"/>
          <w:szCs w:val="20"/>
          <w:lang w:val="fr-CA" w:eastAsia="en-CA"/>
        </w:rPr>
      </w:pPr>
      <w:r w:rsidRPr="005B0F40">
        <w:rPr>
          <w:rFonts w:eastAsia="Times New Roman" w:cs="Times New Roman"/>
          <w:sz w:val="20"/>
          <w:szCs w:val="20"/>
          <w:lang w:val="fr-CA" w:eastAsia="en-CA"/>
        </w:rPr>
        <w:t>14.07.2011</w:t>
      </w:r>
    </w:p>
    <w:p w:rsidR="005B0F40" w:rsidRPr="005B0F40" w:rsidRDefault="005B0F40" w:rsidP="005B0F40">
      <w:pPr>
        <w:tabs>
          <w:tab w:val="left" w:pos="-1440"/>
          <w:tab w:val="left" w:pos="-720"/>
        </w:tabs>
        <w:jc w:val="both"/>
        <w:rPr>
          <w:rFonts w:eastAsia="Times New Roman" w:cs="Times New Roman"/>
          <w:sz w:val="20"/>
          <w:szCs w:val="20"/>
          <w:lang w:val="fr-CA" w:eastAsia="en-CA"/>
        </w:rPr>
      </w:pPr>
    </w:p>
    <w:p w:rsidR="005B0F40" w:rsidRPr="005B0F40" w:rsidRDefault="005B0F40" w:rsidP="005B0F40">
      <w:pPr>
        <w:tabs>
          <w:tab w:val="left" w:pos="-1440"/>
          <w:tab w:val="left" w:pos="-720"/>
        </w:tabs>
        <w:jc w:val="both"/>
        <w:rPr>
          <w:rFonts w:eastAsia="Times New Roman" w:cs="Times New Roman"/>
          <w:sz w:val="20"/>
          <w:szCs w:val="20"/>
          <w:lang w:val="fr-CA" w:eastAsia="en-CA"/>
        </w:rPr>
      </w:pPr>
      <w:proofErr w:type="spellStart"/>
      <w:r w:rsidRPr="005B0F40">
        <w:rPr>
          <w:rFonts w:eastAsia="Times New Roman" w:cs="Times New Roman"/>
          <w:sz w:val="20"/>
          <w:szCs w:val="20"/>
          <w:lang w:val="fr-CA" w:eastAsia="en-CA"/>
        </w:rPr>
        <w:t>Before</w:t>
      </w:r>
      <w:proofErr w:type="spellEnd"/>
      <w:r w:rsidRPr="005B0F40">
        <w:rPr>
          <w:rFonts w:eastAsia="Times New Roman" w:cs="Times New Roman"/>
          <w:sz w:val="20"/>
          <w:szCs w:val="20"/>
          <w:lang w:val="fr-CA" w:eastAsia="en-CA"/>
        </w:rPr>
        <w:t xml:space="preserve"> / Devant :   ROTHSTEIN J. / LE JUGE ROTHSTEIN</w:t>
      </w:r>
    </w:p>
    <w:p w:rsidR="005B0F40" w:rsidRPr="005B0F40" w:rsidRDefault="005B0F40" w:rsidP="005B0F4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B0F40" w:rsidRPr="00D66BAA" w:rsidTr="00BE36BA">
        <w:tc>
          <w:tcPr>
            <w:tcW w:w="4338" w:type="dxa"/>
          </w:tcPr>
          <w:p w:rsidR="005B0F40" w:rsidRPr="005B0F40" w:rsidRDefault="001557DD" w:rsidP="005B0F40">
            <w:pPr>
              <w:tabs>
                <w:tab w:val="left" w:pos="-1440"/>
                <w:tab w:val="left" w:pos="-720"/>
              </w:tabs>
              <w:jc w:val="both"/>
              <w:rPr>
                <w:b/>
              </w:rPr>
            </w:pPr>
            <w:r w:rsidRPr="005B0F40">
              <w:rPr>
                <w:szCs w:val="24"/>
                <w:lang w:val="en-US"/>
              </w:rPr>
              <w:fldChar w:fldCharType="begin"/>
            </w:r>
            <w:r w:rsidR="005B0F40" w:rsidRPr="005B0F40">
              <w:rPr>
                <w:szCs w:val="24"/>
                <w:lang w:val="en-US"/>
              </w:rPr>
              <w:instrText xml:space="preserve"> SEQ CHAPTER \h \r 1</w:instrText>
            </w:r>
            <w:r w:rsidRPr="005B0F40">
              <w:rPr>
                <w:szCs w:val="24"/>
                <w:lang w:val="en-US"/>
              </w:rPr>
              <w:fldChar w:fldCharType="end"/>
            </w:r>
            <w:r w:rsidR="005B0F40" w:rsidRPr="005B0F40">
              <w:rPr>
                <w:b/>
                <w:bCs/>
                <w:lang w:val="en-US"/>
              </w:rPr>
              <w:t>Motion to file additional documents</w:t>
            </w:r>
            <w:r w:rsidR="005B0F40" w:rsidRPr="005B0F40">
              <w:rPr>
                <w:b/>
                <w:lang w:val="en-US"/>
              </w:rPr>
              <w:t xml:space="preserve"> </w:t>
            </w:r>
            <w:r w:rsidR="005B0F40" w:rsidRPr="005B0F40">
              <w:rPr>
                <w:b/>
                <w:bCs/>
                <w:lang w:val="en-US"/>
              </w:rPr>
              <w:t xml:space="preserve">pursuant to Rule 32(2) of the </w:t>
            </w:r>
            <w:r w:rsidR="005B0F40" w:rsidRPr="005B0F40">
              <w:rPr>
                <w:b/>
                <w:bCs/>
                <w:i/>
                <w:iCs/>
                <w:lang w:val="en-US"/>
              </w:rPr>
              <w:t>Rules of the Supreme Court of Canada</w:t>
            </w:r>
          </w:p>
        </w:tc>
        <w:tc>
          <w:tcPr>
            <w:tcW w:w="1170" w:type="dxa"/>
          </w:tcPr>
          <w:p w:rsidR="005B0F40" w:rsidRPr="005B0F40" w:rsidRDefault="005B0F40" w:rsidP="005B0F40">
            <w:pPr>
              <w:tabs>
                <w:tab w:val="left" w:pos="-1440"/>
                <w:tab w:val="left" w:pos="-720"/>
              </w:tabs>
              <w:jc w:val="both"/>
            </w:pPr>
          </w:p>
          <w:p w:rsidR="005B0F40" w:rsidRPr="005B0F40" w:rsidRDefault="005B0F40" w:rsidP="005B0F40">
            <w:pPr>
              <w:tabs>
                <w:tab w:val="left" w:pos="-1440"/>
                <w:tab w:val="left" w:pos="-720"/>
              </w:tabs>
              <w:jc w:val="both"/>
            </w:pPr>
          </w:p>
          <w:p w:rsidR="005B0F40" w:rsidRPr="005B0F40" w:rsidRDefault="005B0F40" w:rsidP="005B0F40">
            <w:pPr>
              <w:tabs>
                <w:tab w:val="left" w:pos="-1440"/>
                <w:tab w:val="left" w:pos="-720"/>
              </w:tabs>
              <w:jc w:val="both"/>
            </w:pPr>
          </w:p>
          <w:p w:rsidR="005B0F40" w:rsidRPr="005B0F40" w:rsidRDefault="005B0F40" w:rsidP="005B0F40">
            <w:pPr>
              <w:tabs>
                <w:tab w:val="left" w:pos="-1440"/>
                <w:tab w:val="left" w:pos="-720"/>
              </w:tabs>
              <w:jc w:val="both"/>
            </w:pPr>
          </w:p>
        </w:tc>
        <w:tc>
          <w:tcPr>
            <w:tcW w:w="4327" w:type="dxa"/>
          </w:tcPr>
          <w:p w:rsidR="005B0F40" w:rsidRPr="005B0F40" w:rsidRDefault="001557DD" w:rsidP="005B0F40">
            <w:pPr>
              <w:tabs>
                <w:tab w:val="left" w:pos="-1440"/>
                <w:tab w:val="left" w:pos="-720"/>
              </w:tabs>
              <w:jc w:val="both"/>
              <w:rPr>
                <w:b/>
                <w:lang w:val="fr-CA"/>
              </w:rPr>
            </w:pPr>
            <w:r w:rsidRPr="005B0F40">
              <w:rPr>
                <w:szCs w:val="24"/>
                <w:lang w:val="en-US"/>
              </w:rPr>
              <w:fldChar w:fldCharType="begin"/>
            </w:r>
            <w:r w:rsidR="005B0F40" w:rsidRPr="005B0F40">
              <w:rPr>
                <w:szCs w:val="24"/>
                <w:lang w:val="fr-CA"/>
              </w:rPr>
              <w:instrText xml:space="preserve"> SEQ CHAPTER \h \r 1</w:instrText>
            </w:r>
            <w:r w:rsidRPr="005B0F40">
              <w:rPr>
                <w:szCs w:val="24"/>
                <w:lang w:val="en-US"/>
              </w:rPr>
              <w:fldChar w:fldCharType="end"/>
            </w:r>
            <w:r w:rsidR="005B0F40" w:rsidRPr="005B0F40">
              <w:rPr>
                <w:b/>
                <w:bCs/>
                <w:lang w:val="fr-CA"/>
              </w:rPr>
              <w:t>Requête en vue de déposer des documents supplémentaires</w:t>
            </w:r>
            <w:r w:rsidR="005B0F40" w:rsidRPr="005B0F40">
              <w:rPr>
                <w:lang w:val="fr-CA"/>
              </w:rPr>
              <w:t xml:space="preserve"> </w:t>
            </w:r>
            <w:r w:rsidR="005B0F40" w:rsidRPr="005B0F40">
              <w:rPr>
                <w:b/>
                <w:bCs/>
                <w:lang w:val="fr-CA"/>
              </w:rPr>
              <w:t xml:space="preserve">en vertu du paragraphe 32(2) des </w:t>
            </w:r>
            <w:r w:rsidR="005B0F40" w:rsidRPr="005B0F40">
              <w:rPr>
                <w:b/>
                <w:bCs/>
                <w:i/>
                <w:iCs/>
                <w:lang w:val="fr-CA"/>
              </w:rPr>
              <w:t>Règles de la Cour suprême du Canada</w:t>
            </w:r>
          </w:p>
        </w:tc>
      </w:tr>
      <w:tr w:rsidR="005B0F40" w:rsidRPr="005B0F40" w:rsidTr="00BE36BA">
        <w:tc>
          <w:tcPr>
            <w:tcW w:w="4338" w:type="dxa"/>
          </w:tcPr>
          <w:p w:rsidR="005B0F40" w:rsidRPr="005B0F40" w:rsidRDefault="005B0F40" w:rsidP="005B0F40">
            <w:pPr>
              <w:tabs>
                <w:tab w:val="left" w:pos="-1440"/>
                <w:tab w:val="left" w:pos="-720"/>
              </w:tabs>
              <w:jc w:val="both"/>
              <w:rPr>
                <w:lang w:val="fr-CA"/>
              </w:rPr>
            </w:pPr>
            <w:proofErr w:type="spellStart"/>
            <w:r w:rsidRPr="005B0F40">
              <w:rPr>
                <w:lang w:val="fr-CA"/>
              </w:rPr>
              <w:t>Ural</w:t>
            </w:r>
            <w:proofErr w:type="spellEnd"/>
            <w:r w:rsidRPr="005B0F40">
              <w:rPr>
                <w:lang w:val="fr-CA"/>
              </w:rPr>
              <w:t xml:space="preserve"> </w:t>
            </w:r>
            <w:proofErr w:type="spellStart"/>
            <w:r w:rsidRPr="005B0F40">
              <w:rPr>
                <w:lang w:val="fr-CA"/>
              </w:rPr>
              <w:t>Direk</w:t>
            </w:r>
            <w:proofErr w:type="spellEnd"/>
            <w:r w:rsidRPr="005B0F40">
              <w:rPr>
                <w:lang w:val="fr-CA"/>
              </w:rPr>
              <w:t xml:space="preserve"> et al.</w:t>
            </w:r>
          </w:p>
          <w:p w:rsidR="005B0F40" w:rsidRPr="005B0F40" w:rsidRDefault="005B0F40" w:rsidP="005B0F40">
            <w:pPr>
              <w:tabs>
                <w:tab w:val="left" w:pos="-1440"/>
                <w:tab w:val="left" w:pos="-720"/>
              </w:tabs>
              <w:jc w:val="both"/>
              <w:rPr>
                <w:lang w:val="fr-CA"/>
              </w:rPr>
            </w:pPr>
          </w:p>
          <w:p w:rsidR="005B0F40" w:rsidRPr="005B0F40" w:rsidRDefault="005B0F40" w:rsidP="005B0F40">
            <w:pPr>
              <w:tabs>
                <w:tab w:val="left" w:pos="-1440"/>
                <w:tab w:val="left" w:pos="-720"/>
              </w:tabs>
              <w:jc w:val="both"/>
              <w:rPr>
                <w:lang w:val="fr-CA"/>
              </w:rPr>
            </w:pPr>
            <w:r w:rsidRPr="005B0F40">
              <w:rPr>
                <w:lang w:val="fr-CA"/>
              </w:rPr>
              <w:tab/>
              <w:t>v. (34093)</w:t>
            </w:r>
          </w:p>
          <w:p w:rsidR="005B0F40" w:rsidRPr="005B0F40" w:rsidRDefault="005B0F40" w:rsidP="005B0F40">
            <w:pPr>
              <w:tabs>
                <w:tab w:val="left" w:pos="-1440"/>
                <w:tab w:val="left" w:pos="-720"/>
              </w:tabs>
              <w:jc w:val="both"/>
              <w:rPr>
                <w:lang w:val="fr-CA"/>
              </w:rPr>
            </w:pPr>
          </w:p>
          <w:p w:rsidR="005B0F40" w:rsidRPr="005B0F40" w:rsidRDefault="005B0F40" w:rsidP="005B0F40">
            <w:pPr>
              <w:tabs>
                <w:tab w:val="left" w:pos="-1440"/>
                <w:tab w:val="left" w:pos="-720"/>
              </w:tabs>
              <w:jc w:val="both"/>
              <w:rPr>
                <w:lang w:val="fr-CA"/>
              </w:rPr>
            </w:pPr>
            <w:proofErr w:type="spellStart"/>
            <w:r w:rsidRPr="005B0F40">
              <w:rPr>
                <w:lang w:val="fr-CA"/>
              </w:rPr>
              <w:t>Argiris</w:t>
            </w:r>
            <w:proofErr w:type="spellEnd"/>
            <w:r w:rsidRPr="005B0F40">
              <w:rPr>
                <w:lang w:val="fr-CA"/>
              </w:rPr>
              <w:t xml:space="preserve"> &amp; Associates, </w:t>
            </w:r>
            <w:proofErr w:type="spellStart"/>
            <w:r w:rsidRPr="005B0F40">
              <w:rPr>
                <w:lang w:val="fr-CA"/>
              </w:rPr>
              <w:t>Barristers</w:t>
            </w:r>
            <w:proofErr w:type="spellEnd"/>
            <w:r w:rsidRPr="005B0F40">
              <w:rPr>
                <w:lang w:val="fr-CA"/>
              </w:rPr>
              <w:t xml:space="preserve">, Solicitors, </w:t>
            </w:r>
            <w:proofErr w:type="spellStart"/>
            <w:r w:rsidRPr="005B0F40">
              <w:rPr>
                <w:lang w:val="fr-CA"/>
              </w:rPr>
              <w:t>Notaries</w:t>
            </w:r>
            <w:proofErr w:type="spellEnd"/>
            <w:r w:rsidRPr="005B0F40">
              <w:rPr>
                <w:lang w:val="fr-CA"/>
              </w:rPr>
              <w:t xml:space="preserve"> et al. (Ont.)</w:t>
            </w:r>
          </w:p>
        </w:tc>
        <w:tc>
          <w:tcPr>
            <w:tcW w:w="1170" w:type="dxa"/>
          </w:tcPr>
          <w:p w:rsidR="005B0F40" w:rsidRPr="005B0F40" w:rsidRDefault="005B0F40" w:rsidP="005B0F40">
            <w:pPr>
              <w:tabs>
                <w:tab w:val="left" w:pos="-1440"/>
                <w:tab w:val="left" w:pos="-720"/>
              </w:tabs>
              <w:jc w:val="both"/>
              <w:rPr>
                <w:lang w:val="fr-CA"/>
              </w:rPr>
            </w:pPr>
          </w:p>
        </w:tc>
        <w:tc>
          <w:tcPr>
            <w:tcW w:w="4327" w:type="dxa"/>
          </w:tcPr>
          <w:p w:rsidR="005B0F40" w:rsidRPr="005B0F40" w:rsidRDefault="005B0F40" w:rsidP="005B0F40">
            <w:pPr>
              <w:tabs>
                <w:tab w:val="left" w:pos="-1440"/>
                <w:tab w:val="left" w:pos="-720"/>
              </w:tabs>
              <w:jc w:val="both"/>
              <w:rPr>
                <w:lang w:val="fr-CA"/>
              </w:rPr>
            </w:pPr>
          </w:p>
        </w:tc>
      </w:tr>
    </w:tbl>
    <w:p w:rsidR="00FF09F4" w:rsidRDefault="00FF09F4" w:rsidP="005B0F40">
      <w:pPr>
        <w:tabs>
          <w:tab w:val="left" w:pos="-1440"/>
          <w:tab w:val="left" w:pos="-720"/>
        </w:tabs>
        <w:jc w:val="both"/>
        <w:rPr>
          <w:rFonts w:eastAsia="Times New Roman" w:cs="Times New Roman"/>
          <w:b/>
          <w:sz w:val="20"/>
          <w:szCs w:val="20"/>
          <w:lang w:eastAsia="en-CA"/>
        </w:rPr>
      </w:pPr>
    </w:p>
    <w:p w:rsidR="005B0F40" w:rsidRPr="005B0F40" w:rsidRDefault="005B0F40" w:rsidP="005B0F40">
      <w:pPr>
        <w:tabs>
          <w:tab w:val="left" w:pos="-1440"/>
          <w:tab w:val="left" w:pos="-720"/>
        </w:tabs>
        <w:jc w:val="both"/>
        <w:rPr>
          <w:rFonts w:eastAsia="Times New Roman" w:cs="Times New Roman"/>
          <w:b/>
          <w:sz w:val="20"/>
          <w:szCs w:val="20"/>
          <w:lang w:eastAsia="en-CA"/>
        </w:rPr>
      </w:pPr>
      <w:r w:rsidRPr="005B0F40">
        <w:rPr>
          <w:rFonts w:eastAsia="Times New Roman" w:cs="Times New Roman"/>
          <w:b/>
          <w:sz w:val="20"/>
          <w:szCs w:val="20"/>
          <w:lang w:eastAsia="en-CA"/>
        </w:rPr>
        <w:lastRenderedPageBreak/>
        <w:t>DISMISSED / REJETÉE</w:t>
      </w:r>
    </w:p>
    <w:p w:rsidR="005B0F40" w:rsidRPr="005B0F40" w:rsidRDefault="005B0F40" w:rsidP="005B0F40">
      <w:pPr>
        <w:tabs>
          <w:tab w:val="left" w:pos="-1440"/>
          <w:tab w:val="left" w:pos="-720"/>
        </w:tabs>
        <w:jc w:val="both"/>
        <w:rPr>
          <w:rFonts w:eastAsia="Times New Roman" w:cs="Times New Roman"/>
          <w:sz w:val="20"/>
          <w:szCs w:val="20"/>
          <w:lang w:eastAsia="en-CA"/>
        </w:rPr>
      </w:pPr>
    </w:p>
    <w:p w:rsidR="005B0F40" w:rsidRPr="005B0F40" w:rsidRDefault="005B0F40" w:rsidP="005B0F40">
      <w:pPr>
        <w:jc w:val="both"/>
        <w:rPr>
          <w:rFonts w:eastAsia="Times New Roman" w:cs="Times New Roman"/>
          <w:sz w:val="20"/>
          <w:szCs w:val="20"/>
          <w:lang w:val="en-US" w:eastAsia="en-CA"/>
        </w:rPr>
      </w:pPr>
      <w:r w:rsidRPr="005B0F40">
        <w:rPr>
          <w:rFonts w:eastAsia="Times New Roman" w:cs="Times New Roman"/>
          <w:b/>
          <w:sz w:val="20"/>
          <w:szCs w:val="20"/>
          <w:lang w:val="en-US" w:eastAsia="en-CA"/>
        </w:rPr>
        <w:t>UPON APPLICATION</w:t>
      </w:r>
      <w:r w:rsidRPr="005B0F40">
        <w:rPr>
          <w:rFonts w:eastAsia="Times New Roman" w:cs="Times New Roman"/>
          <w:sz w:val="20"/>
          <w:szCs w:val="20"/>
          <w:lang w:val="en-US" w:eastAsia="en-CA"/>
        </w:rPr>
        <w:t xml:space="preserve"> </w:t>
      </w:r>
      <w:r w:rsidR="001557DD" w:rsidRPr="005B0F40">
        <w:rPr>
          <w:rFonts w:eastAsia="Times New Roman" w:cs="Times New Roman"/>
          <w:sz w:val="20"/>
          <w:szCs w:val="20"/>
          <w:lang w:val="en-US" w:eastAsia="en-CA"/>
        </w:rPr>
        <w:fldChar w:fldCharType="begin"/>
      </w:r>
      <w:r w:rsidRPr="005B0F40">
        <w:rPr>
          <w:rFonts w:eastAsia="Times New Roman" w:cs="Times New Roman"/>
          <w:sz w:val="20"/>
          <w:szCs w:val="20"/>
          <w:lang w:val="en-US" w:eastAsia="en-CA"/>
        </w:rPr>
        <w:instrText xml:space="preserve"> SEQ CHAPTER \h \r 1</w:instrText>
      </w:r>
      <w:r w:rsidR="001557DD" w:rsidRPr="005B0F40">
        <w:rPr>
          <w:rFonts w:eastAsia="Times New Roman" w:cs="Times New Roman"/>
          <w:sz w:val="20"/>
          <w:szCs w:val="20"/>
          <w:lang w:val="en-US" w:eastAsia="en-CA"/>
        </w:rPr>
        <w:fldChar w:fldCharType="end"/>
      </w:r>
      <w:r w:rsidRPr="005B0F40">
        <w:rPr>
          <w:rFonts w:eastAsia="Times New Roman" w:cs="Times New Roman"/>
          <w:sz w:val="20"/>
          <w:szCs w:val="20"/>
          <w:lang w:val="en-US" w:eastAsia="en-CA"/>
        </w:rPr>
        <w:t>made on behalf of the Applicant pursuant to the provisions of Rule 32(2) for an order to file supplemental documents received by facsimile transmission on June 28 and July 4, 2011;</w:t>
      </w:r>
    </w:p>
    <w:p w:rsidR="005B0F40" w:rsidRPr="005B0F40" w:rsidRDefault="005B0F40" w:rsidP="005B0F40">
      <w:pPr>
        <w:rPr>
          <w:rFonts w:eastAsia="Times New Roman" w:cs="Times New Roman"/>
          <w:sz w:val="20"/>
          <w:szCs w:val="20"/>
          <w:lang w:val="en-US" w:eastAsia="en-CA"/>
        </w:rPr>
      </w:pPr>
    </w:p>
    <w:p w:rsidR="005B0F40" w:rsidRPr="005B0F40" w:rsidRDefault="001557DD" w:rsidP="005B0F40">
      <w:pPr>
        <w:rPr>
          <w:rFonts w:eastAsia="Times New Roman" w:cs="Times New Roman"/>
          <w:sz w:val="20"/>
          <w:szCs w:val="20"/>
          <w:lang w:val="en-US" w:eastAsia="en-CA"/>
        </w:rPr>
      </w:pPr>
      <w:r w:rsidRPr="005B0F40">
        <w:rPr>
          <w:rFonts w:eastAsia="Times New Roman" w:cs="Times New Roman"/>
          <w:sz w:val="20"/>
          <w:szCs w:val="20"/>
          <w:lang w:val="en-US" w:eastAsia="en-CA"/>
        </w:rPr>
        <w:fldChar w:fldCharType="begin"/>
      </w:r>
      <w:r w:rsidR="005B0F40" w:rsidRPr="005B0F40">
        <w:rPr>
          <w:rFonts w:eastAsia="Times New Roman" w:cs="Times New Roman"/>
          <w:sz w:val="20"/>
          <w:szCs w:val="20"/>
          <w:lang w:val="en-US" w:eastAsia="en-CA"/>
        </w:rPr>
        <w:instrText xml:space="preserve"> SEQ CHAPTER \h \r 1</w:instrText>
      </w:r>
      <w:r w:rsidRPr="005B0F40">
        <w:rPr>
          <w:rFonts w:eastAsia="Times New Roman" w:cs="Times New Roman"/>
          <w:sz w:val="20"/>
          <w:szCs w:val="20"/>
          <w:lang w:val="en-US" w:eastAsia="en-CA"/>
        </w:rPr>
        <w:fldChar w:fldCharType="end"/>
      </w:r>
      <w:r w:rsidR="005B0F40" w:rsidRPr="005B0F40">
        <w:rPr>
          <w:rFonts w:eastAsia="Times New Roman" w:cs="Times New Roman"/>
          <w:b/>
          <w:bCs/>
          <w:sz w:val="20"/>
          <w:szCs w:val="20"/>
          <w:lang w:val="en-US" w:eastAsia="en-CA"/>
        </w:rPr>
        <w:t>AND HAVING READ</w:t>
      </w:r>
      <w:r w:rsidR="005B0F40" w:rsidRPr="005B0F40">
        <w:rPr>
          <w:rFonts w:eastAsia="Times New Roman" w:cs="Times New Roman"/>
          <w:sz w:val="20"/>
          <w:szCs w:val="20"/>
          <w:lang w:val="en-US" w:eastAsia="en-CA"/>
        </w:rPr>
        <w:t xml:space="preserve"> the material filed;</w:t>
      </w:r>
    </w:p>
    <w:p w:rsidR="005B0F40" w:rsidRPr="005B0F40" w:rsidRDefault="005B0F40" w:rsidP="005B0F40">
      <w:pPr>
        <w:rPr>
          <w:rFonts w:eastAsia="Times New Roman" w:cs="Times New Roman"/>
          <w:sz w:val="20"/>
          <w:szCs w:val="20"/>
          <w:lang w:val="en-US" w:eastAsia="en-CA"/>
        </w:rPr>
      </w:pPr>
    </w:p>
    <w:p w:rsidR="005B0F40" w:rsidRPr="005B0F40" w:rsidRDefault="005B0F40" w:rsidP="005B0F40">
      <w:pPr>
        <w:rPr>
          <w:rFonts w:eastAsia="Times New Roman" w:cs="Times New Roman"/>
          <w:b/>
          <w:sz w:val="20"/>
          <w:szCs w:val="20"/>
          <w:lang w:val="en-US" w:eastAsia="en-CA"/>
        </w:rPr>
      </w:pPr>
      <w:r w:rsidRPr="005B0F40">
        <w:rPr>
          <w:rFonts w:eastAsia="Times New Roman" w:cs="Times New Roman"/>
          <w:b/>
          <w:sz w:val="20"/>
          <w:szCs w:val="20"/>
          <w:lang w:val="en-US" w:eastAsia="en-CA"/>
        </w:rPr>
        <w:t>IT IS HEREBY ORDERED THAT:</w:t>
      </w:r>
    </w:p>
    <w:p w:rsidR="005B0F40" w:rsidRPr="005B0F40" w:rsidRDefault="005B0F40" w:rsidP="005B0F40">
      <w:pPr>
        <w:ind w:left="360"/>
        <w:contextualSpacing/>
        <w:rPr>
          <w:sz w:val="20"/>
          <w:szCs w:val="20"/>
        </w:rPr>
      </w:pPr>
    </w:p>
    <w:p w:rsidR="005B0F40" w:rsidRPr="00FF09F4" w:rsidRDefault="005B0F40" w:rsidP="005B0F40">
      <w:pPr>
        <w:ind w:left="360"/>
        <w:contextualSpacing/>
        <w:rPr>
          <w:sz w:val="20"/>
          <w:szCs w:val="20"/>
          <w:lang w:val="fr-CA"/>
        </w:rPr>
      </w:pPr>
      <w:r w:rsidRPr="00FF09F4">
        <w:rPr>
          <w:sz w:val="20"/>
          <w:szCs w:val="20"/>
          <w:lang w:val="fr-CA"/>
        </w:rPr>
        <w:t xml:space="preserve">The motion </w:t>
      </w:r>
      <w:proofErr w:type="spellStart"/>
      <w:r w:rsidRPr="00FF09F4">
        <w:rPr>
          <w:sz w:val="20"/>
          <w:szCs w:val="20"/>
          <w:lang w:val="fr-CA"/>
        </w:rPr>
        <w:t>is</w:t>
      </w:r>
      <w:proofErr w:type="spellEnd"/>
      <w:r w:rsidRPr="00FF09F4">
        <w:rPr>
          <w:sz w:val="20"/>
          <w:szCs w:val="20"/>
          <w:lang w:val="fr-CA"/>
        </w:rPr>
        <w:t xml:space="preserve"> </w:t>
      </w:r>
      <w:proofErr w:type="spellStart"/>
      <w:r w:rsidRPr="00FF09F4">
        <w:rPr>
          <w:sz w:val="20"/>
          <w:szCs w:val="20"/>
          <w:lang w:val="fr-CA"/>
        </w:rPr>
        <w:t>dismissed</w:t>
      </w:r>
      <w:proofErr w:type="spellEnd"/>
      <w:r w:rsidRPr="00FF09F4">
        <w:rPr>
          <w:sz w:val="20"/>
          <w:szCs w:val="20"/>
          <w:lang w:val="fr-CA"/>
        </w:rPr>
        <w:t>.</w:t>
      </w:r>
    </w:p>
    <w:p w:rsidR="005B0F40" w:rsidRPr="00FF09F4" w:rsidRDefault="005B0F40" w:rsidP="005B0F40">
      <w:pPr>
        <w:rPr>
          <w:rFonts w:eastAsia="Times New Roman" w:cs="Times New Roman"/>
          <w:sz w:val="20"/>
          <w:szCs w:val="20"/>
          <w:lang w:val="fr-CA" w:eastAsia="en-CA"/>
        </w:rPr>
      </w:pPr>
    </w:p>
    <w:p w:rsidR="005B0F40" w:rsidRPr="00FF09F4" w:rsidRDefault="005B0F40" w:rsidP="005B0F40">
      <w:pPr>
        <w:rPr>
          <w:rFonts w:eastAsia="Times New Roman" w:cs="Times New Roman"/>
          <w:sz w:val="20"/>
          <w:szCs w:val="20"/>
          <w:lang w:val="fr-CA" w:eastAsia="en-CA"/>
        </w:rPr>
      </w:pPr>
    </w:p>
    <w:p w:rsidR="005B0F40" w:rsidRPr="00FF09F4" w:rsidRDefault="005B0F40" w:rsidP="005B0F40">
      <w:pPr>
        <w:rPr>
          <w:rFonts w:eastAsia="Times New Roman" w:cs="Times New Roman"/>
          <w:sz w:val="20"/>
          <w:szCs w:val="20"/>
          <w:lang w:val="fr-CA" w:eastAsia="en-CA"/>
        </w:rPr>
      </w:pPr>
    </w:p>
    <w:p w:rsidR="005B0F40" w:rsidRPr="005B0F40" w:rsidRDefault="005B0F40" w:rsidP="005B0F40">
      <w:pPr>
        <w:jc w:val="both"/>
        <w:rPr>
          <w:rFonts w:eastAsia="Times New Roman" w:cs="Times New Roman"/>
          <w:sz w:val="20"/>
          <w:szCs w:val="20"/>
          <w:lang w:val="fr-CA" w:eastAsia="en-CA"/>
        </w:rPr>
      </w:pPr>
      <w:r w:rsidRPr="005B0F40">
        <w:rPr>
          <w:rFonts w:eastAsia="Times New Roman" w:cs="Times New Roman"/>
          <w:b/>
          <w:sz w:val="20"/>
          <w:szCs w:val="20"/>
          <w:lang w:val="fr-CA" w:eastAsia="en-CA"/>
        </w:rPr>
        <w:t>À LA SUITE D’UNE REQUÊTE,</w:t>
      </w:r>
      <w:r w:rsidRPr="005B0F40">
        <w:rPr>
          <w:rFonts w:eastAsia="Times New Roman" w:cs="Times New Roman"/>
          <w:sz w:val="20"/>
          <w:szCs w:val="20"/>
          <w:lang w:val="fr-CA" w:eastAsia="en-CA"/>
        </w:rPr>
        <w:t xml:space="preserve"> présentée au nom du demandeur en vue d’obtenir, en application </w:t>
      </w:r>
      <w:r w:rsidR="001557DD" w:rsidRPr="005B0F40">
        <w:rPr>
          <w:rFonts w:eastAsia="Times New Roman" w:cs="Times New Roman"/>
          <w:sz w:val="20"/>
          <w:szCs w:val="20"/>
          <w:lang w:val="fr-CA" w:eastAsia="en-CA"/>
        </w:rPr>
        <w:fldChar w:fldCharType="begin"/>
      </w:r>
      <w:r w:rsidRPr="005B0F40">
        <w:rPr>
          <w:rFonts w:eastAsia="Times New Roman" w:cs="Times New Roman"/>
          <w:sz w:val="20"/>
          <w:szCs w:val="20"/>
          <w:lang w:val="fr-CA" w:eastAsia="en-CA"/>
        </w:rPr>
        <w:instrText xml:space="preserve"> SEQ CHAPTER \h \r 1</w:instrText>
      </w:r>
      <w:r w:rsidR="001557DD" w:rsidRPr="005B0F40">
        <w:rPr>
          <w:rFonts w:eastAsia="Times New Roman" w:cs="Times New Roman"/>
          <w:sz w:val="20"/>
          <w:szCs w:val="20"/>
          <w:lang w:val="fr-CA" w:eastAsia="en-CA"/>
        </w:rPr>
        <w:fldChar w:fldCharType="end"/>
      </w:r>
      <w:r w:rsidRPr="005B0F40">
        <w:rPr>
          <w:rFonts w:eastAsia="Times New Roman" w:cs="Times New Roman"/>
          <w:sz w:val="20"/>
          <w:szCs w:val="20"/>
          <w:lang w:val="fr-CA" w:eastAsia="en-CA"/>
        </w:rPr>
        <w:t xml:space="preserve">du par. 32(2) des </w:t>
      </w:r>
      <w:r w:rsidRPr="005B0F40">
        <w:rPr>
          <w:rFonts w:eastAsia="Times New Roman" w:cs="Times New Roman"/>
          <w:i/>
          <w:sz w:val="20"/>
          <w:szCs w:val="20"/>
          <w:lang w:val="fr-CA" w:eastAsia="en-CA"/>
        </w:rPr>
        <w:t>Règles de la Cour suprême du Canada</w:t>
      </w:r>
      <w:r w:rsidRPr="005B0F40">
        <w:rPr>
          <w:rFonts w:eastAsia="Times New Roman" w:cs="Times New Roman"/>
          <w:sz w:val="20"/>
          <w:szCs w:val="20"/>
          <w:lang w:val="fr-CA" w:eastAsia="en-CA"/>
        </w:rPr>
        <w:t>, l’autorisation de déposer des documents supplémentaires reçus par télécopieur les 28 juin et 4 juillet 2011;</w:t>
      </w:r>
    </w:p>
    <w:p w:rsidR="005B0F40" w:rsidRPr="005B0F40" w:rsidRDefault="005B0F40" w:rsidP="005B0F40">
      <w:pPr>
        <w:rPr>
          <w:rFonts w:eastAsia="Times New Roman" w:cs="Times New Roman"/>
          <w:sz w:val="20"/>
          <w:szCs w:val="20"/>
          <w:lang w:val="fr-CA" w:eastAsia="en-CA"/>
        </w:rPr>
      </w:pPr>
    </w:p>
    <w:p w:rsidR="005B0F40" w:rsidRPr="005B0F40" w:rsidRDefault="001557DD" w:rsidP="005B0F40">
      <w:pPr>
        <w:rPr>
          <w:rFonts w:eastAsia="Times New Roman" w:cs="Times New Roman"/>
          <w:sz w:val="20"/>
          <w:szCs w:val="20"/>
          <w:lang w:val="fr-CA" w:eastAsia="en-CA"/>
        </w:rPr>
      </w:pPr>
      <w:r w:rsidRPr="005B0F40">
        <w:rPr>
          <w:rFonts w:eastAsia="Times New Roman" w:cs="Times New Roman"/>
          <w:sz w:val="20"/>
          <w:szCs w:val="20"/>
          <w:lang w:val="fr-CA" w:eastAsia="en-CA"/>
        </w:rPr>
        <w:fldChar w:fldCharType="begin"/>
      </w:r>
      <w:r w:rsidR="005B0F40" w:rsidRPr="005B0F40">
        <w:rPr>
          <w:rFonts w:eastAsia="Times New Roman" w:cs="Times New Roman"/>
          <w:sz w:val="20"/>
          <w:szCs w:val="20"/>
          <w:lang w:val="fr-CA" w:eastAsia="en-CA"/>
        </w:rPr>
        <w:instrText xml:space="preserve"> SEQ CHAPTER \h \r 1</w:instrText>
      </w:r>
      <w:r w:rsidRPr="005B0F40">
        <w:rPr>
          <w:rFonts w:eastAsia="Times New Roman" w:cs="Times New Roman"/>
          <w:sz w:val="20"/>
          <w:szCs w:val="20"/>
          <w:lang w:val="fr-CA" w:eastAsia="en-CA"/>
        </w:rPr>
        <w:fldChar w:fldCharType="end"/>
      </w:r>
      <w:r w:rsidR="005B0F40" w:rsidRPr="005B0F40">
        <w:rPr>
          <w:rFonts w:eastAsia="Times New Roman" w:cs="Times New Roman"/>
          <w:b/>
          <w:bCs/>
          <w:sz w:val="20"/>
          <w:szCs w:val="20"/>
          <w:lang w:val="fr-CA" w:eastAsia="en-CA"/>
        </w:rPr>
        <w:t>APRÈS EXAMEN</w:t>
      </w:r>
      <w:r w:rsidR="005B0F40" w:rsidRPr="005B0F40">
        <w:rPr>
          <w:rFonts w:eastAsia="Times New Roman" w:cs="Times New Roman"/>
          <w:sz w:val="20"/>
          <w:szCs w:val="20"/>
          <w:lang w:val="fr-CA" w:eastAsia="en-CA"/>
        </w:rPr>
        <w:t xml:space="preserve"> des documents déposés;</w:t>
      </w:r>
    </w:p>
    <w:p w:rsidR="005B0F40" w:rsidRPr="005B0F40" w:rsidRDefault="005B0F40" w:rsidP="005B0F40">
      <w:pPr>
        <w:rPr>
          <w:rFonts w:eastAsia="Times New Roman" w:cs="Times New Roman"/>
          <w:sz w:val="20"/>
          <w:szCs w:val="20"/>
          <w:lang w:val="fr-CA" w:eastAsia="en-CA"/>
        </w:rPr>
      </w:pPr>
    </w:p>
    <w:p w:rsidR="005B0F40" w:rsidRPr="005B0F40" w:rsidRDefault="005B0F40" w:rsidP="005B0F40">
      <w:pPr>
        <w:rPr>
          <w:rFonts w:eastAsia="Times New Roman" w:cs="Times New Roman"/>
          <w:b/>
          <w:sz w:val="20"/>
          <w:szCs w:val="20"/>
          <w:lang w:val="fr-CA" w:eastAsia="en-CA"/>
        </w:rPr>
      </w:pPr>
      <w:r w:rsidRPr="005B0F40">
        <w:rPr>
          <w:rFonts w:eastAsia="Times New Roman" w:cs="Times New Roman"/>
          <w:b/>
          <w:sz w:val="20"/>
          <w:szCs w:val="20"/>
          <w:lang w:val="fr-CA" w:eastAsia="en-CA"/>
        </w:rPr>
        <w:t>IL EST ORDONNÉ CE QUI SUIT :</w:t>
      </w:r>
    </w:p>
    <w:p w:rsidR="005B0F40" w:rsidRPr="005B0F40" w:rsidRDefault="005B0F40" w:rsidP="005B0F40">
      <w:pPr>
        <w:ind w:left="360"/>
        <w:contextualSpacing/>
        <w:rPr>
          <w:sz w:val="20"/>
          <w:szCs w:val="20"/>
          <w:lang w:val="fr-CA"/>
        </w:rPr>
      </w:pPr>
    </w:p>
    <w:p w:rsidR="005B0F40" w:rsidRPr="005B0F40" w:rsidRDefault="005B0F40" w:rsidP="005B0F40">
      <w:pPr>
        <w:ind w:left="360"/>
        <w:contextualSpacing/>
        <w:rPr>
          <w:sz w:val="20"/>
          <w:szCs w:val="20"/>
          <w:lang w:val="fr-CA"/>
        </w:rPr>
      </w:pPr>
      <w:r w:rsidRPr="005B0F40">
        <w:rPr>
          <w:sz w:val="20"/>
          <w:szCs w:val="20"/>
          <w:lang w:val="fr-CA"/>
        </w:rPr>
        <w:t>La requête est rejetée.</w:t>
      </w:r>
    </w:p>
    <w:p w:rsidR="005B0F40" w:rsidRPr="005B0F40" w:rsidRDefault="005B0F40" w:rsidP="005B0F40">
      <w:pPr>
        <w:rPr>
          <w:rFonts w:eastAsia="Times New Roman" w:cs="Times New Roman"/>
          <w:sz w:val="20"/>
          <w:szCs w:val="20"/>
          <w:lang w:val="en-US" w:eastAsia="en-CA"/>
        </w:rPr>
      </w:pPr>
    </w:p>
    <w:p w:rsidR="005B0F40" w:rsidRPr="005B0F40" w:rsidRDefault="001557DD" w:rsidP="005B0F40">
      <w:pPr>
        <w:tabs>
          <w:tab w:val="left" w:pos="-1440"/>
          <w:tab w:val="left" w:pos="-720"/>
        </w:tabs>
        <w:jc w:val="both"/>
        <w:rPr>
          <w:rFonts w:eastAsia="Times New Roman" w:cs="Times New Roman"/>
          <w:sz w:val="20"/>
          <w:szCs w:val="20"/>
          <w:lang w:eastAsia="en-CA"/>
        </w:rPr>
      </w:pPr>
      <w:r w:rsidRPr="001557DD">
        <w:rPr>
          <w:rFonts w:eastAsia="Times New Roman" w:cs="Times New Roman"/>
          <w:sz w:val="20"/>
          <w:szCs w:val="20"/>
          <w:lang w:val="fr-CA" w:eastAsia="en-CA"/>
        </w:rPr>
        <w:pict>
          <v:rect id="_x0000_i1043" style="width:2in;height:1pt" o:hrpct="0" o:hralign="center" o:hrstd="t" o:hrnoshade="t" o:hr="t" fillcolor="black [3213]" stroked="f"/>
        </w:pict>
      </w:r>
    </w:p>
    <w:p w:rsidR="005B0F40" w:rsidRDefault="005B0F40" w:rsidP="00890FEB">
      <w:pPr>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4740D" w:rsidRPr="00D66BAA" w:rsidTr="00BA6468">
        <w:tc>
          <w:tcPr>
            <w:tcW w:w="4200" w:type="dxa"/>
            <w:shd w:val="clear" w:color="auto" w:fill="auto"/>
            <w:tcMar>
              <w:left w:w="0" w:type="dxa"/>
              <w:right w:w="0" w:type="dxa"/>
            </w:tcMar>
          </w:tcPr>
          <w:p w:rsidR="00B4740D" w:rsidRPr="00C1697B" w:rsidRDefault="00B4740D" w:rsidP="00096BD9">
            <w:pPr>
              <w:rPr>
                <w:b/>
                <w:szCs w:val="24"/>
              </w:rPr>
            </w:pPr>
            <w:r w:rsidRPr="00C1697B">
              <w:rPr>
                <w:b/>
                <w:szCs w:val="24"/>
              </w:rPr>
              <w:lastRenderedPageBreak/>
              <w:t>NOTICES OF INTERVENTION FILED SINCE LAST ISSUE</w:t>
            </w:r>
          </w:p>
        </w:tc>
        <w:tc>
          <w:tcPr>
            <w:tcW w:w="1200" w:type="dxa"/>
            <w:shd w:val="clear" w:color="auto" w:fill="auto"/>
            <w:tcMar>
              <w:left w:w="0" w:type="dxa"/>
              <w:right w:w="0" w:type="dxa"/>
            </w:tcMar>
          </w:tcPr>
          <w:p w:rsidR="00B4740D" w:rsidRPr="00C1697B" w:rsidRDefault="00B4740D" w:rsidP="00B4740D">
            <w:pPr>
              <w:jc w:val="center"/>
              <w:rPr>
                <w:b/>
                <w:szCs w:val="24"/>
              </w:rPr>
            </w:pPr>
          </w:p>
          <w:p w:rsidR="00B4740D" w:rsidRPr="00C1697B" w:rsidRDefault="00B4740D" w:rsidP="00B4740D">
            <w:pPr>
              <w:jc w:val="center"/>
              <w:rPr>
                <w:b/>
                <w:szCs w:val="24"/>
              </w:rPr>
            </w:pPr>
          </w:p>
          <w:p w:rsidR="00B4740D" w:rsidRPr="00C1697B" w:rsidRDefault="00B4740D" w:rsidP="00B4740D">
            <w:pPr>
              <w:jc w:val="center"/>
              <w:rPr>
                <w:b/>
                <w:szCs w:val="24"/>
              </w:rPr>
            </w:pPr>
          </w:p>
        </w:tc>
        <w:tc>
          <w:tcPr>
            <w:tcW w:w="4080" w:type="dxa"/>
            <w:shd w:val="clear" w:color="auto" w:fill="auto"/>
            <w:tcMar>
              <w:left w:w="0" w:type="dxa"/>
              <w:right w:w="0" w:type="dxa"/>
            </w:tcMar>
          </w:tcPr>
          <w:p w:rsidR="00B4740D" w:rsidRPr="00C1697B" w:rsidRDefault="00B4740D" w:rsidP="00096BD9">
            <w:pPr>
              <w:rPr>
                <w:b/>
                <w:szCs w:val="24"/>
                <w:lang w:val="fr-CA"/>
              </w:rPr>
            </w:pPr>
            <w:r w:rsidRPr="00C1697B">
              <w:rPr>
                <w:b/>
                <w:szCs w:val="24"/>
                <w:lang w:val="fr-CA"/>
              </w:rPr>
              <w:t>AVIS D’INTERVENTION DÉPOSÉS DEPUIS LA DERNIÈRE PARUTION</w:t>
            </w:r>
          </w:p>
        </w:tc>
      </w:tr>
    </w:tbl>
    <w:p w:rsidR="00B4740D" w:rsidRPr="00C50A5C" w:rsidRDefault="00B4740D" w:rsidP="00B4740D">
      <w:pPr>
        <w:rPr>
          <w:sz w:val="20"/>
          <w:szCs w:val="20"/>
          <w:u w:val="single"/>
          <w:lang w:val="fr-CA"/>
        </w:rPr>
      </w:pPr>
    </w:p>
    <w:p w:rsidR="00B4740D" w:rsidRPr="00C50A5C" w:rsidRDefault="00BE36BA" w:rsidP="00B4740D">
      <w:pPr>
        <w:rPr>
          <w:sz w:val="20"/>
          <w:szCs w:val="20"/>
          <w:lang w:val="fr-CA"/>
        </w:rPr>
      </w:pPr>
      <w:r>
        <w:rPr>
          <w:sz w:val="20"/>
          <w:szCs w:val="20"/>
          <w:lang w:val="fr-CA"/>
        </w:rPr>
        <w:t>27</w:t>
      </w:r>
      <w:r w:rsidR="00B4740D" w:rsidRPr="00C50A5C">
        <w:rPr>
          <w:sz w:val="20"/>
          <w:szCs w:val="20"/>
          <w:lang w:val="fr-CA"/>
        </w:rPr>
        <w:t>.0</w:t>
      </w:r>
      <w:r>
        <w:rPr>
          <w:sz w:val="20"/>
          <w:szCs w:val="20"/>
          <w:lang w:val="fr-CA"/>
        </w:rPr>
        <w:t>6</w:t>
      </w:r>
      <w:r w:rsidR="00B4740D" w:rsidRPr="00C50A5C">
        <w:rPr>
          <w:sz w:val="20"/>
          <w:szCs w:val="20"/>
          <w:lang w:val="fr-CA"/>
        </w:rPr>
        <w:t>.20</w:t>
      </w:r>
      <w:r>
        <w:rPr>
          <w:sz w:val="20"/>
          <w:szCs w:val="20"/>
          <w:lang w:val="fr-CA"/>
        </w:rPr>
        <w:t>11</w:t>
      </w:r>
    </w:p>
    <w:p w:rsidR="00B4740D" w:rsidRPr="00C50A5C" w:rsidRDefault="00B4740D" w:rsidP="00B4740D">
      <w:pPr>
        <w:rPr>
          <w:sz w:val="20"/>
          <w:szCs w:val="20"/>
          <w:lang w:val="fr-CA"/>
        </w:rPr>
      </w:pPr>
    </w:p>
    <w:p w:rsidR="00B4740D" w:rsidRPr="00C50A5C" w:rsidRDefault="00B4740D" w:rsidP="00B4740D">
      <w:pPr>
        <w:rPr>
          <w:sz w:val="20"/>
          <w:szCs w:val="20"/>
          <w:lang w:val="fr-CA"/>
        </w:rPr>
      </w:pPr>
      <w:r w:rsidRPr="00C50A5C">
        <w:rPr>
          <w:sz w:val="20"/>
          <w:szCs w:val="20"/>
          <w:lang w:val="fr-CA"/>
        </w:rPr>
        <w:t>BY / PAR:</w:t>
      </w:r>
      <w:r w:rsidRPr="00C50A5C">
        <w:rPr>
          <w:sz w:val="20"/>
          <w:szCs w:val="20"/>
          <w:lang w:val="fr-CA"/>
        </w:rPr>
        <w:tab/>
        <w:t xml:space="preserve">Procureur générale du </w:t>
      </w:r>
      <w:r w:rsidR="00BE36BA">
        <w:rPr>
          <w:sz w:val="20"/>
          <w:szCs w:val="20"/>
          <w:lang w:val="fr-CA"/>
        </w:rPr>
        <w:t>Canada</w:t>
      </w:r>
    </w:p>
    <w:p w:rsidR="00B4740D" w:rsidRPr="00C50A5C" w:rsidRDefault="00B4740D" w:rsidP="00B4740D">
      <w:pPr>
        <w:rPr>
          <w:sz w:val="20"/>
          <w:szCs w:val="20"/>
          <w:lang w:val="fr-CA"/>
        </w:rPr>
      </w:pPr>
    </w:p>
    <w:p w:rsidR="00B4740D" w:rsidRPr="00C50A5C" w:rsidRDefault="00B4740D" w:rsidP="00B4740D">
      <w:pPr>
        <w:rPr>
          <w:sz w:val="20"/>
          <w:szCs w:val="20"/>
          <w:lang w:val="fr-CA"/>
        </w:rPr>
      </w:pPr>
    </w:p>
    <w:p w:rsidR="00B4740D" w:rsidRPr="00BE36BA" w:rsidRDefault="00B4740D" w:rsidP="00B4740D">
      <w:pPr>
        <w:rPr>
          <w:b/>
          <w:sz w:val="20"/>
          <w:szCs w:val="20"/>
          <w:lang w:val="fr-CA"/>
        </w:rPr>
      </w:pPr>
      <w:r w:rsidRPr="00BE36BA">
        <w:rPr>
          <w:sz w:val="20"/>
          <w:szCs w:val="20"/>
          <w:lang w:val="fr-CA"/>
        </w:rPr>
        <w:t>IN / DANS:</w:t>
      </w:r>
      <w:r w:rsidRPr="00BE36BA">
        <w:rPr>
          <w:sz w:val="20"/>
          <w:szCs w:val="20"/>
          <w:lang w:val="fr-CA"/>
        </w:rPr>
        <w:tab/>
      </w:r>
      <w:r w:rsidR="00BE36BA" w:rsidRPr="00C50A5C">
        <w:rPr>
          <w:b/>
          <w:sz w:val="20"/>
          <w:szCs w:val="20"/>
          <w:lang w:val="fr-CA"/>
        </w:rPr>
        <w:t>Sa Majesté la Reine et autre</w:t>
      </w:r>
    </w:p>
    <w:p w:rsidR="00B4740D" w:rsidRPr="00BE36BA" w:rsidRDefault="00B4740D" w:rsidP="00B4740D">
      <w:pPr>
        <w:rPr>
          <w:b/>
          <w:sz w:val="20"/>
          <w:szCs w:val="20"/>
          <w:lang w:val="fr-CA"/>
        </w:rPr>
      </w:pPr>
    </w:p>
    <w:p w:rsidR="00B4740D" w:rsidRPr="00C50A5C" w:rsidRDefault="00B4740D" w:rsidP="00B4740D">
      <w:pPr>
        <w:rPr>
          <w:b/>
          <w:sz w:val="20"/>
          <w:szCs w:val="20"/>
          <w:lang w:val="fr-CA"/>
        </w:rPr>
      </w:pPr>
      <w:r w:rsidRPr="00BE36BA">
        <w:rPr>
          <w:b/>
          <w:sz w:val="20"/>
          <w:szCs w:val="20"/>
          <w:lang w:val="fr-CA"/>
        </w:rPr>
        <w:tab/>
      </w:r>
      <w:r w:rsidRPr="00BE36BA">
        <w:rPr>
          <w:b/>
          <w:sz w:val="20"/>
          <w:szCs w:val="20"/>
          <w:lang w:val="fr-CA"/>
        </w:rPr>
        <w:tab/>
      </w:r>
      <w:r w:rsidRPr="00BE36BA">
        <w:rPr>
          <w:b/>
          <w:sz w:val="20"/>
          <w:szCs w:val="20"/>
          <w:lang w:val="fr-CA"/>
        </w:rPr>
        <w:tab/>
      </w:r>
      <w:r w:rsidRPr="00C50A5C">
        <w:rPr>
          <w:b/>
          <w:sz w:val="20"/>
          <w:szCs w:val="20"/>
          <w:lang w:val="fr-CA"/>
        </w:rPr>
        <w:t>c. (3</w:t>
      </w:r>
      <w:r w:rsidR="00BE36BA">
        <w:rPr>
          <w:b/>
          <w:sz w:val="20"/>
          <w:szCs w:val="20"/>
          <w:lang w:val="fr-CA"/>
        </w:rPr>
        <w:t>3</w:t>
      </w:r>
      <w:r w:rsidRPr="00C50A5C">
        <w:rPr>
          <w:b/>
          <w:sz w:val="20"/>
          <w:szCs w:val="20"/>
          <w:lang w:val="fr-CA"/>
        </w:rPr>
        <w:t>97</w:t>
      </w:r>
      <w:r w:rsidR="00BE36BA">
        <w:rPr>
          <w:b/>
          <w:sz w:val="20"/>
          <w:szCs w:val="20"/>
          <w:lang w:val="fr-CA"/>
        </w:rPr>
        <w:t>0</w:t>
      </w:r>
      <w:r w:rsidRPr="00C50A5C">
        <w:rPr>
          <w:b/>
          <w:sz w:val="20"/>
          <w:szCs w:val="20"/>
          <w:lang w:val="fr-CA"/>
        </w:rPr>
        <w:t>)</w:t>
      </w:r>
    </w:p>
    <w:p w:rsidR="00B4740D" w:rsidRPr="00C50A5C" w:rsidRDefault="00B4740D" w:rsidP="00B4740D">
      <w:pPr>
        <w:rPr>
          <w:b/>
          <w:sz w:val="20"/>
          <w:szCs w:val="20"/>
          <w:lang w:val="fr-CA"/>
        </w:rPr>
      </w:pPr>
    </w:p>
    <w:p w:rsidR="00B4740D" w:rsidRPr="00C50A5C" w:rsidRDefault="00B4740D" w:rsidP="00B4740D">
      <w:pPr>
        <w:rPr>
          <w:b/>
          <w:sz w:val="20"/>
          <w:szCs w:val="20"/>
          <w:lang w:val="fr-CA"/>
        </w:rPr>
      </w:pPr>
      <w:r w:rsidRPr="00C50A5C">
        <w:rPr>
          <w:b/>
          <w:sz w:val="20"/>
          <w:szCs w:val="20"/>
          <w:lang w:val="fr-CA"/>
        </w:rPr>
        <w:tab/>
      </w:r>
      <w:r w:rsidRPr="00C50A5C">
        <w:rPr>
          <w:b/>
          <w:sz w:val="20"/>
          <w:szCs w:val="20"/>
          <w:lang w:val="fr-CA"/>
        </w:rPr>
        <w:tab/>
      </w:r>
      <w:proofErr w:type="spellStart"/>
      <w:r w:rsidR="00BE36BA" w:rsidRPr="00BE36BA">
        <w:rPr>
          <w:b/>
          <w:sz w:val="20"/>
          <w:szCs w:val="20"/>
          <w:lang w:val="fr-CA"/>
        </w:rPr>
        <w:t>Anic</w:t>
      </w:r>
      <w:proofErr w:type="spellEnd"/>
      <w:r w:rsidR="00BE36BA" w:rsidRPr="00BE36BA">
        <w:rPr>
          <w:b/>
          <w:sz w:val="20"/>
          <w:szCs w:val="20"/>
          <w:lang w:val="fr-CA"/>
        </w:rPr>
        <w:t xml:space="preserve"> St-</w:t>
      </w:r>
      <w:proofErr w:type="spellStart"/>
      <w:r w:rsidR="00BE36BA" w:rsidRPr="00BE36BA">
        <w:rPr>
          <w:b/>
          <w:sz w:val="20"/>
          <w:szCs w:val="20"/>
          <w:lang w:val="fr-CA"/>
        </w:rPr>
        <w:t>Onge</w:t>
      </w:r>
      <w:proofErr w:type="spellEnd"/>
      <w:r w:rsidR="00BE36BA" w:rsidRPr="00BE36BA">
        <w:rPr>
          <w:b/>
          <w:sz w:val="20"/>
          <w:szCs w:val="20"/>
          <w:lang w:val="fr-CA"/>
        </w:rPr>
        <w:t xml:space="preserve"> Lamoureux</w:t>
      </w:r>
      <w:r w:rsidR="00BE36BA">
        <w:rPr>
          <w:b/>
          <w:sz w:val="20"/>
          <w:szCs w:val="20"/>
          <w:lang w:val="fr-CA"/>
        </w:rPr>
        <w:t xml:space="preserve"> </w:t>
      </w:r>
      <w:r w:rsidRPr="00C50A5C">
        <w:rPr>
          <w:b/>
          <w:sz w:val="20"/>
          <w:szCs w:val="20"/>
          <w:lang w:val="fr-CA"/>
        </w:rPr>
        <w:t>(</w:t>
      </w:r>
      <w:proofErr w:type="spellStart"/>
      <w:r w:rsidRPr="00C50A5C">
        <w:rPr>
          <w:b/>
          <w:sz w:val="20"/>
          <w:szCs w:val="20"/>
          <w:lang w:val="fr-CA"/>
        </w:rPr>
        <w:t>Qc</w:t>
      </w:r>
      <w:proofErr w:type="spellEnd"/>
      <w:r w:rsidRPr="00C50A5C">
        <w:rPr>
          <w:b/>
          <w:sz w:val="20"/>
          <w:szCs w:val="20"/>
          <w:lang w:val="fr-CA"/>
        </w:rPr>
        <w:t>)</w:t>
      </w:r>
    </w:p>
    <w:p w:rsidR="00B4740D" w:rsidRPr="00C50A5C" w:rsidRDefault="00B4740D" w:rsidP="00B4740D">
      <w:pPr>
        <w:rPr>
          <w:sz w:val="20"/>
          <w:szCs w:val="20"/>
          <w:lang w:val="fr-CA"/>
        </w:rPr>
      </w:pPr>
    </w:p>
    <w:p w:rsidR="00B4740D" w:rsidRPr="00C50A5C" w:rsidRDefault="001557DD" w:rsidP="00B4740D">
      <w:pPr>
        <w:rPr>
          <w:sz w:val="20"/>
          <w:szCs w:val="20"/>
          <w:lang w:val="fr-CA"/>
        </w:rPr>
      </w:pPr>
      <w:r w:rsidRPr="001557DD">
        <w:rPr>
          <w:sz w:val="20"/>
          <w:szCs w:val="20"/>
          <w:lang w:val="fr-CA"/>
        </w:rPr>
        <w:pict>
          <v:rect id="_x0000_i1046" style="width:2in;height:1pt" o:hrpct="0" o:hralign="center" o:hrstd="t" o:hrnoshade="t" o:hr="t" fillcolor="black [3213]" stroked="f"/>
        </w:pict>
      </w:r>
    </w:p>
    <w:p w:rsidR="00B4740D" w:rsidRPr="00C50A5C" w:rsidRDefault="00B4740D" w:rsidP="00B4740D">
      <w:pPr>
        <w:rPr>
          <w:sz w:val="20"/>
          <w:szCs w:val="20"/>
          <w:lang w:val="fr-CA"/>
        </w:rPr>
      </w:pPr>
    </w:p>
    <w:p w:rsidR="00B4740D" w:rsidRPr="00C50A5C" w:rsidRDefault="00B4740D" w:rsidP="00B4740D">
      <w:pPr>
        <w:rPr>
          <w:sz w:val="20"/>
          <w:szCs w:val="20"/>
          <w:lang w:val="fr-CA"/>
        </w:rPr>
      </w:pPr>
    </w:p>
    <w:p w:rsidR="00B4740D" w:rsidRPr="00C50A5C" w:rsidRDefault="00B4740D" w:rsidP="00B4740D">
      <w:pPr>
        <w:rPr>
          <w:sz w:val="20"/>
          <w:szCs w:val="20"/>
          <w:lang w:val="fr-CA"/>
        </w:rPr>
      </w:pPr>
    </w:p>
    <w:p w:rsidR="00B4740D" w:rsidRPr="00C50A5C" w:rsidRDefault="00B4740D" w:rsidP="00831CA9">
      <w:pPr>
        <w:jc w:val="both"/>
        <w:rPr>
          <w:sz w:val="20"/>
          <w:szCs w:val="20"/>
        </w:rPr>
        <w:sectPr w:rsidR="00B4740D" w:rsidRPr="00C50A5C" w:rsidSect="00B4740D">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D66BAA"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B60050" w:rsidRPr="003B3977" w:rsidRDefault="00B60050" w:rsidP="00B60050">
            <w:pPr>
              <w:rPr>
                <w:sz w:val="20"/>
                <w:szCs w:val="20"/>
              </w:rPr>
            </w:pPr>
            <w:r>
              <w:rPr>
                <w:sz w:val="20"/>
                <w:szCs w:val="20"/>
              </w:rPr>
              <w:t>12</w:t>
            </w:r>
            <w:r w:rsidRPr="003B3977">
              <w:rPr>
                <w:sz w:val="20"/>
                <w:szCs w:val="20"/>
              </w:rPr>
              <w:t>.0</w:t>
            </w:r>
            <w:r>
              <w:rPr>
                <w:sz w:val="20"/>
                <w:szCs w:val="20"/>
              </w:rPr>
              <w:t>7</w:t>
            </w:r>
            <w:r w:rsidRPr="003B3977">
              <w:rPr>
                <w:sz w:val="20"/>
                <w:szCs w:val="20"/>
              </w:rPr>
              <w:t>.201</w:t>
            </w:r>
            <w:r>
              <w:rPr>
                <w:sz w:val="20"/>
                <w:szCs w:val="20"/>
              </w:rPr>
              <w:t>1</w:t>
            </w:r>
          </w:p>
          <w:p w:rsidR="00B60050" w:rsidRPr="003B3977" w:rsidRDefault="00B60050" w:rsidP="00B60050">
            <w:pPr>
              <w:rPr>
                <w:sz w:val="20"/>
                <w:szCs w:val="20"/>
              </w:rPr>
            </w:pPr>
          </w:p>
          <w:p w:rsidR="00B60050" w:rsidRPr="003B3977" w:rsidRDefault="00B60050" w:rsidP="00B60050">
            <w:pPr>
              <w:rPr>
                <w:b/>
                <w:sz w:val="20"/>
                <w:szCs w:val="20"/>
              </w:rPr>
            </w:pPr>
            <w:r>
              <w:rPr>
                <w:b/>
                <w:sz w:val="20"/>
                <w:szCs w:val="20"/>
              </w:rPr>
              <w:t>Na</w:t>
            </w:r>
            <w:r w:rsidRPr="003B3977">
              <w:rPr>
                <w:b/>
                <w:sz w:val="20"/>
                <w:szCs w:val="20"/>
              </w:rPr>
              <w:t>me</w:t>
            </w:r>
            <w:r>
              <w:rPr>
                <w:b/>
                <w:sz w:val="20"/>
                <w:szCs w:val="20"/>
              </w:rPr>
              <w:t>d P</w:t>
            </w:r>
            <w:r w:rsidRPr="003B3977">
              <w:rPr>
                <w:b/>
                <w:sz w:val="20"/>
                <w:szCs w:val="20"/>
              </w:rPr>
              <w:t>e</w:t>
            </w:r>
            <w:r>
              <w:rPr>
                <w:b/>
                <w:sz w:val="20"/>
                <w:szCs w:val="20"/>
              </w:rPr>
              <w:t>rso</w:t>
            </w:r>
            <w:r w:rsidRPr="003B3977">
              <w:rPr>
                <w:b/>
                <w:sz w:val="20"/>
                <w:szCs w:val="20"/>
              </w:rPr>
              <w:t>n</w:t>
            </w:r>
          </w:p>
          <w:p w:rsidR="00B60050" w:rsidRPr="003B3977" w:rsidRDefault="00B60050" w:rsidP="00B60050">
            <w:pPr>
              <w:rPr>
                <w:b/>
                <w:sz w:val="20"/>
                <w:szCs w:val="20"/>
              </w:rPr>
            </w:pPr>
          </w:p>
          <w:p w:rsidR="00B60050" w:rsidRPr="003B3977" w:rsidRDefault="00B60050" w:rsidP="00B60050">
            <w:pPr>
              <w:rPr>
                <w:b/>
                <w:sz w:val="20"/>
                <w:szCs w:val="20"/>
              </w:rPr>
            </w:pPr>
            <w:r w:rsidRPr="003B3977">
              <w:rPr>
                <w:b/>
                <w:sz w:val="20"/>
                <w:szCs w:val="20"/>
              </w:rPr>
              <w:tab/>
              <w:t>v. (3</w:t>
            </w:r>
            <w:r>
              <w:rPr>
                <w:b/>
                <w:sz w:val="20"/>
                <w:szCs w:val="20"/>
              </w:rPr>
              <w:t>4200</w:t>
            </w:r>
            <w:r w:rsidRPr="003B3977">
              <w:rPr>
                <w:b/>
                <w:sz w:val="20"/>
                <w:szCs w:val="20"/>
              </w:rPr>
              <w:t>)</w:t>
            </w:r>
          </w:p>
          <w:p w:rsidR="00B60050" w:rsidRPr="003B3977" w:rsidRDefault="00B60050" w:rsidP="00B60050">
            <w:pPr>
              <w:rPr>
                <w:b/>
                <w:sz w:val="20"/>
                <w:szCs w:val="20"/>
              </w:rPr>
            </w:pPr>
          </w:p>
          <w:p w:rsidR="00B60050" w:rsidRPr="003B3977" w:rsidRDefault="00B60050" w:rsidP="00B60050">
            <w:pPr>
              <w:rPr>
                <w:b/>
                <w:sz w:val="20"/>
                <w:szCs w:val="20"/>
              </w:rPr>
            </w:pPr>
            <w:r w:rsidRPr="003B3977">
              <w:rPr>
                <w:b/>
                <w:sz w:val="20"/>
                <w:szCs w:val="20"/>
              </w:rPr>
              <w:t>Her Majesty the Queen (</w:t>
            </w:r>
            <w:r>
              <w:rPr>
                <w:b/>
                <w:sz w:val="20"/>
                <w:szCs w:val="20"/>
              </w:rPr>
              <w:t>On</w:t>
            </w:r>
            <w:r w:rsidRPr="003B3977">
              <w:rPr>
                <w:b/>
                <w:sz w:val="20"/>
                <w:szCs w:val="20"/>
              </w:rPr>
              <w:t>t.)</w:t>
            </w:r>
          </w:p>
          <w:p w:rsidR="00B60050" w:rsidRPr="003B3977" w:rsidRDefault="00B60050" w:rsidP="00B60050">
            <w:pPr>
              <w:rPr>
                <w:sz w:val="20"/>
                <w:szCs w:val="20"/>
              </w:rPr>
            </w:pPr>
          </w:p>
          <w:p w:rsidR="00B60050" w:rsidRPr="003B3977" w:rsidRDefault="00B60050" w:rsidP="00B60050">
            <w:pPr>
              <w:rPr>
                <w:sz w:val="20"/>
                <w:szCs w:val="20"/>
              </w:rPr>
            </w:pPr>
            <w:r w:rsidRPr="003B3977">
              <w:rPr>
                <w:sz w:val="20"/>
                <w:szCs w:val="20"/>
              </w:rPr>
              <w:t>(</w:t>
            </w:r>
            <w:r>
              <w:rPr>
                <w:sz w:val="20"/>
                <w:szCs w:val="20"/>
              </w:rPr>
              <w:t>By Leave</w:t>
            </w:r>
            <w:r w:rsidRPr="003B3977">
              <w:rPr>
                <w:sz w:val="20"/>
                <w:szCs w:val="20"/>
              </w:rPr>
              <w:t>)</w:t>
            </w:r>
          </w:p>
          <w:p w:rsidR="00802863" w:rsidRPr="00C50A5C" w:rsidRDefault="00802863" w:rsidP="00697C62">
            <w:pPr>
              <w:rPr>
                <w:sz w:val="20"/>
                <w:szCs w:val="20"/>
              </w:rPr>
            </w:pPr>
          </w:p>
          <w:p w:rsidR="00802863" w:rsidRPr="00C50A5C" w:rsidRDefault="001557DD" w:rsidP="00697C62">
            <w:pPr>
              <w:rPr>
                <w:sz w:val="20"/>
                <w:szCs w:val="20"/>
                <w:lang w:val="fr-CA"/>
              </w:rPr>
            </w:pPr>
            <w:r w:rsidRPr="001557DD">
              <w:rPr>
                <w:sz w:val="20"/>
                <w:szCs w:val="20"/>
                <w:lang w:val="fr-CA"/>
              </w:rPr>
              <w:pict>
                <v:rect id="_x0000_i1049"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lang w:val="fr-CA"/>
              </w:rPr>
            </w:pP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D66BAA"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2B1AA7" w:rsidP="00AF1715">
      <w:pPr>
        <w:rPr>
          <w:b/>
          <w:sz w:val="20"/>
          <w:szCs w:val="20"/>
        </w:rPr>
      </w:pPr>
      <w:r>
        <w:rPr>
          <w:b/>
          <w:sz w:val="20"/>
          <w:szCs w:val="20"/>
        </w:rPr>
        <w:t>JULY 21</w:t>
      </w:r>
      <w:r w:rsidR="00AF1715" w:rsidRPr="003B3977">
        <w:rPr>
          <w:b/>
          <w:sz w:val="20"/>
          <w:szCs w:val="20"/>
        </w:rPr>
        <w:t>, 201</w:t>
      </w:r>
      <w:r>
        <w:rPr>
          <w:b/>
          <w:sz w:val="20"/>
          <w:szCs w:val="20"/>
        </w:rPr>
        <w:t>1</w:t>
      </w:r>
      <w:r w:rsidR="00AF1715" w:rsidRPr="003B3977">
        <w:rPr>
          <w:b/>
          <w:sz w:val="20"/>
          <w:szCs w:val="20"/>
        </w:rPr>
        <w:t xml:space="preserve"> / LE </w:t>
      </w:r>
      <w:r>
        <w:rPr>
          <w:b/>
          <w:sz w:val="20"/>
          <w:szCs w:val="20"/>
        </w:rPr>
        <w:t>21 JUILLET</w:t>
      </w:r>
      <w:r w:rsidR="00AF1715" w:rsidRPr="003B3977">
        <w:rPr>
          <w:b/>
          <w:sz w:val="20"/>
          <w:szCs w:val="20"/>
        </w:rPr>
        <w:t xml:space="preserve"> 201</w:t>
      </w:r>
      <w:r>
        <w:rPr>
          <w:b/>
          <w:sz w:val="20"/>
          <w:szCs w:val="20"/>
        </w:rPr>
        <w:t>1</w:t>
      </w:r>
    </w:p>
    <w:p w:rsidR="00AF1715" w:rsidRDefault="00AF1715" w:rsidP="00AF1715">
      <w:pPr>
        <w:rPr>
          <w:sz w:val="20"/>
          <w:szCs w:val="20"/>
        </w:rPr>
      </w:pPr>
    </w:p>
    <w:p w:rsidR="00337E90" w:rsidRPr="00D10086" w:rsidRDefault="00337E90" w:rsidP="00337E90">
      <w:pPr>
        <w:ind w:left="1440" w:hanging="1440"/>
        <w:jc w:val="both"/>
        <w:rPr>
          <w:b/>
          <w:sz w:val="20"/>
          <w:szCs w:val="20"/>
        </w:rPr>
      </w:pPr>
      <w:r w:rsidRPr="00D10086">
        <w:rPr>
          <w:b/>
          <w:sz w:val="20"/>
          <w:szCs w:val="20"/>
        </w:rPr>
        <w:t>33340</w:t>
      </w:r>
      <w:r w:rsidRPr="00D10086">
        <w:rPr>
          <w:sz w:val="20"/>
          <w:szCs w:val="20"/>
        </w:rPr>
        <w:tab/>
      </w:r>
      <w:r w:rsidRPr="00D10086">
        <w:rPr>
          <w:b/>
          <w:sz w:val="20"/>
          <w:szCs w:val="20"/>
          <w:u w:val="single"/>
        </w:rPr>
        <w:t xml:space="preserve">Her Majesty the Queen in Right of Alberta (Minister of Aboriginal Affairs and Northern Development) and Registrar, </w:t>
      </w:r>
      <w:proofErr w:type="spellStart"/>
      <w:r w:rsidRPr="00D10086">
        <w:rPr>
          <w:b/>
          <w:sz w:val="20"/>
          <w:szCs w:val="20"/>
          <w:u w:val="single"/>
        </w:rPr>
        <w:t>Metis</w:t>
      </w:r>
      <w:proofErr w:type="spellEnd"/>
      <w:r w:rsidRPr="00D10086">
        <w:rPr>
          <w:b/>
          <w:sz w:val="20"/>
          <w:szCs w:val="20"/>
          <w:u w:val="single"/>
        </w:rPr>
        <w:t xml:space="preserve"> Settlements Land Registry v. Barbara Cunningham, John Kenneth Cunningham, </w:t>
      </w:r>
      <w:proofErr w:type="spellStart"/>
      <w:r w:rsidRPr="00D10086">
        <w:rPr>
          <w:b/>
          <w:sz w:val="20"/>
          <w:szCs w:val="20"/>
          <w:u w:val="single"/>
        </w:rPr>
        <w:t>Lawrent</w:t>
      </w:r>
      <w:proofErr w:type="spellEnd"/>
      <w:r w:rsidRPr="00D10086">
        <w:rPr>
          <w:b/>
          <w:sz w:val="20"/>
          <w:szCs w:val="20"/>
          <w:u w:val="single"/>
        </w:rPr>
        <w:t xml:space="preserve"> (Lawrence) Cunningham, Ralph Cunningham, Lynn </w:t>
      </w:r>
      <w:proofErr w:type="spellStart"/>
      <w:r w:rsidRPr="00D10086">
        <w:rPr>
          <w:b/>
          <w:sz w:val="20"/>
          <w:szCs w:val="20"/>
          <w:u w:val="single"/>
        </w:rPr>
        <w:t>Noskey</w:t>
      </w:r>
      <w:proofErr w:type="spellEnd"/>
      <w:r w:rsidRPr="00D10086">
        <w:rPr>
          <w:b/>
          <w:sz w:val="20"/>
          <w:szCs w:val="20"/>
          <w:u w:val="single"/>
        </w:rPr>
        <w:t xml:space="preserve">, Gordon Cunningham, Roger Cunningham, Ray Stuart and </w:t>
      </w:r>
      <w:proofErr w:type="spellStart"/>
      <w:r w:rsidRPr="00D10086">
        <w:rPr>
          <w:b/>
          <w:sz w:val="20"/>
          <w:szCs w:val="20"/>
          <w:u w:val="single"/>
        </w:rPr>
        <w:t>Peavine</w:t>
      </w:r>
      <w:proofErr w:type="spellEnd"/>
      <w:r w:rsidRPr="00D10086">
        <w:rPr>
          <w:b/>
          <w:sz w:val="20"/>
          <w:szCs w:val="20"/>
          <w:u w:val="single"/>
        </w:rPr>
        <w:t xml:space="preserve"> Métis Settlement – and – Attorney General of Ontario, Attorney General of Quebec, Attorney General for Saskatchewan, East Prairie Métis Settlement, Elizabeth Métis Settlement, Métis Nation of Alberta, Métis National Council, Métis Settlements General Council, Aboriginal Legal Services of Toronto Inc., Women’s Legal Education and Action Fund, Canadian Association for Community Living, Gift Lake Métis Settlement and Native Women’s Association of Canada</w:t>
      </w:r>
      <w:r w:rsidRPr="00D10086">
        <w:rPr>
          <w:b/>
          <w:sz w:val="20"/>
          <w:szCs w:val="20"/>
        </w:rPr>
        <w:t xml:space="preserve"> </w:t>
      </w:r>
      <w:r w:rsidRPr="00D10086">
        <w:rPr>
          <w:sz w:val="20"/>
          <w:szCs w:val="20"/>
        </w:rPr>
        <w:t>(Alta.)</w:t>
      </w:r>
    </w:p>
    <w:p w:rsidR="00337E90" w:rsidRPr="00D10086" w:rsidRDefault="00337E90" w:rsidP="00337E90">
      <w:pPr>
        <w:ind w:left="1440" w:hanging="1440"/>
        <w:jc w:val="both"/>
        <w:rPr>
          <w:b/>
          <w:sz w:val="20"/>
          <w:szCs w:val="20"/>
        </w:rPr>
      </w:pPr>
      <w:r w:rsidRPr="00D10086">
        <w:rPr>
          <w:b/>
          <w:sz w:val="20"/>
          <w:szCs w:val="20"/>
        </w:rPr>
        <w:tab/>
        <w:t>2011 SCC 37 / 2011 CSC 37</w:t>
      </w:r>
    </w:p>
    <w:p w:rsidR="00337E90" w:rsidRPr="00D10086" w:rsidRDefault="00337E90" w:rsidP="00337E90">
      <w:pPr>
        <w:ind w:left="1440" w:hanging="1440"/>
        <w:jc w:val="both"/>
        <w:rPr>
          <w:b/>
          <w:sz w:val="20"/>
          <w:szCs w:val="20"/>
        </w:rPr>
      </w:pPr>
    </w:p>
    <w:p w:rsidR="00337E90" w:rsidRPr="00D10086" w:rsidRDefault="00337E90" w:rsidP="00337E90">
      <w:pPr>
        <w:ind w:left="1440" w:hanging="1440"/>
        <w:jc w:val="both"/>
        <w:rPr>
          <w:sz w:val="20"/>
          <w:szCs w:val="20"/>
        </w:rPr>
      </w:pPr>
      <w:r w:rsidRPr="00D10086">
        <w:rPr>
          <w:sz w:val="20"/>
          <w:szCs w:val="20"/>
        </w:rPr>
        <w:t>Coram:</w:t>
      </w:r>
      <w:r>
        <w:rPr>
          <w:sz w:val="20"/>
          <w:szCs w:val="20"/>
        </w:rPr>
        <w:tab/>
      </w:r>
      <w:proofErr w:type="spellStart"/>
      <w:r w:rsidRPr="00D10086">
        <w:rPr>
          <w:sz w:val="20"/>
          <w:szCs w:val="20"/>
          <w:u w:val="single"/>
        </w:rPr>
        <w:t>McLachlin</w:t>
      </w:r>
      <w:proofErr w:type="spellEnd"/>
      <w:r w:rsidRPr="00D10086">
        <w:rPr>
          <w:sz w:val="20"/>
          <w:szCs w:val="20"/>
          <w:u w:val="single"/>
        </w:rPr>
        <w:t xml:space="preserve"> C.J. and </w:t>
      </w:r>
      <w:proofErr w:type="spellStart"/>
      <w:r w:rsidRPr="00D10086">
        <w:rPr>
          <w:sz w:val="20"/>
          <w:szCs w:val="20"/>
          <w:u w:val="single"/>
        </w:rPr>
        <w:t>Binnie</w:t>
      </w:r>
      <w:proofErr w:type="spellEnd"/>
      <w:r w:rsidRPr="00D10086">
        <w:rPr>
          <w:sz w:val="20"/>
          <w:szCs w:val="20"/>
          <w:u w:val="single"/>
        </w:rPr>
        <w:t xml:space="preserve">, </w:t>
      </w:r>
      <w:proofErr w:type="spellStart"/>
      <w:r w:rsidRPr="00D10086">
        <w:rPr>
          <w:sz w:val="20"/>
          <w:szCs w:val="20"/>
          <w:u w:val="single"/>
        </w:rPr>
        <w:t>LeBel</w:t>
      </w:r>
      <w:proofErr w:type="spellEnd"/>
      <w:r w:rsidRPr="00D10086">
        <w:rPr>
          <w:sz w:val="20"/>
          <w:szCs w:val="20"/>
          <w:u w:val="single"/>
        </w:rPr>
        <w:t xml:space="preserve">, </w:t>
      </w:r>
      <w:proofErr w:type="spellStart"/>
      <w:r w:rsidRPr="00D10086">
        <w:rPr>
          <w:sz w:val="20"/>
          <w:szCs w:val="20"/>
          <w:u w:val="single"/>
        </w:rPr>
        <w:t>Deschamps</w:t>
      </w:r>
      <w:proofErr w:type="spellEnd"/>
      <w:r w:rsidRPr="00D10086">
        <w:rPr>
          <w:sz w:val="20"/>
          <w:szCs w:val="20"/>
          <w:u w:val="single"/>
        </w:rPr>
        <w:t xml:space="preserve">, Fish, </w:t>
      </w:r>
      <w:proofErr w:type="spellStart"/>
      <w:r w:rsidRPr="00D10086">
        <w:rPr>
          <w:sz w:val="20"/>
          <w:szCs w:val="20"/>
          <w:u w:val="single"/>
        </w:rPr>
        <w:t>Abella</w:t>
      </w:r>
      <w:proofErr w:type="spellEnd"/>
      <w:r w:rsidRPr="00D10086">
        <w:rPr>
          <w:sz w:val="20"/>
          <w:szCs w:val="20"/>
          <w:u w:val="single"/>
        </w:rPr>
        <w:t xml:space="preserve">, </w:t>
      </w:r>
      <w:proofErr w:type="spellStart"/>
      <w:r w:rsidRPr="00D10086">
        <w:rPr>
          <w:sz w:val="20"/>
          <w:szCs w:val="20"/>
          <w:u w:val="single"/>
        </w:rPr>
        <w:t>Charron</w:t>
      </w:r>
      <w:proofErr w:type="spellEnd"/>
      <w:r w:rsidRPr="00D10086">
        <w:rPr>
          <w:sz w:val="20"/>
          <w:szCs w:val="20"/>
          <w:u w:val="single"/>
        </w:rPr>
        <w:t>, Rothstein and Cromwell JJ.</w:t>
      </w:r>
    </w:p>
    <w:p w:rsidR="00337E90" w:rsidRPr="00D10086" w:rsidRDefault="00337E90" w:rsidP="00337E9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337E90" w:rsidRPr="00D10086" w:rsidRDefault="00337E90" w:rsidP="00337E90">
      <w:pPr>
        <w:jc w:val="both"/>
        <w:rPr>
          <w:sz w:val="20"/>
          <w:szCs w:val="20"/>
        </w:rPr>
      </w:pPr>
      <w:r w:rsidRPr="00D10086">
        <w:rPr>
          <w:sz w:val="20"/>
          <w:szCs w:val="20"/>
        </w:rPr>
        <w:t xml:space="preserve">The appeal from the judgment </w:t>
      </w:r>
      <w:bookmarkStart w:id="1" w:name="BM_1_"/>
      <w:bookmarkEnd w:id="1"/>
      <w:r w:rsidRPr="00D10086">
        <w:rPr>
          <w:sz w:val="20"/>
          <w:szCs w:val="20"/>
        </w:rPr>
        <w:t xml:space="preserve">of the Court of Appeal of Alberta (Edmonton), Number 0703-0275-AC, </w:t>
      </w:r>
      <w:proofErr w:type="gramStart"/>
      <w:r w:rsidRPr="00D10086">
        <w:rPr>
          <w:sz w:val="20"/>
          <w:szCs w:val="20"/>
        </w:rPr>
        <w:t>2009</w:t>
      </w:r>
      <w:proofErr w:type="gramEnd"/>
      <w:r w:rsidRPr="00D10086">
        <w:rPr>
          <w:sz w:val="20"/>
          <w:szCs w:val="20"/>
        </w:rPr>
        <w:t xml:space="preserve"> ABCA 239, dated June 26, 2009, heard on December 16, 2010, is allowed, the decision of the Court of Appeal set aside and the decision of the chambers judge affirmed.  There is no order of costs.</w:t>
      </w:r>
    </w:p>
    <w:p w:rsidR="00337E90" w:rsidRPr="00D10086" w:rsidRDefault="00337E90" w:rsidP="00337E90">
      <w:pPr>
        <w:rPr>
          <w:sz w:val="20"/>
          <w:szCs w:val="20"/>
        </w:rPr>
      </w:pPr>
    </w:p>
    <w:p w:rsidR="00337E90" w:rsidRPr="00D10086" w:rsidRDefault="00337E90" w:rsidP="00337E90">
      <w:pPr>
        <w:jc w:val="both"/>
        <w:rPr>
          <w:sz w:val="20"/>
          <w:szCs w:val="20"/>
        </w:rPr>
      </w:pPr>
      <w:r w:rsidRPr="00D10086">
        <w:rPr>
          <w:sz w:val="20"/>
          <w:szCs w:val="20"/>
        </w:rPr>
        <w:t>The constitutional questions are answered as follows:</w:t>
      </w:r>
    </w:p>
    <w:p w:rsidR="00C05012" w:rsidRPr="00027BC5" w:rsidRDefault="00C05012" w:rsidP="00C05012">
      <w:pPr>
        <w:jc w:val="both"/>
        <w:rPr>
          <w:rFonts w:eastAsia="Calibri" w:cs="Times New Roman"/>
          <w:sz w:val="20"/>
          <w:szCs w:val="20"/>
        </w:rPr>
      </w:pPr>
    </w:p>
    <w:p w:rsidR="00C05012" w:rsidRPr="00027BC5" w:rsidRDefault="00C05012" w:rsidP="00C05012">
      <w:pPr>
        <w:numPr>
          <w:ilvl w:val="0"/>
          <w:numId w:val="3"/>
        </w:numPr>
        <w:jc w:val="both"/>
        <w:rPr>
          <w:rFonts w:eastAsia="Calibri" w:cs="Times New Roman"/>
          <w:sz w:val="20"/>
          <w:szCs w:val="20"/>
        </w:rPr>
      </w:pPr>
      <w:r w:rsidRPr="00027BC5">
        <w:rPr>
          <w:rFonts w:eastAsia="Calibri" w:cs="Times New Roman"/>
          <w:sz w:val="20"/>
          <w:szCs w:val="20"/>
        </w:rPr>
        <w:t xml:space="preserve">Do ss. 75 and/or 90 of the </w:t>
      </w:r>
      <w:proofErr w:type="spellStart"/>
      <w:r w:rsidRPr="00027BC5">
        <w:rPr>
          <w:rFonts w:eastAsia="Calibri" w:cs="Times New Roman"/>
          <w:i/>
          <w:iCs/>
          <w:sz w:val="20"/>
          <w:szCs w:val="20"/>
        </w:rPr>
        <w:t>Metis</w:t>
      </w:r>
      <w:proofErr w:type="spellEnd"/>
      <w:r w:rsidRPr="00027BC5">
        <w:rPr>
          <w:rFonts w:eastAsia="Calibri" w:cs="Times New Roman"/>
          <w:i/>
          <w:iCs/>
          <w:sz w:val="20"/>
          <w:szCs w:val="20"/>
        </w:rPr>
        <w:t xml:space="preserve"> Settlements Act</w:t>
      </w:r>
      <w:r w:rsidRPr="00027BC5">
        <w:rPr>
          <w:rFonts w:eastAsia="Calibri" w:cs="Times New Roman"/>
          <w:sz w:val="20"/>
          <w:szCs w:val="20"/>
        </w:rPr>
        <w:t xml:space="preserve">, R.S.A. 2000, </w:t>
      </w:r>
      <w:proofErr w:type="gramStart"/>
      <w:r w:rsidRPr="00027BC5">
        <w:rPr>
          <w:rFonts w:eastAsia="Calibri" w:cs="Times New Roman"/>
          <w:sz w:val="20"/>
          <w:szCs w:val="20"/>
        </w:rPr>
        <w:t>c</w:t>
      </w:r>
      <w:proofErr w:type="gramEnd"/>
      <w:r w:rsidRPr="00027BC5">
        <w:rPr>
          <w:rFonts w:eastAsia="Calibri" w:cs="Times New Roman"/>
          <w:sz w:val="20"/>
          <w:szCs w:val="20"/>
        </w:rPr>
        <w:t>. M-14, infringe s. 2(</w:t>
      </w:r>
      <w:r w:rsidRPr="00027BC5">
        <w:rPr>
          <w:rFonts w:eastAsia="Calibri" w:cs="Times New Roman"/>
          <w:i/>
          <w:iCs/>
          <w:sz w:val="20"/>
          <w:szCs w:val="20"/>
        </w:rPr>
        <w:t>d</w:t>
      </w:r>
      <w:r w:rsidRPr="00027BC5">
        <w:rPr>
          <w:rFonts w:eastAsia="Calibri" w:cs="Times New Roman"/>
          <w:sz w:val="20"/>
          <w:szCs w:val="20"/>
        </w:rPr>
        <w:t xml:space="preserve">) of the </w:t>
      </w:r>
      <w:r w:rsidRPr="00027BC5">
        <w:rPr>
          <w:rFonts w:eastAsia="Calibri" w:cs="Times New Roman"/>
          <w:i/>
          <w:iCs/>
          <w:sz w:val="20"/>
          <w:szCs w:val="20"/>
        </w:rPr>
        <w:t>Canadian Charter of Rights and Freedoms</w:t>
      </w:r>
      <w:r w:rsidRPr="00027BC5">
        <w:rPr>
          <w:rFonts w:eastAsia="Calibri" w:cs="Times New Roman"/>
          <w:sz w:val="20"/>
          <w:szCs w:val="20"/>
        </w:rPr>
        <w:t>?</w:t>
      </w:r>
    </w:p>
    <w:p w:rsidR="00C05012" w:rsidRPr="00027BC5" w:rsidRDefault="00C05012" w:rsidP="00C05012">
      <w:pPr>
        <w:jc w:val="both"/>
        <w:rPr>
          <w:rFonts w:eastAsia="Calibri" w:cs="Times New Roman"/>
          <w:sz w:val="20"/>
          <w:szCs w:val="20"/>
        </w:rPr>
      </w:pPr>
    </w:p>
    <w:p w:rsidR="00C05012" w:rsidRPr="00027BC5" w:rsidRDefault="00C05012" w:rsidP="00C05012">
      <w:pPr>
        <w:ind w:left="360"/>
        <w:jc w:val="both"/>
        <w:rPr>
          <w:rFonts w:eastAsia="Calibri" w:cs="Times New Roman"/>
          <w:bCs/>
          <w:sz w:val="20"/>
          <w:szCs w:val="20"/>
        </w:rPr>
      </w:pPr>
      <w:r w:rsidRPr="00027BC5">
        <w:rPr>
          <w:rFonts w:eastAsia="Calibri" w:cs="Times New Roman"/>
          <w:bCs/>
          <w:sz w:val="20"/>
          <w:szCs w:val="20"/>
        </w:rPr>
        <w:t>The record does not provide an adequate basis to assess the claimants’ s. 2(</w:t>
      </w:r>
      <w:r w:rsidRPr="00027BC5">
        <w:rPr>
          <w:rFonts w:eastAsia="Calibri" w:cs="Times New Roman"/>
          <w:bCs/>
          <w:i/>
          <w:iCs/>
          <w:sz w:val="20"/>
          <w:szCs w:val="20"/>
        </w:rPr>
        <w:t>d</w:t>
      </w:r>
      <w:r w:rsidRPr="00027BC5">
        <w:rPr>
          <w:rFonts w:eastAsia="Calibri" w:cs="Times New Roman"/>
          <w:bCs/>
          <w:sz w:val="20"/>
          <w:szCs w:val="20"/>
        </w:rPr>
        <w:t>) argument and the Court therefore declines to answer this question.</w:t>
      </w:r>
    </w:p>
    <w:p w:rsidR="00C05012" w:rsidRPr="00027BC5" w:rsidRDefault="00C05012" w:rsidP="00C05012">
      <w:pPr>
        <w:jc w:val="both"/>
        <w:rPr>
          <w:rFonts w:eastAsia="Calibri" w:cs="Times New Roman"/>
          <w:sz w:val="20"/>
          <w:szCs w:val="20"/>
        </w:rPr>
      </w:pPr>
    </w:p>
    <w:p w:rsidR="00C05012" w:rsidRPr="00027BC5" w:rsidRDefault="00C05012" w:rsidP="00C05012">
      <w:pPr>
        <w:numPr>
          <w:ilvl w:val="0"/>
          <w:numId w:val="3"/>
        </w:numPr>
        <w:jc w:val="both"/>
        <w:rPr>
          <w:rFonts w:eastAsia="Calibri" w:cs="Times New Roman"/>
          <w:sz w:val="20"/>
          <w:szCs w:val="20"/>
        </w:rPr>
      </w:pPr>
      <w:r w:rsidRPr="00027BC5">
        <w:rPr>
          <w:rFonts w:eastAsia="Calibri" w:cs="Times New Roman"/>
          <w:sz w:val="20"/>
          <w:szCs w:val="20"/>
        </w:rPr>
        <w:t xml:space="preserve">If so, is the infringement a reasonable limit prescribed by law as can be demonstrably justified in a free and democratic society under s. 1 of the </w:t>
      </w:r>
      <w:r w:rsidRPr="00027BC5">
        <w:rPr>
          <w:rFonts w:eastAsia="Calibri" w:cs="Times New Roman"/>
          <w:i/>
          <w:iCs/>
          <w:sz w:val="20"/>
          <w:szCs w:val="20"/>
        </w:rPr>
        <w:t>Canadian Charter of Rights and Freedoms?</w:t>
      </w:r>
    </w:p>
    <w:p w:rsidR="00C05012" w:rsidRPr="00027BC5" w:rsidRDefault="00C05012" w:rsidP="00C05012">
      <w:pPr>
        <w:ind w:left="360"/>
        <w:jc w:val="both"/>
        <w:rPr>
          <w:rFonts w:eastAsia="Calibri" w:cs="Times New Roman"/>
          <w:sz w:val="20"/>
          <w:szCs w:val="20"/>
        </w:rPr>
      </w:pPr>
    </w:p>
    <w:p w:rsidR="00C05012" w:rsidRPr="00027BC5" w:rsidRDefault="00C05012" w:rsidP="00C05012">
      <w:pPr>
        <w:ind w:left="360"/>
        <w:jc w:val="both"/>
        <w:rPr>
          <w:rFonts w:eastAsia="Calibri" w:cs="Times New Roman"/>
          <w:sz w:val="20"/>
          <w:szCs w:val="20"/>
        </w:rPr>
      </w:pPr>
      <w:r w:rsidRPr="00027BC5">
        <w:rPr>
          <w:rFonts w:eastAsia="Calibri" w:cs="Times New Roman"/>
          <w:sz w:val="20"/>
          <w:szCs w:val="20"/>
        </w:rPr>
        <w:t>It is not necessary to answer this question.</w:t>
      </w:r>
    </w:p>
    <w:p w:rsidR="00C05012" w:rsidRPr="00027BC5" w:rsidRDefault="00C05012" w:rsidP="00C05012">
      <w:pPr>
        <w:jc w:val="both"/>
        <w:rPr>
          <w:rFonts w:eastAsia="Calibri" w:cs="Times New Roman"/>
          <w:sz w:val="20"/>
          <w:szCs w:val="20"/>
        </w:rPr>
      </w:pPr>
    </w:p>
    <w:p w:rsidR="00C05012" w:rsidRPr="00027BC5" w:rsidRDefault="00C05012" w:rsidP="00C05012">
      <w:pPr>
        <w:numPr>
          <w:ilvl w:val="0"/>
          <w:numId w:val="3"/>
        </w:numPr>
        <w:jc w:val="both"/>
        <w:rPr>
          <w:rFonts w:eastAsia="Calibri" w:cs="Times New Roman"/>
          <w:sz w:val="20"/>
          <w:szCs w:val="20"/>
        </w:rPr>
      </w:pPr>
      <w:r w:rsidRPr="00027BC5">
        <w:rPr>
          <w:rFonts w:eastAsia="Calibri" w:cs="Times New Roman"/>
          <w:sz w:val="20"/>
          <w:szCs w:val="20"/>
        </w:rPr>
        <w:t xml:space="preserve">Do ss. 75 and/or 90 of the </w:t>
      </w:r>
      <w:proofErr w:type="spellStart"/>
      <w:r w:rsidRPr="00027BC5">
        <w:rPr>
          <w:rFonts w:eastAsia="Calibri" w:cs="Times New Roman"/>
          <w:i/>
          <w:iCs/>
          <w:sz w:val="20"/>
          <w:szCs w:val="20"/>
        </w:rPr>
        <w:t>Metis</w:t>
      </w:r>
      <w:proofErr w:type="spellEnd"/>
      <w:r w:rsidRPr="00027BC5">
        <w:rPr>
          <w:rFonts w:eastAsia="Calibri" w:cs="Times New Roman"/>
          <w:i/>
          <w:iCs/>
          <w:sz w:val="20"/>
          <w:szCs w:val="20"/>
        </w:rPr>
        <w:t xml:space="preserve"> Settlements Act</w:t>
      </w:r>
      <w:r w:rsidRPr="00027BC5">
        <w:rPr>
          <w:rFonts w:eastAsia="Calibri" w:cs="Times New Roman"/>
          <w:sz w:val="20"/>
          <w:szCs w:val="20"/>
        </w:rPr>
        <w:t xml:space="preserve">, R.S.A. 2000, </w:t>
      </w:r>
      <w:proofErr w:type="gramStart"/>
      <w:r w:rsidRPr="00027BC5">
        <w:rPr>
          <w:rFonts w:eastAsia="Calibri" w:cs="Times New Roman"/>
          <w:sz w:val="20"/>
          <w:szCs w:val="20"/>
        </w:rPr>
        <w:t>c</w:t>
      </w:r>
      <w:proofErr w:type="gramEnd"/>
      <w:r w:rsidRPr="00027BC5">
        <w:rPr>
          <w:rFonts w:eastAsia="Calibri" w:cs="Times New Roman"/>
          <w:sz w:val="20"/>
          <w:szCs w:val="20"/>
        </w:rPr>
        <w:t xml:space="preserve">. M-14, infringe s. 7 of the </w:t>
      </w:r>
      <w:r w:rsidRPr="00027BC5">
        <w:rPr>
          <w:rFonts w:eastAsia="Calibri" w:cs="Times New Roman"/>
          <w:i/>
          <w:iCs/>
          <w:sz w:val="20"/>
          <w:szCs w:val="20"/>
        </w:rPr>
        <w:t>Canadian Charter of Rights and Freedoms</w:t>
      </w:r>
      <w:r w:rsidRPr="00027BC5">
        <w:rPr>
          <w:rFonts w:eastAsia="Calibri" w:cs="Times New Roman"/>
          <w:sz w:val="20"/>
          <w:szCs w:val="20"/>
        </w:rPr>
        <w:t>?</w:t>
      </w:r>
    </w:p>
    <w:p w:rsidR="00C05012" w:rsidRPr="00027BC5" w:rsidRDefault="00C05012" w:rsidP="00C05012">
      <w:pPr>
        <w:ind w:left="360"/>
        <w:jc w:val="both"/>
        <w:rPr>
          <w:rFonts w:eastAsia="Calibri" w:cs="Times New Roman"/>
          <w:sz w:val="20"/>
          <w:szCs w:val="20"/>
        </w:rPr>
      </w:pPr>
    </w:p>
    <w:p w:rsidR="00C05012" w:rsidRPr="00027BC5" w:rsidRDefault="00C05012" w:rsidP="00C05012">
      <w:pPr>
        <w:ind w:left="360"/>
        <w:jc w:val="both"/>
        <w:rPr>
          <w:rFonts w:eastAsia="Calibri" w:cs="Times New Roman"/>
          <w:sz w:val="20"/>
          <w:szCs w:val="20"/>
        </w:rPr>
      </w:pPr>
      <w:r w:rsidRPr="00027BC5">
        <w:rPr>
          <w:rFonts w:eastAsia="Calibri" w:cs="Times New Roman"/>
          <w:sz w:val="20"/>
          <w:szCs w:val="20"/>
        </w:rPr>
        <w:t>No.</w:t>
      </w:r>
    </w:p>
    <w:p w:rsidR="00C05012" w:rsidRPr="00027BC5" w:rsidRDefault="00C05012" w:rsidP="00C05012">
      <w:pPr>
        <w:jc w:val="both"/>
        <w:rPr>
          <w:rFonts w:eastAsia="Calibri" w:cs="Times New Roman"/>
          <w:sz w:val="20"/>
          <w:szCs w:val="20"/>
        </w:rPr>
      </w:pPr>
    </w:p>
    <w:p w:rsidR="00C05012" w:rsidRPr="00027BC5" w:rsidRDefault="00C05012" w:rsidP="00C05012">
      <w:pPr>
        <w:numPr>
          <w:ilvl w:val="0"/>
          <w:numId w:val="3"/>
        </w:numPr>
        <w:jc w:val="both"/>
        <w:rPr>
          <w:rFonts w:eastAsia="Calibri" w:cs="Times New Roman"/>
          <w:sz w:val="20"/>
          <w:szCs w:val="20"/>
        </w:rPr>
      </w:pPr>
      <w:r w:rsidRPr="00027BC5">
        <w:rPr>
          <w:rFonts w:eastAsia="Calibri" w:cs="Times New Roman"/>
          <w:sz w:val="20"/>
          <w:szCs w:val="20"/>
        </w:rPr>
        <w:t xml:space="preserve">If so, is the infringement a reasonable limit prescribed by law as can be demonstrably justified in a free and democratic society under s. 1 of the </w:t>
      </w:r>
      <w:r w:rsidRPr="00027BC5">
        <w:rPr>
          <w:rFonts w:eastAsia="Calibri" w:cs="Times New Roman"/>
          <w:i/>
          <w:iCs/>
          <w:sz w:val="20"/>
          <w:szCs w:val="20"/>
        </w:rPr>
        <w:t>Canadian Charter of Rights and Freedoms</w:t>
      </w:r>
      <w:r w:rsidRPr="00027BC5">
        <w:rPr>
          <w:rFonts w:eastAsia="Calibri" w:cs="Times New Roman"/>
          <w:sz w:val="20"/>
          <w:szCs w:val="20"/>
        </w:rPr>
        <w:t>?</w:t>
      </w:r>
    </w:p>
    <w:p w:rsidR="00C05012" w:rsidRPr="00027BC5" w:rsidRDefault="00C05012" w:rsidP="00C05012">
      <w:pPr>
        <w:ind w:left="360"/>
        <w:jc w:val="both"/>
        <w:rPr>
          <w:rFonts w:eastAsia="Calibri" w:cs="Times New Roman"/>
          <w:sz w:val="20"/>
          <w:szCs w:val="20"/>
        </w:rPr>
      </w:pPr>
    </w:p>
    <w:p w:rsidR="00C05012" w:rsidRPr="00027BC5" w:rsidRDefault="00C05012" w:rsidP="00C05012">
      <w:pPr>
        <w:ind w:left="360"/>
        <w:jc w:val="both"/>
        <w:rPr>
          <w:rFonts w:eastAsia="Calibri" w:cs="Times New Roman"/>
          <w:sz w:val="20"/>
          <w:szCs w:val="20"/>
        </w:rPr>
      </w:pPr>
      <w:r w:rsidRPr="00027BC5">
        <w:rPr>
          <w:rFonts w:eastAsia="Calibri" w:cs="Times New Roman"/>
          <w:sz w:val="20"/>
          <w:szCs w:val="20"/>
        </w:rPr>
        <w:t>It is not necessary to answer this question.</w:t>
      </w:r>
    </w:p>
    <w:p w:rsidR="00C05012" w:rsidRPr="00027BC5" w:rsidRDefault="00C05012" w:rsidP="00C05012">
      <w:pPr>
        <w:jc w:val="both"/>
        <w:rPr>
          <w:rFonts w:eastAsia="Calibri" w:cs="Times New Roman"/>
          <w:sz w:val="20"/>
          <w:szCs w:val="20"/>
        </w:rPr>
      </w:pPr>
    </w:p>
    <w:p w:rsidR="00C05012" w:rsidRPr="00027BC5" w:rsidRDefault="00C05012" w:rsidP="00C05012">
      <w:pPr>
        <w:numPr>
          <w:ilvl w:val="0"/>
          <w:numId w:val="3"/>
        </w:numPr>
        <w:jc w:val="both"/>
        <w:rPr>
          <w:rFonts w:eastAsia="Calibri" w:cs="Times New Roman"/>
          <w:sz w:val="20"/>
          <w:szCs w:val="20"/>
        </w:rPr>
      </w:pPr>
      <w:r w:rsidRPr="00027BC5">
        <w:rPr>
          <w:rFonts w:eastAsia="Calibri" w:cs="Times New Roman"/>
          <w:sz w:val="20"/>
          <w:szCs w:val="20"/>
        </w:rPr>
        <w:t xml:space="preserve">Do ss. 75 and/or 90 of the </w:t>
      </w:r>
      <w:proofErr w:type="spellStart"/>
      <w:r w:rsidRPr="00027BC5">
        <w:rPr>
          <w:rFonts w:eastAsia="Calibri" w:cs="Times New Roman"/>
          <w:i/>
          <w:iCs/>
          <w:sz w:val="20"/>
          <w:szCs w:val="20"/>
        </w:rPr>
        <w:t>Metis</w:t>
      </w:r>
      <w:proofErr w:type="spellEnd"/>
      <w:r w:rsidRPr="00027BC5">
        <w:rPr>
          <w:rFonts w:eastAsia="Calibri" w:cs="Times New Roman"/>
          <w:i/>
          <w:iCs/>
          <w:sz w:val="20"/>
          <w:szCs w:val="20"/>
        </w:rPr>
        <w:t xml:space="preserve"> Settlements Act</w:t>
      </w:r>
      <w:r w:rsidRPr="00027BC5">
        <w:rPr>
          <w:rFonts w:eastAsia="Calibri" w:cs="Times New Roman"/>
          <w:sz w:val="20"/>
          <w:szCs w:val="20"/>
        </w:rPr>
        <w:t xml:space="preserve">, R.S.A. 2000, </w:t>
      </w:r>
      <w:proofErr w:type="gramStart"/>
      <w:r w:rsidRPr="00027BC5">
        <w:rPr>
          <w:rFonts w:eastAsia="Calibri" w:cs="Times New Roman"/>
          <w:sz w:val="20"/>
          <w:szCs w:val="20"/>
        </w:rPr>
        <w:t>c</w:t>
      </w:r>
      <w:proofErr w:type="gramEnd"/>
      <w:r w:rsidRPr="00027BC5">
        <w:rPr>
          <w:rFonts w:eastAsia="Calibri" w:cs="Times New Roman"/>
          <w:sz w:val="20"/>
          <w:szCs w:val="20"/>
        </w:rPr>
        <w:t xml:space="preserve">. M-14, infringe s. 15 of the </w:t>
      </w:r>
      <w:r w:rsidRPr="00027BC5">
        <w:rPr>
          <w:rFonts w:eastAsia="Calibri" w:cs="Times New Roman"/>
          <w:i/>
          <w:iCs/>
          <w:sz w:val="20"/>
          <w:szCs w:val="20"/>
        </w:rPr>
        <w:t>Canadian Charter of Rights and Freedoms</w:t>
      </w:r>
      <w:r w:rsidRPr="00027BC5">
        <w:rPr>
          <w:rFonts w:eastAsia="Calibri" w:cs="Times New Roman"/>
          <w:sz w:val="20"/>
          <w:szCs w:val="20"/>
        </w:rPr>
        <w:t>?</w:t>
      </w:r>
    </w:p>
    <w:p w:rsidR="00C05012" w:rsidRPr="00027BC5" w:rsidRDefault="00C05012" w:rsidP="00C05012">
      <w:pPr>
        <w:ind w:left="360"/>
        <w:jc w:val="both"/>
        <w:rPr>
          <w:rFonts w:eastAsia="Calibri" w:cs="Times New Roman"/>
          <w:sz w:val="20"/>
          <w:szCs w:val="20"/>
        </w:rPr>
      </w:pPr>
    </w:p>
    <w:p w:rsidR="00C05012" w:rsidRDefault="00C05012" w:rsidP="00C05012">
      <w:pPr>
        <w:ind w:left="360"/>
        <w:jc w:val="both"/>
        <w:rPr>
          <w:sz w:val="20"/>
          <w:szCs w:val="20"/>
          <w:lang w:val="fr-CA"/>
        </w:rPr>
      </w:pPr>
      <w:r w:rsidRPr="00027BC5">
        <w:rPr>
          <w:rFonts w:eastAsia="Calibri" w:cs="Times New Roman"/>
          <w:sz w:val="20"/>
          <w:szCs w:val="20"/>
          <w:lang w:val="fr-CA"/>
        </w:rPr>
        <w:t>No.</w:t>
      </w:r>
    </w:p>
    <w:p w:rsidR="00C05012" w:rsidRPr="00027BC5" w:rsidRDefault="00C05012" w:rsidP="00C05012">
      <w:pPr>
        <w:ind w:left="360"/>
        <w:jc w:val="both"/>
        <w:rPr>
          <w:rFonts w:eastAsia="Calibri" w:cs="Times New Roman"/>
          <w:sz w:val="20"/>
          <w:szCs w:val="20"/>
          <w:lang w:val="fr-CA"/>
        </w:rPr>
      </w:pPr>
    </w:p>
    <w:p w:rsidR="00C05012" w:rsidRDefault="00C05012">
      <w:pPr>
        <w:rPr>
          <w:sz w:val="20"/>
          <w:szCs w:val="20"/>
          <w:lang w:val="fr-CA"/>
        </w:rPr>
      </w:pPr>
      <w:r>
        <w:rPr>
          <w:sz w:val="20"/>
          <w:szCs w:val="20"/>
          <w:lang w:val="fr-CA"/>
        </w:rPr>
        <w:br w:type="page"/>
      </w:r>
    </w:p>
    <w:p w:rsidR="00C05012" w:rsidRPr="00027BC5" w:rsidRDefault="00C05012" w:rsidP="00C05012">
      <w:pPr>
        <w:numPr>
          <w:ilvl w:val="0"/>
          <w:numId w:val="3"/>
        </w:numPr>
        <w:jc w:val="both"/>
        <w:rPr>
          <w:rFonts w:eastAsia="Calibri" w:cs="Times New Roman"/>
          <w:sz w:val="20"/>
          <w:szCs w:val="20"/>
        </w:rPr>
      </w:pPr>
      <w:r w:rsidRPr="00027BC5">
        <w:rPr>
          <w:rFonts w:eastAsia="Calibri" w:cs="Times New Roman"/>
          <w:sz w:val="20"/>
          <w:szCs w:val="20"/>
        </w:rPr>
        <w:lastRenderedPageBreak/>
        <w:t xml:space="preserve">If so, is the infringement a reasonable limit prescribed by law as can be demonstrably justified in a free and democratic society under s. 1 of the </w:t>
      </w:r>
      <w:r w:rsidRPr="00027BC5">
        <w:rPr>
          <w:rFonts w:eastAsia="Calibri" w:cs="Times New Roman"/>
          <w:i/>
          <w:iCs/>
          <w:sz w:val="20"/>
          <w:szCs w:val="20"/>
        </w:rPr>
        <w:t>Canadian Charter of Rights and Freedom</w:t>
      </w:r>
      <w:r w:rsidRPr="00027BC5">
        <w:rPr>
          <w:rFonts w:eastAsia="Calibri" w:cs="Times New Roman"/>
          <w:sz w:val="20"/>
          <w:szCs w:val="20"/>
        </w:rPr>
        <w:t>s?</w:t>
      </w:r>
    </w:p>
    <w:p w:rsidR="00C05012" w:rsidRPr="00027BC5" w:rsidRDefault="00C05012" w:rsidP="00C05012">
      <w:pPr>
        <w:ind w:left="360"/>
        <w:jc w:val="both"/>
        <w:rPr>
          <w:rFonts w:eastAsia="Calibri" w:cs="Times New Roman"/>
          <w:sz w:val="20"/>
          <w:szCs w:val="20"/>
        </w:rPr>
      </w:pPr>
    </w:p>
    <w:p w:rsidR="00C05012" w:rsidRDefault="00C05012" w:rsidP="00C05012">
      <w:pPr>
        <w:ind w:left="360"/>
        <w:jc w:val="both"/>
        <w:rPr>
          <w:sz w:val="20"/>
          <w:szCs w:val="20"/>
        </w:rPr>
      </w:pPr>
      <w:r w:rsidRPr="00027BC5">
        <w:rPr>
          <w:rFonts w:eastAsia="Calibri" w:cs="Times New Roman"/>
          <w:sz w:val="20"/>
          <w:szCs w:val="20"/>
        </w:rPr>
        <w:t>It is not necessary to answer this question.</w:t>
      </w:r>
    </w:p>
    <w:p w:rsidR="00C05012" w:rsidRPr="00027BC5" w:rsidRDefault="00C05012" w:rsidP="00C05012">
      <w:pPr>
        <w:ind w:left="360"/>
        <w:jc w:val="both"/>
        <w:rPr>
          <w:rFonts w:eastAsia="Calibri" w:cs="Times New Roman"/>
          <w:sz w:val="20"/>
          <w:szCs w:val="20"/>
        </w:rPr>
      </w:pPr>
    </w:p>
    <w:p w:rsidR="00337E90" w:rsidRPr="00C05012" w:rsidRDefault="00337E90" w:rsidP="00337E90">
      <w:pPr>
        <w:ind w:left="360"/>
        <w:jc w:val="both"/>
        <w:rPr>
          <w:sz w:val="20"/>
          <w:szCs w:val="20"/>
        </w:rPr>
      </w:pPr>
    </w:p>
    <w:p w:rsidR="00337E90" w:rsidRPr="00C05012" w:rsidRDefault="00337E90" w:rsidP="00337E90">
      <w:pPr>
        <w:ind w:left="360"/>
        <w:jc w:val="both"/>
        <w:rPr>
          <w:sz w:val="20"/>
          <w:szCs w:val="20"/>
        </w:rPr>
      </w:pPr>
    </w:p>
    <w:p w:rsidR="00337E90" w:rsidRPr="00D10086" w:rsidRDefault="00337E90" w:rsidP="00337E90">
      <w:pPr>
        <w:jc w:val="both"/>
        <w:rPr>
          <w:sz w:val="20"/>
          <w:szCs w:val="20"/>
          <w:lang w:val="fr-CA"/>
        </w:rPr>
      </w:pPr>
      <w:r w:rsidRPr="00D10086">
        <w:rPr>
          <w:sz w:val="20"/>
          <w:szCs w:val="20"/>
          <w:lang w:val="fr-CA"/>
        </w:rPr>
        <w:t>L’appel interjeté contre l’arrêt de la Cour d’appel de l’Alberta (Edmonton), numéro 0703-0275-AC, 2009 ABCA 239, en date du 26 juin 2009, entendu le 16 décembre 2010, est accueilli, l’arrêt de la Cour d’appel est infirmé et la décision de la juge en cabinet est confirmée.  Il n’y a aucune ordonnance quant aux dépens.</w:t>
      </w:r>
    </w:p>
    <w:p w:rsidR="00337E90" w:rsidRPr="00D10086" w:rsidRDefault="00337E90" w:rsidP="00337E90">
      <w:pPr>
        <w:jc w:val="center"/>
        <w:rPr>
          <w:sz w:val="20"/>
          <w:szCs w:val="20"/>
          <w:lang w:val="fr-CA"/>
        </w:rPr>
      </w:pPr>
    </w:p>
    <w:p w:rsidR="00337E90" w:rsidRPr="00D10086" w:rsidRDefault="00337E90" w:rsidP="00337E90">
      <w:pPr>
        <w:jc w:val="both"/>
        <w:rPr>
          <w:sz w:val="20"/>
          <w:szCs w:val="20"/>
          <w:lang w:val="fr-CA"/>
        </w:rPr>
      </w:pPr>
      <w:r w:rsidRPr="00D10086">
        <w:rPr>
          <w:sz w:val="20"/>
          <w:szCs w:val="20"/>
          <w:lang w:val="fr-CA"/>
        </w:rPr>
        <w:t>Les réponses constitutionnelles reçoivent les réponses suivantes :</w:t>
      </w:r>
    </w:p>
    <w:p w:rsidR="00337E90" w:rsidRDefault="00337E90" w:rsidP="00337E90">
      <w:pPr>
        <w:rPr>
          <w:sz w:val="20"/>
          <w:szCs w:val="20"/>
          <w:lang w:val="fr-CA"/>
        </w:rPr>
      </w:pPr>
    </w:p>
    <w:p w:rsidR="00C05012" w:rsidRPr="00027BC5" w:rsidRDefault="00C05012" w:rsidP="00C05012">
      <w:pPr>
        <w:pStyle w:val="ListParagraph"/>
        <w:numPr>
          <w:ilvl w:val="0"/>
          <w:numId w:val="4"/>
        </w:numPr>
        <w:jc w:val="both"/>
        <w:rPr>
          <w:rFonts w:eastAsia="Calibri" w:cs="Times New Roman"/>
          <w:sz w:val="20"/>
          <w:szCs w:val="20"/>
          <w:lang w:val="fr-CA"/>
        </w:rPr>
      </w:pPr>
      <w:r w:rsidRPr="00027BC5">
        <w:rPr>
          <w:rFonts w:eastAsia="Calibri" w:cs="Times New Roman"/>
          <w:sz w:val="20"/>
          <w:szCs w:val="20"/>
          <w:lang w:val="fr-CA"/>
        </w:rPr>
        <w:t xml:space="preserve">Est-ce que l’art. 75 ou l’art. 90 de la loi intitulée </w:t>
      </w:r>
      <w:proofErr w:type="spellStart"/>
      <w:r w:rsidRPr="00027BC5">
        <w:rPr>
          <w:rFonts w:eastAsia="Calibri" w:cs="Times New Roman"/>
          <w:i/>
          <w:iCs/>
          <w:sz w:val="20"/>
          <w:szCs w:val="20"/>
          <w:lang w:val="fr-CA"/>
        </w:rPr>
        <w:t>Metis</w:t>
      </w:r>
      <w:proofErr w:type="spellEnd"/>
      <w:r w:rsidRPr="00027BC5">
        <w:rPr>
          <w:rFonts w:eastAsia="Calibri" w:cs="Times New Roman"/>
          <w:i/>
          <w:iCs/>
          <w:sz w:val="20"/>
          <w:szCs w:val="20"/>
          <w:lang w:val="fr-CA"/>
        </w:rPr>
        <w:t xml:space="preserve"> </w:t>
      </w:r>
      <w:proofErr w:type="spellStart"/>
      <w:r w:rsidRPr="00027BC5">
        <w:rPr>
          <w:rFonts w:eastAsia="Calibri" w:cs="Times New Roman"/>
          <w:i/>
          <w:iCs/>
          <w:sz w:val="20"/>
          <w:szCs w:val="20"/>
          <w:lang w:val="fr-CA"/>
        </w:rPr>
        <w:t>Settlements</w:t>
      </w:r>
      <w:proofErr w:type="spellEnd"/>
      <w:r w:rsidRPr="00027BC5">
        <w:rPr>
          <w:rFonts w:eastAsia="Calibri" w:cs="Times New Roman"/>
          <w:i/>
          <w:iCs/>
          <w:sz w:val="20"/>
          <w:szCs w:val="20"/>
          <w:lang w:val="fr-CA"/>
        </w:rPr>
        <w:t xml:space="preserve"> </w:t>
      </w:r>
      <w:proofErr w:type="spellStart"/>
      <w:r w:rsidRPr="00027BC5">
        <w:rPr>
          <w:rFonts w:eastAsia="Calibri" w:cs="Times New Roman"/>
          <w:i/>
          <w:iCs/>
          <w:sz w:val="20"/>
          <w:szCs w:val="20"/>
          <w:lang w:val="fr-CA"/>
        </w:rPr>
        <w:t>Act</w:t>
      </w:r>
      <w:proofErr w:type="spellEnd"/>
      <w:r w:rsidRPr="00027BC5">
        <w:rPr>
          <w:rFonts w:eastAsia="Calibri" w:cs="Times New Roman"/>
          <w:sz w:val="20"/>
          <w:szCs w:val="20"/>
          <w:lang w:val="fr-CA"/>
        </w:rPr>
        <w:t>, R.S.A. 2000, ch. M-14, ou ces deux articles, violent l’al. 2</w:t>
      </w:r>
      <w:r w:rsidRPr="00027BC5">
        <w:rPr>
          <w:rFonts w:eastAsia="Calibri" w:cs="Times New Roman"/>
          <w:i/>
          <w:sz w:val="20"/>
          <w:szCs w:val="20"/>
          <w:lang w:val="fr-CA"/>
        </w:rPr>
        <w:t>d</w:t>
      </w:r>
      <w:r w:rsidRPr="00027BC5">
        <w:rPr>
          <w:rFonts w:eastAsia="Calibri" w:cs="Times New Roman"/>
          <w:sz w:val="20"/>
          <w:szCs w:val="20"/>
          <w:lang w:val="fr-CA"/>
        </w:rPr>
        <w:t>) de la </w:t>
      </w:r>
      <w:r w:rsidRPr="00027BC5">
        <w:rPr>
          <w:rFonts w:eastAsia="Calibri" w:cs="Times New Roman"/>
          <w:i/>
          <w:iCs/>
          <w:sz w:val="20"/>
          <w:szCs w:val="20"/>
          <w:lang w:val="fr-CA"/>
        </w:rPr>
        <w:t>Charte canadienne des droits et libertés</w:t>
      </w:r>
      <w:r w:rsidRPr="00027BC5">
        <w:rPr>
          <w:rFonts w:eastAsia="Calibri" w:cs="Times New Roman"/>
          <w:sz w:val="20"/>
          <w:szCs w:val="20"/>
          <w:lang w:val="fr-CA"/>
        </w:rPr>
        <w:t>?</w:t>
      </w:r>
    </w:p>
    <w:p w:rsidR="00C05012" w:rsidRPr="00027BC5" w:rsidRDefault="00C05012" w:rsidP="00C05012">
      <w:pPr>
        <w:pStyle w:val="ListParagraph"/>
        <w:ind w:left="360"/>
        <w:jc w:val="both"/>
        <w:rPr>
          <w:rFonts w:eastAsia="Calibri" w:cs="Times New Roman"/>
          <w:sz w:val="20"/>
          <w:szCs w:val="20"/>
          <w:lang w:val="fr-CA"/>
        </w:rPr>
      </w:pPr>
    </w:p>
    <w:p w:rsidR="00C05012" w:rsidRPr="00027BC5" w:rsidRDefault="00C05012" w:rsidP="00C05012">
      <w:pPr>
        <w:pStyle w:val="ListParagraph"/>
        <w:ind w:left="360"/>
        <w:jc w:val="both"/>
        <w:rPr>
          <w:rFonts w:eastAsia="Calibri" w:cs="Times New Roman"/>
          <w:sz w:val="20"/>
          <w:szCs w:val="20"/>
          <w:lang w:val="fr-CA"/>
        </w:rPr>
      </w:pPr>
      <w:r w:rsidRPr="00027BC5">
        <w:rPr>
          <w:rFonts w:eastAsia="Calibri" w:cs="Times New Roman"/>
          <w:sz w:val="20"/>
          <w:szCs w:val="20"/>
          <w:lang w:val="fr-CA"/>
        </w:rPr>
        <w:t>Le dossier ne fournit pas le fondement nécessaire à l’examen de l’allégation des demandeurs relative à l’al. 2</w:t>
      </w:r>
      <w:r w:rsidRPr="00027BC5">
        <w:rPr>
          <w:rFonts w:eastAsia="Calibri" w:cs="Times New Roman"/>
          <w:i/>
          <w:sz w:val="20"/>
          <w:szCs w:val="20"/>
          <w:lang w:val="fr-CA"/>
        </w:rPr>
        <w:t>d</w:t>
      </w:r>
      <w:r w:rsidRPr="00027BC5">
        <w:rPr>
          <w:rFonts w:eastAsia="Calibri" w:cs="Times New Roman"/>
          <w:sz w:val="20"/>
          <w:szCs w:val="20"/>
          <w:lang w:val="fr-CA"/>
        </w:rPr>
        <w:t>); la Cour refuse donc de répondre à cette question.</w:t>
      </w:r>
    </w:p>
    <w:p w:rsidR="00C05012" w:rsidRPr="00027BC5" w:rsidRDefault="00C05012" w:rsidP="00C05012">
      <w:pPr>
        <w:jc w:val="both"/>
        <w:rPr>
          <w:rFonts w:eastAsia="Calibri" w:cs="Times New Roman"/>
          <w:sz w:val="20"/>
          <w:szCs w:val="20"/>
          <w:lang w:val="fr-CA"/>
        </w:rPr>
      </w:pPr>
    </w:p>
    <w:p w:rsidR="00C05012" w:rsidRPr="00027BC5" w:rsidRDefault="00C05012" w:rsidP="00C05012">
      <w:pPr>
        <w:pStyle w:val="ListParagraph"/>
        <w:numPr>
          <w:ilvl w:val="0"/>
          <w:numId w:val="4"/>
        </w:numPr>
        <w:jc w:val="both"/>
        <w:rPr>
          <w:rFonts w:eastAsia="Calibri" w:cs="Times New Roman"/>
          <w:sz w:val="20"/>
          <w:szCs w:val="20"/>
          <w:lang w:val="fr-CA"/>
        </w:rPr>
      </w:pPr>
      <w:r w:rsidRPr="00027BC5">
        <w:rPr>
          <w:rFonts w:eastAsia="Calibri" w:cs="Times New Roman"/>
          <w:sz w:val="20"/>
          <w:szCs w:val="20"/>
          <w:lang w:val="fr-CA"/>
        </w:rPr>
        <w:t xml:space="preserve">Dans l’affirmative, cette violation constitue-t-elle, au sens de l’article premier de la </w:t>
      </w:r>
      <w:r w:rsidRPr="00027BC5">
        <w:rPr>
          <w:rFonts w:eastAsia="Calibri" w:cs="Times New Roman"/>
          <w:i/>
          <w:iCs/>
          <w:sz w:val="20"/>
          <w:szCs w:val="20"/>
          <w:lang w:val="fr-CA"/>
        </w:rPr>
        <w:t>Charte canadienne des droits et libertés</w:t>
      </w:r>
      <w:r w:rsidRPr="00027BC5">
        <w:rPr>
          <w:rFonts w:eastAsia="Calibri" w:cs="Times New Roman"/>
          <w:sz w:val="20"/>
          <w:szCs w:val="20"/>
          <w:lang w:val="fr-CA"/>
        </w:rPr>
        <w:t>, une limite raisonnable, prescrite par une règle de droit et dont la justification peut se démontrer dans le cadre d’une société libre et démocratique?</w:t>
      </w:r>
    </w:p>
    <w:p w:rsidR="00C05012" w:rsidRPr="00027BC5" w:rsidRDefault="00C05012" w:rsidP="00C05012">
      <w:pPr>
        <w:pStyle w:val="ListParagraph"/>
        <w:ind w:left="360"/>
        <w:jc w:val="both"/>
        <w:rPr>
          <w:rFonts w:eastAsia="Calibri" w:cs="Times New Roman"/>
          <w:sz w:val="20"/>
          <w:szCs w:val="20"/>
          <w:lang w:val="fr-CA"/>
        </w:rPr>
      </w:pPr>
    </w:p>
    <w:p w:rsidR="00C05012" w:rsidRPr="00027BC5" w:rsidRDefault="00C05012" w:rsidP="00C05012">
      <w:pPr>
        <w:pStyle w:val="ListParagraph"/>
        <w:ind w:left="360"/>
        <w:jc w:val="both"/>
        <w:rPr>
          <w:rFonts w:eastAsia="Calibri" w:cs="Times New Roman"/>
          <w:sz w:val="20"/>
          <w:szCs w:val="20"/>
          <w:lang w:val="fr-CA"/>
        </w:rPr>
      </w:pPr>
      <w:r w:rsidRPr="00027BC5">
        <w:rPr>
          <w:rFonts w:eastAsia="Calibri" w:cs="Times New Roman"/>
          <w:sz w:val="20"/>
          <w:szCs w:val="20"/>
          <w:lang w:val="fr-CA"/>
        </w:rPr>
        <w:t>Il n’est pas nécessaire de répondre à cette question.</w:t>
      </w:r>
    </w:p>
    <w:p w:rsidR="00C05012" w:rsidRPr="00027BC5" w:rsidRDefault="00C05012" w:rsidP="00C05012">
      <w:pPr>
        <w:pStyle w:val="ListParagraph"/>
        <w:ind w:left="360"/>
        <w:jc w:val="both"/>
        <w:rPr>
          <w:rFonts w:eastAsia="Calibri" w:cs="Times New Roman"/>
          <w:sz w:val="20"/>
          <w:szCs w:val="20"/>
          <w:lang w:val="fr-CA"/>
        </w:rPr>
      </w:pPr>
    </w:p>
    <w:p w:rsidR="00C05012" w:rsidRPr="00027BC5" w:rsidRDefault="00C05012" w:rsidP="00C05012">
      <w:pPr>
        <w:pStyle w:val="ListParagraph"/>
        <w:numPr>
          <w:ilvl w:val="0"/>
          <w:numId w:val="4"/>
        </w:numPr>
        <w:jc w:val="both"/>
        <w:rPr>
          <w:rFonts w:eastAsia="Calibri" w:cs="Times New Roman"/>
          <w:sz w:val="20"/>
          <w:szCs w:val="20"/>
          <w:lang w:val="fr-CA"/>
        </w:rPr>
      </w:pPr>
      <w:r w:rsidRPr="00027BC5">
        <w:rPr>
          <w:rFonts w:eastAsia="Calibri" w:cs="Times New Roman"/>
          <w:sz w:val="20"/>
          <w:szCs w:val="20"/>
          <w:lang w:val="fr-CA"/>
        </w:rPr>
        <w:t>Est-ce que l’art. 75 ou l’art. 90 de la loi intitulée </w:t>
      </w:r>
      <w:proofErr w:type="spellStart"/>
      <w:r w:rsidRPr="00027BC5">
        <w:rPr>
          <w:rFonts w:eastAsia="Calibri" w:cs="Times New Roman"/>
          <w:i/>
          <w:iCs/>
          <w:sz w:val="20"/>
          <w:szCs w:val="20"/>
          <w:lang w:val="fr-CA"/>
        </w:rPr>
        <w:t>Metis</w:t>
      </w:r>
      <w:proofErr w:type="spellEnd"/>
      <w:r w:rsidRPr="00027BC5">
        <w:rPr>
          <w:rFonts w:eastAsia="Calibri" w:cs="Times New Roman"/>
          <w:i/>
          <w:iCs/>
          <w:sz w:val="20"/>
          <w:szCs w:val="20"/>
          <w:lang w:val="fr-CA"/>
        </w:rPr>
        <w:t xml:space="preserve"> </w:t>
      </w:r>
      <w:proofErr w:type="spellStart"/>
      <w:r w:rsidRPr="00027BC5">
        <w:rPr>
          <w:rFonts w:eastAsia="Calibri" w:cs="Times New Roman"/>
          <w:i/>
          <w:iCs/>
          <w:sz w:val="20"/>
          <w:szCs w:val="20"/>
          <w:lang w:val="fr-CA"/>
        </w:rPr>
        <w:t>Settlements</w:t>
      </w:r>
      <w:proofErr w:type="spellEnd"/>
      <w:r w:rsidRPr="00027BC5">
        <w:rPr>
          <w:rFonts w:eastAsia="Calibri" w:cs="Times New Roman"/>
          <w:i/>
          <w:iCs/>
          <w:sz w:val="20"/>
          <w:szCs w:val="20"/>
          <w:lang w:val="fr-CA"/>
        </w:rPr>
        <w:t xml:space="preserve"> </w:t>
      </w:r>
      <w:proofErr w:type="spellStart"/>
      <w:r w:rsidRPr="00027BC5">
        <w:rPr>
          <w:rFonts w:eastAsia="Calibri" w:cs="Times New Roman"/>
          <w:i/>
          <w:iCs/>
          <w:sz w:val="20"/>
          <w:szCs w:val="20"/>
          <w:lang w:val="fr-CA"/>
        </w:rPr>
        <w:t>Act</w:t>
      </w:r>
      <w:proofErr w:type="spellEnd"/>
      <w:r w:rsidRPr="00027BC5">
        <w:rPr>
          <w:rFonts w:eastAsia="Calibri" w:cs="Times New Roman"/>
          <w:sz w:val="20"/>
          <w:szCs w:val="20"/>
          <w:lang w:val="fr-CA"/>
        </w:rPr>
        <w:t>, R.S.A. 2000, ch. M-14, ou ces deux articles, violent l’art. 7 de la </w:t>
      </w:r>
      <w:r w:rsidRPr="00027BC5">
        <w:rPr>
          <w:rFonts w:eastAsia="Calibri" w:cs="Times New Roman"/>
          <w:i/>
          <w:iCs/>
          <w:sz w:val="20"/>
          <w:szCs w:val="20"/>
          <w:lang w:val="fr-CA"/>
        </w:rPr>
        <w:t>Charte canadienne des droits et libertés</w:t>
      </w:r>
      <w:r w:rsidRPr="00027BC5">
        <w:rPr>
          <w:rFonts w:eastAsia="Calibri" w:cs="Times New Roman"/>
          <w:sz w:val="20"/>
          <w:szCs w:val="20"/>
          <w:lang w:val="fr-CA"/>
        </w:rPr>
        <w:t>?</w:t>
      </w:r>
    </w:p>
    <w:p w:rsidR="00C05012" w:rsidRPr="00027BC5" w:rsidRDefault="00C05012" w:rsidP="00C05012">
      <w:pPr>
        <w:pStyle w:val="ListParagraph"/>
        <w:ind w:left="360"/>
        <w:jc w:val="both"/>
        <w:rPr>
          <w:rFonts w:eastAsia="Calibri" w:cs="Times New Roman"/>
          <w:sz w:val="20"/>
          <w:szCs w:val="20"/>
          <w:lang w:val="fr-CA"/>
        </w:rPr>
      </w:pPr>
    </w:p>
    <w:p w:rsidR="00C05012" w:rsidRPr="00027BC5" w:rsidRDefault="00C05012" w:rsidP="00C05012">
      <w:pPr>
        <w:pStyle w:val="ListParagraph"/>
        <w:ind w:left="360"/>
        <w:jc w:val="both"/>
        <w:rPr>
          <w:rFonts w:eastAsia="Calibri" w:cs="Times New Roman"/>
          <w:sz w:val="20"/>
          <w:szCs w:val="20"/>
          <w:lang w:val="fr-CA"/>
        </w:rPr>
      </w:pPr>
      <w:r w:rsidRPr="00027BC5">
        <w:rPr>
          <w:rFonts w:eastAsia="Calibri" w:cs="Times New Roman"/>
          <w:sz w:val="20"/>
          <w:szCs w:val="20"/>
          <w:lang w:val="fr-CA"/>
        </w:rPr>
        <w:t>Non.</w:t>
      </w:r>
    </w:p>
    <w:p w:rsidR="00C05012" w:rsidRPr="00027BC5" w:rsidRDefault="00C05012" w:rsidP="00C05012">
      <w:pPr>
        <w:pStyle w:val="ListParagraph"/>
        <w:ind w:left="360"/>
        <w:jc w:val="both"/>
        <w:rPr>
          <w:rFonts w:eastAsia="Calibri" w:cs="Times New Roman"/>
          <w:sz w:val="20"/>
          <w:szCs w:val="20"/>
          <w:lang w:val="fr-CA"/>
        </w:rPr>
      </w:pPr>
    </w:p>
    <w:p w:rsidR="00C05012" w:rsidRPr="00027BC5" w:rsidRDefault="00C05012" w:rsidP="00C05012">
      <w:pPr>
        <w:pStyle w:val="ListParagraph"/>
        <w:numPr>
          <w:ilvl w:val="0"/>
          <w:numId w:val="4"/>
        </w:numPr>
        <w:jc w:val="both"/>
        <w:rPr>
          <w:rFonts w:eastAsia="Calibri" w:cs="Times New Roman"/>
          <w:sz w:val="20"/>
          <w:szCs w:val="20"/>
          <w:lang w:val="fr-CA"/>
        </w:rPr>
      </w:pPr>
      <w:r w:rsidRPr="00027BC5">
        <w:rPr>
          <w:rFonts w:eastAsia="Calibri" w:cs="Times New Roman"/>
          <w:sz w:val="20"/>
          <w:szCs w:val="20"/>
          <w:lang w:val="fr-CA"/>
        </w:rPr>
        <w:t xml:space="preserve">Dans l’affirmative, cette violation constitue-t-elle, au sens de l’article premier de la </w:t>
      </w:r>
      <w:r w:rsidRPr="00027BC5">
        <w:rPr>
          <w:rFonts w:eastAsia="Calibri" w:cs="Times New Roman"/>
          <w:i/>
          <w:iCs/>
          <w:sz w:val="20"/>
          <w:szCs w:val="20"/>
          <w:lang w:val="fr-CA"/>
        </w:rPr>
        <w:t>Charte canadienne des droits et libertés</w:t>
      </w:r>
      <w:r w:rsidRPr="00027BC5">
        <w:rPr>
          <w:rFonts w:eastAsia="Calibri" w:cs="Times New Roman"/>
          <w:sz w:val="20"/>
          <w:szCs w:val="20"/>
          <w:lang w:val="fr-CA"/>
        </w:rPr>
        <w:t>, une limite raisonnable, prescrite par une règle de droit et dont la justification peut se démontrer dans le cadre d’une société libre et démocratique?</w:t>
      </w:r>
    </w:p>
    <w:p w:rsidR="00C05012" w:rsidRPr="00027BC5" w:rsidRDefault="00C05012" w:rsidP="00C05012">
      <w:pPr>
        <w:pStyle w:val="ListParagraph"/>
        <w:ind w:left="360"/>
        <w:jc w:val="both"/>
        <w:rPr>
          <w:rFonts w:eastAsia="Calibri" w:cs="Times New Roman"/>
          <w:sz w:val="20"/>
          <w:szCs w:val="20"/>
          <w:lang w:val="fr-CA"/>
        </w:rPr>
      </w:pPr>
    </w:p>
    <w:p w:rsidR="00C05012" w:rsidRDefault="00C05012" w:rsidP="00C05012">
      <w:pPr>
        <w:pStyle w:val="ListParagraph"/>
        <w:ind w:left="360"/>
        <w:jc w:val="both"/>
        <w:rPr>
          <w:sz w:val="20"/>
          <w:szCs w:val="20"/>
          <w:lang w:val="fr-CA"/>
        </w:rPr>
      </w:pPr>
      <w:r w:rsidRPr="00027BC5">
        <w:rPr>
          <w:rFonts w:eastAsia="Calibri" w:cs="Times New Roman"/>
          <w:sz w:val="20"/>
          <w:szCs w:val="20"/>
          <w:lang w:val="fr-CA"/>
        </w:rPr>
        <w:t>Il n’est pas nécessaire de répondre à cette question.</w:t>
      </w:r>
    </w:p>
    <w:p w:rsidR="00C05012" w:rsidRPr="00027BC5" w:rsidRDefault="00C05012" w:rsidP="00C05012">
      <w:pPr>
        <w:pStyle w:val="ListParagraph"/>
        <w:ind w:left="360"/>
        <w:jc w:val="both"/>
        <w:rPr>
          <w:rFonts w:eastAsia="Calibri" w:cs="Times New Roman"/>
          <w:sz w:val="20"/>
          <w:szCs w:val="20"/>
          <w:lang w:val="fr-CA"/>
        </w:rPr>
      </w:pPr>
    </w:p>
    <w:p w:rsidR="00C05012" w:rsidRPr="00027BC5" w:rsidRDefault="00C05012" w:rsidP="00C05012">
      <w:pPr>
        <w:pStyle w:val="ListParagraph"/>
        <w:numPr>
          <w:ilvl w:val="0"/>
          <w:numId w:val="4"/>
        </w:numPr>
        <w:jc w:val="both"/>
        <w:rPr>
          <w:rFonts w:eastAsia="Calibri" w:cs="Times New Roman"/>
          <w:sz w:val="20"/>
          <w:szCs w:val="20"/>
          <w:lang w:val="fr-CA"/>
        </w:rPr>
      </w:pPr>
      <w:r w:rsidRPr="00027BC5">
        <w:rPr>
          <w:rFonts w:eastAsia="Calibri" w:cs="Times New Roman"/>
          <w:sz w:val="20"/>
          <w:szCs w:val="20"/>
          <w:lang w:val="fr-CA"/>
        </w:rPr>
        <w:t>Est-ce que l’art. 75 ou l’art. 90 de la loi intitulée </w:t>
      </w:r>
      <w:proofErr w:type="spellStart"/>
      <w:r w:rsidRPr="00027BC5">
        <w:rPr>
          <w:rFonts w:eastAsia="Calibri" w:cs="Times New Roman"/>
          <w:i/>
          <w:iCs/>
          <w:sz w:val="20"/>
          <w:szCs w:val="20"/>
          <w:lang w:val="fr-CA"/>
        </w:rPr>
        <w:t>Metis</w:t>
      </w:r>
      <w:proofErr w:type="spellEnd"/>
      <w:r w:rsidRPr="00027BC5">
        <w:rPr>
          <w:rFonts w:eastAsia="Calibri" w:cs="Times New Roman"/>
          <w:i/>
          <w:iCs/>
          <w:sz w:val="20"/>
          <w:szCs w:val="20"/>
          <w:lang w:val="fr-CA"/>
        </w:rPr>
        <w:t xml:space="preserve"> </w:t>
      </w:r>
      <w:proofErr w:type="spellStart"/>
      <w:r w:rsidRPr="00027BC5">
        <w:rPr>
          <w:rFonts w:eastAsia="Calibri" w:cs="Times New Roman"/>
          <w:i/>
          <w:iCs/>
          <w:sz w:val="20"/>
          <w:szCs w:val="20"/>
          <w:lang w:val="fr-CA"/>
        </w:rPr>
        <w:t>Settlements</w:t>
      </w:r>
      <w:proofErr w:type="spellEnd"/>
      <w:r w:rsidRPr="00027BC5">
        <w:rPr>
          <w:rFonts w:eastAsia="Calibri" w:cs="Times New Roman"/>
          <w:i/>
          <w:iCs/>
          <w:sz w:val="20"/>
          <w:szCs w:val="20"/>
          <w:lang w:val="fr-CA"/>
        </w:rPr>
        <w:t xml:space="preserve"> </w:t>
      </w:r>
      <w:proofErr w:type="spellStart"/>
      <w:r w:rsidRPr="00027BC5">
        <w:rPr>
          <w:rFonts w:eastAsia="Calibri" w:cs="Times New Roman"/>
          <w:i/>
          <w:iCs/>
          <w:sz w:val="20"/>
          <w:szCs w:val="20"/>
          <w:lang w:val="fr-CA"/>
        </w:rPr>
        <w:t>Act</w:t>
      </w:r>
      <w:proofErr w:type="spellEnd"/>
      <w:r w:rsidRPr="00027BC5">
        <w:rPr>
          <w:rFonts w:eastAsia="Calibri" w:cs="Times New Roman"/>
          <w:sz w:val="20"/>
          <w:szCs w:val="20"/>
          <w:lang w:val="fr-CA"/>
        </w:rPr>
        <w:t>, R.S.A. 2000, ch. M-14, ou ces deux articles, violent l’art. 15 de la </w:t>
      </w:r>
      <w:r w:rsidRPr="00027BC5">
        <w:rPr>
          <w:rFonts w:eastAsia="Calibri" w:cs="Times New Roman"/>
          <w:i/>
          <w:iCs/>
          <w:sz w:val="20"/>
          <w:szCs w:val="20"/>
          <w:lang w:val="fr-CA"/>
        </w:rPr>
        <w:t>Charte canadienne des droits et libertés</w:t>
      </w:r>
      <w:r w:rsidRPr="00027BC5">
        <w:rPr>
          <w:rFonts w:eastAsia="Calibri" w:cs="Times New Roman"/>
          <w:sz w:val="20"/>
          <w:szCs w:val="20"/>
          <w:lang w:val="fr-CA"/>
        </w:rPr>
        <w:t>?</w:t>
      </w:r>
    </w:p>
    <w:p w:rsidR="00C05012" w:rsidRPr="00027BC5" w:rsidRDefault="00C05012" w:rsidP="00C05012">
      <w:pPr>
        <w:pStyle w:val="ListParagraph"/>
        <w:ind w:left="360"/>
        <w:jc w:val="both"/>
        <w:rPr>
          <w:rFonts w:eastAsia="Calibri" w:cs="Times New Roman"/>
          <w:sz w:val="20"/>
          <w:szCs w:val="20"/>
          <w:lang w:val="fr-CA"/>
        </w:rPr>
      </w:pPr>
    </w:p>
    <w:p w:rsidR="00C05012" w:rsidRPr="00027BC5" w:rsidRDefault="00C05012" w:rsidP="00C05012">
      <w:pPr>
        <w:pStyle w:val="ListParagraph"/>
        <w:ind w:left="360"/>
        <w:jc w:val="both"/>
        <w:rPr>
          <w:rFonts w:eastAsia="Calibri" w:cs="Times New Roman"/>
          <w:sz w:val="20"/>
          <w:szCs w:val="20"/>
          <w:lang w:val="fr-CA"/>
        </w:rPr>
      </w:pPr>
      <w:r w:rsidRPr="00027BC5">
        <w:rPr>
          <w:rFonts w:eastAsia="Calibri" w:cs="Times New Roman"/>
          <w:sz w:val="20"/>
          <w:szCs w:val="20"/>
          <w:lang w:val="fr-CA"/>
        </w:rPr>
        <w:t>Non.</w:t>
      </w:r>
    </w:p>
    <w:p w:rsidR="00C05012" w:rsidRPr="00027BC5" w:rsidRDefault="00C05012" w:rsidP="00C05012">
      <w:pPr>
        <w:pStyle w:val="ListParagraph"/>
        <w:ind w:left="360"/>
        <w:jc w:val="both"/>
        <w:rPr>
          <w:rFonts w:eastAsia="Calibri" w:cs="Times New Roman"/>
          <w:sz w:val="20"/>
          <w:szCs w:val="20"/>
          <w:lang w:val="fr-CA"/>
        </w:rPr>
      </w:pPr>
    </w:p>
    <w:p w:rsidR="00C05012" w:rsidRPr="00027BC5" w:rsidRDefault="00C05012" w:rsidP="00C05012">
      <w:pPr>
        <w:pStyle w:val="ListParagraph"/>
        <w:numPr>
          <w:ilvl w:val="0"/>
          <w:numId w:val="4"/>
        </w:numPr>
        <w:jc w:val="both"/>
        <w:rPr>
          <w:rFonts w:eastAsia="Calibri" w:cs="Times New Roman"/>
          <w:sz w:val="20"/>
          <w:szCs w:val="20"/>
          <w:lang w:val="fr-FR"/>
        </w:rPr>
      </w:pPr>
      <w:r w:rsidRPr="00027BC5">
        <w:rPr>
          <w:rFonts w:eastAsia="Calibri" w:cs="Times New Roman"/>
          <w:sz w:val="20"/>
          <w:szCs w:val="20"/>
          <w:lang w:val="fr-CA"/>
        </w:rPr>
        <w:t xml:space="preserve">Dans l’affirmative, cette violation constitue-t-elle, au sens de l’article premier de la </w:t>
      </w:r>
      <w:r w:rsidRPr="00027BC5">
        <w:rPr>
          <w:rFonts w:eastAsia="Calibri" w:cs="Times New Roman"/>
          <w:i/>
          <w:iCs/>
          <w:sz w:val="20"/>
          <w:szCs w:val="20"/>
          <w:lang w:val="fr-CA"/>
        </w:rPr>
        <w:t>Charte canadienne des droits et libertés</w:t>
      </w:r>
      <w:r w:rsidRPr="00027BC5">
        <w:rPr>
          <w:rFonts w:eastAsia="Calibri" w:cs="Times New Roman"/>
          <w:sz w:val="20"/>
          <w:szCs w:val="20"/>
          <w:lang w:val="fr-CA"/>
        </w:rPr>
        <w:t>, une limite raisonnable, prescrite par une règle de droit et dont la justification peut se démontrer dans le cadre d’une société libre et démocratique?</w:t>
      </w:r>
    </w:p>
    <w:p w:rsidR="00C05012" w:rsidRPr="00027BC5" w:rsidRDefault="00C05012" w:rsidP="00C05012">
      <w:pPr>
        <w:pStyle w:val="ListParagraph"/>
        <w:ind w:left="360"/>
        <w:jc w:val="both"/>
        <w:rPr>
          <w:rFonts w:eastAsia="Calibri" w:cs="Times New Roman"/>
          <w:sz w:val="20"/>
          <w:szCs w:val="20"/>
          <w:lang w:val="fr-FR"/>
        </w:rPr>
      </w:pPr>
    </w:p>
    <w:p w:rsidR="00C05012" w:rsidRPr="00027BC5" w:rsidRDefault="00C05012" w:rsidP="00C05012">
      <w:pPr>
        <w:pStyle w:val="ListParagraph"/>
        <w:ind w:left="360"/>
        <w:jc w:val="both"/>
        <w:rPr>
          <w:rFonts w:eastAsia="Calibri" w:cs="Times New Roman"/>
          <w:sz w:val="20"/>
          <w:szCs w:val="20"/>
          <w:lang w:val="fr-FR"/>
        </w:rPr>
      </w:pPr>
      <w:r w:rsidRPr="00027BC5">
        <w:rPr>
          <w:rFonts w:eastAsia="Calibri" w:cs="Times New Roman"/>
          <w:sz w:val="20"/>
          <w:szCs w:val="20"/>
          <w:lang w:val="fr-CA"/>
        </w:rPr>
        <w:t>Il n’est pas nécessaire de répondre à cette question.</w:t>
      </w:r>
    </w:p>
    <w:p w:rsidR="00337E90" w:rsidRPr="00C05012" w:rsidRDefault="00337E90" w:rsidP="00337E90">
      <w:pPr>
        <w:pStyle w:val="ListParagraph"/>
        <w:ind w:left="360"/>
        <w:jc w:val="both"/>
        <w:rPr>
          <w:sz w:val="20"/>
          <w:szCs w:val="20"/>
          <w:lang w:val="fr-FR"/>
        </w:rPr>
      </w:pPr>
    </w:p>
    <w:p w:rsidR="00AF1715" w:rsidRPr="006C5F7A" w:rsidRDefault="001557DD" w:rsidP="00AF1715">
      <w:pPr>
        <w:spacing w:line="0" w:lineRule="atLeast"/>
        <w:rPr>
          <w:rFonts w:cs="Times New Roman"/>
          <w:b/>
          <w:sz w:val="20"/>
          <w:szCs w:val="20"/>
        </w:rPr>
      </w:pPr>
      <w:r w:rsidRPr="001557DD">
        <w:rPr>
          <w:rFonts w:cs="Times New Roman"/>
          <w:b/>
          <w:sz w:val="20"/>
          <w:szCs w:val="20"/>
        </w:rPr>
        <w:pict>
          <v:rect id="_x0000_i1052" style="width:144.3pt;height:1pt" o:hrpct="300" o:hralign="center" o:hrstd="t" o:hrnoshade="t" o:hr="t" fillcolor="black [3213]" stroked="f"/>
        </w:pict>
      </w:r>
    </w:p>
    <w:p w:rsidR="005C033C" w:rsidRDefault="005C033C">
      <w:pPr>
        <w:rPr>
          <w:rFonts w:cs="Times New Roman"/>
          <w:b/>
          <w:sz w:val="20"/>
          <w:szCs w:val="20"/>
        </w:rPr>
      </w:pPr>
      <w:r>
        <w:rPr>
          <w:rFonts w:cs="Times New Roman"/>
          <w:b/>
          <w:sz w:val="20"/>
          <w:szCs w:val="20"/>
        </w:rPr>
        <w:br w:type="page"/>
      </w:r>
    </w:p>
    <w:p w:rsidR="00AF1715" w:rsidRPr="005C033C" w:rsidRDefault="00337A1B" w:rsidP="00AF1715">
      <w:pPr>
        <w:rPr>
          <w:rFonts w:cs="Times New Roman"/>
          <w:b/>
          <w:sz w:val="20"/>
          <w:szCs w:val="20"/>
          <w:lang w:val="fr-CA"/>
        </w:rPr>
      </w:pPr>
      <w:r w:rsidRPr="005C033C">
        <w:rPr>
          <w:rFonts w:cs="Times New Roman"/>
          <w:b/>
          <w:sz w:val="20"/>
          <w:szCs w:val="20"/>
          <w:lang w:val="fr-CA"/>
        </w:rPr>
        <w:lastRenderedPageBreak/>
        <w:t>JULY</w:t>
      </w:r>
      <w:r w:rsidR="00AF1715" w:rsidRPr="005C033C">
        <w:rPr>
          <w:rFonts w:cs="Times New Roman"/>
          <w:b/>
          <w:sz w:val="20"/>
          <w:szCs w:val="20"/>
          <w:lang w:val="fr-CA"/>
        </w:rPr>
        <w:t xml:space="preserve"> </w:t>
      </w:r>
      <w:r w:rsidRPr="005C033C">
        <w:rPr>
          <w:rFonts w:cs="Times New Roman"/>
          <w:b/>
          <w:sz w:val="20"/>
          <w:szCs w:val="20"/>
          <w:lang w:val="fr-CA"/>
        </w:rPr>
        <w:t>22</w:t>
      </w:r>
      <w:r w:rsidR="00AF1715" w:rsidRPr="005C033C">
        <w:rPr>
          <w:rFonts w:cs="Times New Roman"/>
          <w:b/>
          <w:sz w:val="20"/>
          <w:szCs w:val="20"/>
          <w:lang w:val="fr-CA"/>
        </w:rPr>
        <w:t>, 201</w:t>
      </w:r>
      <w:r w:rsidRPr="005C033C">
        <w:rPr>
          <w:rFonts w:cs="Times New Roman"/>
          <w:b/>
          <w:sz w:val="20"/>
          <w:szCs w:val="20"/>
          <w:lang w:val="fr-CA"/>
        </w:rPr>
        <w:t>1</w:t>
      </w:r>
      <w:r w:rsidR="00AF1715" w:rsidRPr="005C033C">
        <w:rPr>
          <w:rFonts w:cs="Times New Roman"/>
          <w:b/>
          <w:sz w:val="20"/>
          <w:szCs w:val="20"/>
          <w:lang w:val="fr-CA"/>
        </w:rPr>
        <w:t xml:space="preserve"> / LE </w:t>
      </w:r>
      <w:r w:rsidRPr="005C033C">
        <w:rPr>
          <w:rFonts w:cs="Times New Roman"/>
          <w:b/>
          <w:sz w:val="20"/>
          <w:szCs w:val="20"/>
          <w:lang w:val="fr-CA"/>
        </w:rPr>
        <w:t>22</w:t>
      </w:r>
      <w:r w:rsidR="00AF1715" w:rsidRPr="005C033C">
        <w:rPr>
          <w:rFonts w:cs="Times New Roman"/>
          <w:b/>
          <w:sz w:val="20"/>
          <w:szCs w:val="20"/>
          <w:lang w:val="fr-CA"/>
        </w:rPr>
        <w:t xml:space="preserve"> </w:t>
      </w:r>
      <w:r w:rsidRPr="005C033C">
        <w:rPr>
          <w:rFonts w:cs="Times New Roman"/>
          <w:b/>
          <w:sz w:val="20"/>
          <w:szCs w:val="20"/>
          <w:lang w:val="fr-CA"/>
        </w:rPr>
        <w:t>JUILLET</w:t>
      </w:r>
      <w:r w:rsidR="00AF1715" w:rsidRPr="005C033C">
        <w:rPr>
          <w:rFonts w:cs="Times New Roman"/>
          <w:b/>
          <w:sz w:val="20"/>
          <w:szCs w:val="20"/>
          <w:lang w:val="fr-CA"/>
        </w:rPr>
        <w:t xml:space="preserve"> 201</w:t>
      </w:r>
      <w:r w:rsidRPr="005C033C">
        <w:rPr>
          <w:rFonts w:cs="Times New Roman"/>
          <w:b/>
          <w:sz w:val="20"/>
          <w:szCs w:val="20"/>
          <w:lang w:val="fr-CA"/>
        </w:rPr>
        <w:t>1</w:t>
      </w:r>
    </w:p>
    <w:p w:rsidR="00AF1715" w:rsidRPr="005C033C" w:rsidRDefault="00AF1715" w:rsidP="00AF1715">
      <w:pPr>
        <w:spacing w:line="0" w:lineRule="atLeast"/>
        <w:rPr>
          <w:rFonts w:cs="Times New Roman"/>
          <w:sz w:val="20"/>
          <w:szCs w:val="20"/>
          <w:lang w:val="fr-CA"/>
        </w:rPr>
      </w:pPr>
    </w:p>
    <w:p w:rsidR="005C033C" w:rsidRPr="00FA222A" w:rsidRDefault="005C033C" w:rsidP="005C033C">
      <w:pPr>
        <w:ind w:left="1440" w:hanging="1440"/>
        <w:jc w:val="both"/>
        <w:rPr>
          <w:b/>
          <w:sz w:val="20"/>
          <w:szCs w:val="20"/>
          <w:u w:val="single"/>
          <w:lang w:val="fr-CA"/>
        </w:rPr>
      </w:pPr>
      <w:r w:rsidRPr="00FA222A">
        <w:rPr>
          <w:b/>
          <w:sz w:val="20"/>
          <w:szCs w:val="20"/>
          <w:lang w:val="fr-CA"/>
        </w:rPr>
        <w:t>33196</w:t>
      </w:r>
      <w:r w:rsidRPr="00FA222A">
        <w:rPr>
          <w:sz w:val="20"/>
          <w:szCs w:val="20"/>
          <w:lang w:val="fr-CA"/>
        </w:rPr>
        <w:tab/>
      </w:r>
      <w:r w:rsidRPr="00FA222A">
        <w:rPr>
          <w:b/>
          <w:iCs/>
          <w:sz w:val="20"/>
          <w:szCs w:val="20"/>
          <w:u w:val="single"/>
          <w:lang w:val="fr-CA"/>
        </w:rPr>
        <w:t>Succession Rolland Bastien c. Sa Majesté la Reine – et – Nation huronne-</w:t>
      </w:r>
      <w:proofErr w:type="spellStart"/>
      <w:r w:rsidRPr="00FA222A">
        <w:rPr>
          <w:b/>
          <w:iCs/>
          <w:sz w:val="20"/>
          <w:szCs w:val="20"/>
          <w:u w:val="single"/>
          <w:lang w:val="fr-CA"/>
        </w:rPr>
        <w:t>wendat</w:t>
      </w:r>
      <w:proofErr w:type="spellEnd"/>
      <w:r w:rsidRPr="00FA222A">
        <w:rPr>
          <w:b/>
          <w:iCs/>
          <w:sz w:val="20"/>
          <w:szCs w:val="20"/>
          <w:u w:val="single"/>
          <w:lang w:val="fr-CA"/>
        </w:rPr>
        <w:t xml:space="preserve">, </w:t>
      </w:r>
      <w:proofErr w:type="spellStart"/>
      <w:r w:rsidRPr="00FA222A">
        <w:rPr>
          <w:b/>
          <w:iCs/>
          <w:sz w:val="20"/>
          <w:szCs w:val="20"/>
          <w:u w:val="single"/>
          <w:lang w:val="fr-CA"/>
        </w:rPr>
        <w:t>Assembly</w:t>
      </w:r>
      <w:proofErr w:type="spellEnd"/>
      <w:r w:rsidRPr="00FA222A">
        <w:rPr>
          <w:b/>
          <w:iCs/>
          <w:sz w:val="20"/>
          <w:szCs w:val="20"/>
          <w:u w:val="single"/>
          <w:lang w:val="fr-CA"/>
        </w:rPr>
        <w:t xml:space="preserve"> of Manitoba </w:t>
      </w:r>
      <w:proofErr w:type="spellStart"/>
      <w:r w:rsidRPr="00FA222A">
        <w:rPr>
          <w:b/>
          <w:iCs/>
          <w:sz w:val="20"/>
          <w:szCs w:val="20"/>
          <w:u w:val="single"/>
          <w:lang w:val="fr-CA"/>
        </w:rPr>
        <w:t>Chiefs</w:t>
      </w:r>
      <w:proofErr w:type="spellEnd"/>
      <w:r w:rsidRPr="00FA222A">
        <w:rPr>
          <w:b/>
          <w:iCs/>
          <w:sz w:val="20"/>
          <w:szCs w:val="20"/>
          <w:u w:val="single"/>
          <w:lang w:val="fr-CA"/>
        </w:rPr>
        <w:t>, Grand Conseil des Cris (</w:t>
      </w:r>
      <w:proofErr w:type="spellStart"/>
      <w:r w:rsidRPr="00FA222A">
        <w:rPr>
          <w:b/>
          <w:iCs/>
          <w:sz w:val="20"/>
          <w:szCs w:val="20"/>
          <w:u w:val="single"/>
          <w:lang w:val="fr-CA"/>
        </w:rPr>
        <w:t>Eeyou</w:t>
      </w:r>
      <w:proofErr w:type="spellEnd"/>
      <w:r w:rsidRPr="00FA222A">
        <w:rPr>
          <w:b/>
          <w:iCs/>
          <w:sz w:val="20"/>
          <w:szCs w:val="20"/>
          <w:u w:val="single"/>
          <w:lang w:val="fr-CA"/>
        </w:rPr>
        <w:t xml:space="preserve"> </w:t>
      </w:r>
      <w:proofErr w:type="spellStart"/>
      <w:r w:rsidRPr="00FA222A">
        <w:rPr>
          <w:b/>
          <w:iCs/>
          <w:sz w:val="20"/>
          <w:szCs w:val="20"/>
          <w:u w:val="single"/>
          <w:lang w:val="fr-CA"/>
        </w:rPr>
        <w:t>Istchee</w:t>
      </w:r>
      <w:proofErr w:type="spellEnd"/>
      <w:r w:rsidRPr="00FA222A">
        <w:rPr>
          <w:b/>
          <w:iCs/>
          <w:sz w:val="20"/>
          <w:szCs w:val="20"/>
          <w:u w:val="single"/>
          <w:lang w:val="fr-CA"/>
        </w:rPr>
        <w:t xml:space="preserve">)/Administration régionale crie, Assemblée des Premières Nations, </w:t>
      </w:r>
      <w:proofErr w:type="spellStart"/>
      <w:r w:rsidRPr="00FA222A">
        <w:rPr>
          <w:b/>
          <w:iCs/>
          <w:sz w:val="20"/>
          <w:szCs w:val="20"/>
          <w:u w:val="single"/>
          <w:lang w:val="fr-CA"/>
        </w:rPr>
        <w:t>Chiefs</w:t>
      </w:r>
      <w:proofErr w:type="spellEnd"/>
      <w:r w:rsidRPr="00FA222A">
        <w:rPr>
          <w:b/>
          <w:iCs/>
          <w:sz w:val="20"/>
          <w:szCs w:val="20"/>
          <w:u w:val="single"/>
          <w:lang w:val="fr-CA"/>
        </w:rPr>
        <w:t xml:space="preserve"> of Ontario et Union of Nova </w:t>
      </w:r>
      <w:proofErr w:type="spellStart"/>
      <w:r w:rsidRPr="00FA222A">
        <w:rPr>
          <w:b/>
          <w:iCs/>
          <w:sz w:val="20"/>
          <w:szCs w:val="20"/>
          <w:u w:val="single"/>
          <w:lang w:val="fr-CA"/>
        </w:rPr>
        <w:t>Scotia</w:t>
      </w:r>
      <w:proofErr w:type="spellEnd"/>
      <w:r w:rsidRPr="00FA222A">
        <w:rPr>
          <w:b/>
          <w:iCs/>
          <w:sz w:val="20"/>
          <w:szCs w:val="20"/>
          <w:u w:val="single"/>
          <w:lang w:val="fr-CA"/>
        </w:rPr>
        <w:t xml:space="preserve"> </w:t>
      </w:r>
      <w:proofErr w:type="spellStart"/>
      <w:r w:rsidRPr="00FA222A">
        <w:rPr>
          <w:b/>
          <w:iCs/>
          <w:sz w:val="20"/>
          <w:szCs w:val="20"/>
          <w:u w:val="single"/>
          <w:lang w:val="fr-CA"/>
        </w:rPr>
        <w:t>Indians</w:t>
      </w:r>
      <w:proofErr w:type="spellEnd"/>
      <w:r w:rsidRPr="00FA222A">
        <w:rPr>
          <w:b/>
          <w:iCs/>
          <w:sz w:val="20"/>
          <w:szCs w:val="20"/>
          <w:lang w:val="fr-CA"/>
        </w:rPr>
        <w:t xml:space="preserve"> </w:t>
      </w:r>
      <w:r w:rsidRPr="00FA222A">
        <w:rPr>
          <w:sz w:val="20"/>
          <w:szCs w:val="20"/>
          <w:lang w:val="fr-CA"/>
        </w:rPr>
        <w:t>(C.F)</w:t>
      </w:r>
    </w:p>
    <w:p w:rsidR="005C033C" w:rsidRPr="00FA222A" w:rsidRDefault="005C033C" w:rsidP="005C033C">
      <w:pPr>
        <w:ind w:left="1440" w:hanging="1440"/>
        <w:jc w:val="both"/>
        <w:rPr>
          <w:b/>
          <w:sz w:val="20"/>
          <w:szCs w:val="20"/>
          <w:lang w:val="fr-CA"/>
        </w:rPr>
      </w:pPr>
      <w:r w:rsidRPr="00FA222A">
        <w:rPr>
          <w:b/>
          <w:sz w:val="20"/>
          <w:szCs w:val="20"/>
          <w:lang w:val="fr-CA"/>
        </w:rPr>
        <w:tab/>
        <w:t>2011 SCC 38 / 2011 CSC 38</w:t>
      </w:r>
    </w:p>
    <w:p w:rsidR="005C033C" w:rsidRDefault="005C033C" w:rsidP="005C033C">
      <w:pPr>
        <w:ind w:left="720" w:hanging="720"/>
        <w:jc w:val="both"/>
        <w:rPr>
          <w:sz w:val="20"/>
          <w:szCs w:val="20"/>
          <w:lang w:val="fr-CA"/>
        </w:rPr>
      </w:pPr>
    </w:p>
    <w:p w:rsidR="005C033C" w:rsidRPr="00FA222A" w:rsidRDefault="005C033C" w:rsidP="005C033C">
      <w:pPr>
        <w:ind w:left="1440" w:hanging="1440"/>
        <w:jc w:val="both"/>
        <w:rPr>
          <w:sz w:val="20"/>
          <w:szCs w:val="20"/>
          <w:lang w:val="fr-CA"/>
        </w:rPr>
      </w:pPr>
      <w:r w:rsidRPr="00FA222A">
        <w:rPr>
          <w:sz w:val="20"/>
          <w:szCs w:val="20"/>
          <w:lang w:val="fr-CA"/>
        </w:rPr>
        <w:t>Coram :</w:t>
      </w:r>
      <w:r>
        <w:rPr>
          <w:sz w:val="20"/>
          <w:szCs w:val="20"/>
          <w:lang w:val="fr-CA"/>
        </w:rPr>
        <w:tab/>
      </w:r>
      <w:r w:rsidRPr="00FA222A">
        <w:rPr>
          <w:sz w:val="20"/>
          <w:szCs w:val="20"/>
          <w:u w:val="single"/>
          <w:lang w:val="fr-CA"/>
        </w:rPr>
        <w:t xml:space="preserve">La juge en chef </w:t>
      </w:r>
      <w:proofErr w:type="spellStart"/>
      <w:r w:rsidRPr="00FA222A">
        <w:rPr>
          <w:sz w:val="20"/>
          <w:szCs w:val="20"/>
          <w:u w:val="single"/>
          <w:lang w:val="fr-CA"/>
        </w:rPr>
        <w:t>McLachlin</w:t>
      </w:r>
      <w:proofErr w:type="spellEnd"/>
      <w:r w:rsidRPr="00FA222A">
        <w:rPr>
          <w:sz w:val="20"/>
          <w:szCs w:val="20"/>
          <w:u w:val="single"/>
          <w:lang w:val="fr-CA"/>
        </w:rPr>
        <w:t xml:space="preserve"> et les juges </w:t>
      </w:r>
      <w:proofErr w:type="spellStart"/>
      <w:r w:rsidRPr="00FA222A">
        <w:rPr>
          <w:sz w:val="20"/>
          <w:szCs w:val="20"/>
          <w:u w:val="single"/>
          <w:lang w:val="fr-CA"/>
        </w:rPr>
        <w:t>Binnie</w:t>
      </w:r>
      <w:proofErr w:type="spellEnd"/>
      <w:r w:rsidRPr="00FA222A">
        <w:rPr>
          <w:sz w:val="20"/>
          <w:szCs w:val="20"/>
          <w:u w:val="single"/>
          <w:lang w:val="fr-CA"/>
        </w:rPr>
        <w:t xml:space="preserve">, Deschamps, Fish, Charron, </w:t>
      </w:r>
      <w:proofErr w:type="spellStart"/>
      <w:r w:rsidRPr="00FA222A">
        <w:rPr>
          <w:sz w:val="20"/>
          <w:szCs w:val="20"/>
          <w:u w:val="single"/>
          <w:lang w:val="fr-CA"/>
        </w:rPr>
        <w:t>Rothstein</w:t>
      </w:r>
      <w:proofErr w:type="spellEnd"/>
      <w:r w:rsidRPr="00FA222A">
        <w:rPr>
          <w:sz w:val="20"/>
          <w:szCs w:val="20"/>
          <w:u w:val="single"/>
          <w:lang w:val="fr-CA"/>
        </w:rPr>
        <w:t xml:space="preserve"> et Cromwell </w:t>
      </w:r>
    </w:p>
    <w:p w:rsidR="005C033C" w:rsidRPr="00FA222A" w:rsidRDefault="005C033C" w:rsidP="005C033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5C033C" w:rsidRPr="00FA222A" w:rsidRDefault="005C033C" w:rsidP="005C033C">
      <w:pPr>
        <w:jc w:val="both"/>
        <w:rPr>
          <w:sz w:val="20"/>
          <w:szCs w:val="20"/>
          <w:lang w:val="fr-CA"/>
        </w:rPr>
      </w:pPr>
      <w:r w:rsidRPr="00FA222A">
        <w:rPr>
          <w:sz w:val="20"/>
          <w:szCs w:val="20"/>
          <w:lang w:val="fr-CA"/>
        </w:rPr>
        <w:t xml:space="preserve">L’appel interjeté contre l’arrêt de la Cour d’appel fédérale, numéro A-586-07, 2009 CAF 108, en date du 8 avril 2009, entendu le 20 mai 2010, est accueilli </w:t>
      </w:r>
      <w:r w:rsidR="000349B2">
        <w:rPr>
          <w:sz w:val="20"/>
          <w:lang w:val="fr-CA"/>
        </w:rPr>
        <w:t xml:space="preserve">avec </w:t>
      </w:r>
      <w:r w:rsidR="000349B2" w:rsidRPr="00C22D3F">
        <w:rPr>
          <w:sz w:val="20"/>
          <w:szCs w:val="20"/>
          <w:lang w:val="fr-CA"/>
        </w:rPr>
        <w:t>dépens</w:t>
      </w:r>
      <w:r w:rsidR="000349B2" w:rsidRPr="00FA222A">
        <w:rPr>
          <w:sz w:val="20"/>
          <w:szCs w:val="20"/>
          <w:lang w:val="fr-CA"/>
        </w:rPr>
        <w:t xml:space="preserve"> </w:t>
      </w:r>
      <w:r w:rsidRPr="00FA222A">
        <w:rPr>
          <w:sz w:val="20"/>
          <w:szCs w:val="20"/>
          <w:lang w:val="fr-CA"/>
        </w:rPr>
        <w:t>devant toutes les cours.</w:t>
      </w:r>
    </w:p>
    <w:p w:rsidR="005C033C" w:rsidRPr="005C033C" w:rsidRDefault="005C033C" w:rsidP="005C033C">
      <w:pPr>
        <w:jc w:val="both"/>
        <w:rPr>
          <w:sz w:val="20"/>
          <w:szCs w:val="20"/>
          <w:lang w:val="fr-CA"/>
        </w:rPr>
      </w:pPr>
    </w:p>
    <w:p w:rsidR="005C033C" w:rsidRPr="00FA222A" w:rsidRDefault="005C033C" w:rsidP="005C033C">
      <w:pPr>
        <w:jc w:val="both"/>
        <w:rPr>
          <w:sz w:val="20"/>
          <w:szCs w:val="20"/>
        </w:rPr>
      </w:pPr>
      <w:r w:rsidRPr="00FA222A">
        <w:rPr>
          <w:sz w:val="20"/>
          <w:szCs w:val="20"/>
        </w:rPr>
        <w:t>The appeal from the judgment of the Federal Court of Appeal, Number A-586-07, 2009 FCA 108, dated April 8, 2009, heard on May 20, 2010, is allowed with costs throughout.</w:t>
      </w:r>
    </w:p>
    <w:p w:rsidR="00AF1715" w:rsidRPr="004F7AA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AF1715" w:rsidRDefault="001557DD"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1557DD">
        <w:rPr>
          <w:rFonts w:cs="Times New Roman"/>
          <w:sz w:val="20"/>
          <w:szCs w:val="20"/>
        </w:rPr>
        <w:pict>
          <v:rect id="_x0000_i1053" style="width:144.3pt;height:1pt" o:hrpct="300" o:hralign="center" o:hrstd="t" o:hrnoshade="t" o:hr="t" fillcolor="black [3213]" stroked="f"/>
        </w:pict>
      </w:r>
    </w:p>
    <w:p w:rsidR="005C033C" w:rsidRPr="005C033C" w:rsidRDefault="005C033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5C033C" w:rsidRPr="00FA222A" w:rsidRDefault="005C033C" w:rsidP="005C033C">
      <w:pPr>
        <w:ind w:left="1440" w:hanging="1440"/>
        <w:jc w:val="both"/>
        <w:rPr>
          <w:b/>
          <w:sz w:val="20"/>
          <w:szCs w:val="20"/>
          <w:u w:val="single"/>
          <w:lang w:val="fr-CA"/>
        </w:rPr>
      </w:pPr>
      <w:r w:rsidRPr="005C033C">
        <w:rPr>
          <w:b/>
          <w:sz w:val="20"/>
          <w:szCs w:val="20"/>
          <w:lang w:val="fr-CA"/>
        </w:rPr>
        <w:t>33194</w:t>
      </w:r>
      <w:r w:rsidRPr="005C033C">
        <w:rPr>
          <w:sz w:val="20"/>
          <w:szCs w:val="20"/>
          <w:lang w:val="fr-CA"/>
        </w:rPr>
        <w:tab/>
      </w:r>
      <w:r w:rsidRPr="00FA222A">
        <w:rPr>
          <w:b/>
          <w:iCs/>
          <w:sz w:val="20"/>
          <w:szCs w:val="20"/>
          <w:u w:val="single"/>
          <w:lang w:val="fr-CA"/>
        </w:rPr>
        <w:t xml:space="preserve">Alexandre </w:t>
      </w:r>
      <w:proofErr w:type="spellStart"/>
      <w:r w:rsidRPr="00FA222A">
        <w:rPr>
          <w:b/>
          <w:iCs/>
          <w:sz w:val="20"/>
          <w:szCs w:val="20"/>
          <w:u w:val="single"/>
          <w:lang w:val="fr-CA"/>
        </w:rPr>
        <w:t>Dubé</w:t>
      </w:r>
      <w:proofErr w:type="spellEnd"/>
      <w:r w:rsidRPr="00FA222A">
        <w:rPr>
          <w:b/>
          <w:iCs/>
          <w:sz w:val="20"/>
          <w:szCs w:val="20"/>
          <w:u w:val="single"/>
          <w:lang w:val="fr-CA"/>
        </w:rPr>
        <w:t xml:space="preserve"> c. Sa Majesté la Reine – et – </w:t>
      </w:r>
      <w:proofErr w:type="spellStart"/>
      <w:r w:rsidRPr="00FA222A">
        <w:rPr>
          <w:b/>
          <w:iCs/>
          <w:sz w:val="20"/>
          <w:szCs w:val="20"/>
          <w:u w:val="single"/>
          <w:lang w:val="fr-CA"/>
        </w:rPr>
        <w:t>Assembly</w:t>
      </w:r>
      <w:proofErr w:type="spellEnd"/>
      <w:r w:rsidRPr="00FA222A">
        <w:rPr>
          <w:b/>
          <w:iCs/>
          <w:sz w:val="20"/>
          <w:szCs w:val="20"/>
          <w:u w:val="single"/>
          <w:lang w:val="fr-CA"/>
        </w:rPr>
        <w:t xml:space="preserve"> of Manitoba </w:t>
      </w:r>
      <w:proofErr w:type="spellStart"/>
      <w:r w:rsidRPr="00FA222A">
        <w:rPr>
          <w:b/>
          <w:iCs/>
          <w:sz w:val="20"/>
          <w:szCs w:val="20"/>
          <w:u w:val="single"/>
          <w:lang w:val="fr-CA"/>
        </w:rPr>
        <w:t>Chiefs</w:t>
      </w:r>
      <w:proofErr w:type="spellEnd"/>
      <w:r w:rsidRPr="00FA222A">
        <w:rPr>
          <w:b/>
          <w:iCs/>
          <w:sz w:val="20"/>
          <w:szCs w:val="20"/>
          <w:u w:val="single"/>
          <w:lang w:val="fr-CA"/>
        </w:rPr>
        <w:t>, Grand Conseil des Cris (</w:t>
      </w:r>
      <w:proofErr w:type="spellStart"/>
      <w:r w:rsidRPr="00FA222A">
        <w:rPr>
          <w:b/>
          <w:iCs/>
          <w:sz w:val="20"/>
          <w:szCs w:val="20"/>
          <w:u w:val="single"/>
          <w:lang w:val="fr-CA"/>
        </w:rPr>
        <w:t>Eeyou</w:t>
      </w:r>
      <w:proofErr w:type="spellEnd"/>
      <w:r w:rsidRPr="00FA222A">
        <w:rPr>
          <w:b/>
          <w:iCs/>
          <w:sz w:val="20"/>
          <w:szCs w:val="20"/>
          <w:u w:val="single"/>
          <w:lang w:val="fr-CA"/>
        </w:rPr>
        <w:t xml:space="preserve"> </w:t>
      </w:r>
      <w:proofErr w:type="spellStart"/>
      <w:r w:rsidRPr="00FA222A">
        <w:rPr>
          <w:b/>
          <w:iCs/>
          <w:sz w:val="20"/>
          <w:szCs w:val="20"/>
          <w:u w:val="single"/>
          <w:lang w:val="fr-CA"/>
        </w:rPr>
        <w:t>Istchee</w:t>
      </w:r>
      <w:proofErr w:type="spellEnd"/>
      <w:r w:rsidRPr="00FA222A">
        <w:rPr>
          <w:b/>
          <w:iCs/>
          <w:sz w:val="20"/>
          <w:szCs w:val="20"/>
          <w:u w:val="single"/>
          <w:lang w:val="fr-CA"/>
        </w:rPr>
        <w:t xml:space="preserve">)/Administration régionale crie, Assemblée des Premières Nations, </w:t>
      </w:r>
      <w:proofErr w:type="spellStart"/>
      <w:r w:rsidRPr="00FA222A">
        <w:rPr>
          <w:b/>
          <w:iCs/>
          <w:sz w:val="20"/>
          <w:szCs w:val="20"/>
          <w:u w:val="single"/>
          <w:lang w:val="fr-CA"/>
        </w:rPr>
        <w:t>Chiefs</w:t>
      </w:r>
      <w:proofErr w:type="spellEnd"/>
      <w:r w:rsidRPr="00FA222A">
        <w:rPr>
          <w:b/>
          <w:iCs/>
          <w:sz w:val="20"/>
          <w:szCs w:val="20"/>
          <w:u w:val="single"/>
          <w:lang w:val="fr-CA"/>
        </w:rPr>
        <w:t xml:space="preserve"> of Ontario et Union of Nova </w:t>
      </w:r>
      <w:proofErr w:type="spellStart"/>
      <w:r w:rsidRPr="00FA222A">
        <w:rPr>
          <w:b/>
          <w:iCs/>
          <w:sz w:val="20"/>
          <w:szCs w:val="20"/>
          <w:u w:val="single"/>
          <w:lang w:val="fr-CA"/>
        </w:rPr>
        <w:t>Scotia</w:t>
      </w:r>
      <w:proofErr w:type="spellEnd"/>
      <w:r w:rsidRPr="00FA222A">
        <w:rPr>
          <w:b/>
          <w:iCs/>
          <w:sz w:val="20"/>
          <w:szCs w:val="20"/>
          <w:u w:val="single"/>
          <w:lang w:val="fr-CA"/>
        </w:rPr>
        <w:t xml:space="preserve"> </w:t>
      </w:r>
      <w:proofErr w:type="spellStart"/>
      <w:r w:rsidRPr="00FA222A">
        <w:rPr>
          <w:b/>
          <w:iCs/>
          <w:sz w:val="20"/>
          <w:szCs w:val="20"/>
          <w:u w:val="single"/>
          <w:lang w:val="fr-CA"/>
        </w:rPr>
        <w:t>Indians</w:t>
      </w:r>
      <w:proofErr w:type="spellEnd"/>
      <w:r w:rsidRPr="00FA222A">
        <w:rPr>
          <w:sz w:val="20"/>
          <w:szCs w:val="20"/>
          <w:lang w:val="fr-CA"/>
        </w:rPr>
        <w:t xml:space="preserve"> (C.F)</w:t>
      </w:r>
    </w:p>
    <w:p w:rsidR="005C033C" w:rsidRPr="005C033C" w:rsidRDefault="005C033C" w:rsidP="005C033C">
      <w:pPr>
        <w:ind w:left="1440" w:hanging="1440"/>
        <w:jc w:val="both"/>
        <w:rPr>
          <w:b/>
          <w:sz w:val="20"/>
          <w:szCs w:val="20"/>
          <w:lang w:val="fr-CA"/>
        </w:rPr>
      </w:pPr>
      <w:r w:rsidRPr="005C033C">
        <w:rPr>
          <w:b/>
          <w:sz w:val="20"/>
          <w:szCs w:val="20"/>
          <w:lang w:val="fr-CA"/>
        </w:rPr>
        <w:tab/>
        <w:t>2011 SCC 39 / 2011 CSC 39</w:t>
      </w:r>
    </w:p>
    <w:p w:rsidR="005C033C" w:rsidRPr="005C033C" w:rsidRDefault="005C033C" w:rsidP="005C033C">
      <w:pPr>
        <w:ind w:left="1440" w:hanging="1440"/>
        <w:jc w:val="both"/>
        <w:rPr>
          <w:b/>
          <w:sz w:val="20"/>
          <w:szCs w:val="20"/>
          <w:lang w:val="fr-CA"/>
        </w:rPr>
      </w:pPr>
    </w:p>
    <w:p w:rsidR="005C033C" w:rsidRPr="00FA222A" w:rsidRDefault="005C033C" w:rsidP="005C033C">
      <w:pPr>
        <w:ind w:left="1440" w:hanging="1440"/>
        <w:jc w:val="both"/>
        <w:rPr>
          <w:sz w:val="20"/>
          <w:szCs w:val="20"/>
          <w:u w:val="single"/>
          <w:lang w:val="fr-CA"/>
        </w:rPr>
      </w:pPr>
      <w:r w:rsidRPr="00FA222A">
        <w:rPr>
          <w:sz w:val="20"/>
          <w:szCs w:val="20"/>
          <w:lang w:val="fr-CA"/>
        </w:rPr>
        <w:t>Coram:</w:t>
      </w:r>
      <w:r>
        <w:rPr>
          <w:sz w:val="20"/>
          <w:szCs w:val="20"/>
          <w:lang w:val="fr-CA"/>
        </w:rPr>
        <w:tab/>
      </w:r>
      <w:r w:rsidRPr="00FA222A">
        <w:rPr>
          <w:sz w:val="20"/>
          <w:szCs w:val="20"/>
          <w:u w:val="single"/>
          <w:lang w:val="fr-CA"/>
        </w:rPr>
        <w:t xml:space="preserve">La juge en chef </w:t>
      </w:r>
      <w:proofErr w:type="spellStart"/>
      <w:r w:rsidRPr="00FA222A">
        <w:rPr>
          <w:sz w:val="20"/>
          <w:szCs w:val="20"/>
          <w:u w:val="single"/>
          <w:lang w:val="fr-CA"/>
        </w:rPr>
        <w:t>McLachlin</w:t>
      </w:r>
      <w:proofErr w:type="spellEnd"/>
      <w:r w:rsidRPr="00FA222A">
        <w:rPr>
          <w:sz w:val="20"/>
          <w:szCs w:val="20"/>
          <w:u w:val="single"/>
          <w:lang w:val="fr-CA"/>
        </w:rPr>
        <w:t xml:space="preserve"> et les juges </w:t>
      </w:r>
      <w:proofErr w:type="spellStart"/>
      <w:r w:rsidRPr="00FA222A">
        <w:rPr>
          <w:sz w:val="20"/>
          <w:szCs w:val="20"/>
          <w:u w:val="single"/>
          <w:lang w:val="fr-CA"/>
        </w:rPr>
        <w:t>Binnie</w:t>
      </w:r>
      <w:proofErr w:type="spellEnd"/>
      <w:r w:rsidRPr="00FA222A">
        <w:rPr>
          <w:sz w:val="20"/>
          <w:szCs w:val="20"/>
          <w:u w:val="single"/>
          <w:lang w:val="fr-CA"/>
        </w:rPr>
        <w:t xml:space="preserve">, Deschamps, Fish, Charron, </w:t>
      </w:r>
      <w:proofErr w:type="spellStart"/>
      <w:r w:rsidRPr="00FA222A">
        <w:rPr>
          <w:sz w:val="20"/>
          <w:szCs w:val="20"/>
          <w:u w:val="single"/>
          <w:lang w:val="fr-CA"/>
        </w:rPr>
        <w:t>Rothstein</w:t>
      </w:r>
      <w:proofErr w:type="spellEnd"/>
      <w:r w:rsidRPr="00FA222A">
        <w:rPr>
          <w:sz w:val="20"/>
          <w:szCs w:val="20"/>
          <w:u w:val="single"/>
          <w:lang w:val="fr-CA"/>
        </w:rPr>
        <w:t xml:space="preserve"> et Cromwell</w:t>
      </w:r>
    </w:p>
    <w:p w:rsidR="005C033C" w:rsidRPr="00FA222A" w:rsidRDefault="005C033C" w:rsidP="005C033C">
      <w:pPr>
        <w:ind w:left="720" w:hanging="720"/>
        <w:jc w:val="both"/>
        <w:rPr>
          <w:sz w:val="20"/>
          <w:szCs w:val="20"/>
          <w:u w:val="single"/>
          <w:lang w:val="fr-CA"/>
        </w:rPr>
      </w:pPr>
    </w:p>
    <w:p w:rsidR="005C033C" w:rsidRPr="00FA222A" w:rsidRDefault="005C033C" w:rsidP="005C033C">
      <w:pPr>
        <w:jc w:val="both"/>
        <w:rPr>
          <w:sz w:val="20"/>
          <w:szCs w:val="20"/>
        </w:rPr>
      </w:pPr>
      <w:r w:rsidRPr="00FA222A">
        <w:rPr>
          <w:sz w:val="20"/>
          <w:szCs w:val="20"/>
          <w:lang w:val="fr-CA"/>
        </w:rPr>
        <w:t xml:space="preserve">L’appel interjeté contre l’arrêt de la Cour d’appel fédérale, numéro A-7-08, 2009 CAF 109, en date du 8 avril 2009, entendu le 20 mai 2010, est accueilli </w:t>
      </w:r>
      <w:r w:rsidR="000349B2">
        <w:rPr>
          <w:sz w:val="20"/>
          <w:lang w:val="fr-CA"/>
        </w:rPr>
        <w:t xml:space="preserve">avec </w:t>
      </w:r>
      <w:r w:rsidR="000349B2" w:rsidRPr="00C22D3F">
        <w:rPr>
          <w:sz w:val="20"/>
          <w:szCs w:val="20"/>
          <w:lang w:val="fr-CA"/>
        </w:rPr>
        <w:t>dépens</w:t>
      </w:r>
      <w:r w:rsidR="000349B2" w:rsidRPr="00FA222A">
        <w:rPr>
          <w:sz w:val="20"/>
          <w:szCs w:val="20"/>
          <w:lang w:val="fr-CA"/>
        </w:rPr>
        <w:t xml:space="preserve"> </w:t>
      </w:r>
      <w:r w:rsidRPr="00FA222A">
        <w:rPr>
          <w:sz w:val="20"/>
          <w:szCs w:val="20"/>
          <w:lang w:val="fr-CA"/>
        </w:rPr>
        <w:t xml:space="preserve">devant toutes les cours. </w:t>
      </w:r>
      <w:r w:rsidRPr="00FA222A">
        <w:rPr>
          <w:sz w:val="20"/>
          <w:szCs w:val="20"/>
        </w:rPr>
        <w:t xml:space="preserve">Les </w:t>
      </w:r>
      <w:proofErr w:type="spellStart"/>
      <w:r w:rsidRPr="00FA222A">
        <w:rPr>
          <w:sz w:val="20"/>
          <w:szCs w:val="20"/>
        </w:rPr>
        <w:t>juges</w:t>
      </w:r>
      <w:proofErr w:type="spellEnd"/>
      <w:r w:rsidRPr="00FA222A">
        <w:rPr>
          <w:sz w:val="20"/>
          <w:szCs w:val="20"/>
        </w:rPr>
        <w:t xml:space="preserve"> </w:t>
      </w:r>
      <w:proofErr w:type="spellStart"/>
      <w:r w:rsidRPr="00FA222A">
        <w:rPr>
          <w:sz w:val="20"/>
          <w:szCs w:val="20"/>
        </w:rPr>
        <w:t>Deschamps</w:t>
      </w:r>
      <w:proofErr w:type="spellEnd"/>
      <w:r w:rsidRPr="00FA222A">
        <w:rPr>
          <w:sz w:val="20"/>
          <w:szCs w:val="20"/>
        </w:rPr>
        <w:t xml:space="preserve"> </w:t>
      </w:r>
      <w:proofErr w:type="gramStart"/>
      <w:r w:rsidRPr="00FA222A">
        <w:rPr>
          <w:sz w:val="20"/>
          <w:szCs w:val="20"/>
        </w:rPr>
        <w:t>et</w:t>
      </w:r>
      <w:proofErr w:type="gramEnd"/>
      <w:r w:rsidRPr="00FA222A">
        <w:rPr>
          <w:sz w:val="20"/>
          <w:szCs w:val="20"/>
        </w:rPr>
        <w:t xml:space="preserve"> Rothstein </w:t>
      </w:r>
      <w:proofErr w:type="spellStart"/>
      <w:r w:rsidRPr="00FA222A">
        <w:rPr>
          <w:sz w:val="20"/>
          <w:szCs w:val="20"/>
        </w:rPr>
        <w:t>sont</w:t>
      </w:r>
      <w:proofErr w:type="spellEnd"/>
      <w:r w:rsidRPr="00FA222A">
        <w:rPr>
          <w:sz w:val="20"/>
          <w:szCs w:val="20"/>
        </w:rPr>
        <w:t xml:space="preserve"> dissidents.</w:t>
      </w:r>
    </w:p>
    <w:p w:rsidR="005C033C" w:rsidRPr="00FA222A" w:rsidRDefault="005C033C" w:rsidP="005C033C">
      <w:pPr>
        <w:jc w:val="both"/>
        <w:rPr>
          <w:sz w:val="20"/>
          <w:szCs w:val="20"/>
        </w:rPr>
      </w:pPr>
    </w:p>
    <w:p w:rsidR="005C033C" w:rsidRPr="00FA222A" w:rsidRDefault="005C033C" w:rsidP="005C033C">
      <w:pPr>
        <w:jc w:val="both"/>
        <w:rPr>
          <w:sz w:val="20"/>
          <w:szCs w:val="20"/>
        </w:rPr>
      </w:pPr>
      <w:r w:rsidRPr="00FA222A">
        <w:rPr>
          <w:sz w:val="20"/>
          <w:szCs w:val="20"/>
        </w:rPr>
        <w:t xml:space="preserve">The appeal from the judgment of the Federal Court of Appeal, Number A-7-08, 2009 FCA 109, dated April 8, 2009, heard on May 20, 2010, is allowed with costs throughout, </w:t>
      </w:r>
      <w:proofErr w:type="spellStart"/>
      <w:r w:rsidRPr="00FA222A">
        <w:rPr>
          <w:sz w:val="20"/>
          <w:szCs w:val="20"/>
        </w:rPr>
        <w:t>Deschamps</w:t>
      </w:r>
      <w:proofErr w:type="spellEnd"/>
      <w:r w:rsidRPr="00FA222A">
        <w:rPr>
          <w:sz w:val="20"/>
          <w:szCs w:val="20"/>
        </w:rPr>
        <w:t xml:space="preserve"> and Rothstein JJ. </w:t>
      </w:r>
      <w:proofErr w:type="gramStart"/>
      <w:r w:rsidRPr="00FA222A">
        <w:rPr>
          <w:sz w:val="20"/>
          <w:szCs w:val="20"/>
        </w:rPr>
        <w:t>dissenting</w:t>
      </w:r>
      <w:proofErr w:type="gramEnd"/>
      <w:r w:rsidRPr="00FA222A">
        <w:rPr>
          <w:sz w:val="20"/>
          <w:szCs w:val="20"/>
        </w:rPr>
        <w:t>.</w:t>
      </w:r>
    </w:p>
    <w:p w:rsidR="005C033C" w:rsidRPr="005C033C" w:rsidRDefault="005C033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5C033C" w:rsidRDefault="001557DD"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1557DD">
        <w:rPr>
          <w:rFonts w:cs="Times New Roman"/>
          <w:sz w:val="20"/>
          <w:szCs w:val="20"/>
        </w:rPr>
        <w:pict>
          <v:rect id="_x0000_i1054" style="width:144.3pt;height:1pt" o:hrpct="300" o:hralign="center" o:hrstd="t" o:hrnoshade="t" o:hr="t" fillcolor="black [3213]" stroked="f"/>
        </w:pict>
      </w:r>
    </w:p>
    <w:p w:rsidR="005C033C" w:rsidRPr="006C5F7A" w:rsidRDefault="005C033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2B1AA7" w:rsidRDefault="00B825AC" w:rsidP="005C6840">
      <w:pPr>
        <w:rPr>
          <w:sz w:val="20"/>
          <w:szCs w:val="20"/>
          <w:lang w:val="en-GB"/>
        </w:rPr>
      </w:pPr>
      <w:r w:rsidRPr="008664D8">
        <w:rPr>
          <w:i/>
          <w:sz w:val="20"/>
          <w:szCs w:val="20"/>
          <w:lang w:val="en-GB"/>
        </w:rPr>
        <w:t xml:space="preserve">Her Majesty the Queen in Right of Alberta (Minister of Aboriginal Affairs and Northern Development) et al. v. Barbara Cunningham et al. </w:t>
      </w:r>
      <w:r w:rsidRPr="008664D8">
        <w:rPr>
          <w:sz w:val="20"/>
          <w:szCs w:val="20"/>
          <w:lang w:val="en-GB"/>
        </w:rPr>
        <w:t>(Alta.) (33340)</w:t>
      </w:r>
    </w:p>
    <w:p w:rsidR="006A000C" w:rsidRPr="00152BCF" w:rsidRDefault="006A000C" w:rsidP="006A000C">
      <w:pPr>
        <w:jc w:val="both"/>
        <w:rPr>
          <w:rStyle w:val="SCCRespondentForIndexChar"/>
          <w:rFonts w:eastAsiaTheme="minorHAnsi"/>
          <w:sz w:val="20"/>
        </w:rPr>
      </w:pPr>
      <w:r w:rsidRPr="00152BCF">
        <w:rPr>
          <w:rFonts w:cs="Times New Roman"/>
          <w:b/>
          <w:sz w:val="20"/>
          <w:szCs w:val="20"/>
        </w:rPr>
        <w:t xml:space="preserve">Indexed as:  </w:t>
      </w:r>
      <w:r w:rsidRPr="006A000C">
        <w:rPr>
          <w:rStyle w:val="SCCAppellantForIndexChar"/>
          <w:rFonts w:eastAsiaTheme="minorHAnsi"/>
          <w:sz w:val="20"/>
          <w:lang w:val="en-CA"/>
        </w:rPr>
        <w:t xml:space="preserve">Alberta (Aboriginal Affairs and Northern Development) </w:t>
      </w:r>
      <w:r w:rsidRPr="00152BCF">
        <w:rPr>
          <w:rFonts w:cs="Times New Roman"/>
          <w:b/>
          <w:i/>
          <w:sz w:val="20"/>
          <w:szCs w:val="20"/>
        </w:rPr>
        <w:t>v.</w:t>
      </w:r>
      <w:r w:rsidRPr="00152BCF">
        <w:rPr>
          <w:rFonts w:cs="Times New Roman"/>
          <w:b/>
          <w:sz w:val="20"/>
          <w:szCs w:val="20"/>
        </w:rPr>
        <w:t xml:space="preserve"> </w:t>
      </w:r>
      <w:r w:rsidRPr="00152BCF">
        <w:rPr>
          <w:rStyle w:val="SCCRespondentForIndexChar"/>
          <w:rFonts w:eastAsiaTheme="minorHAnsi"/>
          <w:sz w:val="20"/>
        </w:rPr>
        <w:t>Cunningham</w:t>
      </w:r>
      <w:r>
        <w:rPr>
          <w:rStyle w:val="SCCRespondentForIndexChar"/>
          <w:rFonts w:eastAsiaTheme="minorHAnsi"/>
          <w:sz w:val="20"/>
        </w:rPr>
        <w:t xml:space="preserve"> /</w:t>
      </w:r>
    </w:p>
    <w:p w:rsidR="006A000C" w:rsidRPr="00475607" w:rsidRDefault="006A000C" w:rsidP="006A000C">
      <w:pPr>
        <w:pStyle w:val="SCCLsocParty"/>
        <w:rPr>
          <w:sz w:val="20"/>
        </w:rPr>
      </w:pPr>
      <w:r w:rsidRPr="00475607">
        <w:rPr>
          <w:sz w:val="20"/>
        </w:rPr>
        <w:t>Répertorié : </w:t>
      </w:r>
      <w:r w:rsidRPr="00475607">
        <w:rPr>
          <w:rStyle w:val="SCCAppellantForIndexChar"/>
          <w:sz w:val="20"/>
        </w:rPr>
        <w:t>Alberta (</w:t>
      </w:r>
      <w:r w:rsidRPr="00475607">
        <w:rPr>
          <w:sz w:val="20"/>
        </w:rPr>
        <w:t xml:space="preserve">Affaires autochtones et développement du Nord) </w:t>
      </w:r>
      <w:r w:rsidRPr="00475607">
        <w:rPr>
          <w:i/>
          <w:sz w:val="20"/>
        </w:rPr>
        <w:t>c.</w:t>
      </w:r>
      <w:r w:rsidRPr="00475607">
        <w:rPr>
          <w:sz w:val="20"/>
        </w:rPr>
        <w:t xml:space="preserve"> Cunningham</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7F387B">
        <w:rPr>
          <w:sz w:val="20"/>
        </w:rPr>
        <w:t>1</w:t>
      </w:r>
      <w:proofErr w:type="gramEnd"/>
      <w:r w:rsidRPr="003B3977">
        <w:rPr>
          <w:sz w:val="20"/>
        </w:rPr>
        <w:t xml:space="preserve"> SCC </w:t>
      </w:r>
      <w:r w:rsidR="00B825AC">
        <w:rPr>
          <w:sz w:val="20"/>
        </w:rPr>
        <w:t>37</w:t>
      </w:r>
      <w:r w:rsidRPr="003B3977">
        <w:rPr>
          <w:sz w:val="20"/>
        </w:rPr>
        <w:t xml:space="preserve"> / Référence neutre : 201</w:t>
      </w:r>
      <w:r w:rsidR="007F387B">
        <w:rPr>
          <w:sz w:val="20"/>
        </w:rPr>
        <w:t>1</w:t>
      </w:r>
      <w:r w:rsidRPr="003B3977">
        <w:rPr>
          <w:sz w:val="20"/>
        </w:rPr>
        <w:t xml:space="preserve"> CSC </w:t>
      </w:r>
      <w:r w:rsidR="00B825AC">
        <w:rPr>
          <w:sz w:val="20"/>
        </w:rPr>
        <w:t>37</w:t>
      </w:r>
    </w:p>
    <w:p w:rsidR="005C6840" w:rsidRPr="003B3977" w:rsidRDefault="006A000C" w:rsidP="005C6840">
      <w:pPr>
        <w:rPr>
          <w:rFonts w:cs="Times New Roman"/>
          <w:sz w:val="20"/>
          <w:szCs w:val="20"/>
          <w:lang w:val="fr-CA"/>
        </w:rPr>
      </w:pPr>
      <w:proofErr w:type="spellStart"/>
      <w:r>
        <w:rPr>
          <w:rFonts w:cs="Times New Roman"/>
          <w:sz w:val="20"/>
          <w:szCs w:val="20"/>
          <w:lang w:val="fr-CA"/>
        </w:rPr>
        <w:t>Hearing</w:t>
      </w:r>
      <w:proofErr w:type="spellEnd"/>
      <w:proofErr w:type="gramStart"/>
      <w:r>
        <w:rPr>
          <w:rFonts w:cs="Times New Roman"/>
          <w:sz w:val="20"/>
          <w:szCs w:val="20"/>
          <w:lang w:val="fr-CA"/>
        </w:rPr>
        <w:t xml:space="preserve">:  </w:t>
      </w:r>
      <w:proofErr w:type="spellStart"/>
      <w:r>
        <w:rPr>
          <w:rFonts w:cs="Times New Roman"/>
          <w:sz w:val="20"/>
          <w:szCs w:val="20"/>
          <w:lang w:val="fr-CA"/>
        </w:rPr>
        <w:t>Decemb</w:t>
      </w:r>
      <w:r w:rsidR="005C6840" w:rsidRPr="003B3977">
        <w:rPr>
          <w:rFonts w:cs="Times New Roman"/>
          <w:sz w:val="20"/>
          <w:szCs w:val="20"/>
          <w:lang w:val="fr-CA"/>
        </w:rPr>
        <w:t>er</w:t>
      </w:r>
      <w:proofErr w:type="spellEnd"/>
      <w:proofErr w:type="gramEnd"/>
      <w:r w:rsidR="005C6840" w:rsidRPr="003B3977">
        <w:rPr>
          <w:rFonts w:cs="Times New Roman"/>
          <w:sz w:val="20"/>
          <w:szCs w:val="20"/>
          <w:lang w:val="fr-CA"/>
        </w:rPr>
        <w:t xml:space="preserve"> </w:t>
      </w:r>
      <w:r>
        <w:rPr>
          <w:rFonts w:cs="Times New Roman"/>
          <w:sz w:val="20"/>
          <w:szCs w:val="20"/>
          <w:lang w:val="fr-CA"/>
        </w:rPr>
        <w:t>16</w:t>
      </w:r>
      <w:r w:rsidR="005C6840" w:rsidRPr="003B3977">
        <w:rPr>
          <w:rFonts w:cs="Times New Roman"/>
          <w:sz w:val="20"/>
          <w:szCs w:val="20"/>
          <w:lang w:val="fr-CA"/>
        </w:rPr>
        <w:t xml:space="preserve">, 2010 / </w:t>
      </w:r>
      <w:proofErr w:type="spellStart"/>
      <w:r w:rsidR="005C6840" w:rsidRPr="003B3977">
        <w:rPr>
          <w:rFonts w:cs="Times New Roman"/>
          <w:sz w:val="20"/>
          <w:szCs w:val="20"/>
          <w:lang w:val="fr-CA"/>
        </w:rPr>
        <w:t>Judgment</w:t>
      </w:r>
      <w:proofErr w:type="spellEnd"/>
      <w:r w:rsidR="005C6840" w:rsidRPr="003B3977">
        <w:rPr>
          <w:rFonts w:cs="Times New Roman"/>
          <w:sz w:val="20"/>
          <w:szCs w:val="20"/>
          <w:lang w:val="fr-CA"/>
        </w:rPr>
        <w:t xml:space="preserve">:  </w:t>
      </w:r>
      <w:r w:rsidR="00B825AC">
        <w:rPr>
          <w:rFonts w:cs="Times New Roman"/>
          <w:sz w:val="20"/>
          <w:szCs w:val="20"/>
          <w:lang w:val="fr-CA"/>
        </w:rPr>
        <w:t>July 21</w:t>
      </w:r>
      <w:r w:rsidR="005C6840" w:rsidRPr="003B3977">
        <w:rPr>
          <w:rFonts w:cs="Times New Roman"/>
          <w:sz w:val="20"/>
          <w:szCs w:val="20"/>
          <w:lang w:val="fr-CA"/>
        </w:rPr>
        <w:t>, 201</w:t>
      </w:r>
      <w:r w:rsidR="00B825AC">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A000C">
        <w:rPr>
          <w:rFonts w:cs="Times New Roman"/>
          <w:sz w:val="20"/>
          <w:szCs w:val="20"/>
          <w:lang w:val="fr-CA"/>
        </w:rPr>
        <w:t>16 dé</w:t>
      </w:r>
      <w:r w:rsidRPr="003B3977">
        <w:rPr>
          <w:rFonts w:cs="Times New Roman"/>
          <w:sz w:val="20"/>
          <w:szCs w:val="20"/>
          <w:lang w:val="fr-CA"/>
        </w:rPr>
        <w:t>c</w:t>
      </w:r>
      <w:r w:rsidR="006A000C">
        <w:rPr>
          <w:rFonts w:cs="Times New Roman"/>
          <w:sz w:val="20"/>
          <w:szCs w:val="20"/>
          <w:lang w:val="fr-CA"/>
        </w:rPr>
        <w:t>em</w:t>
      </w:r>
      <w:r w:rsidRPr="003B3977">
        <w:rPr>
          <w:rFonts w:cs="Times New Roman"/>
          <w:sz w:val="20"/>
          <w:szCs w:val="20"/>
          <w:lang w:val="fr-CA"/>
        </w:rPr>
        <w:t>bre 2010 / Jugement : Le 2</w:t>
      </w:r>
      <w:r w:rsidR="00B825AC">
        <w:rPr>
          <w:rFonts w:cs="Times New Roman"/>
          <w:sz w:val="20"/>
          <w:szCs w:val="20"/>
          <w:lang w:val="fr-CA"/>
        </w:rPr>
        <w:t>1 juillet</w:t>
      </w:r>
      <w:r w:rsidRPr="003B3977">
        <w:rPr>
          <w:rFonts w:cs="Times New Roman"/>
          <w:sz w:val="20"/>
          <w:szCs w:val="20"/>
          <w:lang w:val="fr-CA"/>
        </w:rPr>
        <w:t xml:space="preserve"> 201</w:t>
      </w:r>
      <w:r w:rsidR="00B825AC">
        <w:rPr>
          <w:rFonts w:cs="Times New Roman"/>
          <w:sz w:val="20"/>
          <w:szCs w:val="20"/>
          <w:lang w:val="fr-CA"/>
        </w:rPr>
        <w:t>1</w:t>
      </w:r>
    </w:p>
    <w:p w:rsidR="005C6840" w:rsidRPr="003B3977" w:rsidRDefault="001557DD" w:rsidP="005C6840">
      <w:pPr>
        <w:rPr>
          <w:rFonts w:cs="Times New Roman"/>
          <w:sz w:val="20"/>
          <w:szCs w:val="20"/>
          <w:lang w:val="fr-CA"/>
        </w:rPr>
      </w:pPr>
      <w:r w:rsidRPr="001557DD">
        <w:rPr>
          <w:rFonts w:cs="Times New Roman"/>
          <w:i/>
          <w:sz w:val="20"/>
          <w:szCs w:val="20"/>
        </w:rPr>
        <w:pict>
          <v:rect id="_x0000_i1057" style="width:480.95pt;height:1pt" o:hralign="center" o:hrstd="t" o:hrnoshade="t" o:hr="t" fillcolor="black [3213]" stroked="f"/>
        </w:pict>
      </w:r>
    </w:p>
    <w:p w:rsidR="005C6840" w:rsidRDefault="005C6840" w:rsidP="005C6840">
      <w:pPr>
        <w:rPr>
          <w:rFonts w:cs="Times New Roman"/>
          <w:sz w:val="20"/>
          <w:szCs w:val="20"/>
          <w:lang w:val="fr-CA"/>
        </w:rPr>
      </w:pPr>
    </w:p>
    <w:p w:rsidR="006A000C" w:rsidRPr="00152BCF" w:rsidRDefault="006A000C" w:rsidP="006A000C">
      <w:pPr>
        <w:jc w:val="both"/>
        <w:rPr>
          <w:rFonts w:cs="Times New Roman"/>
          <w:sz w:val="20"/>
          <w:szCs w:val="20"/>
        </w:rPr>
      </w:pPr>
      <w:r w:rsidRPr="00152BCF">
        <w:rPr>
          <w:rFonts w:cs="Times New Roman"/>
          <w:sz w:val="20"/>
          <w:szCs w:val="20"/>
        </w:rPr>
        <w:t xml:space="preserve">Present:  </w:t>
      </w:r>
      <w:proofErr w:type="spellStart"/>
      <w:r w:rsidRPr="00152BCF">
        <w:rPr>
          <w:rFonts w:cs="Times New Roman"/>
          <w:sz w:val="20"/>
          <w:szCs w:val="20"/>
        </w:rPr>
        <w:t>McLachlin</w:t>
      </w:r>
      <w:proofErr w:type="spellEnd"/>
      <w:r w:rsidRPr="00152BCF">
        <w:rPr>
          <w:rFonts w:cs="Times New Roman"/>
          <w:sz w:val="20"/>
          <w:szCs w:val="20"/>
        </w:rPr>
        <w:t xml:space="preserve"> C.J. and </w:t>
      </w:r>
      <w:proofErr w:type="spellStart"/>
      <w:r w:rsidRPr="00152BCF">
        <w:rPr>
          <w:rFonts w:cs="Times New Roman"/>
          <w:sz w:val="20"/>
          <w:szCs w:val="20"/>
        </w:rPr>
        <w:t>Binnie</w:t>
      </w:r>
      <w:proofErr w:type="spellEnd"/>
      <w:r w:rsidRPr="00152BCF">
        <w:rPr>
          <w:rFonts w:cs="Times New Roman"/>
          <w:sz w:val="20"/>
          <w:szCs w:val="20"/>
        </w:rPr>
        <w:t xml:space="preserve">, </w:t>
      </w:r>
      <w:proofErr w:type="spellStart"/>
      <w:r w:rsidRPr="00152BCF">
        <w:rPr>
          <w:rFonts w:cs="Times New Roman"/>
          <w:sz w:val="20"/>
          <w:szCs w:val="20"/>
        </w:rPr>
        <w:t>LeBel</w:t>
      </w:r>
      <w:proofErr w:type="spellEnd"/>
      <w:r w:rsidRPr="00152BCF">
        <w:rPr>
          <w:rFonts w:cs="Times New Roman"/>
          <w:sz w:val="20"/>
          <w:szCs w:val="20"/>
        </w:rPr>
        <w:t xml:space="preserve">, </w:t>
      </w:r>
      <w:proofErr w:type="spellStart"/>
      <w:r w:rsidRPr="00152BCF">
        <w:rPr>
          <w:rFonts w:cs="Times New Roman"/>
          <w:sz w:val="20"/>
          <w:szCs w:val="20"/>
        </w:rPr>
        <w:t>Deschamps</w:t>
      </w:r>
      <w:proofErr w:type="spellEnd"/>
      <w:r w:rsidRPr="00152BCF">
        <w:rPr>
          <w:rFonts w:cs="Times New Roman"/>
          <w:sz w:val="20"/>
          <w:szCs w:val="20"/>
        </w:rPr>
        <w:t xml:space="preserve">, Fish, </w:t>
      </w:r>
      <w:proofErr w:type="spellStart"/>
      <w:r w:rsidRPr="00152BCF">
        <w:rPr>
          <w:rFonts w:cs="Times New Roman"/>
          <w:sz w:val="20"/>
          <w:szCs w:val="20"/>
        </w:rPr>
        <w:t>Abella</w:t>
      </w:r>
      <w:proofErr w:type="spellEnd"/>
      <w:r w:rsidRPr="00152BCF">
        <w:rPr>
          <w:rFonts w:cs="Times New Roman"/>
          <w:sz w:val="20"/>
          <w:szCs w:val="20"/>
        </w:rPr>
        <w:t xml:space="preserve">, </w:t>
      </w:r>
      <w:proofErr w:type="spellStart"/>
      <w:r w:rsidRPr="00152BCF">
        <w:rPr>
          <w:rFonts w:cs="Times New Roman"/>
          <w:sz w:val="20"/>
          <w:szCs w:val="20"/>
        </w:rPr>
        <w:t>Charron</w:t>
      </w:r>
      <w:proofErr w:type="spellEnd"/>
      <w:r w:rsidRPr="00152BCF">
        <w:rPr>
          <w:rFonts w:cs="Times New Roman"/>
          <w:sz w:val="20"/>
          <w:szCs w:val="20"/>
        </w:rPr>
        <w:t>, Rothstein and Cromwell JJ.</w:t>
      </w:r>
    </w:p>
    <w:p w:rsidR="006A000C" w:rsidRDefault="006A000C" w:rsidP="006A000C">
      <w:pPr>
        <w:pStyle w:val="SCCLowerCourtNameLowercase"/>
        <w:spacing w:line="240" w:lineRule="auto"/>
        <w:rPr>
          <w:sz w:val="20"/>
        </w:rPr>
      </w:pPr>
    </w:p>
    <w:p w:rsidR="006A000C" w:rsidRDefault="006A000C" w:rsidP="006A000C">
      <w:pPr>
        <w:pStyle w:val="SCCNormalDoubleSpacing"/>
        <w:spacing w:line="240" w:lineRule="auto"/>
        <w:rPr>
          <w:i/>
          <w:sz w:val="20"/>
        </w:rPr>
      </w:pPr>
      <w:r w:rsidRPr="00152BCF">
        <w:rPr>
          <w:rStyle w:val="QuoteChar"/>
          <w:sz w:val="20"/>
        </w:rPr>
        <w:tab/>
        <w:t>Constitutional</w:t>
      </w:r>
      <w:r w:rsidRPr="00152BCF">
        <w:rPr>
          <w:i/>
          <w:sz w:val="20"/>
        </w:rPr>
        <w:t xml:space="preserve"> Law — Charter of Rights — Right to equality — Ameliorative programs — Alberta </w:t>
      </w:r>
      <w:proofErr w:type="spellStart"/>
      <w:r w:rsidRPr="00152BCF">
        <w:rPr>
          <w:i/>
          <w:sz w:val="20"/>
        </w:rPr>
        <w:t>Metis</w:t>
      </w:r>
      <w:proofErr w:type="spellEnd"/>
      <w:r w:rsidRPr="00152BCF">
        <w:rPr>
          <w:i/>
          <w:sz w:val="20"/>
        </w:rPr>
        <w:t xml:space="preserve"> Settlements Act providing that voluntary registration under the Indian Act precludes membership in a Métis settlement — Whether distinction drawn on enumerated or analogous grounds — Whether program genuinely ameliorative — Whether distinction serves or advances object of ameliorative program — Canadian Charter of Rights and Freedoms, s. 15(2) — </w:t>
      </w:r>
      <w:proofErr w:type="spellStart"/>
      <w:r w:rsidRPr="00152BCF">
        <w:rPr>
          <w:i/>
          <w:sz w:val="20"/>
        </w:rPr>
        <w:t>Metis</w:t>
      </w:r>
      <w:proofErr w:type="spellEnd"/>
      <w:r w:rsidRPr="00152BCF">
        <w:rPr>
          <w:i/>
          <w:sz w:val="20"/>
        </w:rPr>
        <w:t xml:space="preserve"> Settlements Act, R.S.A. 2000, c. M</w:t>
      </w:r>
      <w:r w:rsidRPr="00152BCF">
        <w:rPr>
          <w:i/>
          <w:sz w:val="20"/>
        </w:rPr>
        <w:noBreakHyphen/>
        <w:t>14, ss. 75, 90.</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rStyle w:val="QuoteChar"/>
          <w:sz w:val="20"/>
        </w:rPr>
        <w:tab/>
        <w:t>Constitutional</w:t>
      </w:r>
      <w:r w:rsidRPr="00152BCF">
        <w:rPr>
          <w:i/>
          <w:sz w:val="20"/>
        </w:rPr>
        <w:t xml:space="preserve"> Law — Charter of Rights — Freedom of Association — Alberta </w:t>
      </w:r>
      <w:proofErr w:type="spellStart"/>
      <w:r w:rsidRPr="00152BCF">
        <w:rPr>
          <w:i/>
          <w:sz w:val="20"/>
        </w:rPr>
        <w:t>Metis</w:t>
      </w:r>
      <w:proofErr w:type="spellEnd"/>
      <w:r w:rsidRPr="00152BCF">
        <w:rPr>
          <w:i/>
          <w:sz w:val="20"/>
        </w:rPr>
        <w:t xml:space="preserve"> Settlements Act providing that voluntary registration under the Indian Act precludes membership in a Métis settlement — Whether legislation violates right to freedom of association — Canadian Charter of Rights and Freedoms, s. 2(d) — </w:t>
      </w:r>
      <w:proofErr w:type="spellStart"/>
      <w:r w:rsidRPr="00152BCF">
        <w:rPr>
          <w:i/>
          <w:sz w:val="20"/>
        </w:rPr>
        <w:t>Metis</w:t>
      </w:r>
      <w:proofErr w:type="spellEnd"/>
      <w:r w:rsidRPr="00152BCF">
        <w:rPr>
          <w:i/>
          <w:sz w:val="20"/>
        </w:rPr>
        <w:t xml:space="preserve"> Settlements Act, R.S.A. 2000, c. M</w:t>
      </w:r>
      <w:r w:rsidRPr="00152BCF">
        <w:rPr>
          <w:i/>
          <w:sz w:val="20"/>
        </w:rPr>
        <w:noBreakHyphen/>
        <w:t>14, ss. 75, 90.</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rStyle w:val="QuoteChar"/>
          <w:sz w:val="20"/>
        </w:rPr>
        <w:tab/>
        <w:t>Constitutional</w:t>
      </w:r>
      <w:r w:rsidRPr="00152BCF">
        <w:rPr>
          <w:i/>
          <w:sz w:val="20"/>
        </w:rPr>
        <w:t xml:space="preserve"> Law — Charter of Rights — Right to Liberty — Alberta </w:t>
      </w:r>
      <w:proofErr w:type="spellStart"/>
      <w:r w:rsidRPr="00152BCF">
        <w:rPr>
          <w:i/>
          <w:sz w:val="20"/>
        </w:rPr>
        <w:t>Metis</w:t>
      </w:r>
      <w:proofErr w:type="spellEnd"/>
      <w:r w:rsidRPr="00152BCF">
        <w:rPr>
          <w:i/>
          <w:sz w:val="20"/>
        </w:rPr>
        <w:t xml:space="preserve"> Settlements Act providing that voluntary registration under the Indian Act precludes membership in a Métis settlement — Whether legislation violates right to liberty — Canadian Charter of Rights and Freedoms, s. 7 — </w:t>
      </w:r>
      <w:proofErr w:type="spellStart"/>
      <w:r w:rsidRPr="00152BCF">
        <w:rPr>
          <w:i/>
          <w:sz w:val="20"/>
        </w:rPr>
        <w:t>Metis</w:t>
      </w:r>
      <w:proofErr w:type="spellEnd"/>
      <w:r w:rsidRPr="00152BCF">
        <w:rPr>
          <w:i/>
          <w:sz w:val="20"/>
        </w:rPr>
        <w:t xml:space="preserve"> Settlements Act, R.S.A. 2000, c. M</w:t>
      </w:r>
      <w:r w:rsidRPr="00152BCF">
        <w:rPr>
          <w:i/>
          <w:sz w:val="20"/>
        </w:rPr>
        <w:noBreakHyphen/>
        <w:t>14, ss. 75, 90.</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sz w:val="20"/>
          <w:lang w:val="en-US"/>
        </w:rPr>
      </w:pPr>
      <w:r w:rsidRPr="00152BCF">
        <w:rPr>
          <w:sz w:val="20"/>
        </w:rPr>
        <w:tab/>
        <w:t xml:space="preserve">Section 35 of the </w:t>
      </w:r>
      <w:r w:rsidRPr="00152BCF">
        <w:rPr>
          <w:i/>
          <w:sz w:val="20"/>
        </w:rPr>
        <w:t xml:space="preserve">Constitution Act, 1982 </w:t>
      </w:r>
      <w:r w:rsidRPr="00152BCF">
        <w:rPr>
          <w:sz w:val="20"/>
        </w:rPr>
        <w:t>recognizes three groups of Aboriginal peoples — Indians, Métis and Inuit.  In Alberta, the relationship between the government and the M</w:t>
      </w:r>
      <w:proofErr w:type="spellStart"/>
      <w:r w:rsidRPr="00152BCF">
        <w:rPr>
          <w:sz w:val="20"/>
          <w:lang w:val="en-US"/>
        </w:rPr>
        <w:t>étis</w:t>
      </w:r>
      <w:proofErr w:type="spellEnd"/>
      <w:r w:rsidRPr="00152BCF">
        <w:rPr>
          <w:sz w:val="20"/>
          <w:lang w:val="en-US"/>
        </w:rPr>
        <w:t xml:space="preserve"> has evolved to a point where the Métis and the government entered into negotiations centered on establishing settlement lands for Métis communities, extending </w:t>
      </w:r>
      <w:proofErr w:type="spellStart"/>
      <w:r w:rsidRPr="00152BCF">
        <w:rPr>
          <w:sz w:val="20"/>
          <w:lang w:val="en-US"/>
        </w:rPr>
        <w:t>self</w:t>
      </w:r>
      <w:r w:rsidRPr="00152BCF">
        <w:rPr>
          <w:sz w:val="20"/>
          <w:lang w:val="en-US"/>
        </w:rPr>
        <w:noBreakHyphen/>
        <w:t>government</w:t>
      </w:r>
      <w:proofErr w:type="spellEnd"/>
      <w:r w:rsidRPr="00152BCF">
        <w:rPr>
          <w:sz w:val="20"/>
          <w:lang w:val="en-US"/>
        </w:rPr>
        <w:t xml:space="preserve"> to those communities, and ensuring the protection and enhancement of Métis culture and identity.  The negotiations extended to provisions that would allow the Métis to maintain their separate identity as Métis, distinct from Indians.  The </w:t>
      </w:r>
      <w:r w:rsidRPr="00152BCF">
        <w:rPr>
          <w:i/>
          <w:sz w:val="20"/>
          <w:lang w:val="en-US"/>
        </w:rPr>
        <w:t>Métis Settlements Act</w:t>
      </w:r>
      <w:r w:rsidRPr="00152BCF">
        <w:rPr>
          <w:sz w:val="20"/>
          <w:lang w:val="en-US"/>
        </w:rPr>
        <w:t xml:space="preserve"> (</w:t>
      </w:r>
      <w:r w:rsidRPr="00152BCF">
        <w:rPr>
          <w:sz w:val="20"/>
        </w:rPr>
        <w:t>“</w:t>
      </w:r>
      <w:r w:rsidRPr="00152BCF">
        <w:rPr>
          <w:i/>
          <w:sz w:val="20"/>
          <w:lang w:val="en-US"/>
        </w:rPr>
        <w:t>MSA</w:t>
      </w:r>
      <w:r w:rsidRPr="00152BCF">
        <w:rPr>
          <w:sz w:val="20"/>
          <w:lang w:val="en-US"/>
        </w:rPr>
        <w:t>”) was enacted as a result of these negotiations.</w:t>
      </w:r>
    </w:p>
    <w:p w:rsidR="006A000C" w:rsidRPr="00152BCF" w:rsidRDefault="006A000C" w:rsidP="006A000C">
      <w:pPr>
        <w:pStyle w:val="SCCNormalDoubleSpacing"/>
        <w:spacing w:line="240" w:lineRule="auto"/>
        <w:rPr>
          <w:sz w:val="20"/>
          <w:lang w:val="en-US"/>
        </w:rPr>
      </w:pPr>
    </w:p>
    <w:p w:rsidR="006A000C" w:rsidRDefault="006A000C" w:rsidP="006A000C">
      <w:pPr>
        <w:pStyle w:val="SCCNormalDoubleSpacing"/>
        <w:spacing w:line="240" w:lineRule="auto"/>
        <w:rPr>
          <w:i/>
          <w:sz w:val="20"/>
        </w:rPr>
      </w:pPr>
      <w:r w:rsidRPr="00152BCF">
        <w:rPr>
          <w:sz w:val="20"/>
        </w:rPr>
        <w:tab/>
        <w:t xml:space="preserve">The claimants were formal members of a Métis community in Alberta which was established and administered under the terms of the </w:t>
      </w:r>
      <w:r w:rsidRPr="00152BCF">
        <w:rPr>
          <w:i/>
          <w:sz w:val="20"/>
        </w:rPr>
        <w:t>MSA</w:t>
      </w:r>
      <w:r w:rsidRPr="00152BCF">
        <w:rPr>
          <w:sz w:val="20"/>
        </w:rPr>
        <w:t xml:space="preserve">.  They opted to register as status Indians in order to obtain medical benefits under the </w:t>
      </w:r>
      <w:r w:rsidRPr="00152BCF">
        <w:rPr>
          <w:i/>
          <w:sz w:val="20"/>
        </w:rPr>
        <w:t>Indian Act</w:t>
      </w:r>
      <w:r w:rsidRPr="00152BCF">
        <w:rPr>
          <w:sz w:val="20"/>
        </w:rPr>
        <w:t xml:space="preserve">.  However, the </w:t>
      </w:r>
      <w:r w:rsidRPr="00152BCF">
        <w:rPr>
          <w:i/>
          <w:sz w:val="20"/>
        </w:rPr>
        <w:t>MSA</w:t>
      </w:r>
      <w:r w:rsidRPr="00152BCF">
        <w:rPr>
          <w:sz w:val="20"/>
        </w:rPr>
        <w:t xml:space="preserve"> provides that voluntary registration under the </w:t>
      </w:r>
      <w:r w:rsidRPr="00152BCF">
        <w:rPr>
          <w:i/>
          <w:sz w:val="20"/>
        </w:rPr>
        <w:t>Indian Act</w:t>
      </w:r>
      <w:r w:rsidRPr="00152BCF">
        <w:rPr>
          <w:sz w:val="20"/>
        </w:rPr>
        <w:t xml:space="preserve"> precludes membership in a Métis settlement.  Their membership in the Métis settlement was revoked pursuant to s. 90 of the </w:t>
      </w:r>
      <w:r w:rsidRPr="00152BCF">
        <w:rPr>
          <w:i/>
          <w:sz w:val="20"/>
        </w:rPr>
        <w:t>MSA</w:t>
      </w:r>
      <w:r w:rsidRPr="00152BCF">
        <w:rPr>
          <w:sz w:val="20"/>
        </w:rPr>
        <w:t xml:space="preserve">.  The claimants sought a declaration that the denial of membership pursuant to ss. 75 and 90 of the </w:t>
      </w:r>
      <w:r w:rsidRPr="00152BCF">
        <w:rPr>
          <w:i/>
          <w:sz w:val="20"/>
        </w:rPr>
        <w:t>MSA</w:t>
      </w:r>
      <w:r w:rsidRPr="00152BCF">
        <w:rPr>
          <w:sz w:val="20"/>
        </w:rPr>
        <w:t xml:space="preserve"> was unconstitutional due to violations of the </w:t>
      </w:r>
      <w:r w:rsidRPr="00152BCF">
        <w:rPr>
          <w:i/>
          <w:iCs/>
          <w:sz w:val="20"/>
        </w:rPr>
        <w:t xml:space="preserve">Charter </w:t>
      </w:r>
      <w:r w:rsidRPr="00152BCF">
        <w:rPr>
          <w:sz w:val="20"/>
        </w:rPr>
        <w:t xml:space="preserve">guarantees of equality, freedom of association and liberty.  The chambers judge dismissed these claims.  The Court of Appeal allowed the appeal, finding that these provisions were inconsistent with the equality guarantee under s. 15 of the </w:t>
      </w:r>
      <w:r w:rsidRPr="00152BCF">
        <w:rPr>
          <w:i/>
          <w:sz w:val="20"/>
        </w:rPr>
        <w:t>Charter.</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sz w:val="20"/>
        </w:rPr>
      </w:pPr>
      <w:r w:rsidRPr="00152BCF">
        <w:rPr>
          <w:rStyle w:val="QuoteChar"/>
          <w:sz w:val="20"/>
        </w:rPr>
        <w:tab/>
        <w:t>Held</w:t>
      </w:r>
      <w:r w:rsidRPr="00152BCF">
        <w:rPr>
          <w:sz w:val="20"/>
        </w:rPr>
        <w:t>:  The appeal should be allowed and the judgment of the chambers judge affirmed.</w:t>
      </w:r>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sz w:val="20"/>
        </w:rPr>
      </w:pPr>
      <w:r w:rsidRPr="00152BCF">
        <w:rPr>
          <w:sz w:val="20"/>
        </w:rPr>
        <w:tab/>
        <w:t xml:space="preserve">The s. 15 claim must be dismissed.  The </w:t>
      </w:r>
      <w:r w:rsidRPr="00152BCF">
        <w:rPr>
          <w:i/>
          <w:sz w:val="20"/>
        </w:rPr>
        <w:t>MSA</w:t>
      </w:r>
      <w:r w:rsidRPr="00152BCF">
        <w:rPr>
          <w:sz w:val="20"/>
        </w:rPr>
        <w:t xml:space="preserve"> is an ameliorative program protected by s. 15(2) of the </w:t>
      </w:r>
      <w:r w:rsidRPr="00152BCF">
        <w:rPr>
          <w:i/>
          <w:sz w:val="20"/>
        </w:rPr>
        <w:t>Charter</w:t>
      </w:r>
      <w:r w:rsidRPr="00152BCF">
        <w:rPr>
          <w:sz w:val="20"/>
        </w:rPr>
        <w:t>.  Section 15(2) permits governments to assist one group without being paralyzed by the necessity to assist all, and to tailor programs in a way that will enhance the benefits they confer while ensuring that the protection that s. 15(2) provides against the charge of discrimination is not abused for purposes unrelated to an ameliorative program’s object and the goal of substantive equality.  Ameliorative programs, by their nature, confer benefits on one group that are not conferred on others.  These distinctions are generally protected if they serve or advance the object of the program, thus promoting substantive equality, even where the included and excluded groups share a similar history of disadvantage and marginalization.</w:t>
      </w:r>
    </w:p>
    <w:p w:rsidR="006A000C" w:rsidRDefault="006A000C" w:rsidP="006A000C">
      <w:pPr>
        <w:pStyle w:val="SCCNormalDoubleSpacing"/>
        <w:spacing w:line="240" w:lineRule="auto"/>
        <w:rPr>
          <w:sz w:val="20"/>
        </w:rPr>
      </w:pPr>
      <w:r w:rsidRPr="00152BCF">
        <w:rPr>
          <w:sz w:val="20"/>
        </w:rPr>
        <w:lastRenderedPageBreak/>
        <w:tab/>
        <w:t>Where the government relies on s. 15(2), the first question is whether the law makes an adverse distinction against the claimant group on the basis of one of the grounds set out in s. 15(1) or an analogous ground.  If so, the next question is whether the distinction is saved by s. 15(2).  The government must show, on the evidence, that the program is a genuinely ameliorative program directed at improving the situation of a group that is in need of ameliorative assistance in order to enhance substantive equality, that there is a correlation between the program and the disadvantage suffered by the target group, and that rational means are being used to pursue the ameliorative goal.  If these conditions are met, s. 15(2) protects all distinctions drawn on enumerated or analogous grounds that serve and are necessary to the ameliorative purpose, to the extent justified by the object of the ameliorative program.  If not, the analysis returns to s. 15(1) and, if substantive discrimination is established, to s. 1.</w:t>
      </w:r>
    </w:p>
    <w:p w:rsidR="006A000C" w:rsidRPr="00152BCF" w:rsidRDefault="006A000C" w:rsidP="006A000C">
      <w:pPr>
        <w:pStyle w:val="SCCNormalDoubleSpacing"/>
        <w:spacing w:line="240" w:lineRule="auto"/>
        <w:rPr>
          <w:sz w:val="20"/>
          <w:u w:val="double"/>
        </w:rPr>
      </w:pPr>
    </w:p>
    <w:p w:rsidR="006A000C" w:rsidRDefault="006A000C" w:rsidP="006A000C">
      <w:pPr>
        <w:pStyle w:val="SCCNormalDoubleSpacing"/>
        <w:spacing w:line="240" w:lineRule="auto"/>
        <w:rPr>
          <w:sz w:val="20"/>
        </w:rPr>
      </w:pPr>
      <w:r w:rsidRPr="00152BCF">
        <w:rPr>
          <w:sz w:val="20"/>
        </w:rPr>
        <w:tab/>
        <w:t xml:space="preserve">In this case, and assuming that the distinction between the Métis and status Indians in the </w:t>
      </w:r>
      <w:r w:rsidRPr="00152BCF">
        <w:rPr>
          <w:i/>
          <w:sz w:val="20"/>
        </w:rPr>
        <w:t>MSA</w:t>
      </w:r>
      <w:r w:rsidRPr="00152BCF">
        <w:rPr>
          <w:sz w:val="20"/>
        </w:rPr>
        <w:t xml:space="preserve"> is a distinction on an enumerated or analogous ground, the </w:t>
      </w:r>
      <w:r w:rsidRPr="00152BCF">
        <w:rPr>
          <w:i/>
          <w:sz w:val="20"/>
        </w:rPr>
        <w:t>MSA</w:t>
      </w:r>
      <w:r w:rsidRPr="00152BCF">
        <w:rPr>
          <w:sz w:val="20"/>
        </w:rPr>
        <w:t xml:space="preserve"> program is a genuinely ameliorative program.  Unlike many ameliorative programs, its object is not the direct conferral of benefits on individuals within a particular group, but the enhancement and preservation of the identity, culture and </w:t>
      </w:r>
      <w:proofErr w:type="spellStart"/>
      <w:r w:rsidRPr="00152BCF">
        <w:rPr>
          <w:sz w:val="20"/>
        </w:rPr>
        <w:t>self</w:t>
      </w:r>
      <w:r w:rsidRPr="00152BCF">
        <w:rPr>
          <w:sz w:val="20"/>
        </w:rPr>
        <w:noBreakHyphen/>
        <w:t>governance</w:t>
      </w:r>
      <w:proofErr w:type="spellEnd"/>
      <w:r w:rsidRPr="00152BCF">
        <w:rPr>
          <w:sz w:val="20"/>
        </w:rPr>
        <w:t xml:space="preserve"> of the Métis through the establishment of a Métis land base.  The correlation between the program and the disadvantage suffered by the target group, one of the three aboriginal peoples of Canada recognized in s. 35 of the Constitution, is manifest.</w:t>
      </w:r>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sz w:val="20"/>
        </w:rPr>
      </w:pPr>
      <w:r w:rsidRPr="00152BCF">
        <w:rPr>
          <w:sz w:val="20"/>
        </w:rPr>
        <w:tab/>
        <w:t xml:space="preserve">As excluding Métis who are also status Indians from formal membership in Métis settlements serves or advances the object of the ameliorative program, s. 15(2) protects the </w:t>
      </w:r>
      <w:r w:rsidRPr="00152BCF">
        <w:rPr>
          <w:i/>
          <w:sz w:val="20"/>
        </w:rPr>
        <w:t>MSA</w:t>
      </w:r>
      <w:r w:rsidRPr="00152BCF">
        <w:rPr>
          <w:sz w:val="20"/>
        </w:rPr>
        <w:t xml:space="preserve"> against the charge of discrimination.  The Métis have a right to their own culture and drawing distinctions on this basis reflects the Constitution and serves the legitimate expectations of the Métis people.  The exclusion corresponds to the historic and social distinction between the Métis and Indians and respects the role of the Métis in defining themselves as a people.  Moreover, achieving the object of the program would be more difficult without the distinction.  The fact that some people may identify as both Métis and Indian does not negate the general correspondence underlying the distinction between the two groups.</w:t>
      </w:r>
    </w:p>
    <w:p w:rsidR="006A000C" w:rsidRPr="00152BCF" w:rsidRDefault="006A000C" w:rsidP="006A000C">
      <w:pPr>
        <w:pStyle w:val="SCCNormalDoubleSpacing"/>
        <w:spacing w:line="240" w:lineRule="auto"/>
        <w:rPr>
          <w:b/>
          <w:i/>
          <w:sz w:val="20"/>
        </w:rPr>
      </w:pPr>
    </w:p>
    <w:p w:rsidR="006A000C" w:rsidRDefault="006A000C" w:rsidP="006A000C">
      <w:pPr>
        <w:pStyle w:val="SCCNormalDoubleSpacing"/>
        <w:spacing w:line="240" w:lineRule="auto"/>
        <w:rPr>
          <w:sz w:val="20"/>
        </w:rPr>
      </w:pPr>
      <w:r w:rsidRPr="00152BCF">
        <w:rPr>
          <w:sz w:val="20"/>
        </w:rPr>
        <w:tab/>
        <w:t>The record does not provide an adequate basis to assess the claimants’ s. 2(</w:t>
      </w:r>
      <w:r w:rsidRPr="00152BCF">
        <w:rPr>
          <w:i/>
          <w:sz w:val="20"/>
        </w:rPr>
        <w:t>d</w:t>
      </w:r>
      <w:r w:rsidRPr="00152BCF">
        <w:rPr>
          <w:sz w:val="20"/>
        </w:rPr>
        <w:t>) argument.  The s. 7 claim also fails.  There is no need to decide whether place of residence is protected by s. 7</w:t>
      </w:r>
      <w:r w:rsidRPr="00152BCF">
        <w:rPr>
          <w:i/>
          <w:sz w:val="20"/>
        </w:rPr>
        <w:t xml:space="preserve"> </w:t>
      </w:r>
      <w:r w:rsidRPr="00152BCF">
        <w:rPr>
          <w:sz w:val="20"/>
        </w:rPr>
        <w:t xml:space="preserve">because any impact on liberty was not shown before the chambers judge to be contrary to the principles of fundamental justice.  Requiring Aboriginal adults who might otherwise meet the definition of both Indian and Métis to choose whether they wish to fall under the </w:t>
      </w:r>
      <w:r w:rsidRPr="00152BCF">
        <w:rPr>
          <w:i/>
          <w:sz w:val="20"/>
        </w:rPr>
        <w:t xml:space="preserve">Indian Act </w:t>
      </w:r>
      <w:r w:rsidRPr="00152BCF">
        <w:rPr>
          <w:sz w:val="20"/>
        </w:rPr>
        <w:t xml:space="preserve">or the </w:t>
      </w:r>
      <w:r w:rsidRPr="00152BCF">
        <w:rPr>
          <w:i/>
          <w:sz w:val="20"/>
        </w:rPr>
        <w:t>MSA</w:t>
      </w:r>
      <w:r w:rsidRPr="00152BCF">
        <w:rPr>
          <w:sz w:val="20"/>
        </w:rPr>
        <w:t xml:space="preserve"> is not grossly disproportionate to the interest of Alberta in securing a land base for the Métis.</w:t>
      </w:r>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sz w:val="20"/>
          <w:lang w:val="en-US"/>
        </w:rPr>
      </w:pPr>
      <w:r w:rsidRPr="00152BCF">
        <w:rPr>
          <w:sz w:val="20"/>
        </w:rPr>
        <w:tab/>
        <w:t>APPEAL from a judgment of the Alberta Court of Appeal (</w:t>
      </w:r>
      <w:r w:rsidR="001557DD" w:rsidRPr="00152BCF">
        <w:rPr>
          <w:sz w:val="20"/>
        </w:rPr>
        <w:fldChar w:fldCharType="begin"/>
      </w:r>
      <w:r w:rsidRPr="00152BCF">
        <w:rPr>
          <w:sz w:val="20"/>
        </w:rPr>
        <w:instrText xml:space="preserve"> SEQ CHAPTER \h \r 1</w:instrText>
      </w:r>
      <w:r w:rsidR="001557DD" w:rsidRPr="00152BCF">
        <w:rPr>
          <w:sz w:val="20"/>
        </w:rPr>
        <w:fldChar w:fldCharType="end"/>
      </w:r>
      <w:r w:rsidRPr="00152BCF">
        <w:rPr>
          <w:sz w:val="20"/>
          <w:lang w:val="en-US"/>
        </w:rPr>
        <w:t xml:space="preserve">McFadyen, </w:t>
      </w:r>
      <w:proofErr w:type="spellStart"/>
      <w:r w:rsidRPr="00152BCF">
        <w:rPr>
          <w:sz w:val="20"/>
          <w:lang w:val="en-US"/>
        </w:rPr>
        <w:t>Costigan</w:t>
      </w:r>
      <w:proofErr w:type="spellEnd"/>
      <w:r w:rsidRPr="00152BCF">
        <w:rPr>
          <w:sz w:val="20"/>
          <w:lang w:val="en-US"/>
        </w:rPr>
        <w:t xml:space="preserve"> and Ritter JJ.A.), </w:t>
      </w:r>
      <w:r w:rsidR="001557DD" w:rsidRPr="00152BCF">
        <w:rPr>
          <w:sz w:val="20"/>
        </w:rPr>
        <w:fldChar w:fldCharType="begin"/>
      </w:r>
      <w:r w:rsidRPr="00152BCF">
        <w:rPr>
          <w:sz w:val="20"/>
        </w:rPr>
        <w:instrText xml:space="preserve"> SEQ CHAPTER \h \r 1</w:instrText>
      </w:r>
      <w:r w:rsidR="001557DD" w:rsidRPr="00152BCF">
        <w:rPr>
          <w:sz w:val="20"/>
        </w:rPr>
        <w:fldChar w:fldCharType="end"/>
      </w:r>
      <w:r w:rsidRPr="00152BCF">
        <w:rPr>
          <w:sz w:val="20"/>
          <w:lang w:val="en-US"/>
        </w:rPr>
        <w:t xml:space="preserve">2009 ABCA 239, 8 Alta L.R. (5th) 16, 457 A.R. 297, 457 W.A.C. 297, 310 D.L.R. (4th) 519, 194 C.R.R. (2d) 205, [2009] 9 W.W.R. 584, [2009] 3 C.N.L.R. 261, [2009] A.J. No. 678 (QL), 2009 </w:t>
      </w:r>
      <w:proofErr w:type="spellStart"/>
      <w:r w:rsidRPr="00152BCF">
        <w:rPr>
          <w:sz w:val="20"/>
          <w:lang w:val="en-US"/>
        </w:rPr>
        <w:t>CarswellAlta</w:t>
      </w:r>
      <w:proofErr w:type="spellEnd"/>
      <w:r w:rsidRPr="00152BCF">
        <w:rPr>
          <w:sz w:val="20"/>
          <w:lang w:val="en-US"/>
        </w:rPr>
        <w:t xml:space="preserve"> 952, reversing a decision of </w:t>
      </w:r>
      <w:r w:rsidR="001557DD" w:rsidRPr="00152BCF">
        <w:rPr>
          <w:sz w:val="20"/>
        </w:rPr>
        <w:fldChar w:fldCharType="begin"/>
      </w:r>
      <w:r w:rsidRPr="00152BCF">
        <w:rPr>
          <w:sz w:val="20"/>
        </w:rPr>
        <w:instrText xml:space="preserve"> SEQ CHAPTER \h \r 1</w:instrText>
      </w:r>
      <w:r w:rsidR="001557DD" w:rsidRPr="00152BCF">
        <w:rPr>
          <w:sz w:val="20"/>
        </w:rPr>
        <w:fldChar w:fldCharType="end"/>
      </w:r>
      <w:r w:rsidRPr="00152BCF">
        <w:rPr>
          <w:sz w:val="20"/>
          <w:lang w:val="en-US"/>
        </w:rPr>
        <w:t xml:space="preserve">Shelley J., </w:t>
      </w:r>
      <w:r w:rsidR="001557DD" w:rsidRPr="00152BCF">
        <w:rPr>
          <w:sz w:val="20"/>
        </w:rPr>
        <w:fldChar w:fldCharType="begin"/>
      </w:r>
      <w:r w:rsidRPr="00152BCF">
        <w:rPr>
          <w:sz w:val="20"/>
        </w:rPr>
        <w:instrText xml:space="preserve"> SEQ CHAPTER \h \r 1</w:instrText>
      </w:r>
      <w:r w:rsidR="001557DD" w:rsidRPr="00152BCF">
        <w:rPr>
          <w:sz w:val="20"/>
        </w:rPr>
        <w:fldChar w:fldCharType="end"/>
      </w:r>
      <w:r w:rsidRPr="00152BCF">
        <w:rPr>
          <w:sz w:val="20"/>
          <w:lang w:val="en-US"/>
        </w:rPr>
        <w:t xml:space="preserve">2007 ABQB 517, 81 Alta. L.R. (4th) 28, 424 A.R. 271, 160 C.R.R. (2d) 185, [2008] 1 W.W.R. 507, [2007] 4 C.N.L.R. 179, [2007] A.J. No. 913 (QL), 2007 </w:t>
      </w:r>
      <w:proofErr w:type="spellStart"/>
      <w:r w:rsidRPr="00152BCF">
        <w:rPr>
          <w:sz w:val="20"/>
          <w:lang w:val="en-US"/>
        </w:rPr>
        <w:t>CarswellAlta</w:t>
      </w:r>
      <w:proofErr w:type="spellEnd"/>
      <w:r w:rsidRPr="00152BCF">
        <w:rPr>
          <w:sz w:val="20"/>
          <w:lang w:val="en-US"/>
        </w:rPr>
        <w:t xml:space="preserve"> 1103.  Appeal allowed.</w:t>
      </w:r>
    </w:p>
    <w:p w:rsidR="006A000C" w:rsidRPr="00152BCF" w:rsidRDefault="006A000C" w:rsidP="006A000C">
      <w:pPr>
        <w:pStyle w:val="SCCNormalDoubleSpacing"/>
        <w:spacing w:line="240" w:lineRule="auto"/>
        <w:rPr>
          <w:sz w:val="20"/>
          <w:lang w:val="en-US"/>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r>
      <w:proofErr w:type="gramStart"/>
      <w:r w:rsidRPr="00152BCF">
        <w:rPr>
          <w:rStyle w:val="SCCCounselNameChar"/>
          <w:sz w:val="20"/>
        </w:rPr>
        <w:t xml:space="preserve">Robert J. </w:t>
      </w:r>
      <w:proofErr w:type="spellStart"/>
      <w:r w:rsidRPr="00152BCF">
        <w:rPr>
          <w:rStyle w:val="SCCCounselNameChar"/>
          <w:sz w:val="20"/>
        </w:rPr>
        <w:t>Normey</w:t>
      </w:r>
      <w:proofErr w:type="spellEnd"/>
      <w:r w:rsidRPr="006A000C">
        <w:rPr>
          <w:rStyle w:val="SCCCounselSeparatorChar"/>
          <w:sz w:val="20"/>
          <w:lang w:val="en-CA"/>
        </w:rPr>
        <w:t xml:space="preserve"> and </w:t>
      </w:r>
      <w:r w:rsidRPr="00152BCF">
        <w:rPr>
          <w:rStyle w:val="SCCCounselNameChar"/>
          <w:sz w:val="20"/>
        </w:rPr>
        <w:t xml:space="preserve">David N. </w:t>
      </w:r>
      <w:proofErr w:type="spellStart"/>
      <w:r w:rsidRPr="00152BCF">
        <w:rPr>
          <w:rStyle w:val="SCCCounselNameChar"/>
          <w:sz w:val="20"/>
        </w:rPr>
        <w:t>Kamal</w:t>
      </w:r>
      <w:proofErr w:type="spellEnd"/>
      <w:r w:rsidRPr="00152BCF">
        <w:rPr>
          <w:rStyle w:val="SCCCounselPartyRoleChar"/>
          <w:sz w:val="20"/>
        </w:rPr>
        <w:t>, for the appellants.</w:t>
      </w:r>
      <w:proofErr w:type="gramEnd"/>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r>
      <w:proofErr w:type="gramStart"/>
      <w:r w:rsidRPr="00152BCF">
        <w:rPr>
          <w:rStyle w:val="SCCCounselNameChar"/>
          <w:sz w:val="20"/>
        </w:rPr>
        <w:t xml:space="preserve">Kevin C. </w:t>
      </w:r>
      <w:proofErr w:type="spellStart"/>
      <w:r w:rsidRPr="00152BCF">
        <w:rPr>
          <w:rStyle w:val="SCCCounselNameChar"/>
          <w:sz w:val="20"/>
        </w:rPr>
        <w:t>Feth</w:t>
      </w:r>
      <w:proofErr w:type="spellEnd"/>
      <w:r w:rsidRPr="00152BCF">
        <w:rPr>
          <w:rStyle w:val="SCCCounselNameChar"/>
          <w:sz w:val="20"/>
        </w:rPr>
        <w:t>, Q.C.</w:t>
      </w:r>
      <w:r w:rsidRPr="006A000C">
        <w:rPr>
          <w:rStyle w:val="SCCCounselSeparatorChar"/>
          <w:sz w:val="20"/>
          <w:lang w:val="en-CA"/>
        </w:rPr>
        <w:t xml:space="preserve">, and </w:t>
      </w:r>
      <w:r w:rsidRPr="00152BCF">
        <w:rPr>
          <w:rStyle w:val="SCCCounselNameChar"/>
          <w:sz w:val="20"/>
        </w:rPr>
        <w:t>Jeremy L. Taylor</w:t>
      </w:r>
      <w:r w:rsidRPr="00152BCF">
        <w:rPr>
          <w:rStyle w:val="SCCCounselPartyRoleChar"/>
          <w:sz w:val="20"/>
        </w:rPr>
        <w:t>, for the respondents.</w:t>
      </w:r>
      <w:proofErr w:type="gramEnd"/>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r>
      <w:proofErr w:type="gramStart"/>
      <w:r w:rsidRPr="00152BCF">
        <w:rPr>
          <w:rStyle w:val="SCCCounselNameChar"/>
          <w:sz w:val="20"/>
        </w:rPr>
        <w:t>Janet E. Minor</w:t>
      </w:r>
      <w:r w:rsidRPr="006A000C">
        <w:rPr>
          <w:rStyle w:val="SCCCounselSeparatorChar"/>
          <w:sz w:val="20"/>
          <w:lang w:val="en-CA"/>
        </w:rPr>
        <w:t xml:space="preserve"> and </w:t>
      </w:r>
      <w:r w:rsidRPr="00152BCF">
        <w:rPr>
          <w:rStyle w:val="SCCCounselNameChar"/>
          <w:sz w:val="20"/>
        </w:rPr>
        <w:t>Mark Crow</w:t>
      </w:r>
      <w:r w:rsidRPr="00152BCF">
        <w:rPr>
          <w:rStyle w:val="SCCCounselPartyRoleChar"/>
          <w:sz w:val="20"/>
        </w:rPr>
        <w:t>, for the intervener the Attorney General of Ontario.</w:t>
      </w:r>
      <w:proofErr w:type="gramEnd"/>
    </w:p>
    <w:p w:rsidR="006A000C" w:rsidRPr="00152BCF" w:rsidRDefault="006A000C" w:rsidP="006A000C">
      <w:pPr>
        <w:pStyle w:val="SCCNormalDoubleSpacing"/>
        <w:spacing w:line="240" w:lineRule="auto"/>
        <w:rPr>
          <w:rStyle w:val="SCCCounselPartyRoleCha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r>
      <w:proofErr w:type="gramStart"/>
      <w:r w:rsidRPr="00152BCF">
        <w:rPr>
          <w:rStyle w:val="SCCCounselNameChar"/>
          <w:sz w:val="20"/>
        </w:rPr>
        <w:t xml:space="preserve">Isabelle </w:t>
      </w:r>
      <w:proofErr w:type="spellStart"/>
      <w:r w:rsidRPr="00152BCF">
        <w:rPr>
          <w:rStyle w:val="SCCCounselNameChar"/>
          <w:sz w:val="20"/>
        </w:rPr>
        <w:t>Harnois</w:t>
      </w:r>
      <w:proofErr w:type="spellEnd"/>
      <w:r w:rsidRPr="00152BCF">
        <w:rPr>
          <w:rStyle w:val="SCCCounselPartyRoleChar"/>
          <w:sz w:val="20"/>
        </w:rPr>
        <w:t>, for the intervener the Attorney General of Quebec.</w:t>
      </w:r>
      <w:proofErr w:type="gramEnd"/>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rStyle w:val="SCCCounselPartyRoleChar"/>
          <w:sz w:val="20"/>
        </w:rPr>
      </w:pPr>
      <w:r w:rsidRPr="00152BCF">
        <w:rPr>
          <w:sz w:val="20"/>
        </w:rPr>
        <w:tab/>
      </w:r>
      <w:proofErr w:type="gramStart"/>
      <w:r w:rsidRPr="00152BCF">
        <w:rPr>
          <w:sz w:val="20"/>
        </w:rPr>
        <w:t xml:space="preserve">Written submissions only by </w:t>
      </w:r>
      <w:r w:rsidRPr="00152BCF">
        <w:rPr>
          <w:rStyle w:val="SCCCounselNameChar"/>
          <w:sz w:val="20"/>
        </w:rPr>
        <w:t xml:space="preserve">P. Mitch </w:t>
      </w:r>
      <w:proofErr w:type="spellStart"/>
      <w:r w:rsidRPr="00152BCF">
        <w:rPr>
          <w:rStyle w:val="SCCCounselNameChar"/>
          <w:sz w:val="20"/>
        </w:rPr>
        <w:t>McAdam</w:t>
      </w:r>
      <w:proofErr w:type="spellEnd"/>
      <w:r w:rsidRPr="006A000C">
        <w:rPr>
          <w:rStyle w:val="SCCCounselSeparatorChar"/>
          <w:sz w:val="20"/>
          <w:lang w:val="en-CA"/>
        </w:rPr>
        <w:t xml:space="preserve"> and </w:t>
      </w:r>
      <w:r w:rsidRPr="00152BCF">
        <w:rPr>
          <w:rStyle w:val="SCCCounselNameChar"/>
          <w:sz w:val="20"/>
        </w:rPr>
        <w:t>James Fyfe</w:t>
      </w:r>
      <w:r w:rsidRPr="00152BCF">
        <w:rPr>
          <w:rStyle w:val="SCCCounselPartyRoleChar"/>
          <w:sz w:val="20"/>
        </w:rPr>
        <w:t>, for the intervener the Attorney General for Saskatchewan.</w:t>
      </w:r>
      <w:proofErr w:type="gramEnd"/>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t xml:space="preserve">Richard B. </w:t>
      </w:r>
      <w:proofErr w:type="spellStart"/>
      <w:r w:rsidRPr="00152BCF">
        <w:rPr>
          <w:rStyle w:val="SCCCounselNameChar"/>
          <w:sz w:val="20"/>
        </w:rPr>
        <w:t>Hajduk</w:t>
      </w:r>
      <w:proofErr w:type="spellEnd"/>
      <w:r w:rsidR="00D66BAA">
        <w:rPr>
          <w:rStyle w:val="SCCCounselNameChar"/>
          <w:sz w:val="20"/>
        </w:rPr>
        <w:t xml:space="preserve"> and</w:t>
      </w:r>
      <w:r w:rsidRPr="006A000C">
        <w:rPr>
          <w:rStyle w:val="SCCCounselSeparatorChar"/>
          <w:sz w:val="20"/>
          <w:lang w:val="en-CA"/>
        </w:rPr>
        <w:t xml:space="preserve"> </w:t>
      </w:r>
      <w:r w:rsidRPr="00152BCF">
        <w:rPr>
          <w:rStyle w:val="SCCCounselNameChar"/>
          <w:sz w:val="20"/>
        </w:rPr>
        <w:t>Rodger C. Gibb</w:t>
      </w:r>
      <w:r w:rsidRPr="00152BCF">
        <w:rPr>
          <w:rStyle w:val="SCCCounselPartyRoleChar"/>
          <w:sz w:val="20"/>
        </w:rPr>
        <w:t>, for the intervener the East Prairie Métis Settlement.</w:t>
      </w:r>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r>
      <w:proofErr w:type="gramStart"/>
      <w:r w:rsidRPr="00152BCF">
        <w:rPr>
          <w:rStyle w:val="SCCCounselNameChar"/>
          <w:sz w:val="20"/>
        </w:rPr>
        <w:t>Thomas R. Owen</w:t>
      </w:r>
      <w:r w:rsidRPr="006A000C">
        <w:rPr>
          <w:rStyle w:val="SCCCounselSeparatorChar"/>
          <w:sz w:val="20"/>
          <w:lang w:val="en-CA"/>
        </w:rPr>
        <w:t xml:space="preserve"> and </w:t>
      </w:r>
      <w:r w:rsidRPr="00152BCF">
        <w:rPr>
          <w:rStyle w:val="SCCCounselNameChar"/>
          <w:sz w:val="20"/>
        </w:rPr>
        <w:t>Tara Rout</w:t>
      </w:r>
      <w:r w:rsidRPr="00152BCF">
        <w:rPr>
          <w:rStyle w:val="SCCCounselPartyRoleChar"/>
          <w:sz w:val="20"/>
        </w:rPr>
        <w:t>, for the intervener the Elizabeth Métis Settlement.</w:t>
      </w:r>
      <w:proofErr w:type="gramEnd"/>
    </w:p>
    <w:p w:rsidR="006A000C" w:rsidRPr="00152BCF" w:rsidRDefault="006A000C" w:rsidP="006A000C">
      <w:pPr>
        <w:pStyle w:val="SCCNormalDoubleSpacing"/>
        <w:spacing w:line="240" w:lineRule="auto"/>
        <w:rPr>
          <w:rStyle w:val="SCCCounselPartyRoleCha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r>
      <w:proofErr w:type="gramStart"/>
      <w:r w:rsidRPr="00152BCF">
        <w:rPr>
          <w:rStyle w:val="SCCCounselNameChar"/>
          <w:sz w:val="20"/>
        </w:rPr>
        <w:t xml:space="preserve">Beverly J. M. </w:t>
      </w:r>
      <w:proofErr w:type="spellStart"/>
      <w:r w:rsidRPr="00152BCF">
        <w:rPr>
          <w:rStyle w:val="SCCCounselNameChar"/>
          <w:sz w:val="20"/>
        </w:rPr>
        <w:t>Teillet</w:t>
      </w:r>
      <w:proofErr w:type="spellEnd"/>
      <w:r w:rsidRPr="00152BCF">
        <w:rPr>
          <w:rStyle w:val="SCCCounselPartyRoleChar"/>
          <w:sz w:val="20"/>
        </w:rPr>
        <w:t>, for the intervener the Métis Nation of Alberta.</w:t>
      </w:r>
      <w:proofErr w:type="gramEnd"/>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lastRenderedPageBreak/>
        <w:tab/>
      </w:r>
      <w:proofErr w:type="gramStart"/>
      <w:r w:rsidRPr="00152BCF">
        <w:rPr>
          <w:rStyle w:val="SCCCounselNameChar"/>
          <w:sz w:val="20"/>
        </w:rPr>
        <w:t>Jason Madden</w:t>
      </w:r>
      <w:r w:rsidRPr="006A000C">
        <w:rPr>
          <w:rStyle w:val="SCCCounselSeparatorChar"/>
          <w:sz w:val="20"/>
          <w:lang w:val="en-CA"/>
        </w:rPr>
        <w:t xml:space="preserve">, </w:t>
      </w:r>
      <w:proofErr w:type="spellStart"/>
      <w:r w:rsidRPr="00152BCF">
        <w:rPr>
          <w:rStyle w:val="SCCCounselNameChar"/>
          <w:sz w:val="20"/>
        </w:rPr>
        <w:t>Clément</w:t>
      </w:r>
      <w:proofErr w:type="spellEnd"/>
      <w:r w:rsidRPr="00152BCF">
        <w:rPr>
          <w:rStyle w:val="SCCCounselNameChar"/>
          <w:sz w:val="20"/>
        </w:rPr>
        <w:t xml:space="preserve"> </w:t>
      </w:r>
      <w:proofErr w:type="spellStart"/>
      <w:r w:rsidRPr="00152BCF">
        <w:rPr>
          <w:rStyle w:val="SCCCounselNameChar"/>
          <w:sz w:val="20"/>
        </w:rPr>
        <w:t>Chartier</w:t>
      </w:r>
      <w:proofErr w:type="spellEnd"/>
      <w:r w:rsidRPr="00152BCF">
        <w:rPr>
          <w:rStyle w:val="SCCCounselNameChar"/>
          <w:sz w:val="20"/>
        </w:rPr>
        <w:t>, Q.C.,</w:t>
      </w:r>
      <w:r w:rsidRPr="006A000C">
        <w:rPr>
          <w:rStyle w:val="SCCCounselSeparatorChar"/>
          <w:sz w:val="20"/>
          <w:lang w:val="en-CA"/>
        </w:rPr>
        <w:t xml:space="preserve"> and </w:t>
      </w:r>
      <w:r w:rsidRPr="00152BCF">
        <w:rPr>
          <w:rStyle w:val="SCCCounselNameChar"/>
          <w:sz w:val="20"/>
        </w:rPr>
        <w:t xml:space="preserve">Kathy L. </w:t>
      </w:r>
      <w:proofErr w:type="spellStart"/>
      <w:r w:rsidRPr="00152BCF">
        <w:rPr>
          <w:rStyle w:val="SCCCounselNameChar"/>
          <w:sz w:val="20"/>
        </w:rPr>
        <w:t>Hodgson</w:t>
      </w:r>
      <w:r w:rsidRPr="00152BCF">
        <w:rPr>
          <w:rStyle w:val="SCCCounselNameChar"/>
          <w:sz w:val="20"/>
        </w:rPr>
        <w:noBreakHyphen/>
        <w:t>Smith</w:t>
      </w:r>
      <w:proofErr w:type="spellEnd"/>
      <w:r w:rsidRPr="00152BCF">
        <w:rPr>
          <w:rStyle w:val="SCCCounselPartyRoleChar"/>
          <w:sz w:val="20"/>
        </w:rPr>
        <w:t>, for the intervener the Métis National Council.</w:t>
      </w:r>
      <w:proofErr w:type="gramEnd"/>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r>
      <w:proofErr w:type="gramStart"/>
      <w:r w:rsidRPr="00152BCF">
        <w:rPr>
          <w:rStyle w:val="SCCCounselNameChar"/>
          <w:sz w:val="20"/>
        </w:rPr>
        <w:t xml:space="preserve">Garry </w:t>
      </w:r>
      <w:proofErr w:type="spellStart"/>
      <w:r w:rsidRPr="00152BCF">
        <w:rPr>
          <w:rStyle w:val="SCCCounselNameChar"/>
          <w:sz w:val="20"/>
        </w:rPr>
        <w:t>Appelt</w:t>
      </w:r>
      <w:proofErr w:type="spellEnd"/>
      <w:r w:rsidRPr="006A000C">
        <w:rPr>
          <w:rStyle w:val="SCCCounselSeparatorChar"/>
          <w:sz w:val="20"/>
          <w:lang w:val="en-CA"/>
        </w:rPr>
        <w:t xml:space="preserve"> and </w:t>
      </w:r>
      <w:proofErr w:type="spellStart"/>
      <w:r w:rsidRPr="00152BCF">
        <w:rPr>
          <w:rStyle w:val="SCCCounselNameChar"/>
          <w:sz w:val="20"/>
        </w:rPr>
        <w:t>Keltie</w:t>
      </w:r>
      <w:proofErr w:type="spellEnd"/>
      <w:r w:rsidRPr="00152BCF">
        <w:rPr>
          <w:rStyle w:val="SCCCounselNameChar"/>
          <w:sz w:val="20"/>
        </w:rPr>
        <w:t> L. Lambert</w:t>
      </w:r>
      <w:r w:rsidRPr="00152BCF">
        <w:rPr>
          <w:rStyle w:val="SCCCounselPartyRoleChar"/>
          <w:sz w:val="20"/>
        </w:rPr>
        <w:t>, for the intervener the Métis Settlements General Council.</w:t>
      </w:r>
      <w:proofErr w:type="gramEnd"/>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r>
      <w:proofErr w:type="gramStart"/>
      <w:r w:rsidRPr="00152BCF">
        <w:rPr>
          <w:rStyle w:val="SCCCounselNameChar"/>
          <w:sz w:val="20"/>
        </w:rPr>
        <w:t xml:space="preserve">Jonathan </w:t>
      </w:r>
      <w:proofErr w:type="spellStart"/>
      <w:r w:rsidRPr="00152BCF">
        <w:rPr>
          <w:rStyle w:val="SCCCounselNameChar"/>
          <w:sz w:val="20"/>
        </w:rPr>
        <w:t>Rudin</w:t>
      </w:r>
      <w:proofErr w:type="spellEnd"/>
      <w:r w:rsidRPr="006A000C">
        <w:rPr>
          <w:rStyle w:val="SCCCounselSeparatorChar"/>
          <w:sz w:val="20"/>
          <w:lang w:val="en-CA"/>
        </w:rPr>
        <w:t xml:space="preserve"> and </w:t>
      </w:r>
      <w:r w:rsidRPr="00152BCF">
        <w:rPr>
          <w:rStyle w:val="SCCCounselNameChar"/>
          <w:sz w:val="20"/>
        </w:rPr>
        <w:t>Mandy Wesley</w:t>
      </w:r>
      <w:r w:rsidRPr="00152BCF">
        <w:rPr>
          <w:rStyle w:val="SCCCounselPartyRoleChar"/>
          <w:sz w:val="20"/>
        </w:rPr>
        <w:t>, for the intervener the Aboriginal Legal Services of Toronto Inc.</w:t>
      </w:r>
      <w:proofErr w:type="gramEnd"/>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t xml:space="preserve">Dianne </w:t>
      </w:r>
      <w:proofErr w:type="spellStart"/>
      <w:r w:rsidRPr="00152BCF">
        <w:rPr>
          <w:rStyle w:val="SCCCounselNameChar"/>
          <w:sz w:val="20"/>
        </w:rPr>
        <w:t>Pothier</w:t>
      </w:r>
      <w:proofErr w:type="spellEnd"/>
      <w:r w:rsidRPr="00152BCF">
        <w:rPr>
          <w:rStyle w:val="SCCCounselNameChar"/>
          <w:sz w:val="20"/>
        </w:rPr>
        <w:t xml:space="preserve"> and Joanna L. </w:t>
      </w:r>
      <w:proofErr w:type="spellStart"/>
      <w:r w:rsidRPr="00152BCF">
        <w:rPr>
          <w:rStyle w:val="SCCCounselNameChar"/>
          <w:sz w:val="20"/>
        </w:rPr>
        <w:t>Birenbaum</w:t>
      </w:r>
      <w:proofErr w:type="spellEnd"/>
      <w:r w:rsidRPr="00152BCF">
        <w:rPr>
          <w:rStyle w:val="SCCCounselPartyRoleChar"/>
          <w:sz w:val="20"/>
        </w:rPr>
        <w:t>, for the intervener the Women’s Legal Education and Action Fund.</w:t>
      </w:r>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r>
      <w:proofErr w:type="gramStart"/>
      <w:r w:rsidRPr="00152BCF">
        <w:rPr>
          <w:rStyle w:val="SCCCounselNameChar"/>
          <w:sz w:val="20"/>
        </w:rPr>
        <w:t xml:space="preserve">Laurie </w:t>
      </w:r>
      <w:proofErr w:type="spellStart"/>
      <w:r w:rsidRPr="00152BCF">
        <w:rPr>
          <w:rStyle w:val="SCCCounselNameChar"/>
          <w:sz w:val="20"/>
        </w:rPr>
        <w:t>Letheren</w:t>
      </w:r>
      <w:proofErr w:type="spellEnd"/>
      <w:r w:rsidRPr="006A000C">
        <w:rPr>
          <w:rStyle w:val="SCCCounselSeparatorChar"/>
          <w:sz w:val="20"/>
          <w:lang w:val="en-CA"/>
        </w:rPr>
        <w:t xml:space="preserve"> and </w:t>
      </w:r>
      <w:r w:rsidRPr="00152BCF">
        <w:rPr>
          <w:rStyle w:val="SCCCounselNameChar"/>
          <w:sz w:val="20"/>
        </w:rPr>
        <w:t>C. Tess Sheldon</w:t>
      </w:r>
      <w:r w:rsidRPr="00152BCF">
        <w:rPr>
          <w:rStyle w:val="SCCCounselPartyRoleChar"/>
          <w:sz w:val="20"/>
        </w:rPr>
        <w:t>, for the intervener the Canadian Association for Community Living.</w:t>
      </w:r>
      <w:proofErr w:type="gramEnd"/>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r>
      <w:proofErr w:type="spellStart"/>
      <w:proofErr w:type="gramStart"/>
      <w:r w:rsidRPr="00152BCF">
        <w:rPr>
          <w:rStyle w:val="SCCCounselNameChar"/>
          <w:sz w:val="20"/>
        </w:rPr>
        <w:t>Sandeep</w:t>
      </w:r>
      <w:proofErr w:type="spellEnd"/>
      <w:r w:rsidRPr="00152BCF">
        <w:rPr>
          <w:rStyle w:val="SCCCounselNameChar"/>
          <w:sz w:val="20"/>
        </w:rPr>
        <w:t xml:space="preserve"> K. </w:t>
      </w:r>
      <w:proofErr w:type="spellStart"/>
      <w:r w:rsidRPr="00152BCF">
        <w:rPr>
          <w:rStyle w:val="SCCCounselNameChar"/>
          <w:sz w:val="20"/>
        </w:rPr>
        <w:t>Dhir</w:t>
      </w:r>
      <w:proofErr w:type="spellEnd"/>
      <w:r w:rsidRPr="006A000C">
        <w:rPr>
          <w:rStyle w:val="SCCCounselSeparatorChar"/>
          <w:sz w:val="20"/>
          <w:lang w:val="en-CA"/>
        </w:rPr>
        <w:t xml:space="preserve"> and </w:t>
      </w:r>
      <w:r w:rsidRPr="00152BCF">
        <w:rPr>
          <w:rStyle w:val="SCCCounselNameChar"/>
          <w:sz w:val="20"/>
        </w:rPr>
        <w:t>Lindsey E. Miller</w:t>
      </w:r>
      <w:r w:rsidRPr="00152BCF">
        <w:rPr>
          <w:rStyle w:val="SCCCounselPartyRoleChar"/>
          <w:sz w:val="20"/>
        </w:rPr>
        <w:t>, for the intervener the Gift Lake Métis Settlement.</w:t>
      </w:r>
      <w:proofErr w:type="gramEnd"/>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rStyle w:val="SCCCounselPartyRoleChar"/>
          <w:sz w:val="20"/>
        </w:rPr>
      </w:pPr>
      <w:r w:rsidRPr="00152BCF">
        <w:rPr>
          <w:rStyle w:val="SCCCounselNameChar"/>
          <w:sz w:val="20"/>
        </w:rPr>
        <w:tab/>
      </w:r>
      <w:proofErr w:type="gramStart"/>
      <w:r w:rsidRPr="00152BCF">
        <w:rPr>
          <w:rStyle w:val="SCCCounselNameChar"/>
          <w:sz w:val="20"/>
        </w:rPr>
        <w:t xml:space="preserve">Mary </w:t>
      </w:r>
      <w:proofErr w:type="spellStart"/>
      <w:r w:rsidRPr="00152BCF">
        <w:rPr>
          <w:rStyle w:val="SCCCounselNameChar"/>
          <w:sz w:val="20"/>
        </w:rPr>
        <w:t>Eberts</w:t>
      </w:r>
      <w:proofErr w:type="spellEnd"/>
      <w:r w:rsidRPr="00152BCF">
        <w:rPr>
          <w:rStyle w:val="SCCCounselPartyRoleChar"/>
          <w:sz w:val="20"/>
        </w:rPr>
        <w:t>, for the intervener the Native Women’s Association of Canada.</w:t>
      </w:r>
      <w:proofErr w:type="gramEnd"/>
    </w:p>
    <w:p w:rsidR="006A000C" w:rsidRPr="00152BCF" w:rsidRDefault="006A000C" w:rsidP="006A000C">
      <w:pPr>
        <w:pStyle w:val="SCCNormalDoubleSpacing"/>
        <w:spacing w:line="240" w:lineRule="auto"/>
        <w:rPr>
          <w:sz w:val="20"/>
        </w:rPr>
      </w:pPr>
    </w:p>
    <w:p w:rsidR="006A000C" w:rsidRDefault="006A000C" w:rsidP="006A000C">
      <w:pPr>
        <w:pStyle w:val="SCCNormalDoubleSpacing"/>
        <w:spacing w:line="240" w:lineRule="auto"/>
        <w:rPr>
          <w:i/>
          <w:sz w:val="20"/>
        </w:rPr>
      </w:pPr>
      <w:r w:rsidRPr="00152BCF">
        <w:rPr>
          <w:sz w:val="20"/>
        </w:rPr>
        <w:tab/>
      </w:r>
      <w:r w:rsidRPr="00152BCF">
        <w:rPr>
          <w:rStyle w:val="SCCCounselNameChar"/>
          <w:sz w:val="20"/>
        </w:rPr>
        <w:t>Solicitor</w:t>
      </w:r>
      <w:r w:rsidRPr="00152BCF">
        <w:rPr>
          <w:i/>
          <w:sz w:val="20"/>
        </w:rPr>
        <w:t xml:space="preserve"> for the appellants:  Attorney General of Alberta, Edmonton.</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Solicitors</w:t>
      </w:r>
      <w:r w:rsidRPr="00152BCF">
        <w:rPr>
          <w:i/>
          <w:sz w:val="20"/>
        </w:rPr>
        <w:t xml:space="preserve"> for the respondents:  Field, Edmonton.</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w:t>
      </w:r>
      <w:r w:rsidRPr="00152BCF">
        <w:rPr>
          <w:i/>
          <w:sz w:val="20"/>
        </w:rPr>
        <w:t xml:space="preserve"> for the intervener the Attorney General of Ontario:  Attorney General of Ontario, Toronto.</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w:t>
      </w:r>
      <w:r w:rsidRPr="00152BCF">
        <w:rPr>
          <w:i/>
          <w:sz w:val="20"/>
        </w:rPr>
        <w:t xml:space="preserve"> for the intervener the Attorney General of Quebec:  Attorney General of Quebec, </w:t>
      </w:r>
      <w:proofErr w:type="spellStart"/>
      <w:r w:rsidRPr="00152BCF">
        <w:rPr>
          <w:i/>
          <w:sz w:val="20"/>
        </w:rPr>
        <w:t>Sainte</w:t>
      </w:r>
      <w:r w:rsidRPr="00152BCF">
        <w:rPr>
          <w:i/>
          <w:sz w:val="20"/>
        </w:rPr>
        <w:noBreakHyphen/>
        <w:t>Foy</w:t>
      </w:r>
      <w:proofErr w:type="spellEnd"/>
      <w:r w:rsidRPr="00152BCF">
        <w:rPr>
          <w:i/>
          <w:sz w:val="20"/>
        </w:rPr>
        <w:t>.</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w:t>
      </w:r>
      <w:r w:rsidRPr="00152BCF">
        <w:rPr>
          <w:i/>
          <w:sz w:val="20"/>
        </w:rPr>
        <w:t xml:space="preserve"> for the intervener the Attorney General for Saskatchewan:  Attorney General for Saskatchewan, Regina.</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Solicitors</w:t>
      </w:r>
      <w:r w:rsidRPr="00152BCF">
        <w:rPr>
          <w:i/>
          <w:sz w:val="20"/>
        </w:rPr>
        <w:t xml:space="preserve"> for the intervener the East Prairie Métis Settlement:  </w:t>
      </w:r>
      <w:proofErr w:type="spellStart"/>
      <w:r w:rsidRPr="00152BCF">
        <w:rPr>
          <w:i/>
          <w:sz w:val="20"/>
        </w:rPr>
        <w:t>Hajduk</w:t>
      </w:r>
      <w:proofErr w:type="spellEnd"/>
      <w:r w:rsidRPr="00152BCF">
        <w:rPr>
          <w:i/>
          <w:sz w:val="20"/>
        </w:rPr>
        <w:t xml:space="preserve"> Gibbs, Edmonton.</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Solicitors</w:t>
      </w:r>
      <w:r w:rsidRPr="00152BCF">
        <w:rPr>
          <w:i/>
          <w:sz w:val="20"/>
        </w:rPr>
        <w:t xml:space="preserve"> for the intervener the Elizabeth Métis Settlement:  Owen Law, Edmonton.</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Solicitors</w:t>
      </w:r>
      <w:r w:rsidRPr="00152BCF">
        <w:rPr>
          <w:i/>
          <w:sz w:val="20"/>
        </w:rPr>
        <w:t xml:space="preserve"> for the intervener the Métis Nation of Alberta:  </w:t>
      </w:r>
      <w:proofErr w:type="spellStart"/>
      <w:r w:rsidRPr="00152BCF">
        <w:rPr>
          <w:i/>
          <w:sz w:val="20"/>
        </w:rPr>
        <w:t>Pape</w:t>
      </w:r>
      <w:proofErr w:type="spellEnd"/>
      <w:r w:rsidRPr="00152BCF">
        <w:rPr>
          <w:i/>
          <w:sz w:val="20"/>
        </w:rPr>
        <w:t xml:space="preserve"> Salter </w:t>
      </w:r>
      <w:proofErr w:type="spellStart"/>
      <w:r w:rsidRPr="00152BCF">
        <w:rPr>
          <w:i/>
          <w:sz w:val="20"/>
        </w:rPr>
        <w:t>Teillet</w:t>
      </w:r>
      <w:proofErr w:type="spellEnd"/>
      <w:r w:rsidRPr="00152BCF">
        <w:rPr>
          <w:i/>
          <w:sz w:val="20"/>
        </w:rPr>
        <w:t>, Vancouver.</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Solicitors</w:t>
      </w:r>
      <w:r w:rsidRPr="00152BCF">
        <w:rPr>
          <w:i/>
          <w:sz w:val="20"/>
        </w:rPr>
        <w:t xml:space="preserve"> for the intervener the Métis National Council:  JTM Law, Toronto.</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rStyle w:val="SCCCounselNameChar"/>
          <w:sz w:val="20"/>
        </w:rPr>
      </w:pPr>
      <w:r w:rsidRPr="00152BCF">
        <w:rPr>
          <w:i/>
          <w:sz w:val="20"/>
        </w:rPr>
        <w:tab/>
      </w:r>
      <w:r w:rsidRPr="00152BCF">
        <w:rPr>
          <w:rStyle w:val="SCCCounselNameChar"/>
          <w:sz w:val="20"/>
        </w:rPr>
        <w:t>Solicitors for the intervener the Métis Settlements General Council:  Witten, Edmonton.</w:t>
      </w:r>
    </w:p>
    <w:p w:rsidR="006A000C" w:rsidRPr="00152BCF" w:rsidRDefault="006A000C" w:rsidP="006A000C">
      <w:pPr>
        <w:pStyle w:val="SCCNormalDoubleSpacing"/>
        <w:spacing w:line="240" w:lineRule="auto"/>
        <w:rPr>
          <w:rStyle w:val="SCCCounselNameChar"/>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w:t>
      </w:r>
      <w:r w:rsidRPr="00152BCF">
        <w:rPr>
          <w:i/>
          <w:sz w:val="20"/>
        </w:rPr>
        <w:t xml:space="preserve"> for the intervener the Aboriginal Legal Services of Toronto Inc.:  Aboriginal Legal Services of Toronto Inc., Toronto.</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w:t>
      </w:r>
      <w:r w:rsidRPr="00152BCF">
        <w:rPr>
          <w:i/>
          <w:sz w:val="20"/>
        </w:rPr>
        <w:t xml:space="preserve"> for the intervener the Women’s Legal Education and Action Fund:  Women’s Legal Education and Action Fund, Toronto.</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w:t>
      </w:r>
      <w:r w:rsidRPr="00152BCF">
        <w:rPr>
          <w:i/>
          <w:sz w:val="20"/>
        </w:rPr>
        <w:t xml:space="preserve"> for the intervener the Canadian Association for Community Living:  ARCH Disability Law Centre, Toronto.</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Solicitors</w:t>
      </w:r>
      <w:r w:rsidRPr="00152BCF">
        <w:rPr>
          <w:i/>
          <w:sz w:val="20"/>
        </w:rPr>
        <w:t xml:space="preserve"> for the intervener the Gift Lake Métis Settlement:  Field, Edmonton.</w:t>
      </w:r>
    </w:p>
    <w:p w:rsidR="006A000C" w:rsidRPr="00152BCF" w:rsidRDefault="006A000C" w:rsidP="006A000C">
      <w:pPr>
        <w:pStyle w:val="SCCNormalDoubleSpacing"/>
        <w:spacing w:line="240" w:lineRule="auto"/>
        <w:rPr>
          <w:i/>
          <w:sz w:val="20"/>
        </w:rPr>
      </w:pPr>
    </w:p>
    <w:p w:rsidR="006A000C" w:rsidRDefault="006A000C" w:rsidP="006A000C">
      <w:pPr>
        <w:pStyle w:val="SCCNormalDoubleSpacing"/>
        <w:spacing w:line="240" w:lineRule="auto"/>
        <w:rPr>
          <w:i/>
          <w:sz w:val="20"/>
        </w:rPr>
      </w:pPr>
      <w:r w:rsidRPr="00152BCF">
        <w:rPr>
          <w:i/>
          <w:sz w:val="20"/>
        </w:rPr>
        <w:tab/>
      </w:r>
      <w:r w:rsidRPr="00152BCF">
        <w:rPr>
          <w:rStyle w:val="SCCCounselNameChar"/>
          <w:sz w:val="20"/>
        </w:rPr>
        <w:t>Solicitors</w:t>
      </w:r>
      <w:r w:rsidRPr="00152BCF">
        <w:rPr>
          <w:i/>
          <w:sz w:val="20"/>
        </w:rPr>
        <w:t xml:space="preserve"> for the intervener the Native Women’s Association of Canada:  Law Office of Mary </w:t>
      </w:r>
      <w:proofErr w:type="spellStart"/>
      <w:r w:rsidRPr="00152BCF">
        <w:rPr>
          <w:i/>
          <w:sz w:val="20"/>
        </w:rPr>
        <w:t>Eberts</w:t>
      </w:r>
      <w:proofErr w:type="spellEnd"/>
      <w:r w:rsidRPr="00152BCF">
        <w:rPr>
          <w:i/>
          <w:sz w:val="20"/>
        </w:rPr>
        <w:t>,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Default="00DD0B49" w:rsidP="00DD0B49">
      <w:pPr>
        <w:rPr>
          <w:rFonts w:cs="Times New Roman"/>
          <w:sz w:val="20"/>
          <w:szCs w:val="20"/>
          <w:lang w:val="fr-CA"/>
        </w:rPr>
      </w:pPr>
    </w:p>
    <w:p w:rsidR="006A000C" w:rsidRPr="006A000C" w:rsidRDefault="006A000C" w:rsidP="006A000C">
      <w:pPr>
        <w:jc w:val="both"/>
        <w:rPr>
          <w:rFonts w:cs="Times New Roman"/>
          <w:sz w:val="20"/>
          <w:szCs w:val="20"/>
          <w:lang w:val="fr-CA"/>
        </w:rPr>
      </w:pPr>
      <w:r w:rsidRPr="006A000C">
        <w:rPr>
          <w:rFonts w:cs="Times New Roman"/>
          <w:sz w:val="20"/>
          <w:szCs w:val="20"/>
          <w:lang w:val="fr-CA"/>
        </w:rPr>
        <w:t xml:space="preserve">Présents : La juge en chef </w:t>
      </w:r>
      <w:proofErr w:type="spellStart"/>
      <w:r w:rsidRPr="006A000C">
        <w:rPr>
          <w:rFonts w:cs="Times New Roman"/>
          <w:sz w:val="20"/>
          <w:szCs w:val="20"/>
          <w:lang w:val="fr-CA"/>
        </w:rPr>
        <w:t>McLachlin</w:t>
      </w:r>
      <w:proofErr w:type="spellEnd"/>
      <w:r w:rsidRPr="006A000C">
        <w:rPr>
          <w:rFonts w:cs="Times New Roman"/>
          <w:sz w:val="20"/>
          <w:szCs w:val="20"/>
          <w:lang w:val="fr-CA"/>
        </w:rPr>
        <w:t xml:space="preserve"> et les juges </w:t>
      </w:r>
      <w:proofErr w:type="spellStart"/>
      <w:r w:rsidRPr="006A000C">
        <w:rPr>
          <w:rFonts w:cs="Times New Roman"/>
          <w:sz w:val="20"/>
          <w:szCs w:val="20"/>
          <w:lang w:val="fr-CA"/>
        </w:rPr>
        <w:t>Binnie</w:t>
      </w:r>
      <w:proofErr w:type="spellEnd"/>
      <w:r w:rsidRPr="006A000C">
        <w:rPr>
          <w:rFonts w:cs="Times New Roman"/>
          <w:sz w:val="20"/>
          <w:szCs w:val="20"/>
          <w:lang w:val="fr-CA"/>
        </w:rPr>
        <w:t xml:space="preserve">, </w:t>
      </w:r>
      <w:proofErr w:type="spellStart"/>
      <w:r w:rsidRPr="006A000C">
        <w:rPr>
          <w:rFonts w:cs="Times New Roman"/>
          <w:sz w:val="20"/>
          <w:szCs w:val="20"/>
          <w:lang w:val="fr-CA"/>
        </w:rPr>
        <w:t>LeBel</w:t>
      </w:r>
      <w:proofErr w:type="spellEnd"/>
      <w:r w:rsidRPr="006A000C">
        <w:rPr>
          <w:rFonts w:cs="Times New Roman"/>
          <w:sz w:val="20"/>
          <w:szCs w:val="20"/>
          <w:lang w:val="fr-CA"/>
        </w:rPr>
        <w:t xml:space="preserve">, Deschamps, Fish, Abella, Charron, </w:t>
      </w:r>
      <w:proofErr w:type="spellStart"/>
      <w:r w:rsidRPr="006A000C">
        <w:rPr>
          <w:rFonts w:cs="Times New Roman"/>
          <w:sz w:val="20"/>
          <w:szCs w:val="20"/>
          <w:lang w:val="fr-CA"/>
        </w:rPr>
        <w:t>Rothstein</w:t>
      </w:r>
      <w:proofErr w:type="spellEnd"/>
      <w:r w:rsidRPr="006A000C">
        <w:rPr>
          <w:rFonts w:cs="Times New Roman"/>
          <w:sz w:val="20"/>
          <w:szCs w:val="20"/>
          <w:lang w:val="fr-CA"/>
        </w:rPr>
        <w:t xml:space="preserve"> et Cromwell.</w:t>
      </w:r>
    </w:p>
    <w:p w:rsidR="006A000C" w:rsidRPr="006A000C" w:rsidRDefault="006A000C" w:rsidP="006A000C">
      <w:pPr>
        <w:pStyle w:val="SCCLowerCourtNameLowercase"/>
        <w:spacing w:line="240" w:lineRule="auto"/>
        <w:rPr>
          <w:sz w:val="20"/>
          <w:lang w:val="fr-CA"/>
        </w:rPr>
      </w:pPr>
    </w:p>
    <w:p w:rsidR="006A000C" w:rsidRDefault="006A000C" w:rsidP="006A000C">
      <w:pPr>
        <w:pStyle w:val="SCCNormalDoubleSpacing"/>
        <w:widowControl w:val="0"/>
        <w:spacing w:line="240" w:lineRule="auto"/>
        <w:rPr>
          <w:i/>
          <w:sz w:val="20"/>
          <w:lang w:val="fr-FR"/>
        </w:rPr>
      </w:pPr>
      <w:r w:rsidRPr="00475607">
        <w:rPr>
          <w:sz w:val="20"/>
          <w:lang w:val="fr-FR"/>
        </w:rPr>
        <w:tab/>
      </w:r>
      <w:r w:rsidRPr="006A000C">
        <w:rPr>
          <w:i/>
          <w:sz w:val="20"/>
          <w:lang w:val="fr-CA"/>
        </w:rPr>
        <w:t>Droit</w:t>
      </w:r>
      <w:r w:rsidRPr="00475607">
        <w:rPr>
          <w:i/>
          <w:sz w:val="20"/>
          <w:lang w:val="fr-FR"/>
        </w:rPr>
        <w:t xml:space="preserve"> constitutionnel — Charte des droits — Droit à l’égalité — Programmes améliorateurs — La </w:t>
      </w:r>
      <w:proofErr w:type="spellStart"/>
      <w:r w:rsidRPr="00475607">
        <w:rPr>
          <w:i/>
          <w:sz w:val="20"/>
          <w:lang w:val="fr-FR"/>
        </w:rPr>
        <w:t>Metis</w:t>
      </w:r>
      <w:proofErr w:type="spellEnd"/>
      <w:r w:rsidRPr="00475607">
        <w:rPr>
          <w:i/>
          <w:sz w:val="20"/>
          <w:lang w:val="fr-FR"/>
        </w:rPr>
        <w:t xml:space="preserve"> </w:t>
      </w:r>
      <w:proofErr w:type="spellStart"/>
      <w:r w:rsidRPr="00475607">
        <w:rPr>
          <w:i/>
          <w:sz w:val="20"/>
          <w:lang w:val="fr-FR"/>
        </w:rPr>
        <w:t>Settlements</w:t>
      </w:r>
      <w:proofErr w:type="spellEnd"/>
      <w:r w:rsidRPr="00475607">
        <w:rPr>
          <w:i/>
          <w:sz w:val="20"/>
          <w:lang w:val="fr-FR"/>
        </w:rPr>
        <w:t xml:space="preserve"> </w:t>
      </w:r>
      <w:proofErr w:type="spellStart"/>
      <w:r w:rsidRPr="00475607">
        <w:rPr>
          <w:i/>
          <w:sz w:val="20"/>
          <w:lang w:val="fr-FR"/>
        </w:rPr>
        <w:t>Act</w:t>
      </w:r>
      <w:proofErr w:type="spellEnd"/>
      <w:r w:rsidRPr="00475607">
        <w:rPr>
          <w:i/>
          <w:sz w:val="20"/>
          <w:lang w:val="fr-FR"/>
        </w:rPr>
        <w:t xml:space="preserve"> de l’Alberta prévoit que l’inscription volontaire en vertu de la Loi sur les Indiens empêche d’avoir le </w:t>
      </w:r>
      <w:r w:rsidRPr="00475607">
        <w:rPr>
          <w:i/>
          <w:sz w:val="20"/>
          <w:lang w:val="fr-FR"/>
        </w:rPr>
        <w:lastRenderedPageBreak/>
        <w:t xml:space="preserve">statut de membre dans un établissement métis — La distinction </w:t>
      </w:r>
      <w:proofErr w:type="spellStart"/>
      <w:r w:rsidRPr="00475607">
        <w:rPr>
          <w:i/>
          <w:sz w:val="20"/>
          <w:lang w:val="fr-FR"/>
        </w:rPr>
        <w:t>est</w:t>
      </w:r>
      <w:r w:rsidRPr="00475607">
        <w:rPr>
          <w:i/>
          <w:sz w:val="20"/>
          <w:lang w:val="fr-FR"/>
        </w:rPr>
        <w:noBreakHyphen/>
        <w:t>elle</w:t>
      </w:r>
      <w:proofErr w:type="spellEnd"/>
      <w:r w:rsidRPr="00475607">
        <w:rPr>
          <w:i/>
          <w:sz w:val="20"/>
          <w:lang w:val="fr-FR"/>
        </w:rPr>
        <w:t xml:space="preserve"> établie en raison de motifs énumérés ou analogues? — Le programme </w:t>
      </w:r>
      <w:proofErr w:type="spellStart"/>
      <w:r w:rsidRPr="00475607">
        <w:rPr>
          <w:i/>
          <w:sz w:val="20"/>
          <w:lang w:val="fr-FR"/>
        </w:rPr>
        <w:t>est</w:t>
      </w:r>
      <w:r w:rsidRPr="00475607">
        <w:rPr>
          <w:i/>
          <w:sz w:val="20"/>
          <w:lang w:val="fr-FR"/>
        </w:rPr>
        <w:noBreakHyphen/>
        <w:t>il</w:t>
      </w:r>
      <w:proofErr w:type="spellEnd"/>
      <w:r w:rsidRPr="00475607">
        <w:rPr>
          <w:i/>
          <w:sz w:val="20"/>
          <w:lang w:val="fr-FR"/>
        </w:rPr>
        <w:t xml:space="preserve"> véritablement améliorateur? — La distinction </w:t>
      </w:r>
      <w:proofErr w:type="spellStart"/>
      <w:r w:rsidRPr="00475607">
        <w:rPr>
          <w:i/>
          <w:sz w:val="20"/>
          <w:lang w:val="fr-FR"/>
        </w:rPr>
        <w:t>tend</w:t>
      </w:r>
      <w:r w:rsidRPr="00475607">
        <w:rPr>
          <w:i/>
          <w:sz w:val="20"/>
          <w:lang w:val="fr-FR"/>
        </w:rPr>
        <w:noBreakHyphen/>
        <w:t>elle</w:t>
      </w:r>
      <w:proofErr w:type="spellEnd"/>
      <w:r w:rsidRPr="00475607">
        <w:rPr>
          <w:i/>
          <w:sz w:val="20"/>
          <w:lang w:val="fr-FR"/>
        </w:rPr>
        <w:t xml:space="preserve"> à l’objet du programme améliorateur ou y </w:t>
      </w:r>
      <w:proofErr w:type="spellStart"/>
      <w:r w:rsidRPr="00475607">
        <w:rPr>
          <w:i/>
          <w:sz w:val="20"/>
          <w:lang w:val="fr-FR"/>
        </w:rPr>
        <w:t>contribue</w:t>
      </w:r>
      <w:r w:rsidRPr="00475607">
        <w:rPr>
          <w:i/>
          <w:sz w:val="20"/>
          <w:lang w:val="fr-FR"/>
        </w:rPr>
        <w:noBreakHyphen/>
        <w:t>t</w:t>
      </w:r>
      <w:r w:rsidRPr="00475607">
        <w:rPr>
          <w:i/>
          <w:sz w:val="20"/>
          <w:lang w:val="fr-FR"/>
        </w:rPr>
        <w:noBreakHyphen/>
        <w:t>elle</w:t>
      </w:r>
      <w:proofErr w:type="spellEnd"/>
      <w:r w:rsidRPr="00475607">
        <w:rPr>
          <w:i/>
          <w:sz w:val="20"/>
          <w:lang w:val="fr-FR"/>
        </w:rPr>
        <w:t xml:space="preserve">? —  Charte canadienne des droits et libertés, art. 15(2) — </w:t>
      </w:r>
      <w:proofErr w:type="spellStart"/>
      <w:r w:rsidRPr="00475607">
        <w:rPr>
          <w:i/>
          <w:sz w:val="20"/>
          <w:lang w:val="fr-FR"/>
        </w:rPr>
        <w:t>Metis</w:t>
      </w:r>
      <w:proofErr w:type="spellEnd"/>
      <w:r w:rsidRPr="00475607">
        <w:rPr>
          <w:i/>
          <w:sz w:val="20"/>
          <w:lang w:val="fr-FR"/>
        </w:rPr>
        <w:t xml:space="preserve"> </w:t>
      </w:r>
      <w:proofErr w:type="spellStart"/>
      <w:r w:rsidRPr="00475607">
        <w:rPr>
          <w:i/>
          <w:sz w:val="20"/>
          <w:lang w:val="fr-FR"/>
        </w:rPr>
        <w:t>Settlements</w:t>
      </w:r>
      <w:proofErr w:type="spellEnd"/>
      <w:r w:rsidRPr="00475607">
        <w:rPr>
          <w:i/>
          <w:sz w:val="20"/>
          <w:lang w:val="fr-FR"/>
        </w:rPr>
        <w:t xml:space="preserve"> </w:t>
      </w:r>
      <w:proofErr w:type="spellStart"/>
      <w:r w:rsidRPr="00475607">
        <w:rPr>
          <w:i/>
          <w:sz w:val="20"/>
          <w:lang w:val="fr-FR"/>
        </w:rPr>
        <w:t>Act</w:t>
      </w:r>
      <w:proofErr w:type="spellEnd"/>
      <w:r w:rsidRPr="00475607">
        <w:rPr>
          <w:i/>
          <w:sz w:val="20"/>
          <w:lang w:val="fr-FR"/>
        </w:rPr>
        <w:t>, R.S.A. 2000, ch. M</w:t>
      </w:r>
      <w:r w:rsidRPr="00475607">
        <w:rPr>
          <w:i/>
          <w:sz w:val="20"/>
          <w:lang w:val="fr-FR"/>
        </w:rPr>
        <w:noBreakHyphen/>
        <w:t>14, art. 75, 90.</w:t>
      </w:r>
    </w:p>
    <w:p w:rsidR="006A000C" w:rsidRPr="00475607" w:rsidRDefault="006A000C" w:rsidP="006A000C">
      <w:pPr>
        <w:pStyle w:val="SCCNormalDoubleSpacing"/>
        <w:widowControl w:val="0"/>
        <w:spacing w:line="240" w:lineRule="auto"/>
        <w:rPr>
          <w:i/>
          <w:sz w:val="20"/>
          <w:lang w:val="fr-FR"/>
        </w:rPr>
      </w:pPr>
    </w:p>
    <w:p w:rsidR="006A000C" w:rsidRDefault="006A000C" w:rsidP="006A000C">
      <w:pPr>
        <w:pStyle w:val="SCCNormalDoubleSpacing"/>
        <w:widowControl w:val="0"/>
        <w:spacing w:line="240" w:lineRule="auto"/>
        <w:rPr>
          <w:i/>
          <w:sz w:val="20"/>
          <w:lang w:val="fr-FR"/>
        </w:rPr>
      </w:pPr>
      <w:r w:rsidRPr="00475607">
        <w:rPr>
          <w:i/>
          <w:sz w:val="20"/>
          <w:lang w:val="fr-FR"/>
        </w:rPr>
        <w:tab/>
        <w:t xml:space="preserve">Droit </w:t>
      </w:r>
      <w:r w:rsidRPr="006A000C">
        <w:rPr>
          <w:i/>
          <w:sz w:val="20"/>
          <w:lang w:val="fr-CA"/>
        </w:rPr>
        <w:t>constitutionnel</w:t>
      </w:r>
      <w:r w:rsidRPr="00475607">
        <w:rPr>
          <w:i/>
          <w:sz w:val="20"/>
          <w:lang w:val="fr-FR"/>
        </w:rPr>
        <w:t xml:space="preserve"> — Charte des droits — Liberté d’association — La </w:t>
      </w:r>
      <w:proofErr w:type="spellStart"/>
      <w:r w:rsidRPr="00475607">
        <w:rPr>
          <w:i/>
          <w:sz w:val="20"/>
          <w:lang w:val="fr-FR"/>
        </w:rPr>
        <w:t>Metis</w:t>
      </w:r>
      <w:proofErr w:type="spellEnd"/>
      <w:r w:rsidRPr="00475607">
        <w:rPr>
          <w:i/>
          <w:sz w:val="20"/>
          <w:lang w:val="fr-FR"/>
        </w:rPr>
        <w:t xml:space="preserve"> </w:t>
      </w:r>
      <w:proofErr w:type="spellStart"/>
      <w:r w:rsidRPr="00475607">
        <w:rPr>
          <w:i/>
          <w:sz w:val="20"/>
          <w:lang w:val="fr-FR"/>
        </w:rPr>
        <w:t>Settlements</w:t>
      </w:r>
      <w:proofErr w:type="spellEnd"/>
      <w:r w:rsidRPr="00475607">
        <w:rPr>
          <w:i/>
          <w:sz w:val="20"/>
          <w:lang w:val="fr-FR"/>
        </w:rPr>
        <w:t xml:space="preserve"> </w:t>
      </w:r>
      <w:proofErr w:type="spellStart"/>
      <w:r w:rsidRPr="00475607">
        <w:rPr>
          <w:i/>
          <w:sz w:val="20"/>
          <w:lang w:val="fr-FR"/>
        </w:rPr>
        <w:t>Act</w:t>
      </w:r>
      <w:proofErr w:type="spellEnd"/>
      <w:r w:rsidRPr="00475607">
        <w:rPr>
          <w:i/>
          <w:sz w:val="20"/>
          <w:lang w:val="fr-FR"/>
        </w:rPr>
        <w:t xml:space="preserve"> de l’Alberta prévoit que l’inscription volontaire en vertu de la Loi sur les Indiens empêche d’avoir le statut de membre dans un établissement métis — La loi </w:t>
      </w:r>
      <w:proofErr w:type="spellStart"/>
      <w:r w:rsidRPr="00475607">
        <w:rPr>
          <w:i/>
          <w:sz w:val="20"/>
          <w:lang w:val="fr-FR"/>
        </w:rPr>
        <w:t>enfreint</w:t>
      </w:r>
      <w:r w:rsidRPr="00475607">
        <w:rPr>
          <w:i/>
          <w:sz w:val="20"/>
          <w:lang w:val="fr-FR"/>
        </w:rPr>
        <w:noBreakHyphen/>
        <w:t>elle</w:t>
      </w:r>
      <w:proofErr w:type="spellEnd"/>
      <w:r w:rsidRPr="00475607">
        <w:rPr>
          <w:i/>
          <w:sz w:val="20"/>
          <w:lang w:val="fr-FR"/>
        </w:rPr>
        <w:t xml:space="preserve"> la liberté d’association ? — Charte canadienne des droits et libertés, art. 2d) — </w:t>
      </w:r>
      <w:proofErr w:type="spellStart"/>
      <w:r w:rsidRPr="00475607">
        <w:rPr>
          <w:i/>
          <w:sz w:val="20"/>
          <w:lang w:val="fr-FR"/>
        </w:rPr>
        <w:t>Metis</w:t>
      </w:r>
      <w:proofErr w:type="spellEnd"/>
      <w:r w:rsidRPr="00475607">
        <w:rPr>
          <w:i/>
          <w:sz w:val="20"/>
          <w:lang w:val="fr-FR"/>
        </w:rPr>
        <w:t xml:space="preserve"> </w:t>
      </w:r>
      <w:proofErr w:type="spellStart"/>
      <w:r w:rsidRPr="00475607">
        <w:rPr>
          <w:i/>
          <w:sz w:val="20"/>
          <w:lang w:val="fr-FR"/>
        </w:rPr>
        <w:t>Settlements</w:t>
      </w:r>
      <w:proofErr w:type="spellEnd"/>
      <w:r w:rsidRPr="00475607">
        <w:rPr>
          <w:i/>
          <w:sz w:val="20"/>
          <w:lang w:val="fr-FR"/>
        </w:rPr>
        <w:t xml:space="preserve"> </w:t>
      </w:r>
      <w:proofErr w:type="spellStart"/>
      <w:r w:rsidRPr="00475607">
        <w:rPr>
          <w:i/>
          <w:sz w:val="20"/>
          <w:lang w:val="fr-FR"/>
        </w:rPr>
        <w:t>Act</w:t>
      </w:r>
      <w:proofErr w:type="spellEnd"/>
      <w:r w:rsidRPr="00475607">
        <w:rPr>
          <w:i/>
          <w:sz w:val="20"/>
          <w:lang w:val="fr-FR"/>
        </w:rPr>
        <w:t>, R.S.A. 2000, ch. M</w:t>
      </w:r>
      <w:r w:rsidRPr="00475607">
        <w:rPr>
          <w:i/>
          <w:sz w:val="20"/>
          <w:lang w:val="fr-FR"/>
        </w:rPr>
        <w:noBreakHyphen/>
        <w:t>14, art. 75, 90.</w:t>
      </w:r>
    </w:p>
    <w:p w:rsidR="006A000C" w:rsidRPr="00475607" w:rsidRDefault="006A000C" w:rsidP="006A000C">
      <w:pPr>
        <w:pStyle w:val="SCCNormalDoubleSpacing"/>
        <w:widowControl w:val="0"/>
        <w:spacing w:line="240" w:lineRule="auto"/>
        <w:rPr>
          <w:i/>
          <w:sz w:val="20"/>
          <w:lang w:val="fr-FR"/>
        </w:rPr>
      </w:pPr>
    </w:p>
    <w:p w:rsidR="006A000C" w:rsidRDefault="006A000C" w:rsidP="006A000C">
      <w:pPr>
        <w:pStyle w:val="SCCNormalDoubleSpacing"/>
        <w:widowControl w:val="0"/>
        <w:spacing w:line="240" w:lineRule="auto"/>
        <w:rPr>
          <w:i/>
          <w:sz w:val="20"/>
          <w:lang w:val="fr-FR"/>
        </w:rPr>
      </w:pPr>
      <w:r w:rsidRPr="00475607">
        <w:rPr>
          <w:i/>
          <w:sz w:val="20"/>
          <w:lang w:val="fr-FR"/>
        </w:rPr>
        <w:tab/>
        <w:t xml:space="preserve">Droit constitutionnel — Charte des droits — Droit à la liberté — La </w:t>
      </w:r>
      <w:proofErr w:type="spellStart"/>
      <w:r w:rsidRPr="00475607">
        <w:rPr>
          <w:i/>
          <w:sz w:val="20"/>
          <w:lang w:val="fr-FR"/>
        </w:rPr>
        <w:t>Metis</w:t>
      </w:r>
      <w:proofErr w:type="spellEnd"/>
      <w:r w:rsidRPr="00475607">
        <w:rPr>
          <w:i/>
          <w:sz w:val="20"/>
          <w:lang w:val="fr-FR"/>
        </w:rPr>
        <w:t xml:space="preserve"> </w:t>
      </w:r>
      <w:proofErr w:type="spellStart"/>
      <w:r w:rsidRPr="00475607">
        <w:rPr>
          <w:i/>
          <w:sz w:val="20"/>
          <w:lang w:val="fr-FR"/>
        </w:rPr>
        <w:t>Settlements</w:t>
      </w:r>
      <w:proofErr w:type="spellEnd"/>
      <w:r w:rsidRPr="00475607">
        <w:rPr>
          <w:i/>
          <w:sz w:val="20"/>
          <w:lang w:val="fr-FR"/>
        </w:rPr>
        <w:t xml:space="preserve"> </w:t>
      </w:r>
      <w:proofErr w:type="spellStart"/>
      <w:r w:rsidRPr="00475607">
        <w:rPr>
          <w:i/>
          <w:sz w:val="20"/>
          <w:lang w:val="fr-FR"/>
        </w:rPr>
        <w:t>Act</w:t>
      </w:r>
      <w:proofErr w:type="spellEnd"/>
      <w:r w:rsidRPr="00475607">
        <w:rPr>
          <w:i/>
          <w:sz w:val="20"/>
          <w:lang w:val="fr-FR"/>
        </w:rPr>
        <w:t xml:space="preserve"> de l’Alberta prévoit que l’inscription volontaire en vertu de la Loi sur les Indiens empêche d’avoir le statut de membre dans un établissement métis — La loi </w:t>
      </w:r>
      <w:proofErr w:type="spellStart"/>
      <w:r w:rsidRPr="00475607">
        <w:rPr>
          <w:i/>
          <w:sz w:val="20"/>
          <w:lang w:val="fr-FR"/>
        </w:rPr>
        <w:t>enfreint</w:t>
      </w:r>
      <w:r w:rsidRPr="00475607">
        <w:rPr>
          <w:i/>
          <w:sz w:val="20"/>
          <w:lang w:val="fr-FR"/>
        </w:rPr>
        <w:noBreakHyphen/>
        <w:t>elle</w:t>
      </w:r>
      <w:proofErr w:type="spellEnd"/>
      <w:r w:rsidRPr="00475607">
        <w:rPr>
          <w:i/>
          <w:sz w:val="20"/>
          <w:lang w:val="fr-FR"/>
        </w:rPr>
        <w:t xml:space="preserve"> le droit à la liberté? — Charte canadienne des droits et libertés, art. 7 — </w:t>
      </w:r>
      <w:proofErr w:type="spellStart"/>
      <w:r w:rsidRPr="00475607">
        <w:rPr>
          <w:i/>
          <w:sz w:val="20"/>
          <w:lang w:val="fr-FR"/>
        </w:rPr>
        <w:t>Metis</w:t>
      </w:r>
      <w:proofErr w:type="spellEnd"/>
      <w:r w:rsidRPr="00475607">
        <w:rPr>
          <w:i/>
          <w:sz w:val="20"/>
          <w:lang w:val="fr-FR"/>
        </w:rPr>
        <w:t xml:space="preserve"> </w:t>
      </w:r>
      <w:proofErr w:type="spellStart"/>
      <w:r w:rsidRPr="00475607">
        <w:rPr>
          <w:i/>
          <w:sz w:val="20"/>
          <w:lang w:val="fr-FR"/>
        </w:rPr>
        <w:t>Settlements</w:t>
      </w:r>
      <w:proofErr w:type="spellEnd"/>
      <w:r w:rsidRPr="00475607">
        <w:rPr>
          <w:i/>
          <w:sz w:val="20"/>
          <w:lang w:val="fr-FR"/>
        </w:rPr>
        <w:t xml:space="preserve"> </w:t>
      </w:r>
      <w:proofErr w:type="spellStart"/>
      <w:r w:rsidRPr="00475607">
        <w:rPr>
          <w:i/>
          <w:sz w:val="20"/>
          <w:lang w:val="fr-FR"/>
        </w:rPr>
        <w:t>Act</w:t>
      </w:r>
      <w:proofErr w:type="spellEnd"/>
      <w:r w:rsidRPr="00475607">
        <w:rPr>
          <w:i/>
          <w:sz w:val="20"/>
          <w:lang w:val="fr-FR"/>
        </w:rPr>
        <w:t>, R.S.A. 2000, ch. M</w:t>
      </w:r>
      <w:r w:rsidRPr="00475607">
        <w:rPr>
          <w:i/>
          <w:sz w:val="20"/>
          <w:lang w:val="fr-FR"/>
        </w:rPr>
        <w:noBreakHyphen/>
        <w:t>14, art. 75, 90.</w:t>
      </w:r>
    </w:p>
    <w:p w:rsidR="006A000C" w:rsidRPr="00475607" w:rsidRDefault="006A000C" w:rsidP="006A000C">
      <w:pPr>
        <w:pStyle w:val="SCCNormalDoubleSpacing"/>
        <w:widowControl w:val="0"/>
        <w:spacing w:line="240" w:lineRule="auto"/>
        <w:rPr>
          <w:i/>
          <w:sz w:val="20"/>
          <w:lang w:val="fr-FR"/>
        </w:rPr>
      </w:pPr>
    </w:p>
    <w:p w:rsidR="006A000C" w:rsidRDefault="006A000C" w:rsidP="006A000C">
      <w:pPr>
        <w:pStyle w:val="SCCNormalDoubleSpacing"/>
        <w:widowControl w:val="0"/>
        <w:spacing w:line="240" w:lineRule="auto"/>
        <w:rPr>
          <w:sz w:val="20"/>
          <w:lang w:val="fr-FR"/>
        </w:rPr>
      </w:pPr>
      <w:r w:rsidRPr="00475607">
        <w:rPr>
          <w:sz w:val="20"/>
          <w:lang w:val="fr-FR"/>
        </w:rPr>
        <w:tab/>
      </w:r>
      <w:r w:rsidRPr="00475607">
        <w:rPr>
          <w:i/>
          <w:sz w:val="20"/>
          <w:lang w:val="fr-FR"/>
        </w:rPr>
        <w:t>L’article</w:t>
      </w:r>
      <w:r w:rsidRPr="006A000C">
        <w:rPr>
          <w:sz w:val="20"/>
          <w:lang w:val="fr-CA"/>
        </w:rPr>
        <w:t xml:space="preserve"> 35 de la </w:t>
      </w:r>
      <w:r w:rsidRPr="006A000C">
        <w:rPr>
          <w:i/>
          <w:sz w:val="20"/>
          <w:lang w:val="fr-CA"/>
        </w:rPr>
        <w:t xml:space="preserve">Loi constitutionnelle de 1982 </w:t>
      </w:r>
      <w:r w:rsidRPr="006A000C">
        <w:rPr>
          <w:sz w:val="20"/>
          <w:lang w:val="fr-CA"/>
        </w:rPr>
        <w:t xml:space="preserve">reconnaît trois peuples autochtones — les Indiens, les Métis et les Inuit.  </w:t>
      </w:r>
      <w:r w:rsidRPr="00475607">
        <w:rPr>
          <w:sz w:val="20"/>
          <w:lang w:val="fr-FR"/>
        </w:rPr>
        <w:t xml:space="preserve">En Alberta, la relation entre le gouvernement et les Métis a évolué au point où ils ont entrepris des négociations portant principalement sur </w:t>
      </w:r>
      <w:r w:rsidRPr="006A000C">
        <w:rPr>
          <w:sz w:val="20"/>
          <w:lang w:val="fr-CA"/>
        </w:rPr>
        <w:t xml:space="preserve">l’établissement de terres désignées pour les communautés métisses, sur l’octroi de l’autonomie gouvernementale à ces communautés et sur la protection et l’enrichissement de la culture et de l’identité des Métis.  </w:t>
      </w:r>
      <w:r w:rsidRPr="00475607">
        <w:rPr>
          <w:sz w:val="20"/>
          <w:lang w:val="fr-FR"/>
        </w:rPr>
        <w:t xml:space="preserve">Les négociations ont aussi porté sur des dispositions législatives qui permettraient aux Métis de conserver leur identité propre, distincte de celle des Indiens.  La </w:t>
      </w:r>
      <w:proofErr w:type="spellStart"/>
      <w:r w:rsidRPr="00475607">
        <w:rPr>
          <w:i/>
          <w:sz w:val="20"/>
          <w:lang w:val="fr-FR"/>
        </w:rPr>
        <w:t>Metis</w:t>
      </w:r>
      <w:proofErr w:type="spellEnd"/>
      <w:r w:rsidRPr="00475607">
        <w:rPr>
          <w:i/>
          <w:sz w:val="20"/>
          <w:lang w:val="fr-FR"/>
        </w:rPr>
        <w:t xml:space="preserve"> </w:t>
      </w:r>
      <w:proofErr w:type="spellStart"/>
      <w:r w:rsidRPr="00475607">
        <w:rPr>
          <w:i/>
          <w:sz w:val="20"/>
          <w:lang w:val="fr-FR"/>
        </w:rPr>
        <w:t>Settlements</w:t>
      </w:r>
      <w:proofErr w:type="spellEnd"/>
      <w:r w:rsidRPr="00475607">
        <w:rPr>
          <w:i/>
          <w:sz w:val="20"/>
          <w:lang w:val="fr-FR"/>
        </w:rPr>
        <w:t xml:space="preserve"> </w:t>
      </w:r>
      <w:proofErr w:type="spellStart"/>
      <w:r w:rsidRPr="00475607">
        <w:rPr>
          <w:i/>
          <w:sz w:val="20"/>
          <w:lang w:val="fr-FR"/>
        </w:rPr>
        <w:t>Act</w:t>
      </w:r>
      <w:proofErr w:type="spellEnd"/>
      <w:r w:rsidRPr="00475607">
        <w:rPr>
          <w:sz w:val="20"/>
          <w:lang w:val="fr-FR"/>
        </w:rPr>
        <w:t xml:space="preserve"> (« </w:t>
      </w:r>
      <w:r w:rsidRPr="00475607">
        <w:rPr>
          <w:i/>
          <w:sz w:val="20"/>
          <w:lang w:val="fr-FR"/>
        </w:rPr>
        <w:t>MSA </w:t>
      </w:r>
      <w:r w:rsidRPr="00475607">
        <w:rPr>
          <w:sz w:val="20"/>
          <w:lang w:val="fr-FR"/>
        </w:rPr>
        <w:t>») a été adoptée par suite de ces négociations.</w:t>
      </w:r>
    </w:p>
    <w:p w:rsidR="006A000C" w:rsidRPr="00475607" w:rsidRDefault="006A000C" w:rsidP="006A000C">
      <w:pPr>
        <w:pStyle w:val="SCCNormalDoubleSpacing"/>
        <w:widowControl w:val="0"/>
        <w:spacing w:line="240" w:lineRule="auto"/>
        <w:rPr>
          <w:sz w:val="20"/>
          <w:lang w:val="fr-FR"/>
        </w:rPr>
      </w:pPr>
    </w:p>
    <w:p w:rsidR="006A000C" w:rsidRDefault="006A000C" w:rsidP="006A000C">
      <w:pPr>
        <w:pStyle w:val="SCCNormalDoubleSpacing"/>
        <w:widowControl w:val="0"/>
        <w:spacing w:line="240" w:lineRule="auto"/>
        <w:rPr>
          <w:sz w:val="20"/>
          <w:lang w:val="fr-FR"/>
        </w:rPr>
      </w:pPr>
      <w:r w:rsidRPr="00475607">
        <w:rPr>
          <w:sz w:val="20"/>
          <w:lang w:val="fr-FR"/>
        </w:rPr>
        <w:tab/>
        <w:t xml:space="preserve">Les </w:t>
      </w:r>
      <w:r w:rsidRPr="006A000C">
        <w:rPr>
          <w:sz w:val="20"/>
          <w:lang w:val="fr-CA"/>
        </w:rPr>
        <w:t>demandeurs</w:t>
      </w:r>
      <w:r w:rsidRPr="00475607">
        <w:rPr>
          <w:sz w:val="20"/>
          <w:lang w:val="fr-FR"/>
        </w:rPr>
        <w:t xml:space="preserve"> étaient des membres formels d’une communauté métisse de l’Alberta qui a été établie et administrée conformément à la </w:t>
      </w:r>
      <w:r w:rsidRPr="00475607">
        <w:rPr>
          <w:i/>
          <w:sz w:val="20"/>
          <w:lang w:val="fr-FR"/>
        </w:rPr>
        <w:t>MSA</w:t>
      </w:r>
      <w:r w:rsidRPr="00475607">
        <w:rPr>
          <w:sz w:val="20"/>
          <w:lang w:val="fr-FR"/>
        </w:rPr>
        <w:t xml:space="preserve">.  Ils </w:t>
      </w:r>
      <w:r w:rsidRPr="006A000C">
        <w:rPr>
          <w:sz w:val="20"/>
          <w:lang w:val="fr-CA"/>
        </w:rPr>
        <w:t xml:space="preserve">ont choisi de s’inscrire à titre d’Indiens dans le but d’obtenir des soins médicaux en application de la </w:t>
      </w:r>
      <w:r w:rsidRPr="006A000C">
        <w:rPr>
          <w:i/>
          <w:iCs/>
          <w:sz w:val="20"/>
          <w:lang w:val="fr-CA"/>
        </w:rPr>
        <w:t>Loi sur les Indiens</w:t>
      </w:r>
      <w:r w:rsidRPr="006A000C">
        <w:rPr>
          <w:sz w:val="20"/>
          <w:lang w:val="fr-CA"/>
        </w:rPr>
        <w:t>.</w:t>
      </w:r>
      <w:r w:rsidRPr="00475607">
        <w:rPr>
          <w:sz w:val="20"/>
          <w:lang w:val="fr-FR"/>
        </w:rPr>
        <w:t xml:space="preserve">  Or, la </w:t>
      </w:r>
      <w:r w:rsidRPr="00475607">
        <w:rPr>
          <w:i/>
          <w:sz w:val="20"/>
          <w:lang w:val="fr-FR"/>
        </w:rPr>
        <w:t>MSA</w:t>
      </w:r>
      <w:r w:rsidRPr="00475607">
        <w:rPr>
          <w:sz w:val="20"/>
          <w:lang w:val="fr-FR"/>
        </w:rPr>
        <w:t xml:space="preserve"> prévoit que l’inscription volontaire en vertu de la</w:t>
      </w:r>
      <w:r w:rsidRPr="00475607">
        <w:rPr>
          <w:i/>
          <w:sz w:val="20"/>
          <w:lang w:val="fr-FR"/>
        </w:rPr>
        <w:t xml:space="preserve"> Loi sur les Indiens </w:t>
      </w:r>
      <w:r w:rsidRPr="00475607">
        <w:rPr>
          <w:sz w:val="20"/>
          <w:lang w:val="fr-FR"/>
        </w:rPr>
        <w:t xml:space="preserve">empêche d’avoir le statut de membre dans un établissement métis.  Leur appartenance à l’établissement métis a été révoquée en application </w:t>
      </w:r>
      <w:r w:rsidRPr="006A000C">
        <w:rPr>
          <w:sz w:val="20"/>
          <w:lang w:val="fr-CA"/>
        </w:rPr>
        <w:t xml:space="preserve">de l’art. 90 de la </w:t>
      </w:r>
      <w:r w:rsidRPr="006A000C">
        <w:rPr>
          <w:i/>
          <w:sz w:val="20"/>
          <w:lang w:val="fr-CA"/>
        </w:rPr>
        <w:t>MSA</w:t>
      </w:r>
      <w:r w:rsidRPr="006A000C">
        <w:rPr>
          <w:sz w:val="20"/>
          <w:lang w:val="fr-CA"/>
        </w:rPr>
        <w:t xml:space="preserve">.  Les demandeurs sollicitent un jugement déclarant que cette interdiction découlant </w:t>
      </w:r>
      <w:proofErr w:type="gramStart"/>
      <w:r w:rsidRPr="006A000C">
        <w:rPr>
          <w:sz w:val="20"/>
          <w:lang w:val="fr-CA"/>
        </w:rPr>
        <w:t>des art</w:t>
      </w:r>
      <w:proofErr w:type="gramEnd"/>
      <w:r w:rsidRPr="006A000C">
        <w:rPr>
          <w:sz w:val="20"/>
          <w:lang w:val="fr-CA"/>
        </w:rPr>
        <w:t xml:space="preserve">. 75 et 90 de la </w:t>
      </w:r>
      <w:r w:rsidRPr="006A000C">
        <w:rPr>
          <w:i/>
          <w:sz w:val="20"/>
          <w:lang w:val="fr-CA"/>
        </w:rPr>
        <w:t>MSA</w:t>
      </w:r>
      <w:r w:rsidRPr="006A000C">
        <w:rPr>
          <w:sz w:val="20"/>
          <w:lang w:val="fr-CA"/>
        </w:rPr>
        <w:t xml:space="preserve"> est inconstitutionnelle et porte atteinte aux droits à l’égalité, à la liberté d’association et à la liberté protégés par la </w:t>
      </w:r>
      <w:r w:rsidRPr="006A000C">
        <w:rPr>
          <w:i/>
          <w:sz w:val="20"/>
          <w:lang w:val="fr-CA"/>
        </w:rPr>
        <w:t>Charte</w:t>
      </w:r>
      <w:r w:rsidRPr="006A000C">
        <w:rPr>
          <w:sz w:val="20"/>
          <w:lang w:val="fr-CA"/>
        </w:rPr>
        <w:t xml:space="preserve">. </w:t>
      </w:r>
      <w:r w:rsidRPr="00475607">
        <w:rPr>
          <w:sz w:val="20"/>
          <w:lang w:val="fr-FR"/>
        </w:rPr>
        <w:t xml:space="preserve"> La juge en cabinet a rejeté ces demandes.  La Cour d’appel a accueilli l’appel puisqu’elle a conclu que ces dispositions étaient incompatibles avec le droit à l’égalité garanti par l’art. 15 de la </w:t>
      </w:r>
      <w:r w:rsidRPr="00475607">
        <w:rPr>
          <w:i/>
          <w:sz w:val="20"/>
          <w:lang w:val="fr-FR"/>
        </w:rPr>
        <w:t>Charte</w:t>
      </w:r>
      <w:r w:rsidRPr="00475607">
        <w:rPr>
          <w:sz w:val="20"/>
          <w:lang w:val="fr-FR"/>
        </w:rPr>
        <w:t>.</w:t>
      </w:r>
    </w:p>
    <w:p w:rsidR="006A000C" w:rsidRPr="00475607" w:rsidRDefault="006A000C" w:rsidP="006A000C">
      <w:pPr>
        <w:pStyle w:val="SCCNormalDoubleSpacing"/>
        <w:widowControl w:val="0"/>
        <w:spacing w:line="240" w:lineRule="auto"/>
        <w:rPr>
          <w:i/>
          <w:sz w:val="20"/>
          <w:lang w:val="fr-FR"/>
        </w:rPr>
      </w:pPr>
    </w:p>
    <w:p w:rsidR="006A000C" w:rsidRDefault="006A000C" w:rsidP="006A000C">
      <w:pPr>
        <w:pStyle w:val="SCCNormalDoubleSpacing"/>
        <w:widowControl w:val="0"/>
        <w:spacing w:line="240" w:lineRule="auto"/>
        <w:rPr>
          <w:sz w:val="20"/>
          <w:lang w:val="fr-FR"/>
        </w:rPr>
      </w:pPr>
      <w:r w:rsidRPr="00475607">
        <w:rPr>
          <w:i/>
          <w:sz w:val="20"/>
          <w:lang w:val="fr-FR"/>
        </w:rPr>
        <w:tab/>
        <w:t>Arrêt </w:t>
      </w:r>
      <w:proofErr w:type="gramStart"/>
      <w:r w:rsidRPr="00475607">
        <w:rPr>
          <w:i/>
          <w:sz w:val="20"/>
          <w:lang w:val="fr-FR"/>
        </w:rPr>
        <w:t>:</w:t>
      </w:r>
      <w:r w:rsidRPr="00475607">
        <w:rPr>
          <w:sz w:val="20"/>
          <w:lang w:val="fr-FR"/>
        </w:rPr>
        <w:t xml:space="preserve">  Le</w:t>
      </w:r>
      <w:proofErr w:type="gramEnd"/>
      <w:r w:rsidRPr="00475607">
        <w:rPr>
          <w:sz w:val="20"/>
          <w:lang w:val="fr-FR"/>
        </w:rPr>
        <w:t xml:space="preserve"> pourvoi est accueilli et le jugement de la juge en cabinet est confirmé.</w:t>
      </w:r>
    </w:p>
    <w:p w:rsidR="006A000C" w:rsidRPr="00475607" w:rsidRDefault="006A000C" w:rsidP="006A000C">
      <w:pPr>
        <w:pStyle w:val="SCCNormalDoubleSpacing"/>
        <w:widowControl w:val="0"/>
        <w:spacing w:line="240" w:lineRule="auto"/>
        <w:rPr>
          <w:sz w:val="20"/>
          <w:lang w:val="fr-FR"/>
        </w:rPr>
      </w:pPr>
    </w:p>
    <w:p w:rsidR="006A000C" w:rsidRDefault="006A000C" w:rsidP="006A000C">
      <w:pPr>
        <w:pStyle w:val="SCCNormalDoubleSpacing"/>
        <w:widowControl w:val="0"/>
        <w:spacing w:line="240" w:lineRule="auto"/>
        <w:rPr>
          <w:sz w:val="20"/>
          <w:lang w:val="fr-FR"/>
        </w:rPr>
      </w:pPr>
      <w:r w:rsidRPr="00475607">
        <w:rPr>
          <w:sz w:val="20"/>
          <w:lang w:val="fr-FR"/>
        </w:rPr>
        <w:tab/>
        <w:t>La demande fondée sur l’art. 15 doit être rejetée.  L</w:t>
      </w:r>
      <w:r w:rsidRPr="006A000C">
        <w:rPr>
          <w:sz w:val="20"/>
          <w:lang w:val="fr-CA"/>
        </w:rPr>
        <w:t xml:space="preserve">a </w:t>
      </w:r>
      <w:r w:rsidRPr="006A000C">
        <w:rPr>
          <w:i/>
          <w:sz w:val="20"/>
          <w:lang w:val="fr-CA"/>
        </w:rPr>
        <w:t>MSA</w:t>
      </w:r>
      <w:r w:rsidRPr="006A000C">
        <w:rPr>
          <w:sz w:val="20"/>
          <w:lang w:val="fr-CA"/>
        </w:rPr>
        <w:t xml:space="preserve"> constitue un programme améliorateur protégé par le par. 15(2) de la </w:t>
      </w:r>
      <w:r w:rsidRPr="006A000C">
        <w:rPr>
          <w:i/>
          <w:sz w:val="20"/>
          <w:lang w:val="fr-CA"/>
        </w:rPr>
        <w:t>Charte</w:t>
      </w:r>
      <w:r w:rsidRPr="00475607">
        <w:rPr>
          <w:sz w:val="20"/>
          <w:lang w:val="fr-FR"/>
        </w:rPr>
        <w:t xml:space="preserve">.  </w:t>
      </w:r>
      <w:r w:rsidRPr="006A000C">
        <w:rPr>
          <w:sz w:val="20"/>
          <w:lang w:val="fr-CA"/>
        </w:rPr>
        <w:t>Le paragraphe 15(2) permet aux gouvernements d’aider un groupe — sans être paralysés par l’obligation de tous les aider — et d’adapter les programmes de façon à renforcer les avantages qu’ils confèrent, tout en veillant à ce que la protection offerte par le par. 15(2) contre l’accusation de discrimination ne soit pas utilisée de manière abusive à des fins étrangères à l’objet du programme améliorateur et à l’objectif d’égalité réelle.</w:t>
      </w:r>
      <w:r w:rsidRPr="00475607">
        <w:rPr>
          <w:sz w:val="20"/>
          <w:lang w:val="fr-FR"/>
        </w:rPr>
        <w:t xml:space="preserve">  </w:t>
      </w:r>
      <w:r w:rsidRPr="006A000C">
        <w:rPr>
          <w:sz w:val="20"/>
          <w:lang w:val="fr-CA"/>
        </w:rPr>
        <w:t>De par leur nature, les programmes améliorateurs confèrent à un groupe des avantages qui ne sont pas conférés à d’autres.  Ces distinctions sont généralement protégées si elles tendent à la réalisation de l’objet du programme ou y contribuent, faisant ainsi la promotion de l’égalité réelle, même lorsque les groupes inclus et exclus ont une histoire semblable de désavantages et de marginalisation</w:t>
      </w:r>
      <w:r w:rsidRPr="00475607">
        <w:rPr>
          <w:sz w:val="20"/>
          <w:lang w:val="fr-FR"/>
        </w:rPr>
        <w:t>.</w:t>
      </w:r>
    </w:p>
    <w:p w:rsidR="006A000C" w:rsidRPr="00475607" w:rsidRDefault="006A000C" w:rsidP="006A000C">
      <w:pPr>
        <w:pStyle w:val="SCCNormalDoubleSpacing"/>
        <w:widowControl w:val="0"/>
        <w:spacing w:line="240" w:lineRule="auto"/>
        <w:rPr>
          <w:sz w:val="20"/>
          <w:lang w:val="fr-FR"/>
        </w:rPr>
      </w:pPr>
    </w:p>
    <w:p w:rsidR="006A000C" w:rsidRDefault="006A000C" w:rsidP="006A000C">
      <w:pPr>
        <w:pStyle w:val="SCCNormalDoubleSpacing"/>
        <w:widowControl w:val="0"/>
        <w:spacing w:line="240" w:lineRule="auto"/>
        <w:rPr>
          <w:sz w:val="20"/>
          <w:lang w:val="fr-FR"/>
        </w:rPr>
      </w:pPr>
      <w:r w:rsidRPr="00475607">
        <w:rPr>
          <w:sz w:val="20"/>
          <w:lang w:val="fr-FR"/>
        </w:rPr>
        <w:tab/>
        <w:t>Lorsque le gouvernement s’appuie sur le par. 15(2), la première question à trancher est celle de savoir si la loi crée une distinction préjudiciable à l’égard du groupe de demandeurs fondée sur un des motifs énumérés au par. 15(1) ou sur un motif analogue.  Si oui, il faut ensuite se demander si la distinction est justifiée au regard du par. 15(2).  Pour l’établir, le gouvernement doit démontrer à la lumière des éléments de preuve que le programme est du type qui vise véritablement à améliorer la situation d’un groupe qui a besoin d’une aide amélioratrice afin d’accroître l’égalité réelle, qu’il y a une corrélation entre le programme et le désavantage dont est victime le groupe cible, et que l’État choisit des moyens rationnels pour atteindre l’objet améliorateur.  S’il est satisfait à ces conditions, le par. 15(2) protège toutes les distinctions fondées sur un motif énuméré ou analogue qui tendent ou sont nécessaires à la réalisation de l’objet améliorateur, dans la mesure où elles sont justifiées par l’objet du programme améliorateur.  Si non, l’analyse reprend quand au par. 15(1) et, s’il est établi qu’il existe une discrimination réelle, quant à l’art. 1.</w:t>
      </w:r>
    </w:p>
    <w:p w:rsidR="006A000C" w:rsidRDefault="006A000C" w:rsidP="006A000C">
      <w:pPr>
        <w:pStyle w:val="SCCNormalDoubleSpacing"/>
        <w:widowControl w:val="0"/>
        <w:spacing w:line="240" w:lineRule="auto"/>
        <w:rPr>
          <w:sz w:val="20"/>
          <w:lang w:val="fr-FR"/>
        </w:rPr>
      </w:pPr>
      <w:r w:rsidRPr="00475607">
        <w:rPr>
          <w:sz w:val="20"/>
          <w:lang w:val="fr-FR"/>
        </w:rPr>
        <w:lastRenderedPageBreak/>
        <w:tab/>
        <w:t xml:space="preserve">En l’espèce, et en tenant pour acquis que </w:t>
      </w:r>
      <w:r w:rsidRPr="006A000C">
        <w:rPr>
          <w:sz w:val="20"/>
          <w:lang w:val="fr-CA"/>
        </w:rPr>
        <w:t xml:space="preserve">la distinction établie par la </w:t>
      </w:r>
      <w:r w:rsidRPr="006A000C">
        <w:rPr>
          <w:i/>
          <w:sz w:val="20"/>
          <w:lang w:val="fr-CA"/>
        </w:rPr>
        <w:t>MSA</w:t>
      </w:r>
      <w:r w:rsidRPr="006A000C">
        <w:rPr>
          <w:sz w:val="20"/>
          <w:lang w:val="fr-CA"/>
        </w:rPr>
        <w:t xml:space="preserve"> entre les Métis et les Indiens inscrits constitue une distinction fondée sur un motif énuméré ou analogue</w:t>
      </w:r>
      <w:r w:rsidRPr="00475607">
        <w:rPr>
          <w:sz w:val="20"/>
          <w:lang w:val="fr-FR"/>
        </w:rPr>
        <w:t xml:space="preserve">, </w:t>
      </w:r>
      <w:r w:rsidRPr="006A000C">
        <w:rPr>
          <w:sz w:val="20"/>
          <w:lang w:val="fr-CA"/>
        </w:rPr>
        <w:t xml:space="preserve">la </w:t>
      </w:r>
      <w:r w:rsidRPr="006A000C">
        <w:rPr>
          <w:i/>
          <w:sz w:val="20"/>
          <w:lang w:val="fr-CA"/>
        </w:rPr>
        <w:t xml:space="preserve">MSA </w:t>
      </w:r>
      <w:r w:rsidRPr="006A000C">
        <w:rPr>
          <w:sz w:val="20"/>
          <w:lang w:val="fr-CA"/>
        </w:rPr>
        <w:t>constitue un programme véritablement améliorateur</w:t>
      </w:r>
      <w:r w:rsidRPr="00475607">
        <w:rPr>
          <w:sz w:val="20"/>
          <w:lang w:val="fr-FR"/>
        </w:rPr>
        <w:t>.  C</w:t>
      </w:r>
      <w:proofErr w:type="spellStart"/>
      <w:r w:rsidRPr="006A000C">
        <w:rPr>
          <w:sz w:val="20"/>
          <w:lang w:val="fr-CA"/>
        </w:rPr>
        <w:t>ontrairement</w:t>
      </w:r>
      <w:proofErr w:type="spellEnd"/>
      <w:r w:rsidRPr="006A000C">
        <w:rPr>
          <w:sz w:val="20"/>
          <w:lang w:val="fr-CA"/>
        </w:rPr>
        <w:t xml:space="preserve"> à un grand nombre de programmes améliorateurs, </w:t>
      </w:r>
      <w:proofErr w:type="spellStart"/>
      <w:r w:rsidRPr="006A000C">
        <w:rPr>
          <w:sz w:val="20"/>
          <w:lang w:val="fr-CA"/>
        </w:rPr>
        <w:t>celui</w:t>
      </w:r>
      <w:r w:rsidRPr="006A000C">
        <w:rPr>
          <w:sz w:val="20"/>
          <w:lang w:val="fr-CA"/>
        </w:rPr>
        <w:noBreakHyphen/>
        <w:t>ci</w:t>
      </w:r>
      <w:proofErr w:type="spellEnd"/>
      <w:r w:rsidRPr="006A000C">
        <w:rPr>
          <w:sz w:val="20"/>
          <w:lang w:val="fr-CA"/>
        </w:rPr>
        <w:t xml:space="preserve"> ne vise pas à conférer directement des avantages aux membres d’un groupe</w:t>
      </w:r>
      <w:r w:rsidRPr="00475607">
        <w:rPr>
          <w:sz w:val="20"/>
          <w:lang w:val="fr-FR"/>
        </w:rPr>
        <w:t>, mais plutôt à valoriser et à préserver l’</w:t>
      </w:r>
      <w:r w:rsidRPr="006A000C">
        <w:rPr>
          <w:sz w:val="20"/>
          <w:lang w:val="fr-CA"/>
        </w:rPr>
        <w:t>identité, la culture et l’autonomie gouvernementale</w:t>
      </w:r>
      <w:r w:rsidRPr="00475607">
        <w:rPr>
          <w:sz w:val="20"/>
          <w:lang w:val="fr-FR"/>
        </w:rPr>
        <w:t xml:space="preserve"> des Métis grâce à l’établissement d’une assise territoriale métisse.  La </w:t>
      </w:r>
      <w:r w:rsidRPr="006A000C">
        <w:rPr>
          <w:sz w:val="20"/>
          <w:lang w:val="fr-CA"/>
        </w:rPr>
        <w:t>corrélation entre le programme et le désavantage dont est victime le groupe cible</w:t>
      </w:r>
      <w:r w:rsidRPr="00475607">
        <w:rPr>
          <w:sz w:val="20"/>
          <w:lang w:val="fr-FR"/>
        </w:rPr>
        <w:t xml:space="preserve">, </w:t>
      </w:r>
      <w:r w:rsidRPr="006A000C">
        <w:rPr>
          <w:sz w:val="20"/>
          <w:lang w:val="fr-CA"/>
        </w:rPr>
        <w:t xml:space="preserve">un des trois groupes qui forment les peuples autochtones du Canada reconnus à l’art. 35 de la </w:t>
      </w:r>
      <w:r w:rsidRPr="00475607">
        <w:rPr>
          <w:sz w:val="20"/>
          <w:lang w:val="fr-FR"/>
        </w:rPr>
        <w:t>Constitution, est manifeste.</w:t>
      </w:r>
    </w:p>
    <w:p w:rsidR="006A000C" w:rsidRPr="00475607" w:rsidRDefault="006A000C" w:rsidP="006A000C">
      <w:pPr>
        <w:pStyle w:val="SCCNormalDoubleSpacing"/>
        <w:widowControl w:val="0"/>
        <w:spacing w:line="240" w:lineRule="auto"/>
        <w:rPr>
          <w:sz w:val="20"/>
          <w:lang w:val="fr-FR"/>
        </w:rPr>
      </w:pPr>
    </w:p>
    <w:p w:rsidR="006A000C" w:rsidRDefault="006A000C" w:rsidP="006A000C">
      <w:pPr>
        <w:pStyle w:val="SCCNormalDoubleSpacing"/>
        <w:widowControl w:val="0"/>
        <w:spacing w:line="240" w:lineRule="auto"/>
        <w:rPr>
          <w:sz w:val="20"/>
          <w:lang w:val="fr-FR"/>
        </w:rPr>
      </w:pPr>
      <w:r w:rsidRPr="00475607">
        <w:rPr>
          <w:sz w:val="20"/>
          <w:lang w:val="fr-FR"/>
        </w:rPr>
        <w:tab/>
        <w:t xml:space="preserve">Puisque </w:t>
      </w:r>
      <w:r w:rsidRPr="006A000C">
        <w:rPr>
          <w:sz w:val="20"/>
          <w:lang w:val="fr-CA"/>
        </w:rPr>
        <w:t xml:space="preserve">l’interdiction qui est faite aux Métis qui sont aussi des Indiens inscrits </w:t>
      </w:r>
      <w:r w:rsidRPr="006A000C">
        <w:rPr>
          <w:rStyle w:val="reference"/>
          <w:sz w:val="20"/>
          <w:lang w:val="fr-CA"/>
        </w:rPr>
        <w:t xml:space="preserve">de devenir des membres officiels des établissements métis </w:t>
      </w:r>
      <w:r w:rsidRPr="006A000C">
        <w:rPr>
          <w:sz w:val="20"/>
          <w:lang w:val="fr-CA"/>
        </w:rPr>
        <w:t>tend et contribue à la réalisation de l’objet du programme améliorateur</w:t>
      </w:r>
      <w:r w:rsidRPr="00475607">
        <w:rPr>
          <w:sz w:val="20"/>
          <w:lang w:val="fr-FR"/>
        </w:rPr>
        <w:t xml:space="preserve">, </w:t>
      </w:r>
      <w:r w:rsidRPr="006A000C">
        <w:rPr>
          <w:sz w:val="20"/>
          <w:lang w:val="fr-CA"/>
        </w:rPr>
        <w:t xml:space="preserve">le par. 15(2) protège la </w:t>
      </w:r>
      <w:r w:rsidRPr="006A000C">
        <w:rPr>
          <w:i/>
          <w:iCs/>
          <w:sz w:val="20"/>
          <w:lang w:val="fr-CA"/>
        </w:rPr>
        <w:t>MSA</w:t>
      </w:r>
      <w:r w:rsidRPr="006A000C">
        <w:rPr>
          <w:sz w:val="20"/>
          <w:lang w:val="fr-CA"/>
        </w:rPr>
        <w:t xml:space="preserve"> contre une allégation de discrimination</w:t>
      </w:r>
      <w:r w:rsidRPr="00475607">
        <w:rPr>
          <w:sz w:val="20"/>
          <w:lang w:val="fr-FR"/>
        </w:rPr>
        <w:t xml:space="preserve">.  Les Métis ont le </w:t>
      </w:r>
      <w:r w:rsidRPr="006A000C">
        <w:rPr>
          <w:sz w:val="20"/>
          <w:lang w:val="fr-CA"/>
        </w:rPr>
        <w:t>droit d’avoir leur culture propre et le fait d’établir une distinction sur cette base reflète la Constitution et répond aux attentes légitimes des Métis</w:t>
      </w:r>
      <w:r w:rsidRPr="00475607">
        <w:rPr>
          <w:sz w:val="20"/>
          <w:lang w:val="fr-FR"/>
        </w:rPr>
        <w:t xml:space="preserve">.  L’exclusion </w:t>
      </w:r>
      <w:r w:rsidRPr="006A000C">
        <w:rPr>
          <w:sz w:val="20"/>
          <w:lang w:val="fr-CA"/>
        </w:rPr>
        <w:t>correspond aux distinctions historiques et sociales entre les Métis et les Indiens et elle respecte le rôle des Métis en ce qui a trait à la définition du peuple qu’ils forment</w:t>
      </w:r>
      <w:r w:rsidRPr="00475607">
        <w:rPr>
          <w:sz w:val="20"/>
          <w:lang w:val="fr-FR"/>
        </w:rPr>
        <w:t xml:space="preserve">.  En outre, </w:t>
      </w:r>
      <w:r w:rsidRPr="006A000C">
        <w:rPr>
          <w:sz w:val="20"/>
          <w:lang w:val="fr-CA"/>
        </w:rPr>
        <w:t>sans la distinction, il serait plus difficile de réaliser l’objet du programme</w:t>
      </w:r>
      <w:r w:rsidRPr="00475607">
        <w:rPr>
          <w:sz w:val="20"/>
          <w:lang w:val="fr-FR"/>
        </w:rPr>
        <w:t xml:space="preserve">.  </w:t>
      </w:r>
      <w:r w:rsidRPr="006A000C">
        <w:rPr>
          <w:sz w:val="20"/>
          <w:lang w:val="fr-CA"/>
        </w:rPr>
        <w:t xml:space="preserve">Le fait que certaines personnes peuvent s’identifier tant aux Métis qu’aux Indiens n’écarte pas la correspondance générale </w:t>
      </w:r>
      <w:proofErr w:type="spellStart"/>
      <w:r w:rsidRPr="006A000C">
        <w:rPr>
          <w:sz w:val="20"/>
          <w:lang w:val="fr-CA"/>
        </w:rPr>
        <w:t>sous</w:t>
      </w:r>
      <w:r w:rsidRPr="006A000C">
        <w:rPr>
          <w:sz w:val="20"/>
          <w:lang w:val="fr-CA"/>
        </w:rPr>
        <w:noBreakHyphen/>
        <w:t>jacente</w:t>
      </w:r>
      <w:proofErr w:type="spellEnd"/>
      <w:r w:rsidRPr="006A000C">
        <w:rPr>
          <w:sz w:val="20"/>
          <w:lang w:val="fr-CA"/>
        </w:rPr>
        <w:t xml:space="preserve"> à la distinction entre les deux groupes</w:t>
      </w:r>
      <w:r w:rsidRPr="00475607">
        <w:rPr>
          <w:sz w:val="20"/>
          <w:lang w:val="fr-FR"/>
        </w:rPr>
        <w:t>.</w:t>
      </w:r>
    </w:p>
    <w:p w:rsidR="006A000C" w:rsidRPr="00475607" w:rsidRDefault="006A000C" w:rsidP="006A000C">
      <w:pPr>
        <w:pStyle w:val="SCCNormalDoubleSpacing"/>
        <w:widowControl w:val="0"/>
        <w:spacing w:line="240" w:lineRule="auto"/>
        <w:rPr>
          <w:b/>
          <w:i/>
          <w:sz w:val="20"/>
          <w:lang w:val="fr-FR"/>
        </w:rPr>
      </w:pPr>
    </w:p>
    <w:p w:rsidR="006A000C" w:rsidRDefault="006A000C" w:rsidP="006A000C">
      <w:pPr>
        <w:pStyle w:val="SCCNormalDoubleSpacing"/>
        <w:widowControl w:val="0"/>
        <w:spacing w:line="240" w:lineRule="auto"/>
        <w:rPr>
          <w:sz w:val="20"/>
          <w:lang w:val="fr-FR"/>
        </w:rPr>
      </w:pPr>
      <w:r w:rsidRPr="00475607">
        <w:rPr>
          <w:sz w:val="20"/>
          <w:lang w:val="fr-FR"/>
        </w:rPr>
        <w:tab/>
      </w:r>
      <w:r w:rsidRPr="006A000C">
        <w:rPr>
          <w:sz w:val="20"/>
          <w:lang w:val="fr-CA"/>
        </w:rPr>
        <w:t xml:space="preserve">Le </w:t>
      </w:r>
      <w:r w:rsidRPr="00475607">
        <w:rPr>
          <w:sz w:val="20"/>
          <w:lang w:val="fr-FR"/>
        </w:rPr>
        <w:t>dossier</w:t>
      </w:r>
      <w:r w:rsidRPr="006A000C">
        <w:rPr>
          <w:sz w:val="20"/>
          <w:lang w:val="fr-CA"/>
        </w:rPr>
        <w:t xml:space="preserve"> ne fournit pas un fondement adéquat pour évaluer l’argument fondé sur l’al. 2</w:t>
      </w:r>
      <w:r w:rsidRPr="006A000C">
        <w:rPr>
          <w:i/>
          <w:iCs/>
          <w:sz w:val="20"/>
          <w:lang w:val="fr-CA"/>
        </w:rPr>
        <w:t>d</w:t>
      </w:r>
      <w:r w:rsidRPr="006A000C">
        <w:rPr>
          <w:sz w:val="20"/>
          <w:lang w:val="fr-CA"/>
        </w:rPr>
        <w:t>) invoqué par les demandeurs</w:t>
      </w:r>
      <w:r w:rsidRPr="00475607">
        <w:rPr>
          <w:sz w:val="20"/>
          <w:lang w:val="fr-FR"/>
        </w:rPr>
        <w:t xml:space="preserve">.  </w:t>
      </w:r>
      <w:r w:rsidRPr="006A000C">
        <w:rPr>
          <w:sz w:val="20"/>
          <w:lang w:val="fr-CA"/>
        </w:rPr>
        <w:t>La demande fondée sur l’art. 7 est aussi rejetée</w:t>
      </w:r>
      <w:r w:rsidRPr="00475607">
        <w:rPr>
          <w:sz w:val="20"/>
          <w:lang w:val="fr-FR"/>
        </w:rPr>
        <w:t xml:space="preserve">.  </w:t>
      </w:r>
      <w:r w:rsidRPr="006A000C">
        <w:rPr>
          <w:sz w:val="20"/>
          <w:lang w:val="fr-CA"/>
        </w:rPr>
        <w:t>Il n’est pas nécessaire de décider si le lieu de résidence est protégé par l’art. 7,</w:t>
      </w:r>
      <w:r w:rsidRPr="006A000C">
        <w:rPr>
          <w:i/>
          <w:sz w:val="20"/>
          <w:lang w:val="fr-CA"/>
        </w:rPr>
        <w:t xml:space="preserve"> </w:t>
      </w:r>
      <w:r w:rsidRPr="006A000C">
        <w:rPr>
          <w:sz w:val="20"/>
          <w:lang w:val="fr-CA"/>
        </w:rPr>
        <w:t>car il n’a pas été démontré devant la juge en cabinet que les répercussions sur le droit à la liberté étaient contraires aux principes de justice fondamentale</w:t>
      </w:r>
      <w:r w:rsidRPr="00475607">
        <w:rPr>
          <w:sz w:val="20"/>
          <w:lang w:val="fr-FR"/>
        </w:rPr>
        <w:t>.  O</w:t>
      </w:r>
      <w:proofErr w:type="spellStart"/>
      <w:r w:rsidRPr="006A000C">
        <w:rPr>
          <w:sz w:val="20"/>
          <w:lang w:val="fr-CA"/>
        </w:rPr>
        <w:t>bliger</w:t>
      </w:r>
      <w:proofErr w:type="spellEnd"/>
      <w:r w:rsidRPr="006A000C">
        <w:rPr>
          <w:sz w:val="20"/>
          <w:lang w:val="fr-CA"/>
        </w:rPr>
        <w:t xml:space="preserve"> les adultes autochtones qui pourraient autrement répondre à la définition d’Indien et de Métis à choisir à quel régime législatif ils souhaitent être assujettis — la </w:t>
      </w:r>
      <w:r w:rsidRPr="006A000C">
        <w:rPr>
          <w:i/>
          <w:sz w:val="20"/>
          <w:lang w:val="fr-CA"/>
        </w:rPr>
        <w:t xml:space="preserve">Loi sur les Indiens </w:t>
      </w:r>
      <w:r w:rsidRPr="006A000C">
        <w:rPr>
          <w:sz w:val="20"/>
          <w:lang w:val="fr-CA"/>
        </w:rPr>
        <w:t xml:space="preserve">ou la </w:t>
      </w:r>
      <w:r w:rsidRPr="006A000C">
        <w:rPr>
          <w:i/>
          <w:sz w:val="20"/>
          <w:lang w:val="fr-CA"/>
        </w:rPr>
        <w:t>MSA</w:t>
      </w:r>
      <w:r w:rsidRPr="006A000C">
        <w:rPr>
          <w:sz w:val="20"/>
          <w:lang w:val="fr-CA"/>
        </w:rPr>
        <w:t xml:space="preserve"> — n’est pas exagérément disproportionné par rapport à l’intérêt qu’a l’Alberta à garantir une assise territoriale aux Métis</w:t>
      </w:r>
      <w:r w:rsidRPr="00475607">
        <w:rPr>
          <w:sz w:val="20"/>
          <w:lang w:val="fr-FR"/>
        </w:rPr>
        <w:t>.</w:t>
      </w:r>
    </w:p>
    <w:p w:rsidR="006A000C" w:rsidRDefault="006A000C" w:rsidP="006A000C">
      <w:pPr>
        <w:pStyle w:val="SCCNormalDoubleSpacing"/>
        <w:widowControl w:val="0"/>
        <w:spacing w:line="240" w:lineRule="auto"/>
        <w:rPr>
          <w:sz w:val="20"/>
          <w:lang w:val="fr-FR"/>
        </w:rPr>
      </w:pPr>
    </w:p>
    <w:p w:rsidR="006A000C" w:rsidRPr="006A000C" w:rsidRDefault="006A000C" w:rsidP="006A000C">
      <w:pPr>
        <w:pStyle w:val="SCCNormalDoubleSpacing"/>
        <w:spacing w:line="240" w:lineRule="auto"/>
        <w:rPr>
          <w:sz w:val="20"/>
          <w:lang w:val="fr-CA"/>
        </w:rPr>
      </w:pPr>
      <w:r w:rsidRPr="006A000C">
        <w:rPr>
          <w:sz w:val="20"/>
          <w:lang w:val="fr-CA"/>
        </w:rPr>
        <w:tab/>
        <w:t xml:space="preserve">POURVOI contre un arrêt de la Cour d’appel de l’Alberta (les juges </w:t>
      </w:r>
      <w:r w:rsidR="001557DD" w:rsidRPr="00475607">
        <w:rPr>
          <w:sz w:val="20"/>
        </w:rPr>
        <w:fldChar w:fldCharType="begin"/>
      </w:r>
      <w:r w:rsidRPr="006A000C">
        <w:rPr>
          <w:sz w:val="20"/>
          <w:lang w:val="fr-CA"/>
        </w:rPr>
        <w:instrText xml:space="preserve"> SEQ CHAPTER \h \r 1</w:instrText>
      </w:r>
      <w:r w:rsidR="001557DD" w:rsidRPr="00475607">
        <w:rPr>
          <w:sz w:val="20"/>
        </w:rPr>
        <w:fldChar w:fldCharType="end"/>
      </w:r>
      <w:r w:rsidRPr="006A000C">
        <w:rPr>
          <w:sz w:val="20"/>
          <w:lang w:val="fr-CA"/>
        </w:rPr>
        <w:t xml:space="preserve">McFadyen, </w:t>
      </w:r>
      <w:proofErr w:type="spellStart"/>
      <w:r w:rsidRPr="006A000C">
        <w:rPr>
          <w:sz w:val="20"/>
          <w:lang w:val="fr-CA"/>
        </w:rPr>
        <w:t>Costigan</w:t>
      </w:r>
      <w:proofErr w:type="spellEnd"/>
      <w:r w:rsidRPr="006A000C">
        <w:rPr>
          <w:sz w:val="20"/>
          <w:lang w:val="fr-CA"/>
        </w:rPr>
        <w:t xml:space="preserve"> et Ritter), </w:t>
      </w:r>
      <w:r w:rsidR="001557DD" w:rsidRPr="00475607">
        <w:rPr>
          <w:sz w:val="20"/>
        </w:rPr>
        <w:fldChar w:fldCharType="begin"/>
      </w:r>
      <w:r w:rsidRPr="006A000C">
        <w:rPr>
          <w:sz w:val="20"/>
          <w:lang w:val="fr-CA"/>
        </w:rPr>
        <w:instrText xml:space="preserve"> SEQ CHAPTER \h \r 1</w:instrText>
      </w:r>
      <w:r w:rsidR="001557DD" w:rsidRPr="00475607">
        <w:rPr>
          <w:sz w:val="20"/>
        </w:rPr>
        <w:fldChar w:fldCharType="end"/>
      </w:r>
      <w:r w:rsidRPr="006A000C">
        <w:rPr>
          <w:sz w:val="20"/>
          <w:lang w:val="fr-CA"/>
        </w:rPr>
        <w:t xml:space="preserve">2009 ABCA 239, 8 Alta L.R. (5th) 16, 457 A.R. 297, 457 W.A.C. 297, 310 D.L.R. (4th) 519, 194 C.R.R. (2d) 205, [2009] 9 W.W.R. 584, [2009] 3 C.N.L.R. 261, [2009] A.J. No. 678 (QL), 2009 </w:t>
      </w:r>
      <w:proofErr w:type="spellStart"/>
      <w:r w:rsidRPr="006A000C">
        <w:rPr>
          <w:sz w:val="20"/>
          <w:lang w:val="fr-CA"/>
        </w:rPr>
        <w:t>CarswellAlta</w:t>
      </w:r>
      <w:proofErr w:type="spellEnd"/>
      <w:r w:rsidRPr="006A000C">
        <w:rPr>
          <w:sz w:val="20"/>
          <w:lang w:val="fr-CA"/>
        </w:rPr>
        <w:t xml:space="preserve"> 952, qui a infirmé une décision de la juge </w:t>
      </w:r>
      <w:r w:rsidR="001557DD" w:rsidRPr="00475607">
        <w:rPr>
          <w:sz w:val="20"/>
        </w:rPr>
        <w:fldChar w:fldCharType="begin"/>
      </w:r>
      <w:r w:rsidRPr="006A000C">
        <w:rPr>
          <w:sz w:val="20"/>
          <w:lang w:val="fr-CA"/>
        </w:rPr>
        <w:instrText xml:space="preserve"> SEQ CHAPTER \h \r 1</w:instrText>
      </w:r>
      <w:r w:rsidR="001557DD" w:rsidRPr="00475607">
        <w:rPr>
          <w:sz w:val="20"/>
        </w:rPr>
        <w:fldChar w:fldCharType="end"/>
      </w:r>
      <w:r w:rsidRPr="006A000C">
        <w:rPr>
          <w:sz w:val="20"/>
          <w:lang w:val="fr-CA"/>
        </w:rPr>
        <w:t xml:space="preserve">Shelley, </w:t>
      </w:r>
      <w:r w:rsidR="001557DD" w:rsidRPr="00475607">
        <w:rPr>
          <w:sz w:val="20"/>
        </w:rPr>
        <w:fldChar w:fldCharType="begin"/>
      </w:r>
      <w:r w:rsidRPr="006A000C">
        <w:rPr>
          <w:sz w:val="20"/>
          <w:lang w:val="fr-CA"/>
        </w:rPr>
        <w:instrText xml:space="preserve"> SEQ CHAPTER \h \r 1</w:instrText>
      </w:r>
      <w:r w:rsidR="001557DD" w:rsidRPr="00475607">
        <w:rPr>
          <w:sz w:val="20"/>
        </w:rPr>
        <w:fldChar w:fldCharType="end"/>
      </w:r>
      <w:r w:rsidRPr="006A000C">
        <w:rPr>
          <w:sz w:val="20"/>
          <w:lang w:val="fr-CA"/>
        </w:rPr>
        <w:t xml:space="preserve">2007 ABQB 517, 81 Alta. L.R. (4th) 28, 424 A.R. 271, 160 C.R.R. (2d) 185, [2008] 1 W.W.R. 507, [2007] 4 C.N.L.R. 179, [2007] A.J. No. 913 (QL), 2007 </w:t>
      </w:r>
      <w:proofErr w:type="spellStart"/>
      <w:r w:rsidRPr="006A000C">
        <w:rPr>
          <w:sz w:val="20"/>
          <w:lang w:val="fr-CA"/>
        </w:rPr>
        <w:t>CarswellAlta</w:t>
      </w:r>
      <w:proofErr w:type="spellEnd"/>
      <w:r w:rsidRPr="006A000C">
        <w:rPr>
          <w:sz w:val="20"/>
          <w:lang w:val="fr-CA"/>
        </w:rPr>
        <w:t xml:space="preserve"> 1103.  Pourvoi accueilli.</w:t>
      </w:r>
    </w:p>
    <w:p w:rsidR="006A000C" w:rsidRPr="006A000C" w:rsidRDefault="006A000C" w:rsidP="006A000C">
      <w:pPr>
        <w:pStyle w:val="SCCNormalDoubleSpacing"/>
        <w:spacing w:line="240" w:lineRule="auto"/>
        <w:rP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t xml:space="preserve">Robert J. </w:t>
      </w:r>
      <w:proofErr w:type="spellStart"/>
      <w:r w:rsidRPr="006A000C">
        <w:rPr>
          <w:rStyle w:val="SCCCounselNameChar"/>
          <w:sz w:val="20"/>
          <w:lang w:val="fr-CA"/>
        </w:rPr>
        <w:t>Normey</w:t>
      </w:r>
      <w:proofErr w:type="spellEnd"/>
      <w:r w:rsidRPr="00475607">
        <w:rPr>
          <w:rStyle w:val="SCCCounselSeparatorChar"/>
          <w:sz w:val="20"/>
        </w:rPr>
        <w:t xml:space="preserve"> et </w:t>
      </w:r>
      <w:r w:rsidRPr="006A000C">
        <w:rPr>
          <w:rStyle w:val="SCCCounselNameChar"/>
          <w:sz w:val="20"/>
          <w:lang w:val="fr-CA"/>
        </w:rPr>
        <w:t>David N. Kamal</w:t>
      </w:r>
      <w:r w:rsidRPr="006A000C">
        <w:rPr>
          <w:rStyle w:val="SCCCounselPartyRoleChar"/>
          <w:sz w:val="20"/>
          <w:lang w:val="fr-CA"/>
        </w:rPr>
        <w:t>, pour les appelants.</w:t>
      </w:r>
    </w:p>
    <w:p w:rsidR="006A000C" w:rsidRPr="006A000C" w:rsidRDefault="006A000C" w:rsidP="006A000C">
      <w:pPr>
        <w:pStyle w:val="SCCNormalDoubleSpacing"/>
        <w:spacing w:line="240" w:lineRule="auto"/>
        <w:rP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t xml:space="preserve">Kevin </w:t>
      </w:r>
      <w:proofErr w:type="spellStart"/>
      <w:r w:rsidRPr="006A000C">
        <w:rPr>
          <w:rStyle w:val="SCCCounselNameChar"/>
          <w:sz w:val="20"/>
          <w:lang w:val="fr-CA"/>
        </w:rPr>
        <w:t>Feth</w:t>
      </w:r>
      <w:proofErr w:type="spellEnd"/>
      <w:r w:rsidRPr="006A000C">
        <w:rPr>
          <w:rStyle w:val="SCCCounselNameChar"/>
          <w:sz w:val="20"/>
          <w:lang w:val="fr-CA"/>
        </w:rPr>
        <w:t>, c.r.</w:t>
      </w:r>
      <w:r w:rsidRPr="00475607">
        <w:rPr>
          <w:rStyle w:val="SCCCounselSeparatorChar"/>
          <w:sz w:val="20"/>
        </w:rPr>
        <w:t xml:space="preserve">, et </w:t>
      </w:r>
      <w:r w:rsidRPr="006A000C">
        <w:rPr>
          <w:rStyle w:val="SCCCounselNameChar"/>
          <w:sz w:val="20"/>
          <w:lang w:val="fr-CA"/>
        </w:rPr>
        <w:t>Jeremy L. Taylor</w:t>
      </w:r>
      <w:r w:rsidRPr="006A000C">
        <w:rPr>
          <w:rStyle w:val="SCCCounselPartyRoleChar"/>
          <w:sz w:val="20"/>
          <w:lang w:val="fr-CA"/>
        </w:rPr>
        <w:t>, pour les intimés.</w:t>
      </w:r>
    </w:p>
    <w:p w:rsidR="006A000C" w:rsidRPr="006A000C" w:rsidRDefault="006A000C" w:rsidP="006A000C">
      <w:pPr>
        <w:pStyle w:val="SCCNormalDoubleSpacing"/>
        <w:spacing w:line="240" w:lineRule="auto"/>
        <w:rP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t xml:space="preserve">Janet E. </w:t>
      </w:r>
      <w:proofErr w:type="spellStart"/>
      <w:r w:rsidRPr="006A000C">
        <w:rPr>
          <w:rStyle w:val="SCCCounselNameChar"/>
          <w:sz w:val="20"/>
          <w:lang w:val="fr-CA"/>
        </w:rPr>
        <w:t>Minor</w:t>
      </w:r>
      <w:proofErr w:type="spellEnd"/>
      <w:r w:rsidRPr="00475607">
        <w:rPr>
          <w:rStyle w:val="SCCCounselSeparatorChar"/>
          <w:sz w:val="20"/>
        </w:rPr>
        <w:t xml:space="preserve"> et </w:t>
      </w:r>
      <w:r w:rsidRPr="006A000C">
        <w:rPr>
          <w:rStyle w:val="SCCCounselNameChar"/>
          <w:sz w:val="20"/>
          <w:lang w:val="fr-CA"/>
        </w:rPr>
        <w:t>Mark Crow</w:t>
      </w:r>
      <w:r w:rsidRPr="006A000C">
        <w:rPr>
          <w:rStyle w:val="SCCCounselPartyRoleChar"/>
          <w:sz w:val="20"/>
          <w:lang w:val="fr-CA"/>
        </w:rPr>
        <w:t>, pour l’intervenant le procureur général de l’Ontario.</w:t>
      </w:r>
    </w:p>
    <w:p w:rsidR="006A000C" w:rsidRPr="006A000C" w:rsidRDefault="006A000C" w:rsidP="006A000C">
      <w:pPr>
        <w:pStyle w:val="SCCNormalDoubleSpacing"/>
        <w:spacing w:line="240" w:lineRule="auto"/>
        <w:rP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t>Isabelle Harnois</w:t>
      </w:r>
      <w:r w:rsidRPr="006A000C">
        <w:rPr>
          <w:rStyle w:val="SCCCounselPartyRoleChar"/>
          <w:sz w:val="20"/>
          <w:lang w:val="fr-CA"/>
        </w:rPr>
        <w:t>, pour l’intervenant le procureur général du Québec.</w:t>
      </w:r>
    </w:p>
    <w:p w:rsidR="006A000C" w:rsidRPr="006A000C" w:rsidRDefault="006A000C" w:rsidP="006A000C">
      <w:pPr>
        <w:pStyle w:val="SCCNormalDoubleSpacing"/>
        <w:spacing w:line="240" w:lineRule="auto"/>
        <w:rP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t>Argumentation écrite seulement par P. Mitch McAdam</w:t>
      </w:r>
      <w:r w:rsidRPr="00475607">
        <w:rPr>
          <w:rStyle w:val="SCCCounselSeparatorChar"/>
          <w:sz w:val="20"/>
        </w:rPr>
        <w:t xml:space="preserve"> et </w:t>
      </w:r>
      <w:r w:rsidRPr="006A000C">
        <w:rPr>
          <w:rStyle w:val="SCCCounselNameChar"/>
          <w:sz w:val="20"/>
          <w:lang w:val="fr-CA"/>
        </w:rPr>
        <w:t xml:space="preserve">James </w:t>
      </w:r>
      <w:proofErr w:type="spellStart"/>
      <w:r w:rsidRPr="006A000C">
        <w:rPr>
          <w:rStyle w:val="SCCCounselNameChar"/>
          <w:sz w:val="20"/>
          <w:lang w:val="fr-CA"/>
        </w:rPr>
        <w:t>Fyfe</w:t>
      </w:r>
      <w:proofErr w:type="spellEnd"/>
      <w:r w:rsidRPr="006A000C">
        <w:rPr>
          <w:rStyle w:val="SCCCounselPartyRoleChar"/>
          <w:sz w:val="20"/>
          <w:lang w:val="fr-CA"/>
        </w:rPr>
        <w:t>, pour l’intervenant le procureur général de la Saskatchewan.</w:t>
      </w:r>
    </w:p>
    <w:p w:rsidR="006A000C" w:rsidRPr="006A000C" w:rsidRDefault="006A000C" w:rsidP="006A000C">
      <w:pPr>
        <w:pStyle w:val="SCCNormalDoubleSpacing"/>
        <w:spacing w:line="240" w:lineRule="auto"/>
        <w:rPr>
          <w:rStyle w:val="SCCCounselPartyRoleCha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t xml:space="preserve">Richard B. </w:t>
      </w:r>
      <w:proofErr w:type="spellStart"/>
      <w:r w:rsidRPr="006A000C">
        <w:rPr>
          <w:rStyle w:val="SCCCounselNameChar"/>
          <w:sz w:val="20"/>
          <w:lang w:val="fr-CA"/>
        </w:rPr>
        <w:t>Hajduk</w:t>
      </w:r>
      <w:proofErr w:type="spellEnd"/>
      <w:r w:rsidRPr="00475607">
        <w:rPr>
          <w:rStyle w:val="SCCCounselSeparatorChar"/>
          <w:sz w:val="20"/>
        </w:rPr>
        <w:t xml:space="preserve">, </w:t>
      </w:r>
      <w:proofErr w:type="spellStart"/>
      <w:r w:rsidRPr="006A000C">
        <w:rPr>
          <w:rStyle w:val="SCCCounselNameChar"/>
          <w:sz w:val="20"/>
          <w:lang w:val="fr-CA"/>
        </w:rPr>
        <w:t>Rodger</w:t>
      </w:r>
      <w:proofErr w:type="spellEnd"/>
      <w:r w:rsidRPr="006A000C">
        <w:rPr>
          <w:rStyle w:val="SCCCounselNameChar"/>
          <w:sz w:val="20"/>
          <w:lang w:val="fr-CA"/>
        </w:rPr>
        <w:t> </w:t>
      </w:r>
      <w:r w:rsidR="00854D3F" w:rsidRPr="00854D3F">
        <w:rPr>
          <w:rStyle w:val="SCCCounselNameChar"/>
          <w:i w:val="0"/>
          <w:sz w:val="20"/>
          <w:lang w:val="fr-CA"/>
        </w:rPr>
        <w:t>et</w:t>
      </w:r>
      <w:r w:rsidR="00854D3F">
        <w:rPr>
          <w:rStyle w:val="SCCCounselNameChar"/>
          <w:sz w:val="20"/>
          <w:lang w:val="fr-CA"/>
        </w:rPr>
        <w:t xml:space="preserve"> </w:t>
      </w:r>
      <w:r w:rsidRPr="006A000C">
        <w:rPr>
          <w:rStyle w:val="SCCCounselNameChar"/>
          <w:sz w:val="20"/>
          <w:lang w:val="fr-CA"/>
        </w:rPr>
        <w:t>C. Gibbs</w:t>
      </w:r>
      <w:r w:rsidRPr="006A000C">
        <w:rPr>
          <w:rStyle w:val="SCCCounselPartyRoleChar"/>
          <w:sz w:val="20"/>
          <w:lang w:val="fr-CA"/>
        </w:rPr>
        <w:t xml:space="preserve">, pour l’intervenant East Prairie Métis </w:t>
      </w:r>
      <w:proofErr w:type="spellStart"/>
      <w:r w:rsidRPr="006A000C">
        <w:rPr>
          <w:rStyle w:val="SCCCounselPartyRoleChar"/>
          <w:sz w:val="20"/>
          <w:lang w:val="fr-CA"/>
        </w:rPr>
        <w:t>Settlement</w:t>
      </w:r>
      <w:proofErr w:type="spellEnd"/>
      <w:r w:rsidRPr="006A000C">
        <w:rPr>
          <w:rStyle w:val="SCCCounselPartyRoleChar"/>
          <w:sz w:val="20"/>
          <w:lang w:val="fr-CA"/>
        </w:rPr>
        <w:t>.</w:t>
      </w:r>
    </w:p>
    <w:p w:rsidR="006A000C" w:rsidRPr="006A000C" w:rsidRDefault="006A000C" w:rsidP="006A000C">
      <w:pPr>
        <w:pStyle w:val="SCCNormalDoubleSpacing"/>
        <w:spacing w:line="240" w:lineRule="auto"/>
        <w:rPr>
          <w:rStyle w:val="SCCCounselPartyRoleCha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t>Thomas R. Owen</w:t>
      </w:r>
      <w:r w:rsidRPr="00475607">
        <w:rPr>
          <w:rStyle w:val="SCCCounselSeparatorChar"/>
          <w:sz w:val="20"/>
        </w:rPr>
        <w:t xml:space="preserve"> et </w:t>
      </w:r>
      <w:r w:rsidRPr="006A000C">
        <w:rPr>
          <w:rStyle w:val="SCCCounselNameChar"/>
          <w:sz w:val="20"/>
          <w:lang w:val="fr-CA"/>
        </w:rPr>
        <w:t xml:space="preserve">Tara </w:t>
      </w:r>
      <w:proofErr w:type="spellStart"/>
      <w:r w:rsidRPr="006A000C">
        <w:rPr>
          <w:rStyle w:val="SCCCounselNameChar"/>
          <w:sz w:val="20"/>
          <w:lang w:val="fr-CA"/>
        </w:rPr>
        <w:t>Rout</w:t>
      </w:r>
      <w:proofErr w:type="spellEnd"/>
      <w:r w:rsidRPr="006A000C">
        <w:rPr>
          <w:rStyle w:val="SCCCounselPartyRoleChar"/>
          <w:sz w:val="20"/>
          <w:lang w:val="fr-CA"/>
        </w:rPr>
        <w:t xml:space="preserve">, pour l’intervenant Elizabeth Métis </w:t>
      </w:r>
      <w:proofErr w:type="spellStart"/>
      <w:r w:rsidRPr="006A000C">
        <w:rPr>
          <w:rStyle w:val="SCCCounselPartyRoleChar"/>
          <w:sz w:val="20"/>
          <w:lang w:val="fr-CA"/>
        </w:rPr>
        <w:t>Settlement</w:t>
      </w:r>
      <w:proofErr w:type="spellEnd"/>
      <w:r w:rsidRPr="006A000C">
        <w:rPr>
          <w:rStyle w:val="SCCCounselPartyRoleChar"/>
          <w:sz w:val="20"/>
          <w:lang w:val="fr-CA"/>
        </w:rPr>
        <w:t>.</w:t>
      </w:r>
    </w:p>
    <w:p w:rsidR="006A000C" w:rsidRPr="006A000C" w:rsidRDefault="006A000C" w:rsidP="006A000C">
      <w:pPr>
        <w:pStyle w:val="SCCNormalDoubleSpacing"/>
        <w:spacing w:line="240" w:lineRule="auto"/>
        <w:rP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PartyRoleChar"/>
          <w:sz w:val="20"/>
          <w:lang w:val="fr-CA"/>
        </w:rPr>
        <w:tab/>
      </w:r>
      <w:r w:rsidRPr="006A000C">
        <w:rPr>
          <w:rStyle w:val="SCCCounselPartyRoleChar"/>
          <w:i/>
          <w:sz w:val="20"/>
          <w:lang w:val="fr-CA"/>
        </w:rPr>
        <w:t xml:space="preserve">Beverly J. M. </w:t>
      </w:r>
      <w:proofErr w:type="spellStart"/>
      <w:r w:rsidRPr="006A000C">
        <w:rPr>
          <w:rStyle w:val="SCCCounselPartyRoleChar"/>
          <w:i/>
          <w:sz w:val="20"/>
          <w:lang w:val="fr-CA"/>
        </w:rPr>
        <w:t>Teillet</w:t>
      </w:r>
      <w:proofErr w:type="spellEnd"/>
      <w:r w:rsidRPr="006A000C">
        <w:rPr>
          <w:rStyle w:val="SCCCounselPartyRoleChar"/>
          <w:sz w:val="20"/>
          <w:lang w:val="fr-CA"/>
        </w:rPr>
        <w:t>, pour l’intervenante Métis Nation of Alberta.</w:t>
      </w:r>
    </w:p>
    <w:p w:rsidR="006A000C" w:rsidRPr="006A000C" w:rsidRDefault="006A000C" w:rsidP="006A000C">
      <w:pPr>
        <w:pStyle w:val="SCCNormalDoubleSpacing"/>
        <w:spacing w:line="240" w:lineRule="auto"/>
        <w:rPr>
          <w:rStyle w:val="SCCCounselPartyRoleCha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t xml:space="preserve">Jason </w:t>
      </w:r>
      <w:proofErr w:type="spellStart"/>
      <w:r w:rsidRPr="006A000C">
        <w:rPr>
          <w:rStyle w:val="SCCCounselNameChar"/>
          <w:sz w:val="20"/>
          <w:lang w:val="fr-CA"/>
        </w:rPr>
        <w:t>Madden</w:t>
      </w:r>
      <w:proofErr w:type="spellEnd"/>
      <w:r w:rsidRPr="00475607">
        <w:rPr>
          <w:rStyle w:val="SCCCounselSeparatorChar"/>
          <w:sz w:val="20"/>
        </w:rPr>
        <w:t xml:space="preserve">, </w:t>
      </w:r>
      <w:r w:rsidRPr="006A000C">
        <w:rPr>
          <w:rStyle w:val="SCCCounselNameChar"/>
          <w:sz w:val="20"/>
          <w:lang w:val="fr-CA"/>
        </w:rPr>
        <w:t xml:space="preserve">Clément Chartier, </w:t>
      </w:r>
      <w:proofErr w:type="gramStart"/>
      <w:r w:rsidRPr="006A000C">
        <w:rPr>
          <w:rStyle w:val="SCCCounselNameChar"/>
          <w:sz w:val="20"/>
          <w:lang w:val="fr-CA"/>
        </w:rPr>
        <w:t>c.r.,</w:t>
      </w:r>
      <w:proofErr w:type="gramEnd"/>
      <w:r w:rsidRPr="00475607">
        <w:rPr>
          <w:rStyle w:val="SCCCounselSeparatorChar"/>
          <w:sz w:val="20"/>
        </w:rPr>
        <w:t xml:space="preserve"> et </w:t>
      </w:r>
      <w:r w:rsidRPr="006A000C">
        <w:rPr>
          <w:rStyle w:val="SCCCounselNameChar"/>
          <w:sz w:val="20"/>
          <w:lang w:val="fr-CA"/>
        </w:rPr>
        <w:t xml:space="preserve">Kathy L. </w:t>
      </w:r>
      <w:proofErr w:type="spellStart"/>
      <w:r w:rsidRPr="006A000C">
        <w:rPr>
          <w:rStyle w:val="SCCCounselNameChar"/>
          <w:sz w:val="20"/>
          <w:lang w:val="fr-CA"/>
        </w:rPr>
        <w:t>Hodgson</w:t>
      </w:r>
      <w:r w:rsidRPr="006A000C">
        <w:rPr>
          <w:rStyle w:val="SCCCounselNameChar"/>
          <w:sz w:val="20"/>
          <w:lang w:val="fr-CA"/>
        </w:rPr>
        <w:noBreakHyphen/>
        <w:t>Smith</w:t>
      </w:r>
      <w:proofErr w:type="spellEnd"/>
      <w:r w:rsidRPr="006A000C">
        <w:rPr>
          <w:rStyle w:val="SCCCounselPartyRoleChar"/>
          <w:sz w:val="20"/>
          <w:lang w:val="fr-CA"/>
        </w:rPr>
        <w:t>, pour l’intervenant le Ralliement national des Métis.</w:t>
      </w:r>
    </w:p>
    <w:p w:rsidR="006A000C" w:rsidRPr="006A000C" w:rsidRDefault="006A000C" w:rsidP="006A000C">
      <w:pPr>
        <w:pStyle w:val="SCCNormalDoubleSpacing"/>
        <w:spacing w:line="240" w:lineRule="auto"/>
        <w:rPr>
          <w:rStyle w:val="SCCCounselPartyRoleChar"/>
          <w:sz w:val="20"/>
          <w:lang w:val="fr-CA"/>
        </w:rPr>
      </w:pPr>
    </w:p>
    <w:p w:rsid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t xml:space="preserve">Garry </w:t>
      </w:r>
      <w:proofErr w:type="spellStart"/>
      <w:r w:rsidRPr="006A000C">
        <w:rPr>
          <w:rStyle w:val="SCCCounselNameChar"/>
          <w:sz w:val="20"/>
          <w:lang w:val="fr-CA"/>
        </w:rPr>
        <w:t>Appelt</w:t>
      </w:r>
      <w:proofErr w:type="spellEnd"/>
      <w:r w:rsidRPr="00475607">
        <w:rPr>
          <w:rStyle w:val="SCCCounselSeparatorChar"/>
          <w:sz w:val="20"/>
        </w:rPr>
        <w:t xml:space="preserve"> et </w:t>
      </w:r>
      <w:proofErr w:type="spellStart"/>
      <w:r w:rsidRPr="006A000C">
        <w:rPr>
          <w:rStyle w:val="SCCCounselNameChar"/>
          <w:sz w:val="20"/>
          <w:lang w:val="fr-CA"/>
        </w:rPr>
        <w:t>Keltie</w:t>
      </w:r>
      <w:proofErr w:type="spellEnd"/>
      <w:r w:rsidRPr="006A000C">
        <w:rPr>
          <w:rStyle w:val="SCCCounselNameChar"/>
          <w:sz w:val="20"/>
          <w:lang w:val="fr-CA"/>
        </w:rPr>
        <w:t> L. Lambert</w:t>
      </w:r>
      <w:r w:rsidRPr="006A000C">
        <w:rPr>
          <w:rStyle w:val="SCCCounselPartyRoleChar"/>
          <w:sz w:val="20"/>
          <w:lang w:val="fr-CA"/>
        </w:rPr>
        <w:t xml:space="preserve">, pour l’intervenant Métis </w:t>
      </w:r>
      <w:proofErr w:type="spellStart"/>
      <w:r w:rsidRPr="006A000C">
        <w:rPr>
          <w:rStyle w:val="SCCCounselPartyRoleChar"/>
          <w:sz w:val="20"/>
          <w:lang w:val="fr-CA"/>
        </w:rPr>
        <w:t>Settlements</w:t>
      </w:r>
      <w:proofErr w:type="spellEnd"/>
      <w:r w:rsidRPr="006A000C">
        <w:rPr>
          <w:rStyle w:val="SCCCounselPartyRoleChar"/>
          <w:sz w:val="20"/>
          <w:lang w:val="fr-CA"/>
        </w:rPr>
        <w:t xml:space="preserve"> General Council.</w:t>
      </w:r>
    </w:p>
    <w:p w:rsidR="006A000C" w:rsidRPr="006A000C" w:rsidRDefault="006A000C" w:rsidP="006A000C">
      <w:pPr>
        <w:pStyle w:val="SCCNormalDoubleSpacing"/>
        <w:spacing w:line="240" w:lineRule="auto"/>
        <w:rPr>
          <w:rStyle w:val="SCCCounselPartyRoleCha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t xml:space="preserve">Jonathan </w:t>
      </w:r>
      <w:proofErr w:type="spellStart"/>
      <w:r w:rsidRPr="006A000C">
        <w:rPr>
          <w:rStyle w:val="SCCCounselNameChar"/>
          <w:sz w:val="20"/>
          <w:lang w:val="fr-CA"/>
        </w:rPr>
        <w:t>Rudin</w:t>
      </w:r>
      <w:proofErr w:type="spellEnd"/>
      <w:r w:rsidRPr="006A000C">
        <w:rPr>
          <w:rStyle w:val="SCCCounselSeparatorChar"/>
          <w:sz w:val="20"/>
        </w:rPr>
        <w:t xml:space="preserve"> et </w:t>
      </w:r>
      <w:r w:rsidRPr="006A000C">
        <w:rPr>
          <w:rStyle w:val="SCCCounselNameChar"/>
          <w:sz w:val="20"/>
          <w:lang w:val="fr-CA"/>
        </w:rPr>
        <w:t>Mandy Wesley</w:t>
      </w:r>
      <w:r w:rsidRPr="006A000C">
        <w:rPr>
          <w:rStyle w:val="SCCCounselPartyRoleChar"/>
          <w:sz w:val="20"/>
          <w:lang w:val="fr-CA"/>
        </w:rPr>
        <w:t xml:space="preserve">, pour l’intervenante </w:t>
      </w:r>
      <w:proofErr w:type="spellStart"/>
      <w:r w:rsidRPr="006A000C">
        <w:rPr>
          <w:rStyle w:val="SCCCounselPartyRoleChar"/>
          <w:sz w:val="20"/>
          <w:lang w:val="fr-CA"/>
        </w:rPr>
        <w:t>Aboriginal</w:t>
      </w:r>
      <w:proofErr w:type="spellEnd"/>
      <w:r w:rsidRPr="006A000C">
        <w:rPr>
          <w:rStyle w:val="SCCCounselPartyRoleChar"/>
          <w:sz w:val="20"/>
          <w:lang w:val="fr-CA"/>
        </w:rPr>
        <w:t xml:space="preserve"> </w:t>
      </w:r>
      <w:proofErr w:type="spellStart"/>
      <w:r w:rsidRPr="006A000C">
        <w:rPr>
          <w:rStyle w:val="SCCCounselPartyRoleChar"/>
          <w:sz w:val="20"/>
          <w:lang w:val="fr-CA"/>
        </w:rPr>
        <w:t>Legal</w:t>
      </w:r>
      <w:proofErr w:type="spellEnd"/>
      <w:r w:rsidRPr="006A000C">
        <w:rPr>
          <w:rStyle w:val="SCCCounselPartyRoleChar"/>
          <w:sz w:val="20"/>
          <w:lang w:val="fr-CA"/>
        </w:rPr>
        <w:t xml:space="preserve"> Services of Toronto Inc.</w:t>
      </w:r>
    </w:p>
    <w:p w:rsidR="006A000C" w:rsidRPr="006A000C" w:rsidRDefault="006A000C" w:rsidP="006A000C">
      <w:pPr>
        <w:pStyle w:val="SCCNormalDoubleSpacing"/>
        <w:spacing w:line="240" w:lineRule="auto"/>
        <w:rP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lastRenderedPageBreak/>
        <w:tab/>
      </w:r>
      <w:proofErr w:type="spellStart"/>
      <w:r w:rsidRPr="006A000C">
        <w:rPr>
          <w:rStyle w:val="SCCCounselNameChar"/>
          <w:sz w:val="20"/>
          <w:lang w:val="fr-CA"/>
        </w:rPr>
        <w:t>Dianne</w:t>
      </w:r>
      <w:proofErr w:type="spellEnd"/>
      <w:r w:rsidRPr="006A000C">
        <w:rPr>
          <w:rStyle w:val="SCCCounselNameChar"/>
          <w:sz w:val="20"/>
          <w:lang w:val="fr-CA"/>
        </w:rPr>
        <w:t xml:space="preserve"> Pothier et Joanna L. </w:t>
      </w:r>
      <w:proofErr w:type="spellStart"/>
      <w:r w:rsidRPr="006A000C">
        <w:rPr>
          <w:rStyle w:val="SCCCounselNameChar"/>
          <w:sz w:val="20"/>
          <w:lang w:val="fr-CA"/>
        </w:rPr>
        <w:t>Birenbaum</w:t>
      </w:r>
      <w:proofErr w:type="spellEnd"/>
      <w:r w:rsidRPr="006A000C">
        <w:rPr>
          <w:rStyle w:val="SCCCounselPartyRoleChar"/>
          <w:sz w:val="20"/>
          <w:lang w:val="fr-CA"/>
        </w:rPr>
        <w:t>, pour l’intervenant le Fonds d’action et d’éducation juridiques pour les femmes.</w:t>
      </w:r>
    </w:p>
    <w:p w:rsidR="006A000C" w:rsidRPr="006A000C" w:rsidRDefault="006A000C" w:rsidP="006A000C">
      <w:pPr>
        <w:pStyle w:val="SCCNormalDoubleSpacing"/>
        <w:spacing w:line="240" w:lineRule="auto"/>
        <w:rPr>
          <w:rStyle w:val="SCCCounselPartyRoleCha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t xml:space="preserve">Laurie </w:t>
      </w:r>
      <w:proofErr w:type="spellStart"/>
      <w:r w:rsidRPr="006A000C">
        <w:rPr>
          <w:rStyle w:val="SCCCounselNameChar"/>
          <w:sz w:val="20"/>
          <w:lang w:val="fr-CA"/>
        </w:rPr>
        <w:t>Letheren</w:t>
      </w:r>
      <w:proofErr w:type="spellEnd"/>
      <w:r w:rsidRPr="00475607">
        <w:rPr>
          <w:rStyle w:val="SCCCounselSeparatorChar"/>
          <w:sz w:val="20"/>
        </w:rPr>
        <w:t xml:space="preserve"> et </w:t>
      </w:r>
      <w:r w:rsidRPr="006A000C">
        <w:rPr>
          <w:rStyle w:val="SCCCounselNameChar"/>
          <w:sz w:val="20"/>
          <w:lang w:val="fr-CA"/>
        </w:rPr>
        <w:t>C. Tess Sheldon</w:t>
      </w:r>
      <w:r w:rsidRPr="006A000C">
        <w:rPr>
          <w:rStyle w:val="SCCCounselPartyRoleChar"/>
          <w:sz w:val="20"/>
          <w:lang w:val="fr-CA"/>
        </w:rPr>
        <w:t>, pour l’intervenante l’Association canadienne pour l’intégration communautaire.</w:t>
      </w:r>
    </w:p>
    <w:p w:rsidR="006A000C" w:rsidRPr="006A000C" w:rsidRDefault="006A000C" w:rsidP="006A000C">
      <w:pPr>
        <w:pStyle w:val="SCCNormalDoubleSpacing"/>
        <w:spacing w:line="240" w:lineRule="auto"/>
        <w:rP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r>
      <w:proofErr w:type="spellStart"/>
      <w:r w:rsidRPr="006A000C">
        <w:rPr>
          <w:rStyle w:val="SCCCounselNameChar"/>
          <w:sz w:val="20"/>
          <w:lang w:val="fr-CA"/>
        </w:rPr>
        <w:t>Sandeep</w:t>
      </w:r>
      <w:proofErr w:type="spellEnd"/>
      <w:r w:rsidRPr="006A000C">
        <w:rPr>
          <w:rStyle w:val="SCCCounselNameChar"/>
          <w:sz w:val="20"/>
          <w:lang w:val="fr-CA"/>
        </w:rPr>
        <w:t xml:space="preserve"> K. </w:t>
      </w:r>
      <w:proofErr w:type="spellStart"/>
      <w:r w:rsidRPr="006A000C">
        <w:rPr>
          <w:rStyle w:val="SCCCounselNameChar"/>
          <w:sz w:val="20"/>
          <w:lang w:val="fr-CA"/>
        </w:rPr>
        <w:t>Dhir</w:t>
      </w:r>
      <w:proofErr w:type="spellEnd"/>
      <w:r w:rsidRPr="00475607">
        <w:rPr>
          <w:rStyle w:val="SCCCounselSeparatorChar"/>
          <w:sz w:val="20"/>
        </w:rPr>
        <w:t xml:space="preserve"> et </w:t>
      </w:r>
      <w:r w:rsidRPr="006A000C">
        <w:rPr>
          <w:rStyle w:val="SCCCounselNameChar"/>
          <w:sz w:val="20"/>
          <w:lang w:val="fr-CA"/>
        </w:rPr>
        <w:t>Lindsey E. Miller</w:t>
      </w:r>
      <w:r w:rsidRPr="006A000C">
        <w:rPr>
          <w:rStyle w:val="SCCCounselPartyRoleChar"/>
          <w:sz w:val="20"/>
          <w:lang w:val="fr-CA"/>
        </w:rPr>
        <w:t xml:space="preserve">, pour l’intervenant Gift Lake Métis </w:t>
      </w:r>
      <w:proofErr w:type="spellStart"/>
      <w:r w:rsidRPr="006A000C">
        <w:rPr>
          <w:rStyle w:val="SCCCounselPartyRoleChar"/>
          <w:sz w:val="20"/>
          <w:lang w:val="fr-CA"/>
        </w:rPr>
        <w:t>Settlement</w:t>
      </w:r>
      <w:proofErr w:type="spellEnd"/>
      <w:r w:rsidRPr="006A000C">
        <w:rPr>
          <w:rStyle w:val="SCCCounselPartyRoleChar"/>
          <w:sz w:val="20"/>
          <w:lang w:val="fr-CA"/>
        </w:rPr>
        <w:t>.</w:t>
      </w:r>
    </w:p>
    <w:p w:rsidR="006A000C" w:rsidRPr="006A000C" w:rsidRDefault="006A000C" w:rsidP="006A000C">
      <w:pPr>
        <w:pStyle w:val="SCCNormalDoubleSpacing"/>
        <w:spacing w:line="240" w:lineRule="auto"/>
        <w:rPr>
          <w:sz w:val="20"/>
          <w:lang w:val="fr-CA"/>
        </w:rPr>
      </w:pPr>
    </w:p>
    <w:p w:rsidR="006A000C" w:rsidRPr="006A000C" w:rsidRDefault="006A000C" w:rsidP="006A000C">
      <w:pPr>
        <w:pStyle w:val="SCCNormalDoubleSpacing"/>
        <w:spacing w:line="240" w:lineRule="auto"/>
        <w:rPr>
          <w:rStyle w:val="SCCCounselPartyRoleChar"/>
          <w:sz w:val="20"/>
          <w:lang w:val="fr-CA"/>
        </w:rPr>
      </w:pPr>
      <w:r w:rsidRPr="006A000C">
        <w:rPr>
          <w:rStyle w:val="SCCCounselNameChar"/>
          <w:sz w:val="20"/>
          <w:lang w:val="fr-CA"/>
        </w:rPr>
        <w:tab/>
        <w:t xml:space="preserve">Mary </w:t>
      </w:r>
      <w:proofErr w:type="spellStart"/>
      <w:r w:rsidRPr="006A000C">
        <w:rPr>
          <w:rStyle w:val="SCCCounselNameChar"/>
          <w:sz w:val="20"/>
          <w:lang w:val="fr-CA"/>
        </w:rPr>
        <w:t>Eberts</w:t>
      </w:r>
      <w:proofErr w:type="spellEnd"/>
      <w:r w:rsidRPr="006A000C">
        <w:rPr>
          <w:rStyle w:val="SCCCounselPartyRoleChar"/>
          <w:sz w:val="20"/>
          <w:lang w:val="fr-CA"/>
        </w:rPr>
        <w:t>, pour l’intervenante l’</w:t>
      </w:r>
      <w:r w:rsidRPr="006A000C">
        <w:rPr>
          <w:sz w:val="20"/>
          <w:lang w:val="fr-CA"/>
        </w:rPr>
        <w:t>Association des femmes autochtones du Canada</w:t>
      </w:r>
      <w:r w:rsidRPr="006A000C">
        <w:rPr>
          <w:rStyle w:val="SCCCounselPartyRoleChar"/>
          <w:sz w:val="20"/>
          <w:lang w:val="fr-CA"/>
        </w:rPr>
        <w:t>.</w:t>
      </w:r>
    </w:p>
    <w:p w:rsidR="006A000C" w:rsidRPr="006A000C" w:rsidRDefault="006A000C" w:rsidP="006A000C">
      <w:pPr>
        <w:pStyle w:val="SCCNormalDoubleSpacing"/>
        <w:spacing w:line="240" w:lineRule="auto"/>
        <w:rPr>
          <w:rStyle w:val="SCCCounselPartyRoleChar"/>
          <w:sz w:val="20"/>
          <w:lang w:val="fr-CA"/>
        </w:rPr>
      </w:pPr>
    </w:p>
    <w:p w:rsidR="006A000C" w:rsidRPr="006A000C" w:rsidRDefault="006A000C" w:rsidP="006A000C">
      <w:pPr>
        <w:pStyle w:val="SCCNormalDoubleSpacing"/>
        <w:spacing w:line="240" w:lineRule="auto"/>
        <w:rPr>
          <w:i/>
          <w:sz w:val="20"/>
          <w:lang w:val="fr-CA"/>
        </w:rPr>
      </w:pPr>
      <w:r w:rsidRPr="006A000C">
        <w:rPr>
          <w:sz w:val="20"/>
          <w:lang w:val="fr-CA"/>
        </w:rPr>
        <w:tab/>
      </w:r>
      <w:r w:rsidRPr="006A000C">
        <w:rPr>
          <w:rStyle w:val="SCCCounselPartyRoleChar"/>
          <w:i/>
          <w:sz w:val="20"/>
          <w:lang w:val="fr-CA"/>
        </w:rPr>
        <w:t>Procureur</w:t>
      </w:r>
      <w:r w:rsidRPr="006A000C">
        <w:rPr>
          <w:i/>
          <w:sz w:val="20"/>
          <w:lang w:val="fr-CA"/>
        </w:rPr>
        <w:t xml:space="preserve"> des appelants : Procureur général de l’Alberta, Edmonton.</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Procureurs</w:t>
      </w:r>
      <w:r w:rsidRPr="006A000C">
        <w:rPr>
          <w:i/>
          <w:sz w:val="20"/>
          <w:lang w:val="fr-CA"/>
        </w:rPr>
        <w:t xml:space="preserve"> des intimés : Field, Edmonton.</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w:t>
      </w:r>
      <w:r w:rsidRPr="006A000C">
        <w:rPr>
          <w:i/>
          <w:sz w:val="20"/>
          <w:lang w:val="fr-CA"/>
        </w:rPr>
        <w:t xml:space="preserve"> de l’intervenant le procureur général de l’Ontario : Procureur général de l’Ontario, Toronto.</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w:t>
      </w:r>
      <w:r w:rsidRPr="006A000C">
        <w:rPr>
          <w:i/>
          <w:sz w:val="20"/>
          <w:lang w:val="fr-CA"/>
        </w:rPr>
        <w:t xml:space="preserve"> de l’intervenant le procureur général du Québec : Procureur général du Québec, </w:t>
      </w:r>
      <w:proofErr w:type="spellStart"/>
      <w:r w:rsidRPr="006A000C">
        <w:rPr>
          <w:i/>
          <w:sz w:val="20"/>
          <w:lang w:val="fr-CA"/>
        </w:rPr>
        <w:t>Sainte</w:t>
      </w:r>
      <w:r w:rsidRPr="006A000C">
        <w:rPr>
          <w:i/>
          <w:sz w:val="20"/>
          <w:lang w:val="fr-CA"/>
        </w:rPr>
        <w:noBreakHyphen/>
        <w:t>Foy</w:t>
      </w:r>
      <w:proofErr w:type="spellEnd"/>
      <w:r w:rsidRPr="006A000C">
        <w:rPr>
          <w:i/>
          <w:sz w:val="20"/>
          <w:lang w:val="fr-CA"/>
        </w:rPr>
        <w:t>.</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w:t>
      </w:r>
      <w:r w:rsidRPr="006A000C">
        <w:rPr>
          <w:i/>
          <w:sz w:val="20"/>
          <w:lang w:val="fr-CA"/>
        </w:rPr>
        <w:t xml:space="preserve"> de l’intervenant le procureur général de la Saskatchewan : Procureur général de la Saskatchewan, Regina.</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Procureurs</w:t>
      </w:r>
      <w:r w:rsidRPr="006A000C">
        <w:rPr>
          <w:i/>
          <w:sz w:val="20"/>
          <w:lang w:val="fr-CA"/>
        </w:rPr>
        <w:t xml:space="preserve"> de l’intervenant East Prairie Métis </w:t>
      </w:r>
      <w:proofErr w:type="spellStart"/>
      <w:r w:rsidRPr="006A000C">
        <w:rPr>
          <w:i/>
          <w:sz w:val="20"/>
          <w:lang w:val="fr-CA"/>
        </w:rPr>
        <w:t>Settlement</w:t>
      </w:r>
      <w:proofErr w:type="spellEnd"/>
      <w:r w:rsidRPr="006A000C">
        <w:rPr>
          <w:i/>
          <w:sz w:val="20"/>
          <w:lang w:val="fr-CA"/>
        </w:rPr>
        <w:t xml:space="preserve"> : </w:t>
      </w:r>
      <w:proofErr w:type="spellStart"/>
      <w:r w:rsidRPr="006A000C">
        <w:rPr>
          <w:i/>
          <w:sz w:val="20"/>
          <w:lang w:val="fr-CA"/>
        </w:rPr>
        <w:t>Hajduk</w:t>
      </w:r>
      <w:proofErr w:type="spellEnd"/>
      <w:r w:rsidRPr="006A000C">
        <w:rPr>
          <w:i/>
          <w:sz w:val="20"/>
          <w:lang w:val="fr-CA"/>
        </w:rPr>
        <w:t xml:space="preserve"> Gibbs, Edmonton.</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Procureurs</w:t>
      </w:r>
      <w:r w:rsidRPr="006A000C">
        <w:rPr>
          <w:i/>
          <w:sz w:val="20"/>
          <w:lang w:val="fr-CA"/>
        </w:rPr>
        <w:t xml:space="preserve"> de l’intervenant Elizabeth Métis </w:t>
      </w:r>
      <w:proofErr w:type="spellStart"/>
      <w:r w:rsidRPr="006A000C">
        <w:rPr>
          <w:i/>
          <w:sz w:val="20"/>
          <w:lang w:val="fr-CA"/>
        </w:rPr>
        <w:t>Settlement</w:t>
      </w:r>
      <w:proofErr w:type="spellEnd"/>
      <w:r w:rsidRPr="006A000C">
        <w:rPr>
          <w:i/>
          <w:sz w:val="20"/>
          <w:lang w:val="fr-CA"/>
        </w:rPr>
        <w:t> : Owen Law, Edmonton.</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Procureurs</w:t>
      </w:r>
      <w:r w:rsidRPr="006A000C">
        <w:rPr>
          <w:i/>
          <w:sz w:val="20"/>
          <w:lang w:val="fr-CA"/>
        </w:rPr>
        <w:t xml:space="preserve"> de l’intervenante Métis Nation of Alberta : Pape Salter </w:t>
      </w:r>
      <w:proofErr w:type="spellStart"/>
      <w:r w:rsidRPr="006A000C">
        <w:rPr>
          <w:i/>
          <w:sz w:val="20"/>
          <w:lang w:val="fr-CA"/>
        </w:rPr>
        <w:t>Teillet</w:t>
      </w:r>
      <w:proofErr w:type="spellEnd"/>
      <w:r w:rsidRPr="006A000C">
        <w:rPr>
          <w:i/>
          <w:sz w:val="20"/>
          <w:lang w:val="fr-CA"/>
        </w:rPr>
        <w:t>, Vancouver.</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Procureurs</w:t>
      </w:r>
      <w:r w:rsidRPr="006A000C">
        <w:rPr>
          <w:i/>
          <w:sz w:val="20"/>
          <w:lang w:val="fr-CA"/>
        </w:rPr>
        <w:t xml:space="preserve"> de l’intervenant le Ralliement national des Métis : JTM Law, Toronto.</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Procureurs</w:t>
      </w:r>
      <w:r w:rsidRPr="006A000C">
        <w:rPr>
          <w:i/>
          <w:sz w:val="20"/>
          <w:lang w:val="fr-CA"/>
        </w:rPr>
        <w:t xml:space="preserve"> de l’intervenant Métis </w:t>
      </w:r>
      <w:proofErr w:type="spellStart"/>
      <w:r w:rsidRPr="006A000C">
        <w:rPr>
          <w:i/>
          <w:sz w:val="20"/>
          <w:lang w:val="fr-CA"/>
        </w:rPr>
        <w:t>Settlements</w:t>
      </w:r>
      <w:proofErr w:type="spellEnd"/>
      <w:r w:rsidRPr="006A000C">
        <w:rPr>
          <w:i/>
          <w:sz w:val="20"/>
          <w:lang w:val="fr-CA"/>
        </w:rPr>
        <w:t xml:space="preserve"> General Council : Witten, Edmonton.</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w:t>
      </w:r>
      <w:r w:rsidRPr="006A000C">
        <w:rPr>
          <w:i/>
          <w:sz w:val="20"/>
          <w:lang w:val="fr-CA"/>
        </w:rPr>
        <w:t xml:space="preserve"> de l’intervenante </w:t>
      </w:r>
      <w:proofErr w:type="spellStart"/>
      <w:r w:rsidRPr="006A000C">
        <w:rPr>
          <w:i/>
          <w:sz w:val="20"/>
          <w:lang w:val="fr-CA"/>
        </w:rPr>
        <w:t>Aboriginal</w:t>
      </w:r>
      <w:proofErr w:type="spellEnd"/>
      <w:r w:rsidRPr="006A000C">
        <w:rPr>
          <w:i/>
          <w:sz w:val="20"/>
          <w:lang w:val="fr-CA"/>
        </w:rPr>
        <w:t xml:space="preserve"> </w:t>
      </w:r>
      <w:proofErr w:type="spellStart"/>
      <w:r w:rsidRPr="006A000C">
        <w:rPr>
          <w:i/>
          <w:sz w:val="20"/>
          <w:lang w:val="fr-CA"/>
        </w:rPr>
        <w:t>Legal</w:t>
      </w:r>
      <w:proofErr w:type="spellEnd"/>
      <w:r w:rsidRPr="006A000C">
        <w:rPr>
          <w:i/>
          <w:sz w:val="20"/>
          <w:lang w:val="fr-CA"/>
        </w:rPr>
        <w:t xml:space="preserve"> Services of Toronto Inc. : </w:t>
      </w:r>
      <w:proofErr w:type="spellStart"/>
      <w:r w:rsidRPr="006A000C">
        <w:rPr>
          <w:i/>
          <w:sz w:val="20"/>
          <w:lang w:val="fr-CA"/>
        </w:rPr>
        <w:t>Aboriginal</w:t>
      </w:r>
      <w:proofErr w:type="spellEnd"/>
      <w:r w:rsidRPr="006A000C">
        <w:rPr>
          <w:i/>
          <w:sz w:val="20"/>
          <w:lang w:val="fr-CA"/>
        </w:rPr>
        <w:t xml:space="preserve"> </w:t>
      </w:r>
      <w:proofErr w:type="spellStart"/>
      <w:r w:rsidRPr="006A000C">
        <w:rPr>
          <w:i/>
          <w:sz w:val="20"/>
          <w:lang w:val="fr-CA"/>
        </w:rPr>
        <w:t>Legal</w:t>
      </w:r>
      <w:proofErr w:type="spellEnd"/>
      <w:r w:rsidRPr="006A000C">
        <w:rPr>
          <w:i/>
          <w:sz w:val="20"/>
          <w:lang w:val="fr-CA"/>
        </w:rPr>
        <w:t xml:space="preserve"> Services of Toronto Inc., Toronto.</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w:t>
      </w:r>
      <w:r w:rsidRPr="006A000C">
        <w:rPr>
          <w:i/>
          <w:sz w:val="20"/>
          <w:lang w:val="fr-CA"/>
        </w:rPr>
        <w:t xml:space="preserve"> de l’intervenant le Fonds d’action et d’éducation juridiques pour les femmes : Fonds d’action et d’éducation juridiques pour les femmes, Toronto.</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w:t>
      </w:r>
      <w:r w:rsidRPr="006A000C">
        <w:rPr>
          <w:i/>
          <w:sz w:val="20"/>
          <w:lang w:val="fr-CA"/>
        </w:rPr>
        <w:t xml:space="preserve"> de l’intervenante l’Association canadienne pour l’intégration communautaire : ARCH </w:t>
      </w:r>
      <w:proofErr w:type="spellStart"/>
      <w:r w:rsidRPr="006A000C">
        <w:rPr>
          <w:i/>
          <w:sz w:val="20"/>
          <w:lang w:val="fr-CA"/>
        </w:rPr>
        <w:t>Disability</w:t>
      </w:r>
      <w:proofErr w:type="spellEnd"/>
      <w:r w:rsidRPr="006A000C">
        <w:rPr>
          <w:i/>
          <w:sz w:val="20"/>
          <w:lang w:val="fr-CA"/>
        </w:rPr>
        <w:t xml:space="preserve"> Law Centre, Toronto.</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Procureurs</w:t>
      </w:r>
      <w:r w:rsidRPr="006A000C">
        <w:rPr>
          <w:i/>
          <w:sz w:val="20"/>
          <w:lang w:val="fr-CA"/>
        </w:rPr>
        <w:t xml:space="preserve"> de l’intervenant Gift Lake Métis </w:t>
      </w:r>
      <w:proofErr w:type="spellStart"/>
      <w:r w:rsidRPr="006A000C">
        <w:rPr>
          <w:i/>
          <w:sz w:val="20"/>
          <w:lang w:val="fr-CA"/>
        </w:rPr>
        <w:t>Settlement</w:t>
      </w:r>
      <w:proofErr w:type="spellEnd"/>
      <w:r w:rsidRPr="006A000C">
        <w:rPr>
          <w:i/>
          <w:sz w:val="20"/>
          <w:lang w:val="fr-CA"/>
        </w:rPr>
        <w:t> : Field, Edmonton.</w:t>
      </w:r>
    </w:p>
    <w:p w:rsidR="006A000C" w:rsidRPr="006A000C" w:rsidRDefault="006A000C" w:rsidP="006A000C">
      <w:pPr>
        <w:pStyle w:val="SCCNormalDoubleSpacing"/>
        <w:spacing w:line="240" w:lineRule="auto"/>
        <w:rPr>
          <w:i/>
          <w:sz w:val="20"/>
          <w:lang w:val="fr-CA"/>
        </w:rPr>
      </w:pPr>
    </w:p>
    <w:p w:rsidR="006A000C" w:rsidRPr="006A000C" w:rsidRDefault="006A000C" w:rsidP="006A000C">
      <w:pPr>
        <w:pStyle w:val="SCCNormalDoubleSpacing"/>
        <w:spacing w:line="240" w:lineRule="auto"/>
        <w:rPr>
          <w:i/>
          <w:sz w:val="20"/>
          <w:lang w:val="fr-CA"/>
        </w:rPr>
      </w:pPr>
      <w:r w:rsidRPr="006A000C">
        <w:rPr>
          <w:i/>
          <w:sz w:val="20"/>
          <w:lang w:val="fr-CA"/>
        </w:rPr>
        <w:tab/>
      </w:r>
      <w:r w:rsidRPr="006A000C">
        <w:rPr>
          <w:rStyle w:val="SCCCounselPartyRoleChar"/>
          <w:i/>
          <w:sz w:val="20"/>
          <w:lang w:val="fr-CA"/>
        </w:rPr>
        <w:t>Procureurs</w:t>
      </w:r>
      <w:r w:rsidRPr="006A000C">
        <w:rPr>
          <w:i/>
          <w:sz w:val="20"/>
          <w:lang w:val="fr-CA"/>
        </w:rPr>
        <w:t xml:space="preserve"> de l’intervenante l’Association des femmes autochtones du Canada : Law Office of Mary </w:t>
      </w:r>
      <w:proofErr w:type="spellStart"/>
      <w:r w:rsidRPr="006A000C">
        <w:rPr>
          <w:i/>
          <w:sz w:val="20"/>
          <w:lang w:val="fr-CA"/>
        </w:rPr>
        <w:t>Eberts</w:t>
      </w:r>
      <w:proofErr w:type="spellEnd"/>
      <w:r w:rsidRPr="006A000C">
        <w:rPr>
          <w:i/>
          <w:sz w:val="20"/>
          <w:lang w:val="fr-CA"/>
        </w:rPr>
        <w:t>, Toronto.</w:t>
      </w:r>
    </w:p>
    <w:p w:rsidR="003B3977" w:rsidRDefault="003B3977" w:rsidP="005C6840">
      <w:pPr>
        <w:rPr>
          <w:rFonts w:cs="Times New Roman"/>
          <w:sz w:val="20"/>
          <w:szCs w:val="20"/>
          <w:lang w:val="fr-CA"/>
        </w:rPr>
      </w:pPr>
    </w:p>
    <w:p w:rsidR="005C6840" w:rsidRDefault="001557DD" w:rsidP="005C6840">
      <w:pPr>
        <w:rPr>
          <w:lang w:val="fr-CA"/>
        </w:rPr>
      </w:pPr>
      <w:r w:rsidRPr="001557DD">
        <w:rPr>
          <w:rFonts w:cs="Times New Roman"/>
          <w:sz w:val="20"/>
          <w:szCs w:val="20"/>
          <w:lang w:val="fr-CA"/>
        </w:rPr>
        <w:pict>
          <v:rect id="_x0000_i1058" style="width:144.3pt;height:1pt" o:hrpct="300" o:hralign="center" o:hrstd="t" o:hrnoshade="t" o:hr="t" fillcolor="black [3213]" stroked="f"/>
        </w:pict>
      </w:r>
      <w:r w:rsidR="005C6840">
        <w:rPr>
          <w:lang w:val="fr-CA"/>
        </w:rPr>
        <w:br w:type="page"/>
      </w:r>
    </w:p>
    <w:p w:rsidR="00337A1B" w:rsidRPr="005C033C" w:rsidRDefault="00337A1B" w:rsidP="006A000C">
      <w:pPr>
        <w:rPr>
          <w:sz w:val="20"/>
          <w:szCs w:val="20"/>
          <w:lang w:val="fr-CA"/>
        </w:rPr>
      </w:pPr>
      <w:r w:rsidRPr="00286FB0">
        <w:rPr>
          <w:bCs/>
          <w:i/>
          <w:sz w:val="20"/>
          <w:szCs w:val="20"/>
          <w:lang w:val="fr-CA"/>
        </w:rPr>
        <w:lastRenderedPageBreak/>
        <w:t>Succession Rolland Bastien c</w:t>
      </w:r>
      <w:r w:rsidRPr="00286FB0">
        <w:rPr>
          <w:i/>
          <w:sz w:val="20"/>
          <w:szCs w:val="20"/>
          <w:lang w:val="fr-CA"/>
        </w:rPr>
        <w:t>. Sa Majesté la Reine</w:t>
      </w:r>
      <w:r w:rsidRPr="00286FB0">
        <w:rPr>
          <w:sz w:val="20"/>
          <w:szCs w:val="20"/>
          <w:lang w:val="fr-CA"/>
        </w:rPr>
        <w:t xml:space="preserve"> (</w:t>
      </w:r>
      <w:r w:rsidRPr="00286FB0">
        <w:rPr>
          <w:bCs/>
          <w:sz w:val="20"/>
          <w:szCs w:val="20"/>
          <w:lang w:val="fr-CA"/>
        </w:rPr>
        <w:t xml:space="preserve">C.F.) </w:t>
      </w:r>
      <w:r w:rsidRPr="005C033C">
        <w:rPr>
          <w:bCs/>
          <w:sz w:val="20"/>
          <w:szCs w:val="20"/>
          <w:lang w:val="fr-CA"/>
        </w:rPr>
        <w:t>(33196)</w:t>
      </w:r>
    </w:p>
    <w:p w:rsidR="004E6236" w:rsidRPr="005C033C" w:rsidRDefault="004E6236" w:rsidP="004E6236">
      <w:pPr>
        <w:jc w:val="both"/>
        <w:rPr>
          <w:rFonts w:cs="Times New Roman"/>
          <w:b/>
          <w:sz w:val="20"/>
          <w:szCs w:val="20"/>
          <w:lang w:val="fr-CA"/>
        </w:rPr>
      </w:pPr>
      <w:proofErr w:type="spellStart"/>
      <w:r w:rsidRPr="005C033C">
        <w:rPr>
          <w:rFonts w:cs="Times New Roman"/>
          <w:b/>
          <w:sz w:val="20"/>
          <w:szCs w:val="20"/>
          <w:lang w:val="fr-CA"/>
        </w:rPr>
        <w:t>Indexed</w:t>
      </w:r>
      <w:proofErr w:type="spellEnd"/>
      <w:r w:rsidRPr="005C033C">
        <w:rPr>
          <w:rFonts w:cs="Times New Roman"/>
          <w:b/>
          <w:sz w:val="20"/>
          <w:szCs w:val="20"/>
          <w:lang w:val="fr-CA"/>
        </w:rPr>
        <w:t xml:space="preserve"> as</w:t>
      </w:r>
      <w:proofErr w:type="gramStart"/>
      <w:r w:rsidRPr="005C033C">
        <w:rPr>
          <w:rFonts w:cs="Times New Roman"/>
          <w:b/>
          <w:sz w:val="20"/>
          <w:szCs w:val="20"/>
          <w:lang w:val="fr-CA"/>
        </w:rPr>
        <w:t>:  Bastien</w:t>
      </w:r>
      <w:proofErr w:type="gramEnd"/>
      <w:r w:rsidRPr="005C033C">
        <w:rPr>
          <w:rFonts w:cs="Times New Roman"/>
          <w:b/>
          <w:sz w:val="20"/>
          <w:szCs w:val="20"/>
          <w:lang w:val="fr-CA"/>
        </w:rPr>
        <w:t xml:space="preserve"> </w:t>
      </w:r>
      <w:proofErr w:type="spellStart"/>
      <w:r w:rsidRPr="005C033C">
        <w:rPr>
          <w:rFonts w:cs="Times New Roman"/>
          <w:b/>
          <w:sz w:val="20"/>
          <w:szCs w:val="20"/>
          <w:lang w:val="fr-CA"/>
        </w:rPr>
        <w:t>Estate</w:t>
      </w:r>
      <w:proofErr w:type="spellEnd"/>
      <w:r w:rsidRPr="005C033C">
        <w:rPr>
          <w:rFonts w:cs="Times New Roman"/>
          <w:b/>
          <w:sz w:val="20"/>
          <w:szCs w:val="20"/>
          <w:lang w:val="fr-CA"/>
        </w:rPr>
        <w:t xml:space="preserve"> v. Canada / Répertorié : </w:t>
      </w:r>
      <w:r w:rsidRPr="005C033C">
        <w:rPr>
          <w:rStyle w:val="SCCAppellantForIndexChar"/>
          <w:rFonts w:eastAsiaTheme="minorHAnsi"/>
          <w:sz w:val="20"/>
        </w:rPr>
        <w:t>Succession Bastien</w:t>
      </w:r>
      <w:r w:rsidRPr="005C033C">
        <w:rPr>
          <w:rFonts w:cs="Times New Roman"/>
          <w:b/>
          <w:sz w:val="20"/>
          <w:szCs w:val="20"/>
          <w:lang w:val="fr-CA"/>
        </w:rPr>
        <w:t xml:space="preserve"> </w:t>
      </w:r>
      <w:r w:rsidRPr="005C033C">
        <w:rPr>
          <w:rFonts w:cs="Times New Roman"/>
          <w:b/>
          <w:i/>
          <w:sz w:val="20"/>
          <w:szCs w:val="20"/>
          <w:lang w:val="fr-CA"/>
        </w:rPr>
        <w:t>c.</w:t>
      </w:r>
      <w:r w:rsidRPr="005C033C">
        <w:rPr>
          <w:rFonts w:cs="Times New Roman"/>
          <w:b/>
          <w:sz w:val="20"/>
          <w:szCs w:val="20"/>
          <w:lang w:val="fr-CA"/>
        </w:rPr>
        <w:t xml:space="preserve"> Canada</w:t>
      </w:r>
    </w:p>
    <w:p w:rsidR="005C6840" w:rsidRPr="005C033C" w:rsidRDefault="005C6840" w:rsidP="005C6840">
      <w:pPr>
        <w:pStyle w:val="SCCSystemYear"/>
        <w:jc w:val="both"/>
        <w:rPr>
          <w:sz w:val="20"/>
        </w:rPr>
      </w:pPr>
      <w:proofErr w:type="spellStart"/>
      <w:r w:rsidRPr="005C033C">
        <w:rPr>
          <w:sz w:val="20"/>
        </w:rPr>
        <w:t>Neutral</w:t>
      </w:r>
      <w:proofErr w:type="spellEnd"/>
      <w:r w:rsidRPr="005C033C">
        <w:rPr>
          <w:sz w:val="20"/>
        </w:rPr>
        <w:t xml:space="preserve"> citation</w:t>
      </w:r>
      <w:proofErr w:type="gramStart"/>
      <w:r w:rsidRPr="005C033C">
        <w:rPr>
          <w:sz w:val="20"/>
        </w:rPr>
        <w:t>:  201</w:t>
      </w:r>
      <w:r w:rsidR="007F387B" w:rsidRPr="005C033C">
        <w:rPr>
          <w:sz w:val="20"/>
        </w:rPr>
        <w:t>1</w:t>
      </w:r>
      <w:proofErr w:type="gramEnd"/>
      <w:r w:rsidRPr="005C033C">
        <w:rPr>
          <w:sz w:val="20"/>
        </w:rPr>
        <w:t xml:space="preserve"> SCC </w:t>
      </w:r>
      <w:r w:rsidR="00337A1B" w:rsidRPr="005C033C">
        <w:rPr>
          <w:sz w:val="20"/>
        </w:rPr>
        <w:t>38</w:t>
      </w:r>
      <w:r w:rsidRPr="005C033C">
        <w:rPr>
          <w:sz w:val="20"/>
        </w:rPr>
        <w:t xml:space="preserve"> / Référence neutre : 201</w:t>
      </w:r>
      <w:r w:rsidR="007F387B" w:rsidRPr="005C033C">
        <w:rPr>
          <w:sz w:val="20"/>
        </w:rPr>
        <w:t>1</w:t>
      </w:r>
      <w:r w:rsidRPr="005C033C">
        <w:rPr>
          <w:sz w:val="20"/>
        </w:rPr>
        <w:t xml:space="preserve"> CSC </w:t>
      </w:r>
      <w:r w:rsidR="00337A1B" w:rsidRPr="005C033C">
        <w:rPr>
          <w:sz w:val="20"/>
        </w:rPr>
        <w:t>38</w:t>
      </w:r>
    </w:p>
    <w:p w:rsidR="005C6840" w:rsidRPr="005C033C" w:rsidRDefault="005C6840" w:rsidP="005C6840">
      <w:pPr>
        <w:rPr>
          <w:sz w:val="20"/>
          <w:szCs w:val="20"/>
          <w:lang w:val="fr-CA"/>
        </w:rPr>
      </w:pPr>
      <w:proofErr w:type="spellStart"/>
      <w:r w:rsidRPr="005C033C">
        <w:rPr>
          <w:sz w:val="20"/>
          <w:szCs w:val="20"/>
          <w:lang w:val="fr-CA"/>
        </w:rPr>
        <w:t>Hearing</w:t>
      </w:r>
      <w:proofErr w:type="spellEnd"/>
      <w:proofErr w:type="gramStart"/>
      <w:r w:rsidRPr="005C033C">
        <w:rPr>
          <w:sz w:val="20"/>
          <w:szCs w:val="20"/>
          <w:lang w:val="fr-CA"/>
        </w:rPr>
        <w:t>:  May</w:t>
      </w:r>
      <w:proofErr w:type="gramEnd"/>
      <w:r w:rsidRPr="005C033C">
        <w:rPr>
          <w:sz w:val="20"/>
          <w:szCs w:val="20"/>
          <w:lang w:val="fr-CA"/>
        </w:rPr>
        <w:t xml:space="preserve"> 2</w:t>
      </w:r>
      <w:r w:rsidR="004E6236" w:rsidRPr="005C033C">
        <w:rPr>
          <w:sz w:val="20"/>
          <w:szCs w:val="20"/>
          <w:lang w:val="fr-CA"/>
        </w:rPr>
        <w:t>0</w:t>
      </w:r>
      <w:r w:rsidRPr="005C033C">
        <w:rPr>
          <w:sz w:val="20"/>
          <w:szCs w:val="20"/>
          <w:lang w:val="fr-CA"/>
        </w:rPr>
        <w:t xml:space="preserve">, 2010 / </w:t>
      </w:r>
      <w:proofErr w:type="spellStart"/>
      <w:r w:rsidRPr="005C033C">
        <w:rPr>
          <w:sz w:val="20"/>
          <w:szCs w:val="20"/>
          <w:lang w:val="fr-CA"/>
        </w:rPr>
        <w:t>Judgment</w:t>
      </w:r>
      <w:proofErr w:type="spellEnd"/>
      <w:r w:rsidRPr="005C033C">
        <w:rPr>
          <w:sz w:val="20"/>
          <w:szCs w:val="20"/>
          <w:lang w:val="fr-CA"/>
        </w:rPr>
        <w:t xml:space="preserve">:  </w:t>
      </w:r>
      <w:r w:rsidR="00337A1B" w:rsidRPr="005C033C">
        <w:rPr>
          <w:sz w:val="20"/>
          <w:szCs w:val="20"/>
          <w:lang w:val="fr-CA"/>
        </w:rPr>
        <w:t>July 22</w:t>
      </w:r>
      <w:r w:rsidRPr="005C033C">
        <w:rPr>
          <w:sz w:val="20"/>
          <w:szCs w:val="20"/>
          <w:lang w:val="fr-CA"/>
        </w:rPr>
        <w:t>, 201</w:t>
      </w:r>
      <w:r w:rsidR="00337A1B" w:rsidRPr="005C033C">
        <w:rPr>
          <w:sz w:val="20"/>
          <w:szCs w:val="20"/>
          <w:lang w:val="fr-CA"/>
        </w:rPr>
        <w:t>1</w:t>
      </w:r>
    </w:p>
    <w:p w:rsidR="005C6840" w:rsidRPr="00D54753" w:rsidRDefault="005C6840" w:rsidP="005C6840">
      <w:pPr>
        <w:rPr>
          <w:sz w:val="20"/>
          <w:szCs w:val="20"/>
          <w:lang w:val="fr-CA"/>
        </w:rPr>
      </w:pPr>
      <w:r w:rsidRPr="00D54753">
        <w:rPr>
          <w:sz w:val="20"/>
          <w:szCs w:val="20"/>
          <w:lang w:val="fr-CA"/>
        </w:rPr>
        <w:t>Audition : Le 2</w:t>
      </w:r>
      <w:r w:rsidR="004E6236" w:rsidRPr="00D54753">
        <w:rPr>
          <w:sz w:val="20"/>
          <w:szCs w:val="20"/>
          <w:lang w:val="fr-CA"/>
        </w:rPr>
        <w:t>0</w:t>
      </w:r>
      <w:r w:rsidRPr="00D54753">
        <w:rPr>
          <w:sz w:val="20"/>
          <w:szCs w:val="20"/>
          <w:lang w:val="fr-CA"/>
        </w:rPr>
        <w:t xml:space="preserve"> mai 2010 / Jugement : Le 2</w:t>
      </w:r>
      <w:r w:rsidR="00337A1B" w:rsidRPr="00D54753">
        <w:rPr>
          <w:sz w:val="20"/>
          <w:szCs w:val="20"/>
          <w:lang w:val="fr-CA"/>
        </w:rPr>
        <w:t>2 juillet</w:t>
      </w:r>
      <w:r w:rsidRPr="00D54753">
        <w:rPr>
          <w:sz w:val="20"/>
          <w:szCs w:val="20"/>
          <w:lang w:val="fr-CA"/>
        </w:rPr>
        <w:t xml:space="preserve"> 201</w:t>
      </w:r>
      <w:r w:rsidR="00337A1B" w:rsidRPr="00D54753">
        <w:rPr>
          <w:sz w:val="20"/>
          <w:szCs w:val="20"/>
          <w:lang w:val="fr-CA"/>
        </w:rPr>
        <w:t>1</w:t>
      </w:r>
    </w:p>
    <w:p w:rsidR="005C6840" w:rsidRPr="003B3977" w:rsidRDefault="001557DD" w:rsidP="005C6840">
      <w:pPr>
        <w:rPr>
          <w:sz w:val="20"/>
          <w:szCs w:val="20"/>
          <w:lang w:val="fr-CA"/>
        </w:rPr>
      </w:pPr>
      <w:r w:rsidRPr="001557DD">
        <w:rPr>
          <w:i/>
          <w:sz w:val="20"/>
          <w:szCs w:val="20"/>
        </w:rPr>
        <w:pict>
          <v:rect id="_x0000_i1059" style="width:480.95pt;height:1pt" o:hralign="center" o:hrstd="t" o:hrnoshade="t" o:hr="t" fillcolor="black [3213]" stroked="f"/>
        </w:pict>
      </w:r>
    </w:p>
    <w:p w:rsidR="005C6840" w:rsidRDefault="005C6840" w:rsidP="005C6840">
      <w:pPr>
        <w:spacing w:line="0" w:lineRule="atLeast"/>
        <w:rPr>
          <w:sz w:val="20"/>
          <w:szCs w:val="20"/>
          <w:lang w:val="fr-CA"/>
        </w:rPr>
      </w:pPr>
    </w:p>
    <w:p w:rsidR="00AA1D2E" w:rsidRPr="004E6236" w:rsidRDefault="00AA1D2E" w:rsidP="00AA1D2E">
      <w:pPr>
        <w:jc w:val="both"/>
        <w:rPr>
          <w:rFonts w:cs="Times New Roman"/>
          <w:sz w:val="20"/>
          <w:szCs w:val="20"/>
          <w:lang w:val="fr-CA"/>
        </w:rPr>
      </w:pPr>
      <w:r w:rsidRPr="004E6236">
        <w:rPr>
          <w:rFonts w:cs="Times New Roman"/>
          <w:sz w:val="20"/>
          <w:szCs w:val="20"/>
          <w:lang w:val="fr-CA"/>
        </w:rPr>
        <w:t xml:space="preserve">Présents : La juge en chef </w:t>
      </w:r>
      <w:proofErr w:type="spellStart"/>
      <w:r w:rsidRPr="004E6236">
        <w:rPr>
          <w:rFonts w:cs="Times New Roman"/>
          <w:sz w:val="20"/>
          <w:szCs w:val="20"/>
          <w:lang w:val="fr-CA"/>
        </w:rPr>
        <w:t>McLachlin</w:t>
      </w:r>
      <w:proofErr w:type="spellEnd"/>
      <w:r w:rsidRPr="004E6236">
        <w:rPr>
          <w:rFonts w:cs="Times New Roman"/>
          <w:sz w:val="20"/>
          <w:szCs w:val="20"/>
          <w:lang w:val="fr-CA"/>
        </w:rPr>
        <w:t xml:space="preserve"> et les juges </w:t>
      </w:r>
      <w:proofErr w:type="spellStart"/>
      <w:r w:rsidRPr="004E6236">
        <w:rPr>
          <w:rFonts w:cs="Times New Roman"/>
          <w:sz w:val="20"/>
          <w:szCs w:val="20"/>
          <w:lang w:val="fr-CA"/>
        </w:rPr>
        <w:t>Binnie</w:t>
      </w:r>
      <w:proofErr w:type="spellEnd"/>
      <w:r w:rsidRPr="004E6236">
        <w:rPr>
          <w:rFonts w:cs="Times New Roman"/>
          <w:sz w:val="20"/>
          <w:szCs w:val="20"/>
          <w:lang w:val="fr-CA"/>
        </w:rPr>
        <w:t xml:space="preserve">, Deschamps, Fish, Charron, </w:t>
      </w:r>
      <w:proofErr w:type="spellStart"/>
      <w:r w:rsidRPr="004E6236">
        <w:rPr>
          <w:rFonts w:cs="Times New Roman"/>
          <w:sz w:val="20"/>
          <w:szCs w:val="20"/>
          <w:lang w:val="fr-CA"/>
        </w:rPr>
        <w:t>Rothstein</w:t>
      </w:r>
      <w:proofErr w:type="spellEnd"/>
      <w:r w:rsidRPr="004E6236">
        <w:rPr>
          <w:rFonts w:cs="Times New Roman"/>
          <w:sz w:val="20"/>
          <w:szCs w:val="20"/>
          <w:lang w:val="fr-CA"/>
        </w:rPr>
        <w:t xml:space="preserve"> et Cromwell.</w:t>
      </w:r>
    </w:p>
    <w:p w:rsidR="00AA1D2E" w:rsidRPr="004E6236" w:rsidRDefault="00AA1D2E" w:rsidP="00AA1D2E">
      <w:pPr>
        <w:pStyle w:val="SCCLowerCourtNameLowercase"/>
        <w:spacing w:line="240" w:lineRule="auto"/>
        <w:rPr>
          <w:sz w:val="20"/>
          <w:lang w:val="fr-CA"/>
        </w:rPr>
      </w:pPr>
    </w:p>
    <w:p w:rsidR="00AA1D2E" w:rsidRPr="004E6236" w:rsidRDefault="00AA1D2E" w:rsidP="00AA1D2E">
      <w:pPr>
        <w:pStyle w:val="SCCNormalDoubleSpacing"/>
        <w:spacing w:line="240" w:lineRule="auto"/>
        <w:rPr>
          <w:i/>
          <w:sz w:val="20"/>
          <w:lang w:val="fr-CA"/>
        </w:rPr>
      </w:pPr>
      <w:r w:rsidRPr="004E6236">
        <w:rPr>
          <w:sz w:val="20"/>
          <w:lang w:val="fr-CA"/>
        </w:rPr>
        <w:tab/>
      </w:r>
      <w:r w:rsidRPr="004E6236">
        <w:rPr>
          <w:i/>
          <w:sz w:val="20"/>
          <w:lang w:val="fr-CA"/>
        </w:rPr>
        <w:t xml:space="preserve">Droit des Autochtones — Droit fiscal — Exemptions — Revenu en intérêts — Indien inscrit vivant dans une réserve ayant placé un revenu dans des dépôts à terme d’une caisse populaire située sur la même réserve — Revenu en intérêts tiré des dépôts à terme versé et déposé dans un compte d’épargne — Le revenu en intérêts </w:t>
      </w:r>
      <w:proofErr w:type="spellStart"/>
      <w:r w:rsidRPr="004E6236">
        <w:rPr>
          <w:i/>
          <w:spacing w:val="-3"/>
          <w:sz w:val="20"/>
          <w:lang w:val="fr-CA"/>
        </w:rPr>
        <w:t>était</w:t>
      </w:r>
      <w:r w:rsidRPr="004E6236">
        <w:rPr>
          <w:i/>
          <w:spacing w:val="-3"/>
          <w:sz w:val="20"/>
          <w:lang w:val="fr-CA"/>
        </w:rPr>
        <w:noBreakHyphen/>
        <w:t>il</w:t>
      </w:r>
      <w:proofErr w:type="spellEnd"/>
      <w:r w:rsidRPr="004E6236">
        <w:rPr>
          <w:i/>
          <w:spacing w:val="-3"/>
          <w:sz w:val="20"/>
          <w:lang w:val="fr-CA"/>
        </w:rPr>
        <w:t xml:space="preserve"> exempté de l’impôt sur le revenu à titre de bien meuble « situé sur une réserve »?</w:t>
      </w:r>
      <w:r w:rsidRPr="004E6236">
        <w:rPr>
          <w:i/>
          <w:sz w:val="20"/>
          <w:lang w:val="fr-CA"/>
        </w:rPr>
        <w:t xml:space="preserve"> — Méthode des facteurs de rattachement pour la détermination de l’emplacement d’un bien meuble immatériel — Les activités économiques hors réserve de la caisse dans le « marché ordinaire » </w:t>
      </w:r>
      <w:proofErr w:type="spellStart"/>
      <w:r w:rsidRPr="004E6236">
        <w:rPr>
          <w:i/>
          <w:sz w:val="20"/>
          <w:lang w:val="fr-CA"/>
        </w:rPr>
        <w:t>constituent</w:t>
      </w:r>
      <w:r w:rsidRPr="004E6236">
        <w:rPr>
          <w:i/>
          <w:sz w:val="20"/>
          <w:lang w:val="fr-CA"/>
        </w:rPr>
        <w:noBreakHyphen/>
        <w:t>t</w:t>
      </w:r>
      <w:r w:rsidRPr="004E6236">
        <w:rPr>
          <w:i/>
          <w:sz w:val="20"/>
          <w:lang w:val="fr-CA"/>
        </w:rPr>
        <w:noBreakHyphen/>
        <w:t>elles</w:t>
      </w:r>
      <w:proofErr w:type="spellEnd"/>
      <w:r w:rsidRPr="004E6236">
        <w:rPr>
          <w:i/>
          <w:sz w:val="20"/>
          <w:lang w:val="fr-CA"/>
        </w:rPr>
        <w:t xml:space="preserve"> un facteur potentiellement pertinent? — Loi sur les Indiens, L.R.C. 1985, ch. I</w:t>
      </w:r>
      <w:r w:rsidRPr="004E6236">
        <w:rPr>
          <w:i/>
          <w:sz w:val="20"/>
          <w:lang w:val="fr-CA"/>
        </w:rPr>
        <w:noBreakHyphen/>
        <w:t>5, art. 87(1)b).</w:t>
      </w:r>
    </w:p>
    <w:p w:rsidR="00AA1D2E" w:rsidRPr="004E6236" w:rsidRDefault="00AA1D2E" w:rsidP="00AA1D2E">
      <w:pPr>
        <w:pStyle w:val="SCCNormalDoubleSpacing"/>
        <w:spacing w:line="240" w:lineRule="auto"/>
        <w:rPr>
          <w:i/>
          <w:sz w:val="20"/>
          <w:lang w:val="fr-CA"/>
        </w:rPr>
      </w:pPr>
    </w:p>
    <w:p w:rsidR="00AA1D2E" w:rsidRPr="004E6236" w:rsidRDefault="00AA1D2E" w:rsidP="00AA1D2E">
      <w:pPr>
        <w:pStyle w:val="SCCNormalDoubleSpacing"/>
        <w:spacing w:line="240" w:lineRule="auto"/>
        <w:rPr>
          <w:i/>
          <w:sz w:val="20"/>
          <w:lang w:val="fr-CA"/>
        </w:rPr>
      </w:pPr>
      <w:r w:rsidRPr="004E6236">
        <w:rPr>
          <w:i/>
          <w:sz w:val="20"/>
          <w:lang w:val="fr-CA"/>
        </w:rPr>
        <w:tab/>
        <w:t xml:space="preserve">Droit fiscal — Impôt sur le revenu — Exemptions — Revenu d’un bien — Revenu en intérêts tiré de dépôts à terme par un Indien inscrit déposé dans un compte d’épargne sur une réserve — Le revenu en intérêts </w:t>
      </w:r>
      <w:proofErr w:type="spellStart"/>
      <w:r w:rsidRPr="004E6236">
        <w:rPr>
          <w:i/>
          <w:spacing w:val="-3"/>
          <w:sz w:val="20"/>
          <w:lang w:val="fr-CA"/>
        </w:rPr>
        <w:t>était</w:t>
      </w:r>
      <w:r w:rsidRPr="004E6236">
        <w:rPr>
          <w:i/>
          <w:spacing w:val="-3"/>
          <w:sz w:val="20"/>
          <w:lang w:val="fr-CA"/>
        </w:rPr>
        <w:noBreakHyphen/>
        <w:t>il</w:t>
      </w:r>
      <w:proofErr w:type="spellEnd"/>
      <w:r w:rsidRPr="004E6236">
        <w:rPr>
          <w:i/>
          <w:spacing w:val="-3"/>
          <w:sz w:val="20"/>
          <w:lang w:val="fr-CA"/>
        </w:rPr>
        <w:t xml:space="preserve"> exempté de taxation à titre de « bien meuble d’un Indien situé sur une réserve »?</w:t>
      </w:r>
      <w:r w:rsidRPr="004E6236">
        <w:rPr>
          <w:i/>
          <w:sz w:val="20"/>
          <w:lang w:val="fr-CA"/>
        </w:rPr>
        <w:t xml:space="preserve"> — Loi de l’impôt sur le revenu, L.R.C. 1985, ch. 1 (5</w:t>
      </w:r>
      <w:r w:rsidRPr="004E6236">
        <w:rPr>
          <w:i/>
          <w:sz w:val="20"/>
          <w:vertAlign w:val="superscript"/>
          <w:lang w:val="fr-CA"/>
        </w:rPr>
        <w:t>e</w:t>
      </w:r>
      <w:r w:rsidRPr="004E6236">
        <w:rPr>
          <w:i/>
          <w:sz w:val="20"/>
          <w:lang w:val="fr-CA"/>
        </w:rPr>
        <w:t xml:space="preserve"> suppl.), art. 3, 9 — Loi sur les Indiens, L.R.C. 1985, ch. I</w:t>
      </w:r>
      <w:r w:rsidRPr="004E6236">
        <w:rPr>
          <w:i/>
          <w:sz w:val="20"/>
          <w:lang w:val="fr-CA"/>
        </w:rPr>
        <w:noBreakHyphen/>
        <w:t>5, art. 87(1)b).</w:t>
      </w:r>
    </w:p>
    <w:p w:rsidR="00AA1D2E" w:rsidRPr="004E6236" w:rsidRDefault="00AA1D2E" w:rsidP="00AA1D2E">
      <w:pPr>
        <w:pStyle w:val="SCCNormalDoubleSpacing"/>
        <w:spacing w:line="240" w:lineRule="auto"/>
        <w:rPr>
          <w:i/>
          <w:sz w:val="20"/>
          <w:lang w:val="fr-CA"/>
        </w:rPr>
      </w:pPr>
    </w:p>
    <w:p w:rsidR="00AA1D2E" w:rsidRPr="004E6236" w:rsidRDefault="00AA1D2E" w:rsidP="00AA1D2E">
      <w:pPr>
        <w:pStyle w:val="SCCNormalDoubleSpacing"/>
        <w:spacing w:line="240" w:lineRule="auto"/>
        <w:rPr>
          <w:sz w:val="20"/>
          <w:lang w:val="fr-CA"/>
        </w:rPr>
      </w:pPr>
      <w:r w:rsidRPr="004E6236">
        <w:rPr>
          <w:sz w:val="20"/>
          <w:lang w:val="fr-CA"/>
        </w:rPr>
        <w:tab/>
        <w:t xml:space="preserve">B était un était Indien inscrit qui appartenait à la Nation </w:t>
      </w:r>
      <w:proofErr w:type="spellStart"/>
      <w:r w:rsidRPr="004E6236">
        <w:rPr>
          <w:sz w:val="20"/>
          <w:lang w:val="fr-CA"/>
        </w:rPr>
        <w:t>huronne</w:t>
      </w:r>
      <w:r w:rsidRPr="004E6236">
        <w:rPr>
          <w:sz w:val="20"/>
          <w:lang w:val="fr-CA"/>
        </w:rPr>
        <w:noBreakHyphen/>
        <w:t>wendat</w:t>
      </w:r>
      <w:proofErr w:type="spellEnd"/>
      <w:r w:rsidRPr="004E6236">
        <w:rPr>
          <w:sz w:val="20"/>
          <w:lang w:val="fr-CA"/>
        </w:rPr>
        <w:t xml:space="preserve">.  Il est né et décédé dans la réserve de </w:t>
      </w:r>
      <w:proofErr w:type="spellStart"/>
      <w:r w:rsidRPr="004E6236">
        <w:rPr>
          <w:sz w:val="20"/>
          <w:lang w:val="fr-CA"/>
        </w:rPr>
        <w:t>Wendake</w:t>
      </w:r>
      <w:proofErr w:type="spellEnd"/>
      <w:r w:rsidRPr="004E6236">
        <w:rPr>
          <w:sz w:val="20"/>
          <w:lang w:val="fr-CA"/>
        </w:rPr>
        <w:t xml:space="preserve">, près de Québec.  De 1970 à 1997, B a exploité une entreprise de fabrication de mocassins sur cette réserve.  Il a investi une partie des revenus provenant de l’exploitation et de la vente de son entreprise dans des dépôts à terme à la Caisse populaire Desjardins du Village Huron.  Depuis la fondation de la Caisse, son siège social, son seul établissement et son seul bien immobilisé corporel sont situés sur la réserve de </w:t>
      </w:r>
      <w:proofErr w:type="spellStart"/>
      <w:r w:rsidRPr="004E6236">
        <w:rPr>
          <w:sz w:val="20"/>
          <w:lang w:val="fr-CA"/>
        </w:rPr>
        <w:t>Wendake</w:t>
      </w:r>
      <w:proofErr w:type="spellEnd"/>
      <w:r w:rsidRPr="004E6236">
        <w:rPr>
          <w:sz w:val="20"/>
          <w:lang w:val="fr-CA"/>
        </w:rPr>
        <w:t xml:space="preserve">.  En 2001, les certificats de dépôts ont produit des intérêts qui ont été déposés dans le compte d’épargne avec opérations de B à la Caisse.  B considérait ce revenu comme un bien exempté de taxation en vertu de la </w:t>
      </w:r>
      <w:r w:rsidRPr="004E6236">
        <w:rPr>
          <w:i/>
          <w:sz w:val="20"/>
          <w:lang w:val="fr-CA"/>
        </w:rPr>
        <w:t>Loi sur les Indiens</w:t>
      </w:r>
      <w:r w:rsidRPr="004E6236">
        <w:rPr>
          <w:sz w:val="20"/>
          <w:lang w:val="fr-CA"/>
        </w:rPr>
        <w:t xml:space="preserve">.  Toutefois, en 2003, le ministre du Revenu national a établi un avis de cotisation qui incluait le revenu de placements dans le calcul du revenu de B pour l’année d’imposition 2001.  L’avis de cotisation a été confirmé et la succession de B a été déboutée en appel à la Cour canadienne de l’impôt et à la Cour d’appel fédérale.  Ces deux cours ont conclu que les revenus de la Caisse étaient générés hors réserve, sur le « marché ordinaire », et par conséquent que les intérêts qu’elle avait versés à B n’étaient pas situés sur la réserve.  </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sz w:val="20"/>
          <w:lang w:val="fr-CA"/>
        </w:rPr>
      </w:pPr>
      <w:r w:rsidRPr="004E6236">
        <w:rPr>
          <w:sz w:val="20"/>
          <w:lang w:val="fr-CA"/>
        </w:rPr>
        <w:tab/>
      </w:r>
      <w:r w:rsidRPr="00220D1A">
        <w:rPr>
          <w:rStyle w:val="QuoteChar"/>
          <w:sz w:val="20"/>
          <w:lang w:val="fr-CA"/>
        </w:rPr>
        <w:t>Arrêt </w:t>
      </w:r>
      <w:proofErr w:type="gramStart"/>
      <w:r w:rsidRPr="00220D1A">
        <w:rPr>
          <w:rStyle w:val="QuoteChar"/>
          <w:sz w:val="20"/>
          <w:lang w:val="fr-CA"/>
        </w:rPr>
        <w:t>:</w:t>
      </w:r>
      <w:r w:rsidRPr="004E6236">
        <w:rPr>
          <w:sz w:val="20"/>
          <w:lang w:val="fr-CA"/>
        </w:rPr>
        <w:t xml:space="preserve">  Le</w:t>
      </w:r>
      <w:proofErr w:type="gramEnd"/>
      <w:r w:rsidRPr="004E6236">
        <w:rPr>
          <w:sz w:val="20"/>
          <w:lang w:val="fr-CA"/>
        </w:rPr>
        <w:t xml:space="preserve"> pourvoi est accueilli. </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sz w:val="20"/>
          <w:lang w:val="fr-CA"/>
        </w:rPr>
      </w:pPr>
      <w:r w:rsidRPr="004E6236">
        <w:rPr>
          <w:sz w:val="20"/>
          <w:lang w:val="fr-CA"/>
        </w:rPr>
        <w:tab/>
      </w:r>
      <w:r w:rsidRPr="004E6236">
        <w:rPr>
          <w:i/>
          <w:sz w:val="20"/>
          <w:lang w:val="fr-CA"/>
        </w:rPr>
        <w:t xml:space="preserve">La </w:t>
      </w:r>
      <w:r w:rsidRPr="004E6236">
        <w:rPr>
          <w:sz w:val="20"/>
          <w:lang w:val="fr-CA"/>
        </w:rPr>
        <w:t xml:space="preserve">juge en chef </w:t>
      </w:r>
      <w:proofErr w:type="spellStart"/>
      <w:r w:rsidRPr="004E6236">
        <w:rPr>
          <w:sz w:val="20"/>
          <w:lang w:val="fr-CA"/>
        </w:rPr>
        <w:t>McLachlin</w:t>
      </w:r>
      <w:proofErr w:type="spellEnd"/>
      <w:r w:rsidRPr="004E6236">
        <w:rPr>
          <w:sz w:val="20"/>
          <w:lang w:val="fr-CA"/>
        </w:rPr>
        <w:t xml:space="preserve"> et les</w:t>
      </w:r>
      <w:r w:rsidRPr="004E6236">
        <w:rPr>
          <w:i/>
          <w:sz w:val="20"/>
          <w:lang w:val="fr-CA"/>
        </w:rPr>
        <w:t xml:space="preserve"> </w:t>
      </w:r>
      <w:r w:rsidRPr="004E6236">
        <w:rPr>
          <w:sz w:val="20"/>
          <w:lang w:val="fr-CA"/>
        </w:rPr>
        <w:t xml:space="preserve">juges </w:t>
      </w:r>
      <w:proofErr w:type="spellStart"/>
      <w:r w:rsidRPr="004E6236">
        <w:rPr>
          <w:sz w:val="20"/>
          <w:lang w:val="fr-CA"/>
        </w:rPr>
        <w:t>Binnie</w:t>
      </w:r>
      <w:proofErr w:type="spellEnd"/>
      <w:r w:rsidRPr="004E6236">
        <w:rPr>
          <w:sz w:val="20"/>
          <w:lang w:val="fr-CA"/>
        </w:rPr>
        <w:t xml:space="preserve">, Fish, Charron et </w:t>
      </w:r>
      <w:r w:rsidRPr="004E6236">
        <w:rPr>
          <w:b/>
          <w:sz w:val="20"/>
          <w:lang w:val="fr-CA"/>
        </w:rPr>
        <w:t>Cromwell</w:t>
      </w:r>
      <w:r w:rsidRPr="004E6236">
        <w:rPr>
          <w:sz w:val="20"/>
          <w:lang w:val="fr-CA"/>
        </w:rPr>
        <w:t> </w:t>
      </w:r>
      <w:proofErr w:type="gramStart"/>
      <w:r w:rsidRPr="004E6236">
        <w:rPr>
          <w:sz w:val="20"/>
          <w:lang w:val="fr-CA"/>
        </w:rPr>
        <w:t>:  Il</w:t>
      </w:r>
      <w:proofErr w:type="gramEnd"/>
      <w:r w:rsidRPr="004E6236">
        <w:rPr>
          <w:sz w:val="20"/>
          <w:lang w:val="fr-CA"/>
        </w:rPr>
        <w:t xml:space="preserve"> faut interpréter les mots « sur une réserve » figurant dans l’art. 87 de la </w:t>
      </w:r>
      <w:r w:rsidRPr="004E6236">
        <w:rPr>
          <w:i/>
          <w:sz w:val="20"/>
          <w:lang w:val="fr-CA"/>
        </w:rPr>
        <w:t xml:space="preserve">Loi sur les Indiens </w:t>
      </w:r>
      <w:r w:rsidRPr="004E6236">
        <w:rPr>
          <w:sz w:val="20"/>
          <w:lang w:val="fr-CA"/>
        </w:rPr>
        <w:t xml:space="preserve">en tenant dûment compte </w:t>
      </w:r>
      <w:r w:rsidRPr="004E6236">
        <w:rPr>
          <w:spacing w:val="2"/>
          <w:sz w:val="20"/>
          <w:lang w:val="fr-CA"/>
        </w:rPr>
        <w:t xml:space="preserve">du fond et du sens manifeste et ordinaire des termes employés.  </w:t>
      </w:r>
      <w:r w:rsidRPr="004E6236">
        <w:rPr>
          <w:sz w:val="20"/>
          <w:lang w:val="fr-CA"/>
        </w:rPr>
        <w:t xml:space="preserve">Lorsque l’emplacement d’un bien n’est pas facile à déterminer d’un point de vue objectif, en raison de la nature du bien ou du type d’exemption dont il est question, les tribunaux doivent appliquer la méthode des facteurs de rattachement décrite dans </w:t>
      </w:r>
      <w:r w:rsidRPr="004E6236">
        <w:rPr>
          <w:i/>
          <w:sz w:val="20"/>
          <w:lang w:val="fr-CA"/>
        </w:rPr>
        <w:t>Williams c. Canada</w:t>
      </w:r>
      <w:r w:rsidRPr="004E6236">
        <w:rPr>
          <w:sz w:val="20"/>
          <w:lang w:val="fr-CA"/>
        </w:rPr>
        <w:t>,</w:t>
      </w:r>
      <w:r w:rsidRPr="004E6236">
        <w:rPr>
          <w:i/>
          <w:sz w:val="20"/>
          <w:lang w:val="fr-CA"/>
        </w:rPr>
        <w:t xml:space="preserve"> </w:t>
      </w:r>
      <w:r w:rsidRPr="004E6236">
        <w:rPr>
          <w:sz w:val="20"/>
          <w:lang w:val="fr-CA"/>
        </w:rPr>
        <w:t xml:space="preserve">[1992] 1 R.C.S. 877 : à la première étape, le tribunal détermine quels facteurs de rattachement du bien meuble immatériel à un emplacement peuvent être pertinents; à la deuxième étape, il procède à une analyse téléologique de ces facteurs dans le but de déterminer quel poids accorder à chacun.  Dans le cadre de cette analyse, il prend en considération l’objet de l’exemption prévue par la </w:t>
      </w:r>
      <w:r w:rsidRPr="004E6236">
        <w:rPr>
          <w:i/>
          <w:sz w:val="20"/>
          <w:lang w:val="fr-CA"/>
        </w:rPr>
        <w:t>Loi sur les Indiens</w:t>
      </w:r>
      <w:r w:rsidRPr="004E6236">
        <w:rPr>
          <w:sz w:val="20"/>
          <w:lang w:val="fr-CA"/>
        </w:rPr>
        <w:t xml:space="preserve">, le genre de bien en cause et la nature de l’imposition du bien.  La démarche suivie dans </w:t>
      </w:r>
      <w:r w:rsidRPr="004E6236">
        <w:rPr>
          <w:i/>
          <w:sz w:val="20"/>
          <w:lang w:val="fr-CA"/>
        </w:rPr>
        <w:t>Williams</w:t>
      </w:r>
      <w:r w:rsidRPr="004E6236">
        <w:rPr>
          <w:sz w:val="20"/>
          <w:lang w:val="fr-CA"/>
        </w:rPr>
        <w:t xml:space="preserve"> s’applique ici parce qu’il s’agit de déterminer l’emplacement d’une opération — le versement d’intérêts en vertu d’un contrat — aux fins d’imposition.</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sz w:val="20"/>
          <w:lang w:val="fr-CA"/>
        </w:rPr>
      </w:pPr>
      <w:r w:rsidRPr="004E6236">
        <w:rPr>
          <w:sz w:val="20"/>
          <w:lang w:val="fr-CA"/>
        </w:rPr>
        <w:tab/>
        <w:t xml:space="preserve">L’objet de l’exemption fiscale est de protéger les biens des Indiens situés sur une réserve.  Bien que la relation entre le bien et la vie sur la réserve puisse, dans certains cas, être un facteur qui tend à renforcer ou à affaiblir le lien entre le bien et la réserve, l’application de l’exemption ne dépend pas de la question de savoir si le bien fait partie intégrante de la vie sur la réserve ou de la préservation du mode de vie traditionnel des Indiens.  Le bien en cause en l’espèce est un revenu de placements tiré de dépôts à terme, un véhicule de placement de base dont l’existence est attestée par un certificat de dépôt.  Comme détenteur d’un certificat de dépôt, l’investisseur ne participe pas au marché </w:t>
      </w:r>
      <w:r w:rsidRPr="004E6236">
        <w:rPr>
          <w:sz w:val="20"/>
          <w:lang w:val="fr-CA"/>
        </w:rPr>
        <w:lastRenderedPageBreak/>
        <w:t xml:space="preserve">des actions; il a simplement droit au versement des intérêts, au taux convenu, pendant la période convenue, et au remboursement de son capital à la fin de cette période.  Ce revenu de placements constitue un bien meuble pour l’application de l’art. 87 de la </w:t>
      </w:r>
      <w:r w:rsidRPr="004E6236">
        <w:rPr>
          <w:i/>
          <w:sz w:val="20"/>
          <w:lang w:val="fr-CA"/>
        </w:rPr>
        <w:t>Loi sur les Indiens</w:t>
      </w:r>
      <w:r w:rsidRPr="004E6236">
        <w:rPr>
          <w:sz w:val="20"/>
          <w:lang w:val="fr-CA"/>
        </w:rPr>
        <w:t xml:space="preserve">.  Le contrat prévoit un droit à une somme d’argent payable à certaines conditions.  Si ce n’était de l’exemption fiscale, le revenu en intérêts que B a tiré de ses dépôts à terme serait un revenu tiré d’un bien qui devrait être ajouté à son revenu annuel conformément </w:t>
      </w:r>
      <w:proofErr w:type="gramStart"/>
      <w:r w:rsidRPr="004E6236">
        <w:rPr>
          <w:sz w:val="20"/>
          <w:lang w:val="fr-CA"/>
        </w:rPr>
        <w:t>aux art</w:t>
      </w:r>
      <w:proofErr w:type="gramEnd"/>
      <w:r w:rsidRPr="004E6236">
        <w:rPr>
          <w:sz w:val="20"/>
          <w:lang w:val="fr-CA"/>
        </w:rPr>
        <w:t>. 3, 9 et 12(1)</w:t>
      </w:r>
      <w:r w:rsidRPr="004E6236">
        <w:rPr>
          <w:i/>
          <w:sz w:val="20"/>
          <w:lang w:val="fr-CA"/>
        </w:rPr>
        <w:t>c</w:t>
      </w:r>
      <w:r w:rsidRPr="004E6236">
        <w:rPr>
          <w:sz w:val="20"/>
          <w:lang w:val="fr-CA"/>
        </w:rPr>
        <w:t xml:space="preserve">)de la </w:t>
      </w:r>
      <w:r w:rsidRPr="004E6236">
        <w:rPr>
          <w:i/>
          <w:sz w:val="20"/>
          <w:lang w:val="fr-CA"/>
        </w:rPr>
        <w:t>Loi de l’impôt sur le revenu</w:t>
      </w:r>
      <w:r w:rsidRPr="004E6236">
        <w:rPr>
          <w:sz w:val="20"/>
          <w:lang w:val="fr-CA"/>
        </w:rPr>
        <w:t>.</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spacing w:val="-3"/>
          <w:sz w:val="20"/>
          <w:lang w:val="fr-CA"/>
        </w:rPr>
      </w:pPr>
      <w:r w:rsidRPr="004E6236">
        <w:rPr>
          <w:sz w:val="20"/>
          <w:lang w:val="fr-CA"/>
        </w:rPr>
        <w:tab/>
        <w:t xml:space="preserve">Les </w:t>
      </w:r>
      <w:r w:rsidRPr="004E6236">
        <w:rPr>
          <w:spacing w:val="-3"/>
          <w:sz w:val="20"/>
          <w:lang w:val="fr-CA"/>
        </w:rPr>
        <w:t>facteurs de rattachement potentiellement pertinents</w:t>
      </w:r>
      <w:r w:rsidRPr="004E6236">
        <w:rPr>
          <w:sz w:val="20"/>
          <w:lang w:val="fr-CA"/>
        </w:rPr>
        <w:t xml:space="preserve"> relevés dans </w:t>
      </w:r>
      <w:r w:rsidRPr="004E6236">
        <w:rPr>
          <w:i/>
          <w:sz w:val="20"/>
          <w:lang w:val="fr-CA"/>
        </w:rPr>
        <w:t>Williams</w:t>
      </w:r>
      <w:r w:rsidRPr="004E6236">
        <w:rPr>
          <w:sz w:val="20"/>
          <w:lang w:val="fr-CA"/>
        </w:rPr>
        <w:t xml:space="preserve"> sont notamment</w:t>
      </w:r>
      <w:r w:rsidRPr="004E6236">
        <w:rPr>
          <w:spacing w:val="-3"/>
          <w:sz w:val="20"/>
          <w:lang w:val="fr-CA"/>
        </w:rPr>
        <w:t xml:space="preserve"> la résidence du débiteur, la résidence de la personne qui reçoit les prestations, l’endroit où </w:t>
      </w:r>
      <w:proofErr w:type="spellStart"/>
      <w:r w:rsidRPr="004E6236">
        <w:rPr>
          <w:spacing w:val="-3"/>
          <w:sz w:val="20"/>
          <w:lang w:val="fr-CA"/>
        </w:rPr>
        <w:t>celles</w:t>
      </w:r>
      <w:r w:rsidRPr="004E6236">
        <w:rPr>
          <w:spacing w:val="-3"/>
          <w:sz w:val="20"/>
          <w:lang w:val="fr-CA"/>
        </w:rPr>
        <w:noBreakHyphen/>
        <w:t>ci</w:t>
      </w:r>
      <w:proofErr w:type="spellEnd"/>
      <w:r w:rsidRPr="004E6236">
        <w:rPr>
          <w:spacing w:val="-3"/>
          <w:sz w:val="20"/>
          <w:lang w:val="fr-CA"/>
        </w:rPr>
        <w:t xml:space="preserve"> sont versées et l’emplacement du revenu d’emploi ayant donné droit aux prestations</w:t>
      </w:r>
      <w:r w:rsidRPr="004E6236">
        <w:rPr>
          <w:sz w:val="20"/>
          <w:lang w:val="fr-CA"/>
        </w:rPr>
        <w:t xml:space="preserve">.  Les </w:t>
      </w:r>
      <w:r w:rsidRPr="004E6236">
        <w:rPr>
          <w:spacing w:val="-3"/>
          <w:sz w:val="20"/>
          <w:lang w:val="fr-CA"/>
        </w:rPr>
        <w:t>règles de droit générales concernant l’emplacement d’un bien</w:t>
      </w:r>
      <w:r w:rsidRPr="004E6236">
        <w:rPr>
          <w:sz w:val="20"/>
          <w:lang w:val="fr-CA"/>
        </w:rPr>
        <w:t xml:space="preserve"> sont pertinentes </w:t>
      </w:r>
      <w:r w:rsidRPr="004E6236">
        <w:rPr>
          <w:spacing w:val="-3"/>
          <w:sz w:val="20"/>
          <w:lang w:val="fr-CA"/>
        </w:rPr>
        <w:t xml:space="preserve">pour l’application de la </w:t>
      </w:r>
      <w:r w:rsidRPr="004E6236">
        <w:rPr>
          <w:i/>
          <w:spacing w:val="-3"/>
          <w:sz w:val="20"/>
          <w:lang w:val="fr-CA"/>
        </w:rPr>
        <w:t>Loi sur les Indiens</w:t>
      </w:r>
      <w:r w:rsidRPr="004E6236">
        <w:rPr>
          <w:sz w:val="20"/>
          <w:lang w:val="fr-CA"/>
        </w:rPr>
        <w:t xml:space="preserve">.  </w:t>
      </w:r>
      <w:r w:rsidRPr="004E6236">
        <w:rPr>
          <w:spacing w:val="-3"/>
          <w:sz w:val="20"/>
          <w:lang w:val="fr-CA"/>
        </w:rPr>
        <w:t>Par conséquent, les dispositions législatives et la jurisprudence relatives à l’emplacement d’un revenu peuvent s’avérer utiles pour décider s’il est situé sur une réserve.</w:t>
      </w:r>
      <w:r w:rsidRPr="004E6236">
        <w:rPr>
          <w:sz w:val="20"/>
          <w:lang w:val="fr-CA"/>
        </w:rPr>
        <w:t xml:space="preserve">  </w:t>
      </w:r>
      <w:r w:rsidRPr="004E6236">
        <w:rPr>
          <w:spacing w:val="-3"/>
          <w:sz w:val="20"/>
          <w:lang w:val="fr-CA"/>
        </w:rPr>
        <w:t>Bien que ces règles ne puissent pas être transposées machinalement d’un contexte à un autre, elles doivent être prises en compte et se voir accorder le poids qu’elles méritent, compte tenu de l’objet de l’exemption, du genre de bien et de la nature de l’imposition en cause.</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sz w:val="20"/>
          <w:lang w:val="fr-CA"/>
        </w:rPr>
      </w:pPr>
      <w:r w:rsidRPr="004E6236">
        <w:rPr>
          <w:sz w:val="20"/>
          <w:lang w:val="fr-CA"/>
        </w:rPr>
        <w:tab/>
        <w:t xml:space="preserve">Les facteurs de rattachement relevés dans </w:t>
      </w:r>
      <w:r w:rsidRPr="004E6236">
        <w:rPr>
          <w:i/>
          <w:sz w:val="20"/>
          <w:lang w:val="fr-CA"/>
        </w:rPr>
        <w:t>Williams</w:t>
      </w:r>
      <w:r w:rsidRPr="004E6236">
        <w:rPr>
          <w:sz w:val="20"/>
          <w:lang w:val="fr-CA"/>
        </w:rPr>
        <w:t xml:space="preserve"> sont potentiellement pertinents en l’espèce.  Examinés et appréciés en fonction de l’objet de l’exemption, du genre de bien et de la nature de l’imposition du bien, tous ces facteurs indiquent que le revenu en intérêts en l’espèce est situé sur la réserve.  L’emplacement du débiteur, la Caisse, et le lieu où le paiement doit être fait, à la fois en vertu du contrat entre B et la Caisse et en vertu de l’art. 1566 du </w:t>
      </w:r>
      <w:r w:rsidRPr="004E6236">
        <w:rPr>
          <w:i/>
          <w:sz w:val="20"/>
          <w:lang w:val="fr-CA"/>
        </w:rPr>
        <w:t>Code civil du Québec</w:t>
      </w:r>
      <w:r w:rsidRPr="004E6236">
        <w:rPr>
          <w:sz w:val="20"/>
          <w:lang w:val="fr-CA"/>
        </w:rPr>
        <w:t>,</w:t>
      </w:r>
      <w:r w:rsidRPr="004E6236">
        <w:rPr>
          <w:i/>
          <w:sz w:val="20"/>
          <w:lang w:val="fr-CA"/>
        </w:rPr>
        <w:t xml:space="preserve"> </w:t>
      </w:r>
      <w:r w:rsidRPr="004E6236">
        <w:rPr>
          <w:sz w:val="20"/>
          <w:lang w:val="fr-CA"/>
        </w:rPr>
        <w:t>sont manifestement situés sur la réserve.  Le revenu découle d’une obligation prévue par un contrat conclu sur la réserve.  Il faut accorder un poids important à ces facteurs de rattachement pour attribuer un emplacement au revenu en intérêts.  D’autres facteurs de rattachement potentiellement pertinents renforcent, plutôt que de la contredire, la conclusion que le revenu en intérêts est un bien situé sur une réserve.  La résidence de B, la personne qui a reçu le paiement, était située sur la réserve.  En ce qui concerne le capital qui a été investi en vue de produire les revenus en intérêts, il a aussi été gagné sur la réserve.</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sz w:val="20"/>
          <w:lang w:val="fr-CA"/>
        </w:rPr>
      </w:pPr>
      <w:r w:rsidRPr="004E6236">
        <w:rPr>
          <w:sz w:val="20"/>
          <w:lang w:val="fr-CA"/>
        </w:rPr>
        <w:tab/>
        <w:t xml:space="preserve">Le fait que la Caisse a généré ses revenus sur le « marché ordinaire », à l’extérieur de la réserve, n’a aucune pertinence sur le plan juridique quant à la nature du revenu qu’elle était tenue de verser à B.  Cela vaut à la fois sur le plan de la forme et sur le plan du fond.  Bien que ce facteur puisse avoir de l’importance relativement à d’autres types de placements, les juridictions inférieures lui ont accordé beaucoup trop d’importance en ce qui concerne les dépôts à terme en cause ici.  B a consenti un simple prêt à la Caisse.  Les actes et les contrats de la Caisse qui ont généré des revenus après que B a investi dans des dépôts à terme ne peuvent être imputés à </w:t>
      </w:r>
      <w:proofErr w:type="spellStart"/>
      <w:r w:rsidRPr="004E6236">
        <w:rPr>
          <w:sz w:val="20"/>
          <w:lang w:val="fr-CA"/>
        </w:rPr>
        <w:t>celui</w:t>
      </w:r>
      <w:r w:rsidRPr="004E6236">
        <w:rPr>
          <w:sz w:val="20"/>
          <w:lang w:val="fr-CA"/>
        </w:rPr>
        <w:noBreakHyphen/>
        <w:t>ci</w:t>
      </w:r>
      <w:proofErr w:type="spellEnd"/>
      <w:r w:rsidRPr="004E6236">
        <w:rPr>
          <w:sz w:val="20"/>
          <w:lang w:val="fr-CA"/>
        </w:rPr>
        <w:t xml:space="preserve"> et n’affaiblissent en rien les nombreux liens manifestes entre son revenu en intérêts et la réserve.  La question est celle de l’emplacement du revenu en intérêts de B, et non celle de savoir d’où l’institution financière tire les profits dont elle se sert pour s’acquitter de son obligation contractuelle envers B.  L’exemption fiscale protège les biens meubles d’un Indien qui sont situés sur une réserve.  Par conséquent, lorsque le véhicule de placement est, comme en l’espèce, une créance contractuelle, il faut mettre l’accent sur les activités de placement de l’investisseur indien et non sur celles de l’institution financière débitrice.  Si on met l’accent sur les facteurs de rattachement pertinents quant à l’emplacement du revenu en intérêts que B a tiré de sa relation contractuelle avec la Caisse, on constate qu’il ne fallait pas accorder d’importance aux autres activités commerciales de la Caisse.  Le placement de B faisait de lui un créancier de la Caisse et non un participant aux marchés ordinaires plus vastes dans lesquels la Caisse était active.  Le revenu de placements de B devrait donc bénéficier de l’exemption fiscale prévue à l’art. 87 de la </w:t>
      </w:r>
      <w:r w:rsidRPr="004E6236">
        <w:rPr>
          <w:i/>
          <w:sz w:val="20"/>
          <w:lang w:val="fr-CA"/>
        </w:rPr>
        <w:t>Loi sur les Indiens</w:t>
      </w:r>
      <w:r w:rsidRPr="004E6236">
        <w:rPr>
          <w:sz w:val="20"/>
          <w:lang w:val="fr-CA"/>
        </w:rPr>
        <w:t>.</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sz w:val="20"/>
          <w:lang w:val="fr-CA"/>
        </w:rPr>
      </w:pPr>
      <w:r w:rsidRPr="004E6236">
        <w:rPr>
          <w:i/>
          <w:sz w:val="20"/>
          <w:lang w:val="fr-CA"/>
        </w:rPr>
        <w:tab/>
        <w:t>Les</w:t>
      </w:r>
      <w:r w:rsidRPr="004E6236">
        <w:rPr>
          <w:sz w:val="20"/>
          <w:lang w:val="fr-CA"/>
        </w:rPr>
        <w:t xml:space="preserve"> juges </w:t>
      </w:r>
      <w:r w:rsidRPr="004E6236">
        <w:rPr>
          <w:b/>
          <w:sz w:val="20"/>
          <w:lang w:val="fr-CA"/>
        </w:rPr>
        <w:t>Deschamps</w:t>
      </w:r>
      <w:r w:rsidRPr="004E6236">
        <w:rPr>
          <w:sz w:val="20"/>
          <w:lang w:val="fr-CA"/>
        </w:rPr>
        <w:t xml:space="preserve"> et </w:t>
      </w:r>
      <w:proofErr w:type="spellStart"/>
      <w:r w:rsidRPr="004E6236">
        <w:rPr>
          <w:sz w:val="20"/>
          <w:lang w:val="fr-CA"/>
        </w:rPr>
        <w:t>Rothstein</w:t>
      </w:r>
      <w:proofErr w:type="spellEnd"/>
      <w:r w:rsidRPr="004E6236">
        <w:rPr>
          <w:sz w:val="20"/>
          <w:lang w:val="fr-CA"/>
        </w:rPr>
        <w:t xml:space="preserve"> : </w:t>
      </w:r>
      <w:r w:rsidRPr="00220D1A">
        <w:rPr>
          <w:sz w:val="20"/>
          <w:lang w:val="fr-FR"/>
        </w:rPr>
        <w:t xml:space="preserve">La recherche de facteurs de rattachement aux fins d’application de la </w:t>
      </w:r>
      <w:r w:rsidRPr="00220D1A">
        <w:rPr>
          <w:i/>
          <w:sz w:val="20"/>
          <w:lang w:val="fr-FR"/>
        </w:rPr>
        <w:t>Loi sur les Indiens</w:t>
      </w:r>
      <w:r w:rsidRPr="00220D1A">
        <w:rPr>
          <w:sz w:val="20"/>
          <w:lang w:val="fr-FR"/>
        </w:rPr>
        <w:t xml:space="preserve"> doit être centrée sur des éléments concrets et discernables qui lient le bien à la réserve, que le bien soit tangible ou </w:t>
      </w:r>
      <w:r w:rsidRPr="004E6236">
        <w:rPr>
          <w:sz w:val="20"/>
          <w:lang w:val="fr-CA"/>
        </w:rPr>
        <w:t xml:space="preserve">intangible. </w:t>
      </w:r>
    </w:p>
    <w:p w:rsidR="00AA1D2E" w:rsidRPr="004E6236" w:rsidRDefault="00AA1D2E" w:rsidP="00AA1D2E">
      <w:pPr>
        <w:pStyle w:val="SCCNormalDoubleSpacing"/>
        <w:spacing w:line="240" w:lineRule="auto"/>
        <w:rPr>
          <w:sz w:val="20"/>
          <w:lang w:val="fr-CA"/>
        </w:rPr>
      </w:pPr>
    </w:p>
    <w:p w:rsidR="00AA1D2E" w:rsidRDefault="00AA1D2E" w:rsidP="00AA1D2E">
      <w:pPr>
        <w:pStyle w:val="SCCNormalDoubleSpacing"/>
        <w:spacing w:line="240" w:lineRule="auto"/>
        <w:rPr>
          <w:sz w:val="20"/>
          <w:lang w:val="fr-FR"/>
        </w:rPr>
      </w:pPr>
      <w:r w:rsidRPr="004E6236">
        <w:rPr>
          <w:sz w:val="20"/>
          <w:lang w:val="fr-CA"/>
        </w:rPr>
        <w:tab/>
        <w:t xml:space="preserve">En l’espèce, </w:t>
      </w:r>
      <w:r w:rsidRPr="00220D1A">
        <w:rPr>
          <w:sz w:val="20"/>
          <w:lang w:val="fr-FR"/>
        </w:rPr>
        <w:t xml:space="preserve">le bien meuble dont il faut situer l’emplacement est le droit personnel dont l’existence juridique est constatée par le contrat de </w:t>
      </w:r>
      <w:r w:rsidRPr="004E6236">
        <w:rPr>
          <w:sz w:val="20"/>
          <w:lang w:val="fr-CA"/>
        </w:rPr>
        <w:t>placement qui</w:t>
      </w:r>
      <w:r w:rsidRPr="00220D1A">
        <w:rPr>
          <w:sz w:val="20"/>
          <w:lang w:val="fr-FR"/>
        </w:rPr>
        <w:t xml:space="preserve"> prévoit le paiement d’intérêts à certaines conditions.  Pour déterminer l’emplacement de ce bien intangible, la résidence du débiteur est un facteur qui peut avoir un certain poids, mais ce facteur ne peut être prépondérant, car il ne s’agit pas, comme cela peut être le cas en droit international privé, de déterminer le lieu d’introduction de procédures judiciaires.  Le lieu du paiement des intérêts n’est pas très pertinent pour fixer le lieu où le bien est détenu, car la disposition fiscale </w:t>
      </w:r>
      <w:r w:rsidRPr="004E6236">
        <w:rPr>
          <w:sz w:val="20"/>
          <w:lang w:val="fr-CA"/>
        </w:rPr>
        <w:t>qui règle le traitement fiscal des revenus d’intérêts — c’est</w:t>
      </w:r>
      <w:r w:rsidRPr="004E6236">
        <w:rPr>
          <w:sz w:val="20"/>
          <w:lang w:val="fr-CA"/>
        </w:rPr>
        <w:noBreakHyphen/>
      </w:r>
      <w:proofErr w:type="spellStart"/>
      <w:r w:rsidRPr="004E6236">
        <w:rPr>
          <w:sz w:val="20"/>
          <w:lang w:val="fr-CA"/>
        </w:rPr>
        <w:t>à</w:t>
      </w:r>
      <w:r w:rsidRPr="004E6236">
        <w:rPr>
          <w:sz w:val="20"/>
          <w:lang w:val="fr-CA"/>
        </w:rPr>
        <w:noBreakHyphen/>
        <w:t>dire</w:t>
      </w:r>
      <w:proofErr w:type="spellEnd"/>
      <w:r w:rsidRPr="004E6236">
        <w:rPr>
          <w:sz w:val="20"/>
          <w:lang w:val="fr-CA"/>
        </w:rPr>
        <w:t xml:space="preserve"> le par. 12(4) de la </w:t>
      </w:r>
      <w:r w:rsidRPr="004E6236">
        <w:rPr>
          <w:i/>
          <w:sz w:val="20"/>
          <w:lang w:val="fr-CA"/>
        </w:rPr>
        <w:t>Loi de l’impôt sur le revenu</w:t>
      </w:r>
      <w:r w:rsidRPr="004E6236">
        <w:rPr>
          <w:sz w:val="20"/>
          <w:lang w:val="fr-CA"/>
        </w:rPr>
        <w:t xml:space="preserve"> —</w:t>
      </w:r>
      <w:r w:rsidRPr="00220D1A">
        <w:rPr>
          <w:sz w:val="20"/>
          <w:lang w:val="fr-FR"/>
        </w:rPr>
        <w:t xml:space="preserve"> n’exige pas que les intérêts soient effectivement payés </w:t>
      </w:r>
      <w:r w:rsidRPr="00220D1A">
        <w:rPr>
          <w:sz w:val="20"/>
          <w:lang w:val="fr-FR"/>
        </w:rPr>
        <w:lastRenderedPageBreak/>
        <w:t xml:space="preserve">pour que </w:t>
      </w:r>
      <w:proofErr w:type="spellStart"/>
      <w:r w:rsidRPr="00220D1A">
        <w:rPr>
          <w:sz w:val="20"/>
          <w:lang w:val="fr-FR"/>
        </w:rPr>
        <w:t>ceux</w:t>
      </w:r>
      <w:r w:rsidRPr="00220D1A">
        <w:rPr>
          <w:sz w:val="20"/>
          <w:lang w:val="fr-FR"/>
        </w:rPr>
        <w:noBreakHyphen/>
        <w:t>ci</w:t>
      </w:r>
      <w:proofErr w:type="spellEnd"/>
      <w:r w:rsidRPr="00220D1A">
        <w:rPr>
          <w:sz w:val="20"/>
          <w:lang w:val="fr-FR"/>
        </w:rPr>
        <w:t xml:space="preserve"> soient inclus au revenu du contribuable.  Le fait que le créancier réside sur une réserve est pertinent.  Les Indiens vivant sur une réserve ont avantage à favoriser le développement économique de </w:t>
      </w:r>
      <w:proofErr w:type="spellStart"/>
      <w:r w:rsidRPr="00220D1A">
        <w:rPr>
          <w:sz w:val="20"/>
          <w:lang w:val="fr-FR"/>
        </w:rPr>
        <w:t>celle</w:t>
      </w:r>
      <w:r w:rsidRPr="00220D1A">
        <w:rPr>
          <w:sz w:val="20"/>
          <w:lang w:val="fr-FR"/>
        </w:rPr>
        <w:noBreakHyphen/>
        <w:t>ci</w:t>
      </w:r>
      <w:proofErr w:type="spellEnd"/>
      <w:r w:rsidRPr="00220D1A">
        <w:rPr>
          <w:sz w:val="20"/>
          <w:lang w:val="fr-FR"/>
        </w:rPr>
        <w:t xml:space="preserve">, et les revenus dépensés ou investis sur la réserve ne peuvent que contribuer à ce développement.  Toutefois, le critère de la résidence ne doit pas être vu comme un préalable à l’exemption, étant donné qu’il ne constitue plus une exigence législative depuis plus d’un siècle.  Considéré isolément, le lieu de signature du contrat ne constitue pas une assise juridique suffisamment objective pour déterminer l’emplacement d’un droit à des intérêts, car il est susceptible de manipulations et pourrait avoir un caractère artificiel.  Pour respecter l’objet de l’exemption, il faut que le choix de la réserve en tant que lieu de signature du contrat repose sur des motifs qui ne sont pas liés à la simple recherche d’un bénéfice personnel pour l’Indien qui aurait choisi de se livrer hors réserve à des activités commerciales ordinaires.  Enfin, dans le cas d’un droit à des intérêts, il faut aller </w:t>
      </w:r>
      <w:proofErr w:type="spellStart"/>
      <w:r w:rsidRPr="00220D1A">
        <w:rPr>
          <w:sz w:val="20"/>
          <w:lang w:val="fr-FR"/>
        </w:rPr>
        <w:t>au</w:t>
      </w:r>
      <w:r w:rsidRPr="00220D1A">
        <w:rPr>
          <w:sz w:val="20"/>
          <w:lang w:val="fr-FR"/>
        </w:rPr>
        <w:noBreakHyphen/>
        <w:t>delà</w:t>
      </w:r>
      <w:proofErr w:type="spellEnd"/>
      <w:r w:rsidRPr="00220D1A">
        <w:rPr>
          <w:sz w:val="20"/>
          <w:lang w:val="fr-FR"/>
        </w:rPr>
        <w:t xml:space="preserve"> du contrat de placement et considérer la source du capital investi.  Lorsque le capital résulte d’une variété d’activités, le lieu où </w:t>
      </w:r>
      <w:proofErr w:type="spellStart"/>
      <w:r w:rsidRPr="00220D1A">
        <w:rPr>
          <w:sz w:val="20"/>
          <w:lang w:val="fr-FR"/>
        </w:rPr>
        <w:t>celles</w:t>
      </w:r>
      <w:r w:rsidRPr="00220D1A">
        <w:rPr>
          <w:sz w:val="20"/>
          <w:lang w:val="fr-FR"/>
        </w:rPr>
        <w:noBreakHyphen/>
        <w:t>ci</w:t>
      </w:r>
      <w:proofErr w:type="spellEnd"/>
      <w:r w:rsidRPr="00220D1A">
        <w:rPr>
          <w:sz w:val="20"/>
          <w:lang w:val="fr-FR"/>
        </w:rPr>
        <w:t xml:space="preserve"> ont été exercées de façon prépondérante devrait servir comme critère, par analogie avec la notion d’emplacement prépondérant utilisée pour les biens tangibles.</w:t>
      </w:r>
    </w:p>
    <w:p w:rsidR="00AA1D2E" w:rsidRPr="00220D1A" w:rsidRDefault="00AA1D2E" w:rsidP="00AA1D2E">
      <w:pPr>
        <w:pStyle w:val="SCCNormalDoubleSpacing"/>
        <w:spacing w:line="240" w:lineRule="auto"/>
        <w:rPr>
          <w:sz w:val="20"/>
          <w:lang w:val="fr-FR"/>
        </w:rPr>
      </w:pPr>
    </w:p>
    <w:p w:rsidR="00AA1D2E" w:rsidRDefault="00AA1D2E" w:rsidP="00AA1D2E">
      <w:pPr>
        <w:pStyle w:val="SCCNormalDoubleSpacing"/>
        <w:spacing w:line="240" w:lineRule="auto"/>
        <w:rPr>
          <w:sz w:val="20"/>
          <w:lang w:val="fr-FR"/>
        </w:rPr>
      </w:pPr>
      <w:r w:rsidRPr="00220D1A">
        <w:rPr>
          <w:sz w:val="20"/>
          <w:lang w:val="fr-FR"/>
        </w:rPr>
        <w:tab/>
        <w:t>En l’espèce, le lieu de résidence du débiteur, le lieu de résidence du créancier, le lieu de conclusion du contrat et l’activité ayant généré le capital qui a permis la conclusion du contrat de placement militent tous en faveur de la reconnaissance de l’exemption en faveur de la succession de B.</w:t>
      </w:r>
    </w:p>
    <w:p w:rsidR="00AA1D2E" w:rsidRPr="004E6236" w:rsidRDefault="00AA1D2E" w:rsidP="00AA1D2E">
      <w:pPr>
        <w:pStyle w:val="SCCNormalDoubleSpacing"/>
        <w:spacing w:line="240" w:lineRule="auto"/>
        <w:rPr>
          <w:sz w:val="20"/>
          <w:lang w:val="fr-CA"/>
        </w:rPr>
      </w:pPr>
    </w:p>
    <w:p w:rsidR="00AA1D2E" w:rsidRDefault="00AA1D2E" w:rsidP="00AA1D2E">
      <w:pPr>
        <w:pStyle w:val="SCCNormalDoubleSpacing"/>
        <w:spacing w:line="240" w:lineRule="auto"/>
        <w:rPr>
          <w:sz w:val="20"/>
          <w:lang w:val="fr-FR"/>
        </w:rPr>
      </w:pPr>
      <w:r w:rsidRPr="00220D1A">
        <w:rPr>
          <w:sz w:val="20"/>
          <w:lang w:val="fr-FR"/>
        </w:rPr>
        <w:tab/>
        <w:t>Il y a accord avec la majorité quant au fait qu’il n’y a pas lieu de vérifier si le bien ou l’activité qui l’a généré sont liés au mode de vie traditionnel autochtone.  De même, l’activité qui permet à une institution financière de respecter ses obligations financières dans le cadre de contrats de placement prévoyant le paiement d’intérêts ne constitue pas un critère valable pour déterminer si un bien meuble détenu par un Indien est situé sur une réserve.  Il y a cependant désaccord quant à l’importance que l’analyse accorde à des liens formels qui, dans certaines circonstances, ont une faible relation réelle avec la réserve.  L’approche de la majorité ne tient pas compte de la disposition qui règle le traitement fiscal des revenus d’intérêts, et n’est pas compatible avec l’objet historique de l’exemption.</w:t>
      </w:r>
    </w:p>
    <w:p w:rsidR="00AA1D2E" w:rsidRDefault="00AA1D2E" w:rsidP="00AA1D2E">
      <w:pPr>
        <w:pStyle w:val="SCCNormalDoubleSpacing"/>
        <w:spacing w:line="240" w:lineRule="auto"/>
        <w:rPr>
          <w:sz w:val="20"/>
          <w:lang w:val="fr-FR"/>
        </w:rPr>
      </w:pPr>
    </w:p>
    <w:p w:rsidR="00AA1D2E" w:rsidRPr="004E6236" w:rsidRDefault="00AA1D2E" w:rsidP="00AA1D2E">
      <w:pPr>
        <w:pStyle w:val="SCCNormalDoubleSpacing"/>
        <w:widowControl w:val="0"/>
        <w:spacing w:line="240" w:lineRule="auto"/>
        <w:rPr>
          <w:sz w:val="20"/>
          <w:lang w:val="fr-CA"/>
        </w:rPr>
      </w:pPr>
      <w:r w:rsidRPr="004E6236">
        <w:rPr>
          <w:sz w:val="20"/>
          <w:lang w:val="fr-CA"/>
        </w:rPr>
        <w:tab/>
        <w:t xml:space="preserve">POURVOI contre un arrêt de la Cour d’appel fédérale (les juges </w:t>
      </w:r>
      <w:r w:rsidR="001557DD" w:rsidRPr="00220D1A">
        <w:rPr>
          <w:sz w:val="20"/>
        </w:rPr>
        <w:fldChar w:fldCharType="begin"/>
      </w:r>
      <w:r w:rsidRPr="004E6236">
        <w:rPr>
          <w:sz w:val="20"/>
          <w:lang w:val="fr-CA"/>
        </w:rPr>
        <w:instrText xml:space="preserve"> SEQ CHAPTER \h \r 1</w:instrText>
      </w:r>
      <w:r w:rsidR="001557DD" w:rsidRPr="00220D1A">
        <w:rPr>
          <w:sz w:val="20"/>
        </w:rPr>
        <w:fldChar w:fldCharType="end"/>
      </w:r>
      <w:r w:rsidRPr="004E6236">
        <w:rPr>
          <w:sz w:val="20"/>
          <w:lang w:val="fr-CA"/>
        </w:rPr>
        <w:t>Nadon, Blais et Pelletier), 2009 CAF 108, 400 N.R. 349, 2009 D.T.C. 5086, 2009 D.T.C. 5851, [2009] A.C.F. n</w:t>
      </w:r>
      <w:r w:rsidRPr="004E6236">
        <w:rPr>
          <w:sz w:val="20"/>
          <w:vertAlign w:val="superscript"/>
          <w:lang w:val="fr-CA"/>
        </w:rPr>
        <w:t>o</w:t>
      </w:r>
      <w:r w:rsidRPr="004E6236">
        <w:rPr>
          <w:sz w:val="20"/>
          <w:lang w:val="fr-CA"/>
        </w:rPr>
        <w:t xml:space="preserve"> 434 (QL), </w:t>
      </w:r>
      <w:r w:rsidR="001557DD" w:rsidRPr="00220D1A">
        <w:rPr>
          <w:sz w:val="20"/>
        </w:rPr>
        <w:fldChar w:fldCharType="begin"/>
      </w:r>
      <w:r w:rsidRPr="004E6236">
        <w:rPr>
          <w:sz w:val="20"/>
          <w:lang w:val="fr-CA"/>
        </w:rPr>
        <w:instrText xml:space="preserve"> SEQ CHAPTER \h \r 1</w:instrText>
      </w:r>
      <w:r w:rsidR="001557DD" w:rsidRPr="00220D1A">
        <w:rPr>
          <w:sz w:val="20"/>
        </w:rPr>
        <w:fldChar w:fldCharType="end"/>
      </w:r>
      <w:r w:rsidRPr="004E6236">
        <w:rPr>
          <w:sz w:val="20"/>
          <w:lang w:val="fr-CA"/>
        </w:rPr>
        <w:t xml:space="preserve">2009 </w:t>
      </w:r>
      <w:proofErr w:type="spellStart"/>
      <w:r w:rsidRPr="004E6236">
        <w:rPr>
          <w:sz w:val="20"/>
          <w:lang w:val="fr-CA"/>
        </w:rPr>
        <w:t>CarswellNat</w:t>
      </w:r>
      <w:proofErr w:type="spellEnd"/>
      <w:r w:rsidRPr="004E6236">
        <w:rPr>
          <w:sz w:val="20"/>
          <w:lang w:val="fr-CA"/>
        </w:rPr>
        <w:t xml:space="preserve"> 849, qui a confirmé une décision du juge </w:t>
      </w:r>
      <w:r w:rsidR="001557DD" w:rsidRPr="00220D1A">
        <w:rPr>
          <w:sz w:val="20"/>
        </w:rPr>
        <w:fldChar w:fldCharType="begin"/>
      </w:r>
      <w:r w:rsidRPr="004E6236">
        <w:rPr>
          <w:sz w:val="20"/>
          <w:lang w:val="fr-CA"/>
        </w:rPr>
        <w:instrText xml:space="preserve"> SEQ CHAPTER \h \r 1</w:instrText>
      </w:r>
      <w:r w:rsidR="001557DD" w:rsidRPr="00220D1A">
        <w:rPr>
          <w:sz w:val="20"/>
        </w:rPr>
        <w:fldChar w:fldCharType="end"/>
      </w:r>
      <w:r w:rsidRPr="004E6236">
        <w:rPr>
          <w:sz w:val="20"/>
          <w:lang w:val="fr-CA"/>
        </w:rPr>
        <w:t>Angers, 2007 CCI 625, 2008 D.T.C. 2399, [2008] 5 C.T.C. 2533, [2007] A.C.I. n</w:t>
      </w:r>
      <w:r w:rsidRPr="004E6236">
        <w:rPr>
          <w:sz w:val="20"/>
          <w:vertAlign w:val="superscript"/>
          <w:lang w:val="fr-CA"/>
        </w:rPr>
        <w:t>o</w:t>
      </w:r>
      <w:r w:rsidRPr="004E6236">
        <w:rPr>
          <w:sz w:val="20"/>
          <w:lang w:val="fr-CA"/>
        </w:rPr>
        <w:t xml:space="preserve"> 541 (QL), </w:t>
      </w:r>
      <w:r w:rsidR="001557DD" w:rsidRPr="00220D1A">
        <w:rPr>
          <w:sz w:val="20"/>
        </w:rPr>
        <w:fldChar w:fldCharType="begin"/>
      </w:r>
      <w:r w:rsidRPr="004E6236">
        <w:rPr>
          <w:sz w:val="20"/>
          <w:lang w:val="fr-CA"/>
        </w:rPr>
        <w:instrText xml:space="preserve"> SEQ CHAPTER \h \r 1</w:instrText>
      </w:r>
      <w:r w:rsidR="001557DD" w:rsidRPr="00220D1A">
        <w:rPr>
          <w:sz w:val="20"/>
        </w:rPr>
        <w:fldChar w:fldCharType="end"/>
      </w:r>
      <w:r w:rsidRPr="004E6236">
        <w:rPr>
          <w:sz w:val="20"/>
          <w:lang w:val="fr-CA"/>
        </w:rPr>
        <w:t xml:space="preserve">2007 </w:t>
      </w:r>
      <w:proofErr w:type="spellStart"/>
      <w:r w:rsidRPr="004E6236">
        <w:rPr>
          <w:sz w:val="20"/>
          <w:lang w:val="fr-CA"/>
        </w:rPr>
        <w:t>CarswellNat</w:t>
      </w:r>
      <w:proofErr w:type="spellEnd"/>
      <w:r w:rsidRPr="004E6236">
        <w:rPr>
          <w:sz w:val="20"/>
          <w:lang w:val="fr-CA"/>
        </w:rPr>
        <w:t xml:space="preserve"> 5407.  Pourvoi accueilli.</w:t>
      </w:r>
    </w:p>
    <w:p w:rsidR="00AA1D2E" w:rsidRPr="004E6236" w:rsidRDefault="00AA1D2E" w:rsidP="00AA1D2E">
      <w:pPr>
        <w:pStyle w:val="SCCNormalDoubleSpacing"/>
        <w:widowControl w:val="0"/>
        <w:spacing w:line="240" w:lineRule="auto"/>
        <w:rPr>
          <w:sz w:val="20"/>
          <w:lang w:val="fr-CA"/>
        </w:rPr>
      </w:pPr>
    </w:p>
    <w:p w:rsidR="00AA1D2E" w:rsidRPr="004E6236" w:rsidRDefault="00AA1D2E" w:rsidP="00AA1D2E">
      <w:pPr>
        <w:pStyle w:val="SCCNormalDoubleSpacing"/>
        <w:spacing w:line="240" w:lineRule="auto"/>
        <w:rPr>
          <w:rStyle w:val="SCCCounselPartyRoleChar"/>
          <w:sz w:val="20"/>
          <w:lang w:val="fr-CA"/>
        </w:rPr>
      </w:pPr>
      <w:r w:rsidRPr="004E6236">
        <w:rPr>
          <w:rStyle w:val="SCCCounselNameChar"/>
          <w:sz w:val="20"/>
          <w:lang w:val="fr-CA"/>
        </w:rPr>
        <w:tab/>
        <w:t>Michel Beaupré</w:t>
      </w:r>
      <w:r w:rsidRPr="00220D1A">
        <w:rPr>
          <w:rStyle w:val="SCCCounselSeparatorChar"/>
          <w:sz w:val="20"/>
        </w:rPr>
        <w:t xml:space="preserve"> et </w:t>
      </w:r>
      <w:r w:rsidRPr="004E6236">
        <w:rPr>
          <w:rStyle w:val="SCCCounselNameChar"/>
          <w:sz w:val="20"/>
          <w:lang w:val="fr-CA"/>
        </w:rPr>
        <w:t xml:space="preserve">Michel </w:t>
      </w:r>
      <w:proofErr w:type="spellStart"/>
      <w:r w:rsidRPr="004E6236">
        <w:rPr>
          <w:rStyle w:val="SCCCounselNameChar"/>
          <w:sz w:val="20"/>
          <w:lang w:val="fr-CA"/>
        </w:rPr>
        <w:t>Jolin</w:t>
      </w:r>
      <w:proofErr w:type="spellEnd"/>
      <w:r w:rsidRPr="004E6236">
        <w:rPr>
          <w:rStyle w:val="SCCCounselPartyRoleChar"/>
          <w:sz w:val="20"/>
          <w:lang w:val="fr-CA"/>
        </w:rPr>
        <w:t>, pour l’appelante.</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rStyle w:val="SCCCounselPartyRoleChar"/>
          <w:sz w:val="20"/>
          <w:lang w:val="fr-CA"/>
        </w:rPr>
      </w:pPr>
      <w:r w:rsidRPr="004E6236">
        <w:rPr>
          <w:rStyle w:val="SCCCounselNameChar"/>
          <w:sz w:val="20"/>
          <w:lang w:val="fr-CA"/>
        </w:rPr>
        <w:tab/>
        <w:t>Pierre Cossette</w:t>
      </w:r>
      <w:r w:rsidRPr="00220D1A">
        <w:rPr>
          <w:rStyle w:val="SCCCounselSeparatorChar"/>
          <w:sz w:val="20"/>
        </w:rPr>
        <w:t xml:space="preserve"> et </w:t>
      </w:r>
      <w:r w:rsidRPr="004E6236">
        <w:rPr>
          <w:rStyle w:val="SCCCounselNameChar"/>
          <w:sz w:val="20"/>
          <w:lang w:val="fr-CA"/>
        </w:rPr>
        <w:t xml:space="preserve">Bernard </w:t>
      </w:r>
      <w:proofErr w:type="spellStart"/>
      <w:r w:rsidRPr="004E6236">
        <w:rPr>
          <w:rStyle w:val="SCCCounselNameChar"/>
          <w:sz w:val="20"/>
          <w:lang w:val="fr-CA"/>
        </w:rPr>
        <w:t>Letarte</w:t>
      </w:r>
      <w:proofErr w:type="spellEnd"/>
      <w:r w:rsidRPr="004E6236">
        <w:rPr>
          <w:rStyle w:val="SCCCounselPartyRoleChar"/>
          <w:sz w:val="20"/>
          <w:lang w:val="fr-CA"/>
        </w:rPr>
        <w:t>, pour l’intimée.</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rStyle w:val="SCCCounselPartyRoleChar"/>
          <w:sz w:val="20"/>
          <w:lang w:val="fr-CA"/>
        </w:rPr>
      </w:pPr>
      <w:r w:rsidRPr="004E6236">
        <w:rPr>
          <w:rStyle w:val="SCCCounselNameChar"/>
          <w:sz w:val="20"/>
          <w:lang w:val="fr-CA"/>
        </w:rPr>
        <w:tab/>
        <w:t xml:space="preserve">Peter W. </w:t>
      </w:r>
      <w:proofErr w:type="spellStart"/>
      <w:r w:rsidRPr="004E6236">
        <w:rPr>
          <w:rStyle w:val="SCCCounselNameChar"/>
          <w:sz w:val="20"/>
          <w:lang w:val="fr-CA"/>
        </w:rPr>
        <w:t>Hutchins</w:t>
      </w:r>
      <w:proofErr w:type="spellEnd"/>
      <w:r w:rsidRPr="00220D1A">
        <w:rPr>
          <w:rStyle w:val="SCCCounselSeparatorChar"/>
          <w:sz w:val="20"/>
        </w:rPr>
        <w:t xml:space="preserve"> et </w:t>
      </w:r>
      <w:proofErr w:type="spellStart"/>
      <w:r w:rsidRPr="004E6236">
        <w:rPr>
          <w:rStyle w:val="SCCCounselNameChar"/>
          <w:sz w:val="20"/>
          <w:lang w:val="fr-CA"/>
        </w:rPr>
        <w:t>Lysane</w:t>
      </w:r>
      <w:proofErr w:type="spellEnd"/>
      <w:r w:rsidRPr="004E6236">
        <w:rPr>
          <w:rStyle w:val="SCCCounselNameChar"/>
          <w:sz w:val="20"/>
          <w:lang w:val="fr-CA"/>
        </w:rPr>
        <w:t xml:space="preserve"> Cree</w:t>
      </w:r>
      <w:r w:rsidRPr="004E6236">
        <w:rPr>
          <w:rStyle w:val="SCCCounselPartyRoleChar"/>
          <w:sz w:val="20"/>
          <w:lang w:val="fr-CA"/>
        </w:rPr>
        <w:t xml:space="preserve">, pour l’intervenante la Nation </w:t>
      </w:r>
      <w:proofErr w:type="spellStart"/>
      <w:r w:rsidRPr="004E6236">
        <w:rPr>
          <w:rStyle w:val="SCCCounselPartyRoleChar"/>
          <w:sz w:val="20"/>
          <w:lang w:val="fr-CA"/>
        </w:rPr>
        <w:t>huronne</w:t>
      </w:r>
      <w:r w:rsidRPr="004E6236">
        <w:rPr>
          <w:rStyle w:val="SCCCounselPartyRoleChar"/>
          <w:sz w:val="20"/>
          <w:lang w:val="fr-CA"/>
        </w:rPr>
        <w:noBreakHyphen/>
        <w:t>wendat</w:t>
      </w:r>
      <w:proofErr w:type="spellEnd"/>
      <w:r w:rsidRPr="004E6236">
        <w:rPr>
          <w:rStyle w:val="SCCCounselPartyRoleChar"/>
          <w:sz w:val="20"/>
          <w:lang w:val="fr-CA"/>
        </w:rPr>
        <w:t>.</w:t>
      </w:r>
    </w:p>
    <w:p w:rsidR="00AA1D2E" w:rsidRPr="004E6236" w:rsidRDefault="00AA1D2E" w:rsidP="00AA1D2E">
      <w:pPr>
        <w:pStyle w:val="SCCNormalDoubleSpacing"/>
        <w:spacing w:line="240" w:lineRule="auto"/>
        <w:rPr>
          <w:sz w:val="20"/>
          <w:lang w:val="fr-CA"/>
        </w:rPr>
      </w:pPr>
    </w:p>
    <w:p w:rsidR="00AA1D2E" w:rsidRPr="005C033C" w:rsidRDefault="00AA1D2E" w:rsidP="00AA1D2E">
      <w:pPr>
        <w:pStyle w:val="SCCNormalDoubleSpacing"/>
        <w:spacing w:line="240" w:lineRule="auto"/>
        <w:rPr>
          <w:rStyle w:val="SCCCounselPartyRoleChar"/>
          <w:sz w:val="20"/>
          <w:lang w:val="fr-CA"/>
        </w:rPr>
      </w:pPr>
      <w:r w:rsidRPr="004E6236">
        <w:rPr>
          <w:rStyle w:val="SCCCounselNameChar"/>
          <w:sz w:val="20"/>
          <w:lang w:val="fr-CA"/>
        </w:rPr>
        <w:tab/>
      </w:r>
      <w:r w:rsidRPr="005C033C">
        <w:rPr>
          <w:rStyle w:val="SCCCounselNameChar"/>
          <w:sz w:val="20"/>
          <w:lang w:val="fr-CA"/>
        </w:rPr>
        <w:t xml:space="preserve">Jeff D. </w:t>
      </w:r>
      <w:proofErr w:type="spellStart"/>
      <w:r w:rsidRPr="005C033C">
        <w:rPr>
          <w:rStyle w:val="SCCCounselNameChar"/>
          <w:sz w:val="20"/>
          <w:lang w:val="fr-CA"/>
        </w:rPr>
        <w:t>Pniowsky</w:t>
      </w:r>
      <w:proofErr w:type="spellEnd"/>
      <w:r w:rsidRPr="00220D1A">
        <w:rPr>
          <w:rStyle w:val="SCCCounselSeparatorChar"/>
          <w:sz w:val="20"/>
        </w:rPr>
        <w:t xml:space="preserve"> et </w:t>
      </w:r>
      <w:r w:rsidRPr="005C033C">
        <w:rPr>
          <w:rStyle w:val="SCCCounselNameChar"/>
          <w:sz w:val="20"/>
          <w:lang w:val="fr-CA"/>
        </w:rPr>
        <w:t>Sacha R. Paul</w:t>
      </w:r>
      <w:r w:rsidRPr="005C033C">
        <w:rPr>
          <w:rStyle w:val="SCCCounselPartyRoleChar"/>
          <w:sz w:val="20"/>
          <w:lang w:val="fr-CA"/>
        </w:rPr>
        <w:t xml:space="preserve">, pour l’intervenante </w:t>
      </w:r>
      <w:proofErr w:type="spellStart"/>
      <w:r w:rsidRPr="005C033C">
        <w:rPr>
          <w:rStyle w:val="SCCCounselPartyRoleChar"/>
          <w:sz w:val="20"/>
          <w:lang w:val="fr-CA"/>
        </w:rPr>
        <w:t>Assembly</w:t>
      </w:r>
      <w:proofErr w:type="spellEnd"/>
      <w:r w:rsidRPr="005C033C">
        <w:rPr>
          <w:rStyle w:val="SCCCounselPartyRoleChar"/>
          <w:sz w:val="20"/>
          <w:lang w:val="fr-CA"/>
        </w:rPr>
        <w:t xml:space="preserve"> of Manitoba </w:t>
      </w:r>
      <w:proofErr w:type="spellStart"/>
      <w:r w:rsidRPr="005C033C">
        <w:rPr>
          <w:rStyle w:val="SCCCounselPartyRoleChar"/>
          <w:sz w:val="20"/>
          <w:lang w:val="fr-CA"/>
        </w:rPr>
        <w:t>Chiefs</w:t>
      </w:r>
      <w:proofErr w:type="spellEnd"/>
      <w:r w:rsidRPr="005C033C">
        <w:rPr>
          <w:rStyle w:val="SCCCounselPartyRoleChar"/>
          <w:sz w:val="20"/>
          <w:lang w:val="fr-CA"/>
        </w:rPr>
        <w:t>.</w:t>
      </w:r>
    </w:p>
    <w:p w:rsidR="00AA1D2E" w:rsidRPr="005C033C"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rStyle w:val="SCCCounselPartyRoleChar"/>
          <w:sz w:val="20"/>
          <w:lang w:val="fr-CA"/>
        </w:rPr>
      </w:pPr>
      <w:r w:rsidRPr="005C033C">
        <w:rPr>
          <w:rStyle w:val="SCCCounselNameChar"/>
          <w:sz w:val="20"/>
          <w:lang w:val="fr-CA"/>
        </w:rPr>
        <w:tab/>
      </w:r>
      <w:r w:rsidRPr="004E6236">
        <w:rPr>
          <w:rStyle w:val="SCCCounselNameChar"/>
          <w:sz w:val="20"/>
          <w:lang w:val="fr-CA"/>
        </w:rPr>
        <w:t>John Hurley</w:t>
      </w:r>
      <w:r w:rsidRPr="00220D1A">
        <w:rPr>
          <w:rStyle w:val="SCCCounselSeparatorChar"/>
          <w:sz w:val="20"/>
        </w:rPr>
        <w:t xml:space="preserve"> et </w:t>
      </w:r>
      <w:r w:rsidRPr="004E6236">
        <w:rPr>
          <w:rStyle w:val="SCCCounselNameChar"/>
          <w:sz w:val="20"/>
          <w:lang w:val="fr-CA"/>
        </w:rPr>
        <w:t xml:space="preserve">François </w:t>
      </w:r>
      <w:proofErr w:type="spellStart"/>
      <w:r w:rsidRPr="004E6236">
        <w:rPr>
          <w:rStyle w:val="SCCCounselNameChar"/>
          <w:sz w:val="20"/>
          <w:lang w:val="fr-CA"/>
        </w:rPr>
        <w:t>Dandonneau</w:t>
      </w:r>
      <w:proofErr w:type="spellEnd"/>
      <w:r w:rsidRPr="004E6236">
        <w:rPr>
          <w:rStyle w:val="SCCCounselPartyRoleChar"/>
          <w:sz w:val="20"/>
          <w:lang w:val="fr-CA"/>
        </w:rPr>
        <w:t>, pour l’intervenant le Grand Conseil des Cris (</w:t>
      </w:r>
      <w:proofErr w:type="spellStart"/>
      <w:r w:rsidRPr="004E6236">
        <w:rPr>
          <w:rStyle w:val="SCCCounselPartyRoleChar"/>
          <w:sz w:val="20"/>
          <w:lang w:val="fr-CA"/>
        </w:rPr>
        <w:t>Eeyou</w:t>
      </w:r>
      <w:proofErr w:type="spellEnd"/>
      <w:r w:rsidRPr="004E6236">
        <w:rPr>
          <w:rStyle w:val="SCCCounselPartyRoleChar"/>
          <w:sz w:val="20"/>
          <w:lang w:val="fr-CA"/>
        </w:rPr>
        <w:t xml:space="preserve"> </w:t>
      </w:r>
      <w:proofErr w:type="spellStart"/>
      <w:r w:rsidRPr="004E6236">
        <w:rPr>
          <w:rStyle w:val="SCCCounselPartyRoleChar"/>
          <w:sz w:val="20"/>
          <w:lang w:val="fr-CA"/>
        </w:rPr>
        <w:t>Istchee</w:t>
      </w:r>
      <w:proofErr w:type="spellEnd"/>
      <w:r w:rsidRPr="004E6236">
        <w:rPr>
          <w:rStyle w:val="SCCCounselPartyRoleChar"/>
          <w:sz w:val="20"/>
          <w:lang w:val="fr-CA"/>
        </w:rPr>
        <w:t>)/Administration régionale crie.</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rStyle w:val="SCCCounselPartyRoleChar"/>
          <w:sz w:val="20"/>
          <w:lang w:val="fr-CA"/>
        </w:rPr>
      </w:pPr>
      <w:r w:rsidRPr="004E6236">
        <w:rPr>
          <w:rStyle w:val="SCCCounselNameChar"/>
          <w:sz w:val="20"/>
          <w:lang w:val="fr-CA"/>
        </w:rPr>
        <w:tab/>
        <w:t>Maxime Faille</w:t>
      </w:r>
      <w:r w:rsidRPr="00220D1A">
        <w:rPr>
          <w:rStyle w:val="SCCCounselSeparatorChar"/>
          <w:sz w:val="20"/>
        </w:rPr>
        <w:t xml:space="preserve"> et </w:t>
      </w:r>
      <w:r w:rsidRPr="004E6236">
        <w:rPr>
          <w:rStyle w:val="SCCCounselNameChar"/>
          <w:sz w:val="20"/>
          <w:lang w:val="fr-CA"/>
        </w:rPr>
        <w:t xml:space="preserve">Graham </w:t>
      </w:r>
      <w:proofErr w:type="spellStart"/>
      <w:r w:rsidRPr="004E6236">
        <w:rPr>
          <w:rStyle w:val="SCCCounselNameChar"/>
          <w:sz w:val="20"/>
          <w:lang w:val="fr-CA"/>
        </w:rPr>
        <w:t>Ragan</w:t>
      </w:r>
      <w:proofErr w:type="spellEnd"/>
      <w:r w:rsidRPr="004E6236">
        <w:rPr>
          <w:rStyle w:val="SCCCounselPartyRoleChar"/>
          <w:sz w:val="20"/>
          <w:lang w:val="fr-CA"/>
        </w:rPr>
        <w:t>, pour l’intervenante l’Assemblée des Premières Nations.</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rStyle w:val="SCCCounselPartyRoleChar"/>
          <w:sz w:val="20"/>
          <w:lang w:val="fr-CA"/>
        </w:rPr>
      </w:pPr>
      <w:r w:rsidRPr="004E6236">
        <w:rPr>
          <w:rStyle w:val="SCCCounselNameChar"/>
          <w:sz w:val="20"/>
          <w:lang w:val="fr-CA"/>
        </w:rPr>
        <w:tab/>
        <w:t xml:space="preserve">David C. </w:t>
      </w:r>
      <w:proofErr w:type="spellStart"/>
      <w:r w:rsidRPr="004E6236">
        <w:rPr>
          <w:rStyle w:val="SCCCounselNameChar"/>
          <w:sz w:val="20"/>
          <w:lang w:val="fr-CA"/>
        </w:rPr>
        <w:t>Nahwegahbow</w:t>
      </w:r>
      <w:proofErr w:type="spellEnd"/>
      <w:r w:rsidRPr="00220D1A">
        <w:rPr>
          <w:rStyle w:val="SCCCounselSeparatorChar"/>
          <w:sz w:val="20"/>
        </w:rPr>
        <w:t xml:space="preserve"> et </w:t>
      </w:r>
      <w:r w:rsidRPr="004E6236">
        <w:rPr>
          <w:rStyle w:val="SCCCounselNameChar"/>
          <w:sz w:val="20"/>
          <w:lang w:val="fr-CA"/>
        </w:rPr>
        <w:t>James Hopkins</w:t>
      </w:r>
      <w:r w:rsidRPr="004E6236">
        <w:rPr>
          <w:rStyle w:val="SCCCounselPartyRoleChar"/>
          <w:sz w:val="20"/>
          <w:lang w:val="fr-CA"/>
        </w:rPr>
        <w:t xml:space="preserve">, pour l’intervenant </w:t>
      </w:r>
      <w:proofErr w:type="spellStart"/>
      <w:r w:rsidRPr="004E6236">
        <w:rPr>
          <w:rStyle w:val="SCCCounselPartyRoleChar"/>
          <w:sz w:val="20"/>
          <w:lang w:val="fr-CA"/>
        </w:rPr>
        <w:t>Chiefs</w:t>
      </w:r>
      <w:proofErr w:type="spellEnd"/>
      <w:r w:rsidRPr="004E6236">
        <w:rPr>
          <w:rStyle w:val="SCCCounselPartyRoleChar"/>
          <w:sz w:val="20"/>
          <w:lang w:val="fr-CA"/>
        </w:rPr>
        <w:t xml:space="preserve"> of Ontario.</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rStyle w:val="SCCCounselPartyRoleChar"/>
          <w:sz w:val="20"/>
          <w:lang w:val="fr-CA"/>
        </w:rPr>
      </w:pPr>
      <w:r w:rsidRPr="004E6236">
        <w:rPr>
          <w:rStyle w:val="SCCCounselNameChar"/>
          <w:sz w:val="20"/>
          <w:lang w:val="fr-CA"/>
        </w:rPr>
        <w:tab/>
        <w:t>Brian A. Crane, c.r.</w:t>
      </w:r>
      <w:r w:rsidRPr="00220D1A">
        <w:rPr>
          <w:rStyle w:val="SCCCounselSeparatorChar"/>
          <w:sz w:val="20"/>
        </w:rPr>
        <w:t xml:space="preserve">, et </w:t>
      </w:r>
      <w:r w:rsidRPr="004E6236">
        <w:rPr>
          <w:rStyle w:val="SCCCounselNameChar"/>
          <w:sz w:val="20"/>
          <w:lang w:val="fr-CA"/>
        </w:rPr>
        <w:t xml:space="preserve">Guy </w:t>
      </w:r>
      <w:proofErr w:type="spellStart"/>
      <w:r w:rsidRPr="004E6236">
        <w:rPr>
          <w:rStyle w:val="SCCCounselNameChar"/>
          <w:sz w:val="20"/>
          <w:lang w:val="fr-CA"/>
        </w:rPr>
        <w:t>Régimbald</w:t>
      </w:r>
      <w:proofErr w:type="spellEnd"/>
      <w:r w:rsidRPr="004E6236">
        <w:rPr>
          <w:rStyle w:val="SCCCounselPartyRoleChar"/>
          <w:sz w:val="20"/>
          <w:lang w:val="fr-CA"/>
        </w:rPr>
        <w:t xml:space="preserve">, pour l’intervenante Union of Nova </w:t>
      </w:r>
      <w:proofErr w:type="spellStart"/>
      <w:r w:rsidRPr="004E6236">
        <w:rPr>
          <w:rStyle w:val="SCCCounselPartyRoleChar"/>
          <w:sz w:val="20"/>
          <w:lang w:val="fr-CA"/>
        </w:rPr>
        <w:t>Scotia</w:t>
      </w:r>
      <w:proofErr w:type="spellEnd"/>
      <w:r w:rsidRPr="004E6236">
        <w:rPr>
          <w:rStyle w:val="SCCCounselPartyRoleChar"/>
          <w:sz w:val="20"/>
          <w:lang w:val="fr-CA"/>
        </w:rPr>
        <w:t xml:space="preserve"> </w:t>
      </w:r>
      <w:proofErr w:type="spellStart"/>
      <w:r w:rsidRPr="004E6236">
        <w:rPr>
          <w:rStyle w:val="SCCCounselPartyRoleChar"/>
          <w:sz w:val="20"/>
          <w:lang w:val="fr-CA"/>
        </w:rPr>
        <w:t>Indians</w:t>
      </w:r>
      <w:proofErr w:type="spellEnd"/>
      <w:r w:rsidRPr="004E6236">
        <w:rPr>
          <w:rStyle w:val="SCCCounselPartyRoleChar"/>
          <w:sz w:val="20"/>
          <w:lang w:val="fr-CA"/>
        </w:rPr>
        <w:t>.</w:t>
      </w:r>
    </w:p>
    <w:p w:rsidR="00AA1D2E" w:rsidRPr="004E6236" w:rsidRDefault="00AA1D2E" w:rsidP="00AA1D2E">
      <w:pPr>
        <w:pStyle w:val="SCCNormalDoubleSpacing"/>
        <w:spacing w:line="240" w:lineRule="auto"/>
        <w:rPr>
          <w:sz w:val="20"/>
          <w:lang w:val="fr-CA"/>
        </w:rPr>
      </w:pPr>
    </w:p>
    <w:p w:rsidR="00AA1D2E" w:rsidRPr="004E6236" w:rsidRDefault="00AA1D2E" w:rsidP="00AA1D2E">
      <w:pPr>
        <w:pStyle w:val="SCCNormalDoubleSpacing"/>
        <w:spacing w:line="240" w:lineRule="auto"/>
        <w:rPr>
          <w:i/>
          <w:sz w:val="20"/>
          <w:lang w:val="fr-CA"/>
        </w:rPr>
      </w:pPr>
      <w:r w:rsidRPr="004E6236">
        <w:rPr>
          <w:sz w:val="20"/>
          <w:lang w:val="fr-CA"/>
        </w:rPr>
        <w:tab/>
      </w:r>
      <w:r w:rsidRPr="004E6236">
        <w:rPr>
          <w:rStyle w:val="SCCCounselNameChar"/>
          <w:sz w:val="20"/>
          <w:lang w:val="fr-CA"/>
        </w:rPr>
        <w:t>Procureurs</w:t>
      </w:r>
      <w:r w:rsidRPr="004E6236">
        <w:rPr>
          <w:i/>
          <w:sz w:val="20"/>
          <w:lang w:val="fr-CA"/>
        </w:rPr>
        <w:t xml:space="preserve"> de l’appelante : Langlois </w:t>
      </w:r>
      <w:proofErr w:type="spellStart"/>
      <w:r w:rsidRPr="004E6236">
        <w:rPr>
          <w:i/>
          <w:sz w:val="20"/>
          <w:lang w:val="fr-CA"/>
        </w:rPr>
        <w:t>Kronström</w:t>
      </w:r>
      <w:proofErr w:type="spellEnd"/>
      <w:r w:rsidRPr="004E6236">
        <w:rPr>
          <w:i/>
          <w:sz w:val="20"/>
          <w:lang w:val="fr-CA"/>
        </w:rPr>
        <w:t xml:space="preserve"> Desjardins, Québec.</w:t>
      </w:r>
    </w:p>
    <w:p w:rsidR="00AA1D2E" w:rsidRPr="004E6236" w:rsidRDefault="00AA1D2E" w:rsidP="00AA1D2E">
      <w:pPr>
        <w:pStyle w:val="SCCNormalDoubleSpacing"/>
        <w:spacing w:line="240" w:lineRule="auto"/>
        <w:rPr>
          <w:i/>
          <w:sz w:val="20"/>
          <w:lang w:val="fr-CA"/>
        </w:rPr>
      </w:pPr>
    </w:p>
    <w:p w:rsidR="00AA1D2E" w:rsidRPr="004E6236" w:rsidRDefault="00AA1D2E" w:rsidP="00AA1D2E">
      <w:pPr>
        <w:pStyle w:val="SCCNormalDoubleSpacing"/>
        <w:spacing w:line="240" w:lineRule="auto"/>
        <w:rPr>
          <w:i/>
          <w:sz w:val="20"/>
          <w:lang w:val="fr-CA"/>
        </w:rPr>
      </w:pPr>
      <w:r w:rsidRPr="004E6236">
        <w:rPr>
          <w:i/>
          <w:sz w:val="20"/>
          <w:lang w:val="fr-CA"/>
        </w:rPr>
        <w:tab/>
      </w:r>
      <w:r w:rsidRPr="004E6236">
        <w:rPr>
          <w:rStyle w:val="SCCCounselNameChar"/>
          <w:sz w:val="20"/>
          <w:lang w:val="fr-CA"/>
        </w:rPr>
        <w:t>Procureur</w:t>
      </w:r>
      <w:r w:rsidRPr="004E6236">
        <w:rPr>
          <w:i/>
          <w:sz w:val="20"/>
          <w:lang w:val="fr-CA"/>
        </w:rPr>
        <w:t xml:space="preserve"> de l’intimée : Procureur général du Canada, Montréal.</w:t>
      </w:r>
    </w:p>
    <w:p w:rsidR="00AA1D2E" w:rsidRPr="004E6236" w:rsidRDefault="00AA1D2E" w:rsidP="00AA1D2E">
      <w:pPr>
        <w:pStyle w:val="SCCNormalDoubleSpacing"/>
        <w:spacing w:line="240" w:lineRule="auto"/>
        <w:rPr>
          <w:i/>
          <w:sz w:val="20"/>
          <w:lang w:val="fr-CA"/>
        </w:rPr>
      </w:pPr>
    </w:p>
    <w:p w:rsidR="00AA1D2E" w:rsidRPr="004E6236" w:rsidRDefault="00AA1D2E" w:rsidP="00AA1D2E">
      <w:pPr>
        <w:pStyle w:val="SCCNormalDoubleSpacing"/>
        <w:spacing w:line="240" w:lineRule="auto"/>
        <w:rPr>
          <w:i/>
          <w:sz w:val="20"/>
          <w:lang w:val="fr-CA"/>
        </w:rPr>
      </w:pPr>
      <w:r w:rsidRPr="004E6236">
        <w:rPr>
          <w:i/>
          <w:sz w:val="20"/>
          <w:lang w:val="fr-CA"/>
        </w:rPr>
        <w:tab/>
      </w:r>
      <w:r w:rsidRPr="004E6236">
        <w:rPr>
          <w:rStyle w:val="SCCCounselNameChar"/>
          <w:sz w:val="20"/>
          <w:lang w:val="fr-CA"/>
        </w:rPr>
        <w:t>Procureurs</w:t>
      </w:r>
      <w:r w:rsidRPr="004E6236">
        <w:rPr>
          <w:i/>
          <w:sz w:val="20"/>
          <w:lang w:val="fr-CA"/>
        </w:rPr>
        <w:t xml:space="preserve"> de l’intervenante la Nation </w:t>
      </w:r>
      <w:proofErr w:type="spellStart"/>
      <w:r w:rsidRPr="004E6236">
        <w:rPr>
          <w:i/>
          <w:sz w:val="20"/>
          <w:lang w:val="fr-CA"/>
        </w:rPr>
        <w:t>huronne</w:t>
      </w:r>
      <w:r w:rsidRPr="004E6236">
        <w:rPr>
          <w:i/>
          <w:sz w:val="20"/>
          <w:lang w:val="fr-CA"/>
        </w:rPr>
        <w:noBreakHyphen/>
        <w:t>wendat</w:t>
      </w:r>
      <w:proofErr w:type="spellEnd"/>
      <w:r w:rsidRPr="004E6236">
        <w:rPr>
          <w:i/>
          <w:sz w:val="20"/>
          <w:lang w:val="fr-CA"/>
        </w:rPr>
        <w:t> : </w:t>
      </w:r>
      <w:proofErr w:type="spellStart"/>
      <w:r w:rsidRPr="004E6236">
        <w:rPr>
          <w:i/>
          <w:sz w:val="20"/>
          <w:lang w:val="fr-CA"/>
        </w:rPr>
        <w:t>Hutchins</w:t>
      </w:r>
      <w:proofErr w:type="spellEnd"/>
      <w:r w:rsidRPr="004E6236">
        <w:rPr>
          <w:i/>
          <w:sz w:val="20"/>
          <w:lang w:val="fr-CA"/>
        </w:rPr>
        <w:t xml:space="preserve"> Légal </w:t>
      </w:r>
      <w:proofErr w:type="spellStart"/>
      <w:r w:rsidRPr="004E6236">
        <w:rPr>
          <w:i/>
          <w:sz w:val="20"/>
          <w:lang w:val="fr-CA"/>
        </w:rPr>
        <w:t>inc</w:t>
      </w:r>
      <w:proofErr w:type="spellEnd"/>
      <w:r w:rsidRPr="004E6236">
        <w:rPr>
          <w:i/>
          <w:sz w:val="20"/>
          <w:lang w:val="fr-CA"/>
        </w:rPr>
        <w:t>., Montréal.</w:t>
      </w:r>
    </w:p>
    <w:p w:rsidR="00AA1D2E" w:rsidRPr="004E6236" w:rsidRDefault="00AA1D2E" w:rsidP="00AA1D2E">
      <w:pPr>
        <w:pStyle w:val="SCCNormalDoubleSpacing"/>
        <w:spacing w:line="240" w:lineRule="auto"/>
        <w:rPr>
          <w:i/>
          <w:sz w:val="20"/>
          <w:lang w:val="fr-CA"/>
        </w:rPr>
      </w:pPr>
    </w:p>
    <w:p w:rsidR="00AA1D2E" w:rsidRDefault="00AA1D2E" w:rsidP="00AA1D2E">
      <w:pPr>
        <w:pStyle w:val="SCCNormalDoubleSpacing"/>
        <w:spacing w:line="240" w:lineRule="auto"/>
        <w:rPr>
          <w:i/>
          <w:sz w:val="20"/>
          <w:lang w:val="en-US"/>
        </w:rPr>
      </w:pPr>
      <w:r w:rsidRPr="004E6236">
        <w:rPr>
          <w:i/>
          <w:sz w:val="20"/>
          <w:lang w:val="fr-CA"/>
        </w:rPr>
        <w:tab/>
      </w:r>
      <w:proofErr w:type="spellStart"/>
      <w:r w:rsidRPr="00220D1A">
        <w:rPr>
          <w:rStyle w:val="SCCCounselNameChar"/>
          <w:sz w:val="20"/>
          <w:lang w:val="en-US"/>
        </w:rPr>
        <w:t>Procureurs</w:t>
      </w:r>
      <w:proofErr w:type="spellEnd"/>
      <w:r w:rsidRPr="00220D1A">
        <w:rPr>
          <w:i/>
          <w:sz w:val="20"/>
          <w:lang w:val="en-US"/>
        </w:rPr>
        <w:t xml:space="preserve"> de </w:t>
      </w:r>
      <w:proofErr w:type="spellStart"/>
      <w:r w:rsidRPr="00220D1A">
        <w:rPr>
          <w:i/>
          <w:sz w:val="20"/>
          <w:lang w:val="en-US"/>
        </w:rPr>
        <w:t>l’intervenante</w:t>
      </w:r>
      <w:proofErr w:type="spellEnd"/>
      <w:r w:rsidRPr="00220D1A">
        <w:rPr>
          <w:i/>
          <w:sz w:val="20"/>
          <w:lang w:val="en-US"/>
        </w:rPr>
        <w:t xml:space="preserve"> Assembly of Manitoba </w:t>
      </w:r>
      <w:proofErr w:type="gramStart"/>
      <w:r w:rsidRPr="00220D1A">
        <w:rPr>
          <w:i/>
          <w:sz w:val="20"/>
          <w:lang w:val="en-US"/>
        </w:rPr>
        <w:t>Chiefs :</w:t>
      </w:r>
      <w:proofErr w:type="gramEnd"/>
      <w:r w:rsidRPr="00220D1A">
        <w:rPr>
          <w:i/>
          <w:sz w:val="20"/>
          <w:lang w:val="en-US"/>
        </w:rPr>
        <w:t xml:space="preserve"> Thompson </w:t>
      </w:r>
      <w:proofErr w:type="spellStart"/>
      <w:r w:rsidRPr="00220D1A">
        <w:rPr>
          <w:i/>
          <w:sz w:val="20"/>
          <w:lang w:val="en-US"/>
        </w:rPr>
        <w:t>Dorfman</w:t>
      </w:r>
      <w:proofErr w:type="spellEnd"/>
      <w:r w:rsidRPr="00220D1A">
        <w:rPr>
          <w:i/>
          <w:sz w:val="20"/>
          <w:lang w:val="en-US"/>
        </w:rPr>
        <w:t xml:space="preserve"> </w:t>
      </w:r>
      <w:proofErr w:type="spellStart"/>
      <w:r w:rsidRPr="00220D1A">
        <w:rPr>
          <w:i/>
          <w:sz w:val="20"/>
          <w:lang w:val="en-US"/>
        </w:rPr>
        <w:t>Sweatman</w:t>
      </w:r>
      <w:proofErr w:type="spellEnd"/>
      <w:r w:rsidRPr="00220D1A">
        <w:rPr>
          <w:i/>
          <w:sz w:val="20"/>
          <w:lang w:val="en-US"/>
        </w:rPr>
        <w:t>, Winnipeg.</w:t>
      </w:r>
    </w:p>
    <w:p w:rsidR="00AA1D2E" w:rsidRPr="00220D1A" w:rsidRDefault="00AA1D2E" w:rsidP="00AA1D2E">
      <w:pPr>
        <w:pStyle w:val="SCCNormalDoubleSpacing"/>
        <w:spacing w:line="240" w:lineRule="auto"/>
        <w:rPr>
          <w:i/>
          <w:sz w:val="20"/>
          <w:lang w:val="en-US"/>
        </w:rPr>
      </w:pPr>
    </w:p>
    <w:p w:rsidR="00AA1D2E" w:rsidRPr="004E6236" w:rsidRDefault="00AA1D2E" w:rsidP="00AA1D2E">
      <w:pPr>
        <w:pStyle w:val="SCCNormalDoubleSpacing"/>
        <w:spacing w:line="240" w:lineRule="auto"/>
        <w:rPr>
          <w:i/>
          <w:sz w:val="20"/>
          <w:lang w:val="fr-CA"/>
        </w:rPr>
      </w:pPr>
      <w:r w:rsidRPr="00220D1A">
        <w:rPr>
          <w:i/>
          <w:sz w:val="20"/>
          <w:lang w:val="en-US"/>
        </w:rPr>
        <w:lastRenderedPageBreak/>
        <w:tab/>
      </w:r>
      <w:r w:rsidRPr="004E6236">
        <w:rPr>
          <w:rStyle w:val="SCCCounselNameChar"/>
          <w:sz w:val="20"/>
          <w:lang w:val="fr-CA"/>
        </w:rPr>
        <w:t>Procureurs</w:t>
      </w:r>
      <w:r w:rsidRPr="004E6236">
        <w:rPr>
          <w:i/>
          <w:sz w:val="20"/>
          <w:lang w:val="fr-CA"/>
        </w:rPr>
        <w:t xml:space="preserve"> de l’intervenant le Grand Conseil des Cris (</w:t>
      </w:r>
      <w:proofErr w:type="spellStart"/>
      <w:r w:rsidRPr="004E6236">
        <w:rPr>
          <w:i/>
          <w:sz w:val="20"/>
          <w:lang w:val="fr-CA"/>
        </w:rPr>
        <w:t>Eeyou</w:t>
      </w:r>
      <w:proofErr w:type="spellEnd"/>
      <w:r w:rsidRPr="004E6236">
        <w:rPr>
          <w:i/>
          <w:sz w:val="20"/>
          <w:lang w:val="fr-CA"/>
        </w:rPr>
        <w:t xml:space="preserve"> </w:t>
      </w:r>
      <w:proofErr w:type="spellStart"/>
      <w:r w:rsidRPr="004E6236">
        <w:rPr>
          <w:i/>
          <w:sz w:val="20"/>
          <w:lang w:val="fr-CA"/>
        </w:rPr>
        <w:t>Istchee</w:t>
      </w:r>
      <w:proofErr w:type="spellEnd"/>
      <w:r w:rsidRPr="004E6236">
        <w:rPr>
          <w:i/>
          <w:sz w:val="20"/>
          <w:lang w:val="fr-CA"/>
        </w:rPr>
        <w:t>)/Administration régionale crie : </w:t>
      </w:r>
      <w:proofErr w:type="spellStart"/>
      <w:r w:rsidRPr="004E6236">
        <w:rPr>
          <w:i/>
          <w:sz w:val="20"/>
          <w:lang w:val="fr-CA"/>
        </w:rPr>
        <w:t>Gowling</w:t>
      </w:r>
      <w:proofErr w:type="spellEnd"/>
      <w:r w:rsidRPr="004E6236">
        <w:rPr>
          <w:i/>
          <w:sz w:val="20"/>
          <w:lang w:val="fr-CA"/>
        </w:rPr>
        <w:t xml:space="preserve"> Lafleur Henderson, Montréal.</w:t>
      </w:r>
    </w:p>
    <w:p w:rsidR="00AA1D2E" w:rsidRPr="004E6236" w:rsidRDefault="00AA1D2E" w:rsidP="00AA1D2E">
      <w:pPr>
        <w:pStyle w:val="SCCNormalDoubleSpacing"/>
        <w:spacing w:line="240" w:lineRule="auto"/>
        <w:rPr>
          <w:i/>
          <w:sz w:val="20"/>
          <w:lang w:val="fr-CA"/>
        </w:rPr>
      </w:pPr>
    </w:p>
    <w:p w:rsidR="00AA1D2E" w:rsidRPr="004E6236" w:rsidRDefault="00AA1D2E" w:rsidP="00AA1D2E">
      <w:pPr>
        <w:pStyle w:val="SCCNormalDoubleSpacing"/>
        <w:spacing w:line="240" w:lineRule="auto"/>
        <w:rPr>
          <w:i/>
          <w:sz w:val="20"/>
          <w:lang w:val="fr-CA"/>
        </w:rPr>
      </w:pPr>
      <w:r w:rsidRPr="004E6236">
        <w:rPr>
          <w:i/>
          <w:sz w:val="20"/>
          <w:lang w:val="fr-CA"/>
        </w:rPr>
        <w:tab/>
      </w:r>
      <w:r w:rsidRPr="004E6236">
        <w:rPr>
          <w:rStyle w:val="SCCCounselNameChar"/>
          <w:sz w:val="20"/>
          <w:lang w:val="fr-CA"/>
        </w:rPr>
        <w:t>Procureurs</w:t>
      </w:r>
      <w:r w:rsidRPr="004E6236">
        <w:rPr>
          <w:i/>
          <w:sz w:val="20"/>
          <w:lang w:val="fr-CA"/>
        </w:rPr>
        <w:t xml:space="preserve"> des intervenantes l’Assemblée des Premières Nations et Union of Nova </w:t>
      </w:r>
      <w:proofErr w:type="spellStart"/>
      <w:r w:rsidRPr="004E6236">
        <w:rPr>
          <w:i/>
          <w:sz w:val="20"/>
          <w:lang w:val="fr-CA"/>
        </w:rPr>
        <w:t>Scotia</w:t>
      </w:r>
      <w:proofErr w:type="spellEnd"/>
      <w:r w:rsidRPr="004E6236">
        <w:rPr>
          <w:i/>
          <w:sz w:val="20"/>
          <w:lang w:val="fr-CA"/>
        </w:rPr>
        <w:t xml:space="preserve"> </w:t>
      </w:r>
      <w:proofErr w:type="spellStart"/>
      <w:r w:rsidRPr="004E6236">
        <w:rPr>
          <w:i/>
          <w:sz w:val="20"/>
          <w:lang w:val="fr-CA"/>
        </w:rPr>
        <w:t>Indians</w:t>
      </w:r>
      <w:proofErr w:type="spellEnd"/>
      <w:r w:rsidRPr="004E6236">
        <w:rPr>
          <w:i/>
          <w:sz w:val="20"/>
          <w:lang w:val="fr-CA"/>
        </w:rPr>
        <w:t> : </w:t>
      </w:r>
      <w:proofErr w:type="spellStart"/>
      <w:r w:rsidRPr="004E6236">
        <w:rPr>
          <w:i/>
          <w:sz w:val="20"/>
          <w:lang w:val="fr-CA"/>
        </w:rPr>
        <w:t>Gowling</w:t>
      </w:r>
      <w:proofErr w:type="spellEnd"/>
      <w:r w:rsidRPr="004E6236">
        <w:rPr>
          <w:i/>
          <w:sz w:val="20"/>
          <w:lang w:val="fr-CA"/>
        </w:rPr>
        <w:t xml:space="preserve"> Lafleur Henderson, Ottawa.</w:t>
      </w:r>
    </w:p>
    <w:p w:rsidR="00AA1D2E" w:rsidRPr="004E6236" w:rsidRDefault="00AA1D2E" w:rsidP="00AA1D2E">
      <w:pPr>
        <w:pStyle w:val="SCCNormalDoubleSpacing"/>
        <w:spacing w:line="240" w:lineRule="auto"/>
        <w:rPr>
          <w:i/>
          <w:sz w:val="20"/>
          <w:lang w:val="fr-CA"/>
        </w:rPr>
      </w:pPr>
    </w:p>
    <w:p w:rsidR="00AA1D2E" w:rsidRDefault="00AA1D2E" w:rsidP="00AA1D2E">
      <w:pPr>
        <w:pStyle w:val="SCCNormalDoubleSpacing"/>
        <w:spacing w:line="240" w:lineRule="auto"/>
        <w:rPr>
          <w:i/>
          <w:sz w:val="20"/>
        </w:rPr>
      </w:pPr>
      <w:r w:rsidRPr="004E6236">
        <w:rPr>
          <w:i/>
          <w:sz w:val="20"/>
          <w:lang w:val="fr-CA"/>
        </w:rPr>
        <w:tab/>
      </w:r>
      <w:proofErr w:type="spellStart"/>
      <w:r w:rsidRPr="00220D1A">
        <w:rPr>
          <w:rStyle w:val="SCCCounselNameChar"/>
          <w:sz w:val="20"/>
        </w:rPr>
        <w:t>Procureurs</w:t>
      </w:r>
      <w:proofErr w:type="spellEnd"/>
      <w:r w:rsidRPr="00220D1A">
        <w:rPr>
          <w:i/>
          <w:sz w:val="20"/>
        </w:rPr>
        <w:t xml:space="preserve"> de </w:t>
      </w:r>
      <w:proofErr w:type="spellStart"/>
      <w:r w:rsidRPr="00220D1A">
        <w:rPr>
          <w:i/>
          <w:sz w:val="20"/>
        </w:rPr>
        <w:t>l’intervenant</w:t>
      </w:r>
      <w:proofErr w:type="spellEnd"/>
      <w:r w:rsidRPr="00220D1A">
        <w:rPr>
          <w:i/>
          <w:sz w:val="20"/>
        </w:rPr>
        <w:t xml:space="preserve"> Chiefs of </w:t>
      </w:r>
      <w:proofErr w:type="gramStart"/>
      <w:r w:rsidRPr="00220D1A">
        <w:rPr>
          <w:i/>
          <w:sz w:val="20"/>
        </w:rPr>
        <w:t>Ontario :</w:t>
      </w:r>
      <w:proofErr w:type="gramEnd"/>
      <w:r w:rsidRPr="00220D1A">
        <w:rPr>
          <w:i/>
          <w:sz w:val="20"/>
        </w:rPr>
        <w:t> </w:t>
      </w:r>
      <w:proofErr w:type="spellStart"/>
      <w:r w:rsidRPr="00220D1A">
        <w:rPr>
          <w:i/>
          <w:sz w:val="20"/>
        </w:rPr>
        <w:t>Nahwegahbow</w:t>
      </w:r>
      <w:proofErr w:type="spellEnd"/>
      <w:r w:rsidRPr="00220D1A">
        <w:rPr>
          <w:i/>
          <w:sz w:val="20"/>
        </w:rPr>
        <w:t xml:space="preserve">, </w:t>
      </w:r>
      <w:proofErr w:type="spellStart"/>
      <w:r w:rsidRPr="00220D1A">
        <w:rPr>
          <w:i/>
          <w:sz w:val="20"/>
        </w:rPr>
        <w:t>Corbiere</w:t>
      </w:r>
      <w:proofErr w:type="spellEnd"/>
      <w:r w:rsidRPr="00220D1A">
        <w:rPr>
          <w:i/>
          <w:sz w:val="20"/>
        </w:rPr>
        <w:t xml:space="preserve"> </w:t>
      </w:r>
      <w:proofErr w:type="spellStart"/>
      <w:r w:rsidRPr="00220D1A">
        <w:rPr>
          <w:i/>
          <w:sz w:val="20"/>
        </w:rPr>
        <w:t>Genoodmagejig</w:t>
      </w:r>
      <w:proofErr w:type="spellEnd"/>
      <w:r w:rsidRPr="00220D1A">
        <w:rPr>
          <w:i/>
          <w:sz w:val="20"/>
        </w:rPr>
        <w:t>, Rama.</w:t>
      </w:r>
    </w:p>
    <w:p w:rsidR="00AA1D2E" w:rsidRPr="00AA1D2E" w:rsidRDefault="00AA1D2E" w:rsidP="00AA1D2E">
      <w:pPr>
        <w:rPr>
          <w:sz w:val="20"/>
          <w:szCs w:val="20"/>
        </w:rPr>
      </w:pPr>
      <w:r w:rsidRPr="00AA1D2E">
        <w:rPr>
          <w:sz w:val="20"/>
          <w:szCs w:val="20"/>
        </w:rPr>
        <w:t>________________________</w:t>
      </w:r>
    </w:p>
    <w:p w:rsidR="00AA1D2E" w:rsidRPr="00AA1D2E" w:rsidRDefault="00AA1D2E" w:rsidP="00AA1D2E">
      <w:pPr>
        <w:rPr>
          <w:sz w:val="20"/>
          <w:szCs w:val="20"/>
        </w:rPr>
      </w:pPr>
    </w:p>
    <w:p w:rsidR="004E6236" w:rsidRPr="001D2355" w:rsidRDefault="004E6236" w:rsidP="004E6236">
      <w:pPr>
        <w:jc w:val="both"/>
        <w:rPr>
          <w:rFonts w:cs="Times New Roman"/>
          <w:sz w:val="20"/>
          <w:szCs w:val="20"/>
        </w:rPr>
      </w:pPr>
      <w:r w:rsidRPr="001D2355">
        <w:rPr>
          <w:rFonts w:cs="Times New Roman"/>
          <w:sz w:val="20"/>
          <w:szCs w:val="20"/>
        </w:rPr>
        <w:t xml:space="preserve">Present:  </w:t>
      </w:r>
      <w:proofErr w:type="spellStart"/>
      <w:r w:rsidRPr="001D2355">
        <w:rPr>
          <w:rFonts w:cs="Times New Roman"/>
          <w:sz w:val="20"/>
          <w:szCs w:val="20"/>
        </w:rPr>
        <w:t>McLachlin</w:t>
      </w:r>
      <w:proofErr w:type="spellEnd"/>
      <w:r w:rsidRPr="001D2355">
        <w:rPr>
          <w:rFonts w:cs="Times New Roman"/>
          <w:sz w:val="20"/>
          <w:szCs w:val="20"/>
        </w:rPr>
        <w:t xml:space="preserve"> C.J. and </w:t>
      </w:r>
      <w:proofErr w:type="spellStart"/>
      <w:r w:rsidRPr="001D2355">
        <w:rPr>
          <w:rFonts w:cs="Times New Roman"/>
          <w:sz w:val="20"/>
          <w:szCs w:val="20"/>
        </w:rPr>
        <w:t>Binnie</w:t>
      </w:r>
      <w:proofErr w:type="spellEnd"/>
      <w:r w:rsidRPr="001D2355">
        <w:rPr>
          <w:rFonts w:cs="Times New Roman"/>
          <w:sz w:val="20"/>
          <w:szCs w:val="20"/>
        </w:rPr>
        <w:t xml:space="preserve">, </w:t>
      </w:r>
      <w:proofErr w:type="spellStart"/>
      <w:r w:rsidRPr="001D2355">
        <w:rPr>
          <w:rFonts w:cs="Times New Roman"/>
          <w:sz w:val="20"/>
          <w:szCs w:val="20"/>
        </w:rPr>
        <w:t>Deschamps</w:t>
      </w:r>
      <w:proofErr w:type="spellEnd"/>
      <w:r w:rsidRPr="001D2355">
        <w:rPr>
          <w:rFonts w:cs="Times New Roman"/>
          <w:sz w:val="20"/>
          <w:szCs w:val="20"/>
        </w:rPr>
        <w:t xml:space="preserve">, Fish, </w:t>
      </w:r>
      <w:proofErr w:type="spellStart"/>
      <w:r w:rsidRPr="001D2355">
        <w:rPr>
          <w:rFonts w:cs="Times New Roman"/>
          <w:sz w:val="20"/>
          <w:szCs w:val="20"/>
        </w:rPr>
        <w:t>Charron</w:t>
      </w:r>
      <w:proofErr w:type="spellEnd"/>
      <w:r w:rsidRPr="001D2355">
        <w:rPr>
          <w:rFonts w:cs="Times New Roman"/>
          <w:sz w:val="20"/>
          <w:szCs w:val="20"/>
        </w:rPr>
        <w:t>, Rothstein and Cromwell JJ.</w:t>
      </w:r>
    </w:p>
    <w:p w:rsidR="004E6236" w:rsidRDefault="004E6236" w:rsidP="004E6236">
      <w:pPr>
        <w:pStyle w:val="SCCLowerCourtNameLowercase"/>
        <w:spacing w:line="240" w:lineRule="auto"/>
        <w:rPr>
          <w:sz w:val="20"/>
        </w:rPr>
      </w:pPr>
    </w:p>
    <w:p w:rsidR="004E6236" w:rsidRDefault="004E6236" w:rsidP="004E6236">
      <w:pPr>
        <w:pStyle w:val="SCCNormalDoubleSpacing"/>
        <w:spacing w:line="240" w:lineRule="auto"/>
        <w:rPr>
          <w:i/>
          <w:sz w:val="20"/>
        </w:rPr>
      </w:pPr>
      <w:r w:rsidRPr="001D2355">
        <w:rPr>
          <w:sz w:val="20"/>
        </w:rPr>
        <w:tab/>
      </w:r>
      <w:r w:rsidRPr="001D2355">
        <w:rPr>
          <w:i/>
          <w:sz w:val="20"/>
        </w:rPr>
        <w:t xml:space="preserve">Aboriginal law — Taxation — Exemptions — Interest income — Status Indian living on reserve investing income in term deposits with </w:t>
      </w:r>
      <w:proofErr w:type="spellStart"/>
      <w:r w:rsidRPr="001D2355">
        <w:rPr>
          <w:i/>
          <w:sz w:val="20"/>
        </w:rPr>
        <w:t>caisse</w:t>
      </w:r>
      <w:proofErr w:type="spellEnd"/>
      <w:r w:rsidRPr="001D2355">
        <w:rPr>
          <w:i/>
          <w:sz w:val="20"/>
        </w:rPr>
        <w:t xml:space="preserve"> </w:t>
      </w:r>
      <w:proofErr w:type="spellStart"/>
      <w:r w:rsidRPr="001D2355">
        <w:rPr>
          <w:i/>
          <w:sz w:val="20"/>
        </w:rPr>
        <w:t>populaire</w:t>
      </w:r>
      <w:proofErr w:type="spellEnd"/>
      <w:r w:rsidRPr="001D2355">
        <w:rPr>
          <w:i/>
          <w:sz w:val="20"/>
        </w:rPr>
        <w:t xml:space="preserve"> on same reserve — Interest income earned on term deposits paid and deposited in savings account — Whether interest income exempt from income taxation as personal property “situated on a reserve” — Connecting factors approach to determining location of intangible personal property — Whether </w:t>
      </w:r>
      <w:proofErr w:type="spellStart"/>
      <w:r w:rsidRPr="001D2355">
        <w:rPr>
          <w:i/>
          <w:sz w:val="20"/>
        </w:rPr>
        <w:t>caisse’s</w:t>
      </w:r>
      <w:proofErr w:type="spellEnd"/>
      <w:r w:rsidRPr="001D2355">
        <w:rPr>
          <w:i/>
          <w:sz w:val="20"/>
        </w:rPr>
        <w:t xml:space="preserve"> economic activity in “commercial mainstream” off reserve is potentially relevant factor — Indian Act, R.S.C. 1985, c. I</w:t>
      </w:r>
      <w:r w:rsidRPr="001D2355">
        <w:rPr>
          <w:i/>
          <w:sz w:val="20"/>
        </w:rPr>
        <w:noBreakHyphen/>
        <w:t>5, s. 87(1)(b).</w:t>
      </w:r>
    </w:p>
    <w:p w:rsidR="004E6236" w:rsidRPr="001D2355" w:rsidRDefault="004E6236" w:rsidP="004E6236">
      <w:pPr>
        <w:pStyle w:val="SCCNormalDoubleSpacing"/>
        <w:spacing w:line="240" w:lineRule="auto"/>
        <w:rPr>
          <w:i/>
          <w:sz w:val="20"/>
        </w:rPr>
      </w:pPr>
    </w:p>
    <w:p w:rsidR="004E6236" w:rsidRDefault="004E6236" w:rsidP="004E6236">
      <w:pPr>
        <w:pStyle w:val="SCCNormalDoubleSpacing"/>
        <w:spacing w:line="240" w:lineRule="auto"/>
        <w:rPr>
          <w:i/>
          <w:sz w:val="20"/>
        </w:rPr>
      </w:pPr>
      <w:r w:rsidRPr="001D2355">
        <w:rPr>
          <w:i/>
          <w:sz w:val="20"/>
        </w:rPr>
        <w:tab/>
        <w:t>Taxation — Income tax — Exemptions — Income from property — Interest income earned on term deposits deposited in status Indian’s savings account on reserve — Whether interest income exempt from tax as “personal property of an Indian situated on a reserve” — Income Tax Act, R.S.C. 1985, c. 1 (5</w:t>
      </w:r>
      <w:r w:rsidRPr="001D2355">
        <w:rPr>
          <w:i/>
          <w:sz w:val="20"/>
          <w:vertAlign w:val="superscript"/>
        </w:rPr>
        <w:t>th</w:t>
      </w:r>
      <w:r w:rsidRPr="001D2355">
        <w:rPr>
          <w:i/>
          <w:sz w:val="20"/>
        </w:rPr>
        <w:t xml:space="preserve"> Supp.), s. 3, 9 — Indian Act, R.S.C. 1985, c. I</w:t>
      </w:r>
      <w:r w:rsidRPr="001D2355">
        <w:rPr>
          <w:i/>
          <w:sz w:val="20"/>
        </w:rPr>
        <w:noBreakHyphen/>
        <w:t>5, s. 87(1)(b).</w:t>
      </w:r>
    </w:p>
    <w:p w:rsidR="004E6236" w:rsidRPr="001D2355" w:rsidRDefault="004E6236" w:rsidP="004E6236">
      <w:pPr>
        <w:pStyle w:val="SCCNormalDoubleSpacing"/>
        <w:spacing w:line="240" w:lineRule="auto"/>
        <w:rPr>
          <w:i/>
          <w:sz w:val="20"/>
        </w:rPr>
      </w:pPr>
    </w:p>
    <w:p w:rsidR="004E6236" w:rsidRDefault="004E6236" w:rsidP="004E6236">
      <w:pPr>
        <w:pStyle w:val="SCCNormalDoubleSpacing"/>
        <w:spacing w:line="240" w:lineRule="auto"/>
        <w:rPr>
          <w:sz w:val="20"/>
        </w:rPr>
      </w:pPr>
      <w:r w:rsidRPr="001D2355">
        <w:rPr>
          <w:sz w:val="20"/>
        </w:rPr>
        <w:tab/>
        <w:t xml:space="preserve">B was a status Indian who belonged to the </w:t>
      </w:r>
      <w:proofErr w:type="spellStart"/>
      <w:r w:rsidRPr="001D2355">
        <w:rPr>
          <w:sz w:val="20"/>
        </w:rPr>
        <w:t>Huron</w:t>
      </w:r>
      <w:r w:rsidRPr="001D2355">
        <w:rPr>
          <w:sz w:val="20"/>
        </w:rPr>
        <w:noBreakHyphen/>
        <w:t>Wendat</w:t>
      </w:r>
      <w:proofErr w:type="spellEnd"/>
      <w:r w:rsidRPr="001D2355">
        <w:rPr>
          <w:sz w:val="20"/>
        </w:rPr>
        <w:t xml:space="preserve"> Nation. He was born and died on the </w:t>
      </w:r>
      <w:proofErr w:type="spellStart"/>
      <w:r w:rsidRPr="001D2355">
        <w:rPr>
          <w:sz w:val="20"/>
        </w:rPr>
        <w:t>Wendake</w:t>
      </w:r>
      <w:proofErr w:type="spellEnd"/>
      <w:r w:rsidRPr="001D2355">
        <w:rPr>
          <w:sz w:val="20"/>
        </w:rPr>
        <w:t xml:space="preserve"> Reserve near Quebec City.  From 1970 until 1997, B operated a moccasin manufacturing business on </w:t>
      </w:r>
      <w:r w:rsidRPr="001D2355">
        <w:rPr>
          <w:sz w:val="20"/>
          <w:lang w:val="en-US"/>
        </w:rPr>
        <w:t>that reserve</w:t>
      </w:r>
      <w:r w:rsidRPr="001D2355">
        <w:rPr>
          <w:sz w:val="20"/>
        </w:rPr>
        <w:t xml:space="preserve">.  He invested some of the income from the operation and sale of his business in term deposits with the </w:t>
      </w:r>
      <w:proofErr w:type="spellStart"/>
      <w:r w:rsidRPr="001D2355">
        <w:rPr>
          <w:sz w:val="20"/>
        </w:rPr>
        <w:t>Caisse</w:t>
      </w:r>
      <w:proofErr w:type="spellEnd"/>
      <w:r w:rsidRPr="001D2355">
        <w:rPr>
          <w:sz w:val="20"/>
        </w:rPr>
        <w:t xml:space="preserve"> </w:t>
      </w:r>
      <w:proofErr w:type="spellStart"/>
      <w:r w:rsidRPr="001D2355">
        <w:rPr>
          <w:sz w:val="20"/>
        </w:rPr>
        <w:t>populaire</w:t>
      </w:r>
      <w:proofErr w:type="spellEnd"/>
      <w:r w:rsidRPr="001D2355">
        <w:rPr>
          <w:sz w:val="20"/>
        </w:rPr>
        <w:t xml:space="preserve"> Desjardins du Village Huron.  The </w:t>
      </w:r>
      <w:proofErr w:type="spellStart"/>
      <w:r w:rsidRPr="001D2355">
        <w:rPr>
          <w:sz w:val="20"/>
        </w:rPr>
        <w:t>Caisse</w:t>
      </w:r>
      <w:proofErr w:type="spellEnd"/>
      <w:r w:rsidRPr="001D2355">
        <w:rPr>
          <w:sz w:val="20"/>
        </w:rPr>
        <w:t xml:space="preserve"> has since its founding had its head office, its only place of business and its sole fixed asset on the </w:t>
      </w:r>
      <w:proofErr w:type="spellStart"/>
      <w:r w:rsidRPr="001D2355">
        <w:rPr>
          <w:sz w:val="20"/>
        </w:rPr>
        <w:t>Wendake</w:t>
      </w:r>
      <w:proofErr w:type="spellEnd"/>
      <w:r w:rsidRPr="001D2355">
        <w:rPr>
          <w:sz w:val="20"/>
        </w:rPr>
        <w:t xml:space="preserve"> Reserve.  In 2001, the certificates of deposit paid interest that was deposited in B’s transaction savings account at the </w:t>
      </w:r>
      <w:proofErr w:type="spellStart"/>
      <w:r w:rsidRPr="001D2355">
        <w:rPr>
          <w:sz w:val="20"/>
        </w:rPr>
        <w:t>Caisse</w:t>
      </w:r>
      <w:proofErr w:type="spellEnd"/>
      <w:r w:rsidRPr="001D2355">
        <w:rPr>
          <w:sz w:val="20"/>
        </w:rPr>
        <w:t xml:space="preserve">.  B considered this income to be property exempt from taxation under the </w:t>
      </w:r>
      <w:r w:rsidRPr="001D2355">
        <w:rPr>
          <w:i/>
          <w:sz w:val="20"/>
        </w:rPr>
        <w:t>Indian Act</w:t>
      </w:r>
      <w:r w:rsidRPr="001D2355">
        <w:rPr>
          <w:sz w:val="20"/>
        </w:rPr>
        <w:t xml:space="preserve">.  However, in 2003, the Minister of National Revenue made an assessment in which he added the investment income to B’s income for the 2001 taxation year.  The assessment was confirmed and B’s estate appealed unsuccessfully to the Tax Court of Canada and the Federal Court of Appeal.  Both courts held that the </w:t>
      </w:r>
      <w:proofErr w:type="spellStart"/>
      <w:r w:rsidRPr="001D2355">
        <w:rPr>
          <w:sz w:val="20"/>
        </w:rPr>
        <w:t>Caisse</w:t>
      </w:r>
      <w:proofErr w:type="spellEnd"/>
      <w:r w:rsidRPr="001D2355">
        <w:rPr>
          <w:sz w:val="20"/>
        </w:rPr>
        <w:t xml:space="preserve"> generated its revenues in the “economic mainstream”, not on the reserve, and therefore that the interest it paid to B was not situated on the reserve.</w:t>
      </w:r>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sz w:val="20"/>
        </w:rPr>
      </w:pPr>
      <w:r w:rsidRPr="001D2355">
        <w:rPr>
          <w:sz w:val="20"/>
        </w:rPr>
        <w:tab/>
      </w:r>
      <w:r w:rsidRPr="001D2355">
        <w:rPr>
          <w:rStyle w:val="QuoteChar"/>
          <w:sz w:val="20"/>
        </w:rPr>
        <w:t>Held:</w:t>
      </w:r>
      <w:r w:rsidRPr="001D2355">
        <w:rPr>
          <w:sz w:val="20"/>
        </w:rPr>
        <w:t xml:space="preserve">  The appeal should be allowed.</w:t>
      </w:r>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sz w:val="20"/>
        </w:rPr>
      </w:pPr>
      <w:r w:rsidRPr="001D2355">
        <w:rPr>
          <w:sz w:val="20"/>
        </w:rPr>
        <w:tab/>
      </w:r>
      <w:r w:rsidRPr="001D2355">
        <w:rPr>
          <w:i/>
          <w:sz w:val="20"/>
        </w:rPr>
        <w:t>Per</w:t>
      </w:r>
      <w:r w:rsidRPr="001D2355">
        <w:rPr>
          <w:sz w:val="20"/>
        </w:rPr>
        <w:t xml:space="preserve"> </w:t>
      </w:r>
      <w:proofErr w:type="spellStart"/>
      <w:r w:rsidRPr="001D2355">
        <w:rPr>
          <w:sz w:val="20"/>
        </w:rPr>
        <w:t>McLachlin</w:t>
      </w:r>
      <w:proofErr w:type="spellEnd"/>
      <w:r w:rsidRPr="001D2355">
        <w:rPr>
          <w:sz w:val="20"/>
        </w:rPr>
        <w:t xml:space="preserve"> C.J. and </w:t>
      </w:r>
      <w:proofErr w:type="spellStart"/>
      <w:r w:rsidRPr="001D2355">
        <w:rPr>
          <w:sz w:val="20"/>
        </w:rPr>
        <w:t>Binnie</w:t>
      </w:r>
      <w:proofErr w:type="spellEnd"/>
      <w:r w:rsidRPr="001D2355">
        <w:rPr>
          <w:sz w:val="20"/>
        </w:rPr>
        <w:t xml:space="preserve">, Fish, </w:t>
      </w:r>
      <w:proofErr w:type="spellStart"/>
      <w:r w:rsidRPr="001D2355">
        <w:rPr>
          <w:sz w:val="20"/>
        </w:rPr>
        <w:t>Charron</w:t>
      </w:r>
      <w:proofErr w:type="spellEnd"/>
      <w:r w:rsidRPr="001D2355">
        <w:rPr>
          <w:sz w:val="20"/>
        </w:rPr>
        <w:t xml:space="preserve"> and </w:t>
      </w:r>
      <w:r w:rsidRPr="001D2355">
        <w:rPr>
          <w:b/>
          <w:sz w:val="20"/>
        </w:rPr>
        <w:t>Cromwell</w:t>
      </w:r>
      <w:r w:rsidRPr="001D2355">
        <w:rPr>
          <w:sz w:val="20"/>
        </w:rPr>
        <w:t xml:space="preserve"> </w:t>
      </w:r>
      <w:proofErr w:type="gramStart"/>
      <w:r w:rsidRPr="001D2355">
        <w:rPr>
          <w:sz w:val="20"/>
        </w:rPr>
        <w:t>JJ.:</w:t>
      </w:r>
      <w:proofErr w:type="gramEnd"/>
      <w:r w:rsidRPr="001D2355">
        <w:rPr>
          <w:sz w:val="20"/>
        </w:rPr>
        <w:t xml:space="preserve">  The phrase “on a reserve” in s. 87 of the </w:t>
      </w:r>
      <w:r w:rsidRPr="001D2355">
        <w:rPr>
          <w:i/>
          <w:sz w:val="20"/>
        </w:rPr>
        <w:t xml:space="preserve">Indian Act </w:t>
      </w:r>
      <w:r w:rsidRPr="001D2355">
        <w:rPr>
          <w:sz w:val="20"/>
        </w:rPr>
        <w:t xml:space="preserve">should be interpreted having regard to the substance and the plain and ordinary meaning of the language used.  Where, because of its nature or the type of exemption in question, the location of property is not objectively easy to determine, the connecting factors approach set out in </w:t>
      </w:r>
      <w:r w:rsidRPr="001D2355">
        <w:rPr>
          <w:i/>
          <w:sz w:val="20"/>
        </w:rPr>
        <w:t>Williams v. Canada</w:t>
      </w:r>
      <w:r w:rsidRPr="001D2355">
        <w:rPr>
          <w:sz w:val="20"/>
        </w:rPr>
        <w:t xml:space="preserve">, [1992] 1 S.C.R. 877, must be applied:  First, the court identifies potentially relevant factors connecting the intangible personal property to a location.  Second, the court analyses these factors purposively in order to assess what weight should be given to them.  This analysis considers the purpose of the exemption under the </w:t>
      </w:r>
      <w:r w:rsidRPr="001D2355">
        <w:rPr>
          <w:i/>
          <w:sz w:val="20"/>
        </w:rPr>
        <w:t>Indian Act</w:t>
      </w:r>
      <w:r w:rsidRPr="001D2355">
        <w:rPr>
          <w:sz w:val="20"/>
        </w:rPr>
        <w:t xml:space="preserve">, the type of property in question and the nature of the taxation of that property.  The </w:t>
      </w:r>
      <w:r w:rsidRPr="001D2355">
        <w:rPr>
          <w:i/>
          <w:sz w:val="20"/>
        </w:rPr>
        <w:t>Williams</w:t>
      </w:r>
      <w:r w:rsidRPr="001D2355">
        <w:rPr>
          <w:sz w:val="20"/>
        </w:rPr>
        <w:t xml:space="preserve"> approach applies here, since the location of a transaction — the payment of interest pursuant to a contract — for the purposes of taxation has to be determined.</w:t>
      </w:r>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sz w:val="20"/>
        </w:rPr>
      </w:pPr>
      <w:r w:rsidRPr="001D2355">
        <w:rPr>
          <w:sz w:val="20"/>
        </w:rPr>
        <w:tab/>
        <w:t xml:space="preserve">The purpose of the tax exemption is to preserve Indian property on a reserve.  While the relationship between the property and life on the reserve may in some cases be a factor tending to strengthen or weaken the connection between the property and the reserve, the availability of the exemption does not depend on whether the property is integral to the life of the reserve or to the preservation of the traditional Indian way of life.  The property in issue here is investment income derived from term deposits, which are a basic investment vehicle evidenced by a certificate of deposit.  The investor, as the holder of a certificate of deposit, is not a participant in the equity markets but rather is simply entitled to be paid the </w:t>
      </w:r>
      <w:proofErr w:type="spellStart"/>
      <w:r w:rsidRPr="001D2355">
        <w:rPr>
          <w:sz w:val="20"/>
        </w:rPr>
        <w:t>agreed</w:t>
      </w:r>
      <w:r w:rsidRPr="001D2355">
        <w:rPr>
          <w:sz w:val="20"/>
        </w:rPr>
        <w:noBreakHyphen/>
        <w:t>upon</w:t>
      </w:r>
      <w:proofErr w:type="spellEnd"/>
      <w:r w:rsidRPr="001D2355">
        <w:rPr>
          <w:sz w:val="20"/>
        </w:rPr>
        <w:t xml:space="preserve"> rate of interest over the </w:t>
      </w:r>
      <w:proofErr w:type="spellStart"/>
      <w:r w:rsidRPr="001D2355">
        <w:rPr>
          <w:sz w:val="20"/>
        </w:rPr>
        <w:t>agreed</w:t>
      </w:r>
      <w:r w:rsidRPr="001D2355">
        <w:rPr>
          <w:sz w:val="20"/>
        </w:rPr>
        <w:noBreakHyphen/>
        <w:t>upon</w:t>
      </w:r>
      <w:proofErr w:type="spellEnd"/>
      <w:r w:rsidRPr="001D2355">
        <w:rPr>
          <w:sz w:val="20"/>
        </w:rPr>
        <w:t xml:space="preserve"> period of time in addition to having the capital returned at the end of that period.  This investment income is personal property for the purposes of s. 87 of the </w:t>
      </w:r>
      <w:r w:rsidRPr="001D2355">
        <w:rPr>
          <w:i/>
          <w:sz w:val="20"/>
        </w:rPr>
        <w:lastRenderedPageBreak/>
        <w:t>Indian Act</w:t>
      </w:r>
      <w:r w:rsidRPr="001D2355">
        <w:rPr>
          <w:sz w:val="20"/>
        </w:rPr>
        <w:t>.  The contract provides for a right to a sum of money payable under certain conditions.  But for the tax exemption, B’s interest income earned from term deposits would be income from property to be added to his yearly income pursuant to ss. 3, 9 and 12(1)(</w:t>
      </w:r>
      <w:r w:rsidRPr="001D2355">
        <w:rPr>
          <w:i/>
          <w:sz w:val="20"/>
        </w:rPr>
        <w:t>c</w:t>
      </w:r>
      <w:r w:rsidRPr="001D2355">
        <w:rPr>
          <w:sz w:val="20"/>
        </w:rPr>
        <w:t xml:space="preserve">) of the </w:t>
      </w:r>
      <w:r w:rsidRPr="001D2355">
        <w:rPr>
          <w:i/>
          <w:sz w:val="20"/>
        </w:rPr>
        <w:t>Income Tax Act</w:t>
      </w:r>
      <w:r w:rsidRPr="001D2355">
        <w:rPr>
          <w:sz w:val="20"/>
        </w:rPr>
        <w:t>.</w:t>
      </w:r>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sz w:val="20"/>
        </w:rPr>
      </w:pPr>
      <w:r w:rsidRPr="001D2355">
        <w:rPr>
          <w:sz w:val="20"/>
        </w:rPr>
        <w:tab/>
        <w:t xml:space="preserve">The relevant connecting factors identified in </w:t>
      </w:r>
      <w:r w:rsidRPr="001D2355">
        <w:rPr>
          <w:i/>
          <w:sz w:val="20"/>
        </w:rPr>
        <w:t>Williams</w:t>
      </w:r>
      <w:r w:rsidRPr="001D2355">
        <w:rPr>
          <w:sz w:val="20"/>
        </w:rPr>
        <w:t xml:space="preserve"> include:  the residence of the debtor, the residence of the person receiving the benefits, the place the benefits are paid, and the location of the employment income which gave rise to the qualification for benefits.  General legal rules about the location of property are relevant for the purposes of the </w:t>
      </w:r>
      <w:r w:rsidRPr="001D2355">
        <w:rPr>
          <w:i/>
          <w:sz w:val="20"/>
        </w:rPr>
        <w:t>Indian Act</w:t>
      </w:r>
      <w:r w:rsidRPr="001D2355">
        <w:rPr>
          <w:sz w:val="20"/>
        </w:rPr>
        <w:t>.  Thus, provisions and jurisprudence relating to the location of income may prove helpful in deciding whether income is located on a reserve.  While these rules cannot be imported from one context into another without due consideration, they ought to be considered and given appropriate weight in light of the purpose of the exemption, the type of property and the nature of the taxation in issue.</w:t>
      </w:r>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sz w:val="20"/>
        </w:rPr>
      </w:pPr>
      <w:r w:rsidRPr="001D2355">
        <w:rPr>
          <w:sz w:val="20"/>
        </w:rPr>
        <w:tab/>
        <w:t xml:space="preserve">Here, the connecting factors identified in </w:t>
      </w:r>
      <w:r w:rsidRPr="001D2355">
        <w:rPr>
          <w:i/>
          <w:sz w:val="20"/>
        </w:rPr>
        <w:t>Williams</w:t>
      </w:r>
      <w:r w:rsidRPr="001D2355">
        <w:rPr>
          <w:sz w:val="20"/>
        </w:rPr>
        <w:t xml:space="preserve"> are potentially relevant.  When they are considered and weighed in light of the purpose of the exemption, the type of property and the nature of the taxation of that property, all point to the reserve as the location of the interest income.  </w:t>
      </w:r>
      <w:proofErr w:type="gramStart"/>
      <w:r w:rsidRPr="001D2355">
        <w:rPr>
          <w:sz w:val="20"/>
        </w:rPr>
        <w:t xml:space="preserve">The location of the debtor, the </w:t>
      </w:r>
      <w:proofErr w:type="spellStart"/>
      <w:r w:rsidRPr="001D2355">
        <w:rPr>
          <w:sz w:val="20"/>
        </w:rPr>
        <w:t>Caisse</w:t>
      </w:r>
      <w:proofErr w:type="spellEnd"/>
      <w:r w:rsidRPr="001D2355">
        <w:rPr>
          <w:sz w:val="20"/>
        </w:rPr>
        <w:t xml:space="preserve">, and the place where payment must be made, both under the contract between B and the </w:t>
      </w:r>
      <w:proofErr w:type="spellStart"/>
      <w:r w:rsidRPr="001D2355">
        <w:rPr>
          <w:sz w:val="20"/>
        </w:rPr>
        <w:t>Caisse</w:t>
      </w:r>
      <w:proofErr w:type="spellEnd"/>
      <w:r w:rsidRPr="001D2355">
        <w:rPr>
          <w:sz w:val="20"/>
        </w:rPr>
        <w:t xml:space="preserve"> and under art.</w:t>
      </w:r>
      <w:proofErr w:type="gramEnd"/>
      <w:r w:rsidRPr="001D2355">
        <w:rPr>
          <w:sz w:val="20"/>
        </w:rPr>
        <w:t xml:space="preserve"> 1566 of the </w:t>
      </w:r>
      <w:r w:rsidRPr="001D2355">
        <w:rPr>
          <w:i/>
          <w:sz w:val="20"/>
        </w:rPr>
        <w:t xml:space="preserve">Civil Code of </w:t>
      </w:r>
      <w:proofErr w:type="gramStart"/>
      <w:r w:rsidRPr="001D2355">
        <w:rPr>
          <w:i/>
          <w:sz w:val="20"/>
        </w:rPr>
        <w:t>Québec</w:t>
      </w:r>
      <w:r w:rsidRPr="001D2355">
        <w:rPr>
          <w:sz w:val="20"/>
        </w:rPr>
        <w:t>,</w:t>
      </w:r>
      <w:proofErr w:type="gramEnd"/>
      <w:r w:rsidRPr="001D2355">
        <w:rPr>
          <w:sz w:val="20"/>
        </w:rPr>
        <w:t xml:space="preserve"> are clearly on the reserve.  The income arises from a contractual obligation which was entered into on the reserve.  These connecting factors should weigh heavily in attributing a location to the interest income.  Other potentially relevant connecting factors reinforce rather than detract from the conclusion that the interest income is property situated on the reserve.  The residence of the payee, B, was on the reserve.  As for the source of the capital which was invested to produce the interest income, it too was earned on the reserve.</w:t>
      </w:r>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sz w:val="20"/>
        </w:rPr>
      </w:pPr>
      <w:r w:rsidRPr="001D2355">
        <w:rPr>
          <w:sz w:val="20"/>
        </w:rPr>
        <w:tab/>
        <w:t xml:space="preserve">The fact that the </w:t>
      </w:r>
      <w:proofErr w:type="spellStart"/>
      <w:r w:rsidRPr="001D2355">
        <w:rPr>
          <w:sz w:val="20"/>
        </w:rPr>
        <w:t>Caisse</w:t>
      </w:r>
      <w:proofErr w:type="spellEnd"/>
      <w:r w:rsidRPr="001D2355">
        <w:rPr>
          <w:sz w:val="20"/>
        </w:rPr>
        <w:t xml:space="preserve"> produced its revenue in the “commercial mainstream” off the reserve is legally irrelevant to the nature of the income it was obliged to pay to B.  This is true as to both form and substance.  While that factor may have weight with respect to other types of investments, it has been given significantly too much weight by the lower courts with respect to the term deposits in issue here.  B made a simple loan to the </w:t>
      </w:r>
      <w:proofErr w:type="spellStart"/>
      <w:r w:rsidRPr="001D2355">
        <w:rPr>
          <w:sz w:val="20"/>
        </w:rPr>
        <w:t>Caisse</w:t>
      </w:r>
      <w:proofErr w:type="spellEnd"/>
      <w:r w:rsidRPr="001D2355">
        <w:rPr>
          <w:sz w:val="20"/>
        </w:rPr>
        <w:t xml:space="preserve">.  The </w:t>
      </w:r>
      <w:proofErr w:type="spellStart"/>
      <w:r w:rsidRPr="001D2355">
        <w:rPr>
          <w:sz w:val="20"/>
        </w:rPr>
        <w:t>Caisse’s</w:t>
      </w:r>
      <w:proofErr w:type="spellEnd"/>
      <w:r w:rsidRPr="001D2355">
        <w:rPr>
          <w:sz w:val="20"/>
        </w:rPr>
        <w:t xml:space="preserve"> </w:t>
      </w:r>
      <w:proofErr w:type="spellStart"/>
      <w:r w:rsidRPr="001D2355">
        <w:rPr>
          <w:sz w:val="20"/>
        </w:rPr>
        <w:t>income</w:t>
      </w:r>
      <w:r w:rsidRPr="001D2355">
        <w:rPr>
          <w:sz w:val="20"/>
        </w:rPr>
        <w:noBreakHyphen/>
        <w:t>producing</w:t>
      </w:r>
      <w:proofErr w:type="spellEnd"/>
      <w:r w:rsidRPr="001D2355">
        <w:rPr>
          <w:sz w:val="20"/>
        </w:rPr>
        <w:t xml:space="preserve"> actions and contracts after B invested in term deposits cannot be deemed his own and do not diminish the many and clear connections between his interest income and the reserve.  The question is the location of B’s interest income and not where the financial institution earns the profits to pay its contractual obligation to B.  The exemption from taxation protects an Indian’s personal property situated on a reserve.  Therefore, where the investment vehicle is, as in this case, a contractual debt obligation, the focus should be on the investment activity of the Indian investor and not on that of the debtor financial institution.  When one focuses on the connecting factors relevant to the location of B’s interest income arising from his contractual relationship with the </w:t>
      </w:r>
      <w:proofErr w:type="spellStart"/>
      <w:r w:rsidRPr="001D2355">
        <w:rPr>
          <w:sz w:val="20"/>
        </w:rPr>
        <w:t>Caisse</w:t>
      </w:r>
      <w:proofErr w:type="spellEnd"/>
      <w:r w:rsidRPr="001D2355">
        <w:rPr>
          <w:sz w:val="20"/>
        </w:rPr>
        <w:t xml:space="preserve">, it is apparent that the other commercial activities of the </w:t>
      </w:r>
      <w:proofErr w:type="spellStart"/>
      <w:r w:rsidRPr="001D2355">
        <w:rPr>
          <w:sz w:val="20"/>
        </w:rPr>
        <w:t>Caisse</w:t>
      </w:r>
      <w:proofErr w:type="spellEnd"/>
      <w:r w:rsidRPr="001D2355">
        <w:rPr>
          <w:sz w:val="20"/>
        </w:rPr>
        <w:t xml:space="preserve"> should have been given no weight in this case.  B’s investment was in the nature of a debt owed to him by the </w:t>
      </w:r>
      <w:proofErr w:type="spellStart"/>
      <w:r w:rsidRPr="001D2355">
        <w:rPr>
          <w:sz w:val="20"/>
        </w:rPr>
        <w:t>Caisse</w:t>
      </w:r>
      <w:proofErr w:type="spellEnd"/>
      <w:r w:rsidRPr="001D2355">
        <w:rPr>
          <w:sz w:val="20"/>
        </w:rPr>
        <w:t xml:space="preserve"> and did not make him a participant in those wider commercial markets in which the </w:t>
      </w:r>
      <w:proofErr w:type="spellStart"/>
      <w:r w:rsidRPr="001D2355">
        <w:rPr>
          <w:sz w:val="20"/>
        </w:rPr>
        <w:t>Caisse</w:t>
      </w:r>
      <w:proofErr w:type="spellEnd"/>
      <w:r w:rsidRPr="001D2355">
        <w:rPr>
          <w:sz w:val="20"/>
        </w:rPr>
        <w:t xml:space="preserve"> itself was active.  B’s investment income should therefore benefit from the s. 87 </w:t>
      </w:r>
      <w:r w:rsidRPr="001D2355">
        <w:rPr>
          <w:i/>
          <w:sz w:val="20"/>
        </w:rPr>
        <w:t>Indian Act</w:t>
      </w:r>
      <w:r w:rsidRPr="001D2355">
        <w:rPr>
          <w:sz w:val="20"/>
        </w:rPr>
        <w:t xml:space="preserve"> exemption.</w:t>
      </w:r>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sz w:val="20"/>
        </w:rPr>
      </w:pPr>
      <w:r w:rsidRPr="001D2355">
        <w:rPr>
          <w:i/>
          <w:sz w:val="20"/>
        </w:rPr>
        <w:tab/>
        <w:t>Per</w:t>
      </w:r>
      <w:r w:rsidRPr="001D2355">
        <w:rPr>
          <w:sz w:val="20"/>
        </w:rPr>
        <w:t xml:space="preserve"> </w:t>
      </w:r>
      <w:proofErr w:type="spellStart"/>
      <w:r w:rsidRPr="001D2355">
        <w:rPr>
          <w:b/>
          <w:sz w:val="20"/>
        </w:rPr>
        <w:t>Deschamps</w:t>
      </w:r>
      <w:proofErr w:type="spellEnd"/>
      <w:r w:rsidRPr="001D2355">
        <w:rPr>
          <w:sz w:val="20"/>
        </w:rPr>
        <w:t xml:space="preserve"> and Rothstein JJ.:  The identification of connecting factors for the purposes of the </w:t>
      </w:r>
      <w:r w:rsidRPr="001D2355">
        <w:rPr>
          <w:i/>
          <w:sz w:val="20"/>
        </w:rPr>
        <w:t xml:space="preserve">Indian Act </w:t>
      </w:r>
      <w:r w:rsidRPr="001D2355">
        <w:rPr>
          <w:sz w:val="20"/>
        </w:rPr>
        <w:t xml:space="preserve">must be focused on concrete and discernible links between the property and the reserve, regardless of whether the property is tangible or intangible. </w:t>
      </w:r>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sz w:val="20"/>
        </w:rPr>
      </w:pPr>
      <w:r w:rsidRPr="001D2355">
        <w:rPr>
          <w:sz w:val="20"/>
        </w:rPr>
        <w:tab/>
        <w:t xml:space="preserve">In this case, the personal property whose location must be determined is the personal right whose legal existence is provided for in the investment contract, that is, a right to be paid interest, subject to certain conditions.  For the purpose of determining the location of this intangible property, the debtor’s place of residence is a factor that can have some weight, but this factor cannot be paramount, since what must be done is not, as might be the case in a private international law context, to determine the place where judicial proceedings should be introduced.  The place of payment of the interest is not really relevant for the purpose of determining the place where the property is held, since the taxing provision that governs the tax treatment of interest income — s. 12(4) of the </w:t>
      </w:r>
      <w:r w:rsidRPr="001D2355">
        <w:rPr>
          <w:i/>
          <w:sz w:val="20"/>
        </w:rPr>
        <w:t xml:space="preserve">Income Tax Act </w:t>
      </w:r>
      <w:r w:rsidRPr="001D2355">
        <w:rPr>
          <w:sz w:val="20"/>
        </w:rPr>
        <w:t xml:space="preserve">— does not require that interest actually be paid to be included in the taxpayer’s income.  The fact that the creditor resides on a reserve is relevant.  It is to the advantage of Indians living on a reserve to foster the economic development of the reserve, and income spent or invested on a reserve can only contribute to that development.  Nevertheless, residence must not be considered a prerequisite for the exemption, since it ceased to be a statutory requirement more than a century ago.  The place where the contract was signed does not on its own constitute a sufficiently objective legal basis for determining the location of a right to be paid interest, since it would be open to manipulation and could be artificial.  To be compatible with the purpose of the exemption, the choice to sign the contract on a reserve must not have been </w:t>
      </w:r>
      <w:r w:rsidRPr="001D2355">
        <w:rPr>
          <w:sz w:val="20"/>
        </w:rPr>
        <w:lastRenderedPageBreak/>
        <w:t xml:space="preserve">based simply on obtaining a personal benefit for an Indian whose usual place of business was off the reserve.  Lastly, in the case of a right to be paid interest, it is necessary to look beyond the investment contract and consider the source of the invested capital.  Where the capital resulted from several different activities, the place where the greatest </w:t>
      </w:r>
      <w:proofErr w:type="gramStart"/>
      <w:r w:rsidRPr="001D2355">
        <w:rPr>
          <w:sz w:val="20"/>
        </w:rPr>
        <w:t>proportion of the activities were</w:t>
      </w:r>
      <w:proofErr w:type="gramEnd"/>
      <w:r w:rsidRPr="001D2355">
        <w:rPr>
          <w:sz w:val="20"/>
        </w:rPr>
        <w:t xml:space="preserve"> carried out should serve as a factor by analogy with the paramount location concept used in relation to tangible property.</w:t>
      </w:r>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sz w:val="20"/>
        </w:rPr>
      </w:pPr>
      <w:r w:rsidRPr="001D2355">
        <w:rPr>
          <w:sz w:val="20"/>
        </w:rPr>
        <w:tab/>
        <w:t>In this case, the debtor’s place of residence, that of the creditor, the place where the contract was signed and the activity that generated the capital that made it possible to enter into the investment contract all favour granting the exemption to B’s estate.</w:t>
      </w:r>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sz w:val="20"/>
        </w:rPr>
      </w:pPr>
      <w:r w:rsidRPr="001D2355">
        <w:rPr>
          <w:sz w:val="20"/>
        </w:rPr>
        <w:tab/>
        <w:t>There is agreement with the majority that it is not necessary to consider whether the property or the activity that generated it is connected with the traditional Aboriginal way of life.  It is also agreed that the activity engaged in by a financial institution to fulfil its monetary obligations in the context of investment contracts providing for the payment of interest is not a valid factor for determining whether personal property held by an Indian is situated on a reserve.  However, there is disagreement with the weight attached in the analysis to formal connections that, in certain circumstances, have a tenuous relationship with the reserve.  The majority’s approach disregards the provision that governs the tax treatment of interest income and is inconsistent with the historical purpose of the exemption.</w:t>
      </w:r>
    </w:p>
    <w:p w:rsidR="004E6236" w:rsidRDefault="004E6236" w:rsidP="004E6236">
      <w:pPr>
        <w:pStyle w:val="SCCNormalDoubleSpacing"/>
        <w:spacing w:line="240" w:lineRule="auto"/>
        <w:rPr>
          <w:sz w:val="20"/>
        </w:rPr>
      </w:pPr>
    </w:p>
    <w:p w:rsidR="004E6236" w:rsidRDefault="004E6236" w:rsidP="004E6236">
      <w:pPr>
        <w:pStyle w:val="SCCNormalDoubleSpacing"/>
        <w:spacing w:line="240" w:lineRule="auto"/>
        <w:rPr>
          <w:sz w:val="20"/>
          <w:lang w:val="en-US"/>
        </w:rPr>
      </w:pPr>
      <w:r w:rsidRPr="001D2355">
        <w:rPr>
          <w:sz w:val="20"/>
        </w:rPr>
        <w:tab/>
        <w:t>APPEAL from a judgment of the Federal Court of Appeal (</w:t>
      </w:r>
      <w:r w:rsidR="001557DD" w:rsidRPr="001D2355">
        <w:rPr>
          <w:sz w:val="20"/>
        </w:rPr>
        <w:fldChar w:fldCharType="begin"/>
      </w:r>
      <w:r w:rsidRPr="001D2355">
        <w:rPr>
          <w:sz w:val="20"/>
        </w:rPr>
        <w:instrText xml:space="preserve"> SEQ CHAPTER \h \r 1</w:instrText>
      </w:r>
      <w:r w:rsidR="001557DD" w:rsidRPr="001D2355">
        <w:rPr>
          <w:sz w:val="20"/>
        </w:rPr>
        <w:fldChar w:fldCharType="end"/>
      </w:r>
      <w:proofErr w:type="spellStart"/>
      <w:r w:rsidRPr="001D2355">
        <w:rPr>
          <w:sz w:val="20"/>
          <w:lang w:val="en-US"/>
        </w:rPr>
        <w:t>Nadon</w:t>
      </w:r>
      <w:proofErr w:type="spellEnd"/>
      <w:r w:rsidRPr="001D2355">
        <w:rPr>
          <w:sz w:val="20"/>
          <w:lang w:val="en-US"/>
        </w:rPr>
        <w:t xml:space="preserve">, </w:t>
      </w:r>
      <w:proofErr w:type="spellStart"/>
      <w:r w:rsidRPr="001D2355">
        <w:rPr>
          <w:sz w:val="20"/>
          <w:lang w:val="en-US"/>
        </w:rPr>
        <w:t>Blais</w:t>
      </w:r>
      <w:proofErr w:type="spellEnd"/>
      <w:r w:rsidRPr="001D2355">
        <w:rPr>
          <w:sz w:val="20"/>
          <w:lang w:val="en-US"/>
        </w:rPr>
        <w:t xml:space="preserve"> and Pelletier JJ.A.), 2009 FCA 108, 400 N.R. 349, 2010 D.T.C. 6740, 2010 D.T.C. 5054, [2009] F.C.J. No. 434 (QL), </w:t>
      </w:r>
      <w:r w:rsidR="001557DD" w:rsidRPr="001D2355">
        <w:rPr>
          <w:sz w:val="20"/>
        </w:rPr>
        <w:fldChar w:fldCharType="begin"/>
      </w:r>
      <w:r w:rsidRPr="001D2355">
        <w:rPr>
          <w:sz w:val="20"/>
        </w:rPr>
        <w:instrText xml:space="preserve"> SEQ CHAPTER \h \r 1</w:instrText>
      </w:r>
      <w:r w:rsidR="001557DD" w:rsidRPr="001D2355">
        <w:rPr>
          <w:sz w:val="20"/>
        </w:rPr>
        <w:fldChar w:fldCharType="end"/>
      </w:r>
      <w:r w:rsidRPr="001D2355">
        <w:rPr>
          <w:sz w:val="20"/>
          <w:lang w:val="en-US"/>
        </w:rPr>
        <w:t xml:space="preserve">2009 </w:t>
      </w:r>
      <w:proofErr w:type="spellStart"/>
      <w:r w:rsidRPr="001D2355">
        <w:rPr>
          <w:sz w:val="20"/>
          <w:lang w:val="en-US"/>
        </w:rPr>
        <w:t>CarswellNat</w:t>
      </w:r>
      <w:proofErr w:type="spellEnd"/>
      <w:r w:rsidRPr="001D2355">
        <w:rPr>
          <w:sz w:val="20"/>
          <w:lang w:val="en-US"/>
        </w:rPr>
        <w:t xml:space="preserve"> 5362, affirming a decision of </w:t>
      </w:r>
      <w:r w:rsidR="001557DD" w:rsidRPr="001D2355">
        <w:rPr>
          <w:sz w:val="20"/>
        </w:rPr>
        <w:fldChar w:fldCharType="begin"/>
      </w:r>
      <w:r w:rsidRPr="001D2355">
        <w:rPr>
          <w:sz w:val="20"/>
        </w:rPr>
        <w:instrText xml:space="preserve"> SEQ CHAPTER \h \r 1</w:instrText>
      </w:r>
      <w:r w:rsidR="001557DD" w:rsidRPr="001D2355">
        <w:rPr>
          <w:sz w:val="20"/>
        </w:rPr>
        <w:fldChar w:fldCharType="end"/>
      </w:r>
      <w:r w:rsidRPr="001D2355">
        <w:rPr>
          <w:sz w:val="20"/>
          <w:lang w:val="en-US"/>
        </w:rPr>
        <w:t xml:space="preserve">Angers J., 2007 TCC 625, 2008 D.T.C. 4064, [2008] 5 C.T.C. 2533, [2007] T.C.J. No. 541 (QL), </w:t>
      </w:r>
      <w:r w:rsidR="001557DD" w:rsidRPr="001D2355">
        <w:rPr>
          <w:sz w:val="20"/>
        </w:rPr>
        <w:fldChar w:fldCharType="begin"/>
      </w:r>
      <w:r w:rsidRPr="001D2355">
        <w:rPr>
          <w:sz w:val="20"/>
        </w:rPr>
        <w:instrText xml:space="preserve"> SEQ CHAPTER \h \r 1</w:instrText>
      </w:r>
      <w:r w:rsidR="001557DD" w:rsidRPr="001D2355">
        <w:rPr>
          <w:sz w:val="20"/>
        </w:rPr>
        <w:fldChar w:fldCharType="end"/>
      </w:r>
      <w:r w:rsidRPr="001D2355">
        <w:rPr>
          <w:sz w:val="20"/>
          <w:lang w:val="en-US"/>
        </w:rPr>
        <w:t xml:space="preserve">2007 </w:t>
      </w:r>
      <w:proofErr w:type="spellStart"/>
      <w:r w:rsidRPr="001D2355">
        <w:rPr>
          <w:sz w:val="20"/>
          <w:lang w:val="en-US"/>
        </w:rPr>
        <w:t>CarswellNat</w:t>
      </w:r>
      <w:proofErr w:type="spellEnd"/>
      <w:r w:rsidRPr="001D2355">
        <w:rPr>
          <w:sz w:val="20"/>
          <w:lang w:val="en-US"/>
        </w:rPr>
        <w:t xml:space="preserve"> 5406.  Appeal allowed.</w:t>
      </w:r>
    </w:p>
    <w:p w:rsidR="004E6236" w:rsidRPr="001D2355" w:rsidRDefault="004E6236" w:rsidP="004E6236">
      <w:pPr>
        <w:pStyle w:val="SCCNormalDoubleSpacing"/>
        <w:spacing w:line="240" w:lineRule="auto"/>
        <w:rPr>
          <w:sz w:val="20"/>
          <w:lang w:val="en-US"/>
        </w:rPr>
      </w:pPr>
    </w:p>
    <w:p w:rsidR="004E6236" w:rsidRDefault="004E6236" w:rsidP="004E6236">
      <w:pPr>
        <w:pStyle w:val="SCCNormalDoubleSpacing"/>
        <w:spacing w:line="240" w:lineRule="auto"/>
        <w:rPr>
          <w:rStyle w:val="SCCCounselPartyRoleChar"/>
          <w:sz w:val="20"/>
        </w:rPr>
      </w:pPr>
      <w:r w:rsidRPr="001D2355">
        <w:rPr>
          <w:rStyle w:val="SCCCounselNameChar"/>
          <w:sz w:val="20"/>
        </w:rPr>
        <w:tab/>
      </w:r>
      <w:proofErr w:type="gramStart"/>
      <w:r w:rsidRPr="001D2355">
        <w:rPr>
          <w:rStyle w:val="SCCCounselNameChar"/>
          <w:sz w:val="20"/>
        </w:rPr>
        <w:t xml:space="preserve">Michel </w:t>
      </w:r>
      <w:proofErr w:type="spellStart"/>
      <w:r w:rsidRPr="001D2355">
        <w:rPr>
          <w:rStyle w:val="SCCCounselNameChar"/>
          <w:sz w:val="20"/>
        </w:rPr>
        <w:t>Beaupré</w:t>
      </w:r>
      <w:proofErr w:type="spellEnd"/>
      <w:r w:rsidRPr="004E6236">
        <w:rPr>
          <w:rStyle w:val="SCCCounselSeparatorChar"/>
          <w:sz w:val="20"/>
          <w:lang w:val="en-CA"/>
        </w:rPr>
        <w:t xml:space="preserve"> and </w:t>
      </w:r>
      <w:r w:rsidRPr="001D2355">
        <w:rPr>
          <w:rStyle w:val="SCCCounselNameChar"/>
          <w:sz w:val="20"/>
        </w:rPr>
        <w:t xml:space="preserve">Michel </w:t>
      </w:r>
      <w:proofErr w:type="spellStart"/>
      <w:r w:rsidRPr="001D2355">
        <w:rPr>
          <w:rStyle w:val="SCCCounselNameChar"/>
          <w:sz w:val="20"/>
        </w:rPr>
        <w:t>Jolin</w:t>
      </w:r>
      <w:proofErr w:type="spellEnd"/>
      <w:r w:rsidRPr="001D2355">
        <w:rPr>
          <w:rStyle w:val="SCCCounselPartyRoleChar"/>
          <w:sz w:val="20"/>
        </w:rPr>
        <w:t>, for the appellant.</w:t>
      </w:r>
      <w:proofErr w:type="gramEnd"/>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rStyle w:val="SCCCounselPartyRoleChar"/>
          <w:sz w:val="20"/>
        </w:rPr>
      </w:pPr>
      <w:r w:rsidRPr="001D2355">
        <w:rPr>
          <w:rStyle w:val="SCCCounselNameChar"/>
          <w:sz w:val="20"/>
        </w:rPr>
        <w:tab/>
      </w:r>
      <w:proofErr w:type="gramStart"/>
      <w:r w:rsidRPr="001D2355">
        <w:rPr>
          <w:rStyle w:val="SCCCounselNameChar"/>
          <w:sz w:val="20"/>
        </w:rPr>
        <w:t>Pierre Cossette</w:t>
      </w:r>
      <w:r w:rsidRPr="004E6236">
        <w:rPr>
          <w:rStyle w:val="SCCCounselSeparatorChar"/>
          <w:sz w:val="20"/>
          <w:lang w:val="en-CA"/>
        </w:rPr>
        <w:t xml:space="preserve"> and </w:t>
      </w:r>
      <w:r w:rsidRPr="001D2355">
        <w:rPr>
          <w:rStyle w:val="SCCCounselNameChar"/>
          <w:sz w:val="20"/>
        </w:rPr>
        <w:t xml:space="preserve">Bernard </w:t>
      </w:r>
      <w:proofErr w:type="spellStart"/>
      <w:r w:rsidRPr="001D2355">
        <w:rPr>
          <w:rStyle w:val="SCCCounselNameChar"/>
          <w:sz w:val="20"/>
        </w:rPr>
        <w:t>Letarte</w:t>
      </w:r>
      <w:proofErr w:type="spellEnd"/>
      <w:r w:rsidRPr="001D2355">
        <w:rPr>
          <w:rStyle w:val="SCCCounselPartyRoleChar"/>
          <w:sz w:val="20"/>
        </w:rPr>
        <w:t>, for the respondent.</w:t>
      </w:r>
      <w:proofErr w:type="gramEnd"/>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rStyle w:val="SCCCounselPartyRoleChar"/>
          <w:sz w:val="20"/>
        </w:rPr>
      </w:pPr>
      <w:r w:rsidRPr="001D2355">
        <w:rPr>
          <w:rStyle w:val="SCCCounselNameChar"/>
          <w:sz w:val="20"/>
        </w:rPr>
        <w:tab/>
      </w:r>
      <w:proofErr w:type="gramStart"/>
      <w:r w:rsidRPr="001D2355">
        <w:rPr>
          <w:rStyle w:val="SCCCounselNameChar"/>
          <w:sz w:val="20"/>
        </w:rPr>
        <w:t>Peter W. Hutchins</w:t>
      </w:r>
      <w:r w:rsidRPr="004E6236">
        <w:rPr>
          <w:rStyle w:val="SCCCounselSeparatorChar"/>
          <w:sz w:val="20"/>
          <w:lang w:val="en-CA"/>
        </w:rPr>
        <w:t xml:space="preserve"> and </w:t>
      </w:r>
      <w:proofErr w:type="spellStart"/>
      <w:r w:rsidRPr="001D2355">
        <w:rPr>
          <w:rStyle w:val="SCCCounselNameChar"/>
          <w:sz w:val="20"/>
        </w:rPr>
        <w:t>Lysane</w:t>
      </w:r>
      <w:proofErr w:type="spellEnd"/>
      <w:r w:rsidRPr="001D2355">
        <w:rPr>
          <w:rStyle w:val="SCCCounselNameChar"/>
          <w:sz w:val="20"/>
        </w:rPr>
        <w:t xml:space="preserve"> Cree</w:t>
      </w:r>
      <w:r w:rsidRPr="001D2355">
        <w:rPr>
          <w:rStyle w:val="SCCCounselPartyRoleChar"/>
          <w:sz w:val="20"/>
        </w:rPr>
        <w:t xml:space="preserve">, for the intervener the </w:t>
      </w:r>
      <w:proofErr w:type="spellStart"/>
      <w:r w:rsidRPr="001D2355">
        <w:rPr>
          <w:rStyle w:val="SCCCounselPartyRoleChar"/>
          <w:sz w:val="20"/>
        </w:rPr>
        <w:t>Huron</w:t>
      </w:r>
      <w:r w:rsidRPr="001D2355">
        <w:rPr>
          <w:rStyle w:val="SCCCounselPartyRoleChar"/>
          <w:sz w:val="20"/>
        </w:rPr>
        <w:noBreakHyphen/>
        <w:t>Wendat</w:t>
      </w:r>
      <w:proofErr w:type="spellEnd"/>
      <w:r w:rsidRPr="001D2355">
        <w:rPr>
          <w:rStyle w:val="SCCCounselPartyRoleChar"/>
          <w:sz w:val="20"/>
        </w:rPr>
        <w:t xml:space="preserve"> Nation.</w:t>
      </w:r>
      <w:proofErr w:type="gramEnd"/>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rStyle w:val="SCCCounselPartyRoleChar"/>
          <w:sz w:val="20"/>
        </w:rPr>
      </w:pPr>
      <w:r w:rsidRPr="001D2355">
        <w:rPr>
          <w:rStyle w:val="SCCCounselNameChar"/>
          <w:sz w:val="20"/>
        </w:rPr>
        <w:tab/>
      </w:r>
      <w:proofErr w:type="gramStart"/>
      <w:r w:rsidRPr="001D2355">
        <w:rPr>
          <w:rStyle w:val="SCCCounselNameChar"/>
          <w:sz w:val="20"/>
        </w:rPr>
        <w:t xml:space="preserve">Jeff D. </w:t>
      </w:r>
      <w:proofErr w:type="spellStart"/>
      <w:r w:rsidRPr="001D2355">
        <w:rPr>
          <w:rStyle w:val="SCCCounselNameChar"/>
          <w:sz w:val="20"/>
        </w:rPr>
        <w:t>Pniowsky</w:t>
      </w:r>
      <w:proofErr w:type="spellEnd"/>
      <w:r w:rsidRPr="004E6236">
        <w:rPr>
          <w:rStyle w:val="SCCCounselSeparatorChar"/>
          <w:sz w:val="20"/>
          <w:lang w:val="en-CA"/>
        </w:rPr>
        <w:t xml:space="preserve"> and </w:t>
      </w:r>
      <w:proofErr w:type="spellStart"/>
      <w:r w:rsidRPr="001D2355">
        <w:rPr>
          <w:rStyle w:val="SCCCounselNameChar"/>
          <w:sz w:val="20"/>
        </w:rPr>
        <w:t>Sacha</w:t>
      </w:r>
      <w:proofErr w:type="spellEnd"/>
      <w:r w:rsidRPr="001D2355">
        <w:rPr>
          <w:rStyle w:val="SCCCounselNameChar"/>
          <w:sz w:val="20"/>
        </w:rPr>
        <w:t> R. Paul</w:t>
      </w:r>
      <w:r w:rsidRPr="001D2355">
        <w:rPr>
          <w:rStyle w:val="SCCCounselPartyRoleChar"/>
          <w:sz w:val="20"/>
        </w:rPr>
        <w:t>, for the intervener the Assembly of Manitoba Chiefs.</w:t>
      </w:r>
      <w:proofErr w:type="gramEnd"/>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rStyle w:val="SCCCounselPartyRoleChar"/>
          <w:sz w:val="20"/>
        </w:rPr>
      </w:pPr>
      <w:r w:rsidRPr="001D2355">
        <w:rPr>
          <w:rStyle w:val="SCCCounselNameChar"/>
          <w:sz w:val="20"/>
        </w:rPr>
        <w:tab/>
      </w:r>
      <w:proofErr w:type="gramStart"/>
      <w:r w:rsidRPr="001D2355">
        <w:rPr>
          <w:rStyle w:val="SCCCounselNameChar"/>
          <w:sz w:val="20"/>
        </w:rPr>
        <w:t>John Hurley</w:t>
      </w:r>
      <w:r w:rsidRPr="004E6236">
        <w:rPr>
          <w:rStyle w:val="SCCCounselSeparatorChar"/>
          <w:sz w:val="20"/>
          <w:lang w:val="en-CA"/>
        </w:rPr>
        <w:t xml:space="preserve"> and </w:t>
      </w:r>
      <w:r w:rsidRPr="001D2355">
        <w:rPr>
          <w:rStyle w:val="SCCCounselNameChar"/>
          <w:sz w:val="20"/>
        </w:rPr>
        <w:t xml:space="preserve">François </w:t>
      </w:r>
      <w:proofErr w:type="spellStart"/>
      <w:r w:rsidRPr="001D2355">
        <w:rPr>
          <w:rStyle w:val="SCCCounselNameChar"/>
          <w:sz w:val="20"/>
        </w:rPr>
        <w:t>Dandonneau</w:t>
      </w:r>
      <w:proofErr w:type="spellEnd"/>
      <w:r w:rsidRPr="001D2355">
        <w:rPr>
          <w:rStyle w:val="SCCCounselPartyRoleChar"/>
          <w:sz w:val="20"/>
        </w:rPr>
        <w:t xml:space="preserve">, for the intervener the Grand Council of the </w:t>
      </w:r>
      <w:proofErr w:type="spellStart"/>
      <w:r w:rsidRPr="001D2355">
        <w:rPr>
          <w:rStyle w:val="SCCCounselPartyRoleChar"/>
          <w:sz w:val="20"/>
        </w:rPr>
        <w:t>Crees</w:t>
      </w:r>
      <w:proofErr w:type="spellEnd"/>
      <w:r w:rsidRPr="001D2355">
        <w:rPr>
          <w:rStyle w:val="SCCCounselPartyRoleChar"/>
          <w:sz w:val="20"/>
        </w:rPr>
        <w:t xml:space="preserve"> (</w:t>
      </w:r>
      <w:proofErr w:type="spellStart"/>
      <w:r w:rsidRPr="001D2355">
        <w:rPr>
          <w:rStyle w:val="SCCCounselPartyRoleChar"/>
          <w:sz w:val="20"/>
        </w:rPr>
        <w:t>Eeyou</w:t>
      </w:r>
      <w:proofErr w:type="spellEnd"/>
      <w:r w:rsidRPr="001D2355">
        <w:rPr>
          <w:rStyle w:val="SCCCounselPartyRoleChar"/>
          <w:sz w:val="20"/>
        </w:rPr>
        <w:t xml:space="preserve"> </w:t>
      </w:r>
      <w:proofErr w:type="spellStart"/>
      <w:r w:rsidRPr="001D2355">
        <w:rPr>
          <w:rStyle w:val="SCCCounselPartyRoleChar"/>
          <w:sz w:val="20"/>
        </w:rPr>
        <w:t>Istchee</w:t>
      </w:r>
      <w:proofErr w:type="spellEnd"/>
      <w:r w:rsidRPr="001D2355">
        <w:rPr>
          <w:rStyle w:val="SCCCounselPartyRoleChar"/>
          <w:sz w:val="20"/>
        </w:rPr>
        <w:t>)/Cree Regional Authority.</w:t>
      </w:r>
      <w:proofErr w:type="gramEnd"/>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rStyle w:val="SCCCounselPartyRoleChar"/>
          <w:sz w:val="20"/>
        </w:rPr>
      </w:pPr>
      <w:r w:rsidRPr="001D2355">
        <w:rPr>
          <w:rStyle w:val="SCCCounselNameChar"/>
          <w:sz w:val="20"/>
        </w:rPr>
        <w:tab/>
      </w:r>
      <w:proofErr w:type="spellStart"/>
      <w:proofErr w:type="gramStart"/>
      <w:r w:rsidRPr="001D2355">
        <w:rPr>
          <w:rStyle w:val="SCCCounselNameChar"/>
          <w:sz w:val="20"/>
        </w:rPr>
        <w:t>Maxime</w:t>
      </w:r>
      <w:proofErr w:type="spellEnd"/>
      <w:r w:rsidRPr="001D2355">
        <w:rPr>
          <w:rStyle w:val="SCCCounselNameChar"/>
          <w:sz w:val="20"/>
        </w:rPr>
        <w:t xml:space="preserve"> Faille</w:t>
      </w:r>
      <w:r w:rsidRPr="004E6236">
        <w:rPr>
          <w:rStyle w:val="SCCCounselSeparatorChar"/>
          <w:sz w:val="20"/>
          <w:lang w:val="en-CA"/>
        </w:rPr>
        <w:t xml:space="preserve"> and </w:t>
      </w:r>
      <w:r w:rsidRPr="001D2355">
        <w:rPr>
          <w:rStyle w:val="SCCCounselNameChar"/>
          <w:sz w:val="20"/>
        </w:rPr>
        <w:t>Graham Ragan</w:t>
      </w:r>
      <w:r w:rsidRPr="001D2355">
        <w:rPr>
          <w:rStyle w:val="SCCCounselPartyRoleChar"/>
          <w:sz w:val="20"/>
        </w:rPr>
        <w:t>, for the intervener the Assembly of First Nations.</w:t>
      </w:r>
      <w:proofErr w:type="gramEnd"/>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rStyle w:val="SCCCounselPartyRoleChar"/>
          <w:sz w:val="20"/>
        </w:rPr>
      </w:pPr>
      <w:r w:rsidRPr="001D2355">
        <w:rPr>
          <w:rStyle w:val="SCCCounselNameChar"/>
          <w:sz w:val="20"/>
        </w:rPr>
        <w:tab/>
      </w:r>
      <w:proofErr w:type="gramStart"/>
      <w:r w:rsidRPr="001D2355">
        <w:rPr>
          <w:rStyle w:val="SCCCounselNameChar"/>
          <w:sz w:val="20"/>
        </w:rPr>
        <w:t xml:space="preserve">David C. </w:t>
      </w:r>
      <w:proofErr w:type="spellStart"/>
      <w:r w:rsidRPr="001D2355">
        <w:rPr>
          <w:rStyle w:val="SCCCounselNameChar"/>
          <w:sz w:val="20"/>
        </w:rPr>
        <w:t>Nahwegahbow</w:t>
      </w:r>
      <w:proofErr w:type="spellEnd"/>
      <w:r w:rsidRPr="004E6236">
        <w:rPr>
          <w:rStyle w:val="SCCCounselSeparatorChar"/>
          <w:sz w:val="20"/>
          <w:lang w:val="en-CA"/>
        </w:rPr>
        <w:t xml:space="preserve"> and </w:t>
      </w:r>
      <w:r w:rsidRPr="001D2355">
        <w:rPr>
          <w:rStyle w:val="SCCCounselNameChar"/>
          <w:sz w:val="20"/>
        </w:rPr>
        <w:t>James Hopkins</w:t>
      </w:r>
      <w:r w:rsidRPr="001D2355">
        <w:rPr>
          <w:rStyle w:val="SCCCounselPartyRoleChar"/>
          <w:sz w:val="20"/>
        </w:rPr>
        <w:t>, for the intervener Chiefs of Ontario.</w:t>
      </w:r>
      <w:proofErr w:type="gramEnd"/>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rStyle w:val="SCCCounselPartyRoleChar"/>
          <w:sz w:val="20"/>
        </w:rPr>
      </w:pPr>
      <w:r w:rsidRPr="001D2355">
        <w:rPr>
          <w:rStyle w:val="SCCCounselNameChar"/>
          <w:sz w:val="20"/>
        </w:rPr>
        <w:tab/>
      </w:r>
      <w:proofErr w:type="gramStart"/>
      <w:r w:rsidRPr="001D2355">
        <w:rPr>
          <w:rStyle w:val="SCCCounselNameChar"/>
          <w:sz w:val="20"/>
        </w:rPr>
        <w:t>Brian A. Crane, Q.C.,</w:t>
      </w:r>
      <w:r w:rsidRPr="004E6236">
        <w:rPr>
          <w:rStyle w:val="SCCCounselSeparatorChar"/>
          <w:sz w:val="20"/>
          <w:lang w:val="en-CA"/>
        </w:rPr>
        <w:t xml:space="preserve"> and </w:t>
      </w:r>
      <w:r w:rsidRPr="001D2355">
        <w:rPr>
          <w:rStyle w:val="SCCCounselNameChar"/>
          <w:sz w:val="20"/>
        </w:rPr>
        <w:t xml:space="preserve">Guy </w:t>
      </w:r>
      <w:proofErr w:type="spellStart"/>
      <w:r w:rsidRPr="001D2355">
        <w:rPr>
          <w:rStyle w:val="SCCCounselNameChar"/>
          <w:sz w:val="20"/>
        </w:rPr>
        <w:t>Régimbald</w:t>
      </w:r>
      <w:proofErr w:type="spellEnd"/>
      <w:r w:rsidRPr="001D2355">
        <w:rPr>
          <w:rStyle w:val="SCCCounselPartyRoleChar"/>
          <w:sz w:val="20"/>
        </w:rPr>
        <w:t>, for the intervener the Union of Nova Scotia Indians.</w:t>
      </w:r>
      <w:proofErr w:type="gramEnd"/>
    </w:p>
    <w:p w:rsidR="004E6236" w:rsidRPr="001D2355" w:rsidRDefault="004E6236" w:rsidP="004E6236">
      <w:pPr>
        <w:pStyle w:val="SCCNormalDoubleSpacing"/>
        <w:spacing w:line="240" w:lineRule="auto"/>
        <w:rPr>
          <w:sz w:val="20"/>
        </w:rPr>
      </w:pPr>
    </w:p>
    <w:p w:rsidR="004E6236" w:rsidRDefault="004E6236" w:rsidP="004E6236">
      <w:pPr>
        <w:pStyle w:val="SCCNormalDoubleSpacing"/>
        <w:spacing w:line="240" w:lineRule="auto"/>
        <w:rPr>
          <w:i/>
          <w:sz w:val="20"/>
          <w:lang w:val="fr-CA"/>
        </w:rPr>
      </w:pPr>
      <w:r w:rsidRPr="001D2355">
        <w:rPr>
          <w:sz w:val="20"/>
        </w:rPr>
        <w:tab/>
      </w:r>
      <w:r w:rsidRPr="001D2355">
        <w:rPr>
          <w:rStyle w:val="SCCCounselPartyRoleChar"/>
          <w:i/>
          <w:sz w:val="20"/>
          <w:lang w:val="fr-CA"/>
        </w:rPr>
        <w:t>Solicitors</w:t>
      </w:r>
      <w:r w:rsidRPr="001D2355">
        <w:rPr>
          <w:i/>
          <w:sz w:val="20"/>
          <w:lang w:val="fr-CA"/>
        </w:rPr>
        <w:t xml:space="preserve"> for the </w:t>
      </w:r>
      <w:proofErr w:type="spellStart"/>
      <w:r w:rsidRPr="001D2355">
        <w:rPr>
          <w:i/>
          <w:sz w:val="20"/>
          <w:lang w:val="fr-CA"/>
        </w:rPr>
        <w:t>appellant</w:t>
      </w:r>
      <w:proofErr w:type="spellEnd"/>
      <w:r w:rsidRPr="001D2355">
        <w:rPr>
          <w:i/>
          <w:sz w:val="20"/>
          <w:lang w:val="fr-CA"/>
        </w:rPr>
        <w:t>:</w:t>
      </w:r>
      <w:proofErr w:type="gramStart"/>
      <w:r w:rsidRPr="001D2355">
        <w:rPr>
          <w:i/>
          <w:sz w:val="20"/>
          <w:lang w:val="fr-CA"/>
        </w:rPr>
        <w:t>  Langlois</w:t>
      </w:r>
      <w:proofErr w:type="gramEnd"/>
      <w:r w:rsidRPr="001D2355">
        <w:rPr>
          <w:i/>
          <w:sz w:val="20"/>
          <w:lang w:val="fr-CA"/>
        </w:rPr>
        <w:t xml:space="preserve"> </w:t>
      </w:r>
      <w:proofErr w:type="spellStart"/>
      <w:r w:rsidRPr="001D2355">
        <w:rPr>
          <w:i/>
          <w:sz w:val="20"/>
          <w:lang w:val="fr-CA"/>
        </w:rPr>
        <w:t>Kronström</w:t>
      </w:r>
      <w:proofErr w:type="spellEnd"/>
      <w:r w:rsidRPr="001D2355">
        <w:rPr>
          <w:i/>
          <w:sz w:val="20"/>
          <w:lang w:val="fr-CA"/>
        </w:rPr>
        <w:t xml:space="preserve"> Desjardins, Québec.</w:t>
      </w:r>
    </w:p>
    <w:p w:rsidR="004E6236" w:rsidRPr="001D2355" w:rsidRDefault="004E6236" w:rsidP="004E6236">
      <w:pPr>
        <w:pStyle w:val="SCCNormalDoubleSpacing"/>
        <w:spacing w:line="240" w:lineRule="auto"/>
        <w:rPr>
          <w:i/>
          <w:sz w:val="20"/>
          <w:lang w:val="fr-CA"/>
        </w:rPr>
      </w:pPr>
    </w:p>
    <w:p w:rsidR="004E6236" w:rsidRDefault="004E6236" w:rsidP="004E6236">
      <w:pPr>
        <w:pStyle w:val="SCCNormalDoubleSpacing"/>
        <w:spacing w:line="240" w:lineRule="auto"/>
        <w:rPr>
          <w:i/>
          <w:sz w:val="20"/>
          <w:lang w:val="en-US"/>
        </w:rPr>
      </w:pPr>
      <w:r w:rsidRPr="001D2355">
        <w:rPr>
          <w:i/>
          <w:sz w:val="20"/>
          <w:lang w:val="fr-CA"/>
        </w:rPr>
        <w:tab/>
      </w:r>
      <w:r w:rsidRPr="001D2355">
        <w:rPr>
          <w:rStyle w:val="SCCCounselPartyRoleChar"/>
          <w:i/>
          <w:sz w:val="20"/>
        </w:rPr>
        <w:t>Solicitor</w:t>
      </w:r>
      <w:r w:rsidRPr="001D2355">
        <w:rPr>
          <w:i/>
          <w:sz w:val="20"/>
          <w:lang w:val="en-US"/>
        </w:rPr>
        <w:t xml:space="preserve"> for the respondent:  Attorney General of Canada, Montréal.</w:t>
      </w:r>
    </w:p>
    <w:p w:rsidR="004E6236" w:rsidRPr="001D2355" w:rsidRDefault="004E6236" w:rsidP="004E6236">
      <w:pPr>
        <w:pStyle w:val="SCCNormalDoubleSpacing"/>
        <w:spacing w:line="240" w:lineRule="auto"/>
        <w:rPr>
          <w:i/>
          <w:sz w:val="20"/>
          <w:lang w:val="en-US"/>
        </w:rPr>
      </w:pPr>
    </w:p>
    <w:p w:rsidR="004E6236" w:rsidRDefault="004E6236" w:rsidP="004E6236">
      <w:pPr>
        <w:pStyle w:val="SCCNormalDoubleSpacing"/>
        <w:spacing w:line="240" w:lineRule="auto"/>
        <w:rPr>
          <w:i/>
          <w:sz w:val="20"/>
        </w:rPr>
      </w:pPr>
      <w:r w:rsidRPr="001D2355">
        <w:rPr>
          <w:i/>
          <w:sz w:val="20"/>
          <w:lang w:val="en-US"/>
        </w:rPr>
        <w:tab/>
      </w:r>
      <w:r w:rsidRPr="001D2355">
        <w:rPr>
          <w:rStyle w:val="SCCCounselPartyRoleChar"/>
          <w:i/>
          <w:sz w:val="20"/>
        </w:rPr>
        <w:t>Solicitors</w:t>
      </w:r>
      <w:r w:rsidRPr="001D2355">
        <w:rPr>
          <w:i/>
          <w:sz w:val="20"/>
        </w:rPr>
        <w:t xml:space="preserve"> for the intervener the </w:t>
      </w:r>
      <w:proofErr w:type="spellStart"/>
      <w:r w:rsidRPr="001D2355">
        <w:rPr>
          <w:i/>
          <w:sz w:val="20"/>
        </w:rPr>
        <w:t>Huron</w:t>
      </w:r>
      <w:r w:rsidRPr="001D2355">
        <w:rPr>
          <w:i/>
          <w:sz w:val="20"/>
        </w:rPr>
        <w:noBreakHyphen/>
        <w:t>Wendat</w:t>
      </w:r>
      <w:proofErr w:type="spellEnd"/>
      <w:r w:rsidRPr="001D2355">
        <w:rPr>
          <w:i/>
          <w:sz w:val="20"/>
        </w:rPr>
        <w:t xml:space="preserve"> Nation:  Hutchins </w:t>
      </w:r>
      <w:proofErr w:type="spellStart"/>
      <w:r w:rsidRPr="001D2355">
        <w:rPr>
          <w:i/>
          <w:sz w:val="20"/>
        </w:rPr>
        <w:t>Légal</w:t>
      </w:r>
      <w:proofErr w:type="spellEnd"/>
      <w:r w:rsidRPr="001D2355">
        <w:rPr>
          <w:i/>
          <w:sz w:val="20"/>
        </w:rPr>
        <w:t xml:space="preserve"> inc., Montréal.</w:t>
      </w:r>
    </w:p>
    <w:p w:rsidR="004E6236" w:rsidRPr="001D2355" w:rsidRDefault="004E6236" w:rsidP="004E6236">
      <w:pPr>
        <w:pStyle w:val="SCCNormalDoubleSpacing"/>
        <w:spacing w:line="240" w:lineRule="auto"/>
        <w:rPr>
          <w:i/>
          <w:sz w:val="20"/>
        </w:rPr>
      </w:pPr>
    </w:p>
    <w:p w:rsidR="004E6236" w:rsidRDefault="004E6236" w:rsidP="004E6236">
      <w:pPr>
        <w:pStyle w:val="SCCNormalDoubleSpacing"/>
        <w:spacing w:line="240" w:lineRule="auto"/>
        <w:rPr>
          <w:i/>
          <w:sz w:val="20"/>
        </w:rPr>
      </w:pPr>
      <w:r w:rsidRPr="001D2355">
        <w:rPr>
          <w:i/>
          <w:sz w:val="20"/>
        </w:rPr>
        <w:tab/>
      </w:r>
      <w:r w:rsidRPr="001D2355">
        <w:rPr>
          <w:rStyle w:val="SCCCounselPartyRoleChar"/>
          <w:i/>
          <w:sz w:val="20"/>
        </w:rPr>
        <w:t>Solicitors</w:t>
      </w:r>
      <w:r w:rsidRPr="001D2355">
        <w:rPr>
          <w:i/>
          <w:sz w:val="20"/>
        </w:rPr>
        <w:t xml:space="preserve"> for the intervener the Assembly of Manitoba Chiefs:  Thompson </w:t>
      </w:r>
      <w:proofErr w:type="spellStart"/>
      <w:r w:rsidRPr="001D2355">
        <w:rPr>
          <w:i/>
          <w:sz w:val="20"/>
        </w:rPr>
        <w:t>Dorfman</w:t>
      </w:r>
      <w:proofErr w:type="spellEnd"/>
      <w:r w:rsidRPr="001D2355">
        <w:rPr>
          <w:i/>
          <w:sz w:val="20"/>
        </w:rPr>
        <w:t xml:space="preserve"> </w:t>
      </w:r>
      <w:proofErr w:type="spellStart"/>
      <w:r w:rsidRPr="001D2355">
        <w:rPr>
          <w:i/>
          <w:sz w:val="20"/>
        </w:rPr>
        <w:t>Sweatman</w:t>
      </w:r>
      <w:proofErr w:type="spellEnd"/>
      <w:r w:rsidRPr="001D2355">
        <w:rPr>
          <w:i/>
          <w:sz w:val="20"/>
        </w:rPr>
        <w:t>, Winnipeg.</w:t>
      </w:r>
    </w:p>
    <w:p w:rsidR="004E6236" w:rsidRPr="001D2355" w:rsidRDefault="004E6236" w:rsidP="004E6236">
      <w:pPr>
        <w:pStyle w:val="SCCNormalDoubleSpacing"/>
        <w:spacing w:line="240" w:lineRule="auto"/>
        <w:rPr>
          <w:i/>
          <w:sz w:val="20"/>
        </w:rPr>
      </w:pPr>
    </w:p>
    <w:p w:rsidR="004E6236" w:rsidRDefault="004E6236" w:rsidP="004E6236">
      <w:pPr>
        <w:pStyle w:val="SCCNormalDoubleSpacing"/>
        <w:spacing w:line="240" w:lineRule="auto"/>
        <w:rPr>
          <w:i/>
          <w:sz w:val="20"/>
        </w:rPr>
      </w:pPr>
      <w:r w:rsidRPr="001D2355">
        <w:rPr>
          <w:i/>
          <w:sz w:val="20"/>
        </w:rPr>
        <w:tab/>
      </w:r>
      <w:r w:rsidRPr="001D2355">
        <w:rPr>
          <w:rStyle w:val="SCCCounselPartyRoleChar"/>
          <w:i/>
          <w:sz w:val="20"/>
        </w:rPr>
        <w:t>Solicitors</w:t>
      </w:r>
      <w:r w:rsidRPr="001D2355">
        <w:rPr>
          <w:i/>
          <w:sz w:val="20"/>
        </w:rPr>
        <w:t xml:space="preserve"> for the intervener the Grand Council of the </w:t>
      </w:r>
      <w:proofErr w:type="spellStart"/>
      <w:r w:rsidRPr="001D2355">
        <w:rPr>
          <w:i/>
          <w:sz w:val="20"/>
        </w:rPr>
        <w:t>Crees</w:t>
      </w:r>
      <w:proofErr w:type="spellEnd"/>
      <w:r w:rsidRPr="001D2355">
        <w:rPr>
          <w:i/>
          <w:sz w:val="20"/>
        </w:rPr>
        <w:t xml:space="preserve"> (</w:t>
      </w:r>
      <w:proofErr w:type="spellStart"/>
      <w:r w:rsidRPr="001D2355">
        <w:rPr>
          <w:i/>
          <w:sz w:val="20"/>
        </w:rPr>
        <w:t>Eeyou</w:t>
      </w:r>
      <w:proofErr w:type="spellEnd"/>
      <w:r w:rsidRPr="001D2355">
        <w:rPr>
          <w:i/>
          <w:sz w:val="20"/>
        </w:rPr>
        <w:t xml:space="preserve"> </w:t>
      </w:r>
      <w:proofErr w:type="spellStart"/>
      <w:r w:rsidRPr="001D2355">
        <w:rPr>
          <w:i/>
          <w:sz w:val="20"/>
        </w:rPr>
        <w:t>Istchee</w:t>
      </w:r>
      <w:proofErr w:type="spellEnd"/>
      <w:r w:rsidRPr="001D2355">
        <w:rPr>
          <w:i/>
          <w:sz w:val="20"/>
        </w:rPr>
        <w:t>)/Cree Regional Authority:  </w:t>
      </w:r>
      <w:proofErr w:type="spellStart"/>
      <w:r w:rsidRPr="001D2355">
        <w:rPr>
          <w:i/>
          <w:sz w:val="20"/>
        </w:rPr>
        <w:t>Gowling</w:t>
      </w:r>
      <w:proofErr w:type="spellEnd"/>
      <w:r w:rsidRPr="001D2355">
        <w:rPr>
          <w:i/>
          <w:sz w:val="20"/>
        </w:rPr>
        <w:t xml:space="preserve"> </w:t>
      </w:r>
      <w:proofErr w:type="spellStart"/>
      <w:r w:rsidRPr="001D2355">
        <w:rPr>
          <w:i/>
          <w:sz w:val="20"/>
        </w:rPr>
        <w:t>Lafleur</w:t>
      </w:r>
      <w:proofErr w:type="spellEnd"/>
      <w:r w:rsidRPr="001D2355">
        <w:rPr>
          <w:i/>
          <w:sz w:val="20"/>
        </w:rPr>
        <w:t xml:space="preserve"> Henderson, Montréal.</w:t>
      </w:r>
    </w:p>
    <w:p w:rsidR="004E6236" w:rsidRDefault="004E6236" w:rsidP="004E6236">
      <w:pPr>
        <w:pStyle w:val="SCCNormalDoubleSpacing"/>
        <w:spacing w:line="240" w:lineRule="auto"/>
        <w:rPr>
          <w:i/>
          <w:sz w:val="20"/>
        </w:rPr>
      </w:pPr>
    </w:p>
    <w:p w:rsidR="004E6236" w:rsidRDefault="004E6236" w:rsidP="004E6236">
      <w:pPr>
        <w:pStyle w:val="SCCNormalDoubleSpacing"/>
        <w:spacing w:line="240" w:lineRule="auto"/>
        <w:rPr>
          <w:i/>
          <w:sz w:val="20"/>
        </w:rPr>
      </w:pPr>
      <w:r w:rsidRPr="001D2355">
        <w:rPr>
          <w:i/>
          <w:sz w:val="20"/>
        </w:rPr>
        <w:tab/>
      </w:r>
      <w:r w:rsidRPr="001D2355">
        <w:rPr>
          <w:rStyle w:val="SCCCounselPartyRoleChar"/>
          <w:i/>
          <w:sz w:val="20"/>
        </w:rPr>
        <w:t>Solicitors</w:t>
      </w:r>
      <w:r w:rsidRPr="001D2355">
        <w:rPr>
          <w:i/>
          <w:sz w:val="20"/>
        </w:rPr>
        <w:t xml:space="preserve"> for the interveners the Assembly of First Nations and the Union of Nova Scotia Indians:  </w:t>
      </w:r>
      <w:proofErr w:type="spellStart"/>
      <w:r w:rsidRPr="001D2355">
        <w:rPr>
          <w:i/>
          <w:sz w:val="20"/>
        </w:rPr>
        <w:t>Gowling</w:t>
      </w:r>
      <w:proofErr w:type="spellEnd"/>
      <w:r w:rsidRPr="001D2355">
        <w:rPr>
          <w:i/>
          <w:sz w:val="20"/>
        </w:rPr>
        <w:t xml:space="preserve"> </w:t>
      </w:r>
      <w:proofErr w:type="spellStart"/>
      <w:r w:rsidRPr="001D2355">
        <w:rPr>
          <w:i/>
          <w:sz w:val="20"/>
        </w:rPr>
        <w:t>Lafleur</w:t>
      </w:r>
      <w:proofErr w:type="spellEnd"/>
      <w:r w:rsidRPr="001D2355">
        <w:rPr>
          <w:i/>
          <w:sz w:val="20"/>
        </w:rPr>
        <w:t xml:space="preserve"> Henderson, Ottawa.</w:t>
      </w:r>
    </w:p>
    <w:p w:rsidR="00AA1D2E" w:rsidRDefault="00AA1D2E" w:rsidP="004E6236">
      <w:pPr>
        <w:pStyle w:val="SCCNormalDoubleSpacing"/>
        <w:spacing w:line="240" w:lineRule="auto"/>
        <w:rPr>
          <w:i/>
          <w:sz w:val="20"/>
        </w:rPr>
      </w:pPr>
    </w:p>
    <w:p w:rsidR="00AA1D2E" w:rsidRDefault="00AA1D2E">
      <w:pPr>
        <w:rPr>
          <w:rFonts w:eastAsia="Times New Roman" w:cs="Times New Roman"/>
          <w:i/>
          <w:sz w:val="20"/>
          <w:szCs w:val="20"/>
          <w:lang w:eastAsia="en-CA"/>
        </w:rPr>
      </w:pPr>
      <w:r>
        <w:rPr>
          <w:i/>
          <w:sz w:val="20"/>
        </w:rPr>
        <w:br w:type="page"/>
      </w:r>
    </w:p>
    <w:p w:rsidR="004E6236" w:rsidRDefault="004E6236" w:rsidP="004E6236">
      <w:pPr>
        <w:pStyle w:val="SCCNormalDoubleSpacing"/>
        <w:spacing w:line="240" w:lineRule="auto"/>
        <w:rPr>
          <w:i/>
          <w:sz w:val="20"/>
        </w:rPr>
      </w:pPr>
      <w:r w:rsidRPr="001D2355">
        <w:rPr>
          <w:i/>
          <w:sz w:val="20"/>
        </w:rPr>
        <w:lastRenderedPageBreak/>
        <w:tab/>
      </w:r>
      <w:r w:rsidRPr="001D2355">
        <w:rPr>
          <w:rStyle w:val="SCCCounselPartyRoleChar"/>
          <w:i/>
          <w:sz w:val="20"/>
        </w:rPr>
        <w:t>Solicitors</w:t>
      </w:r>
      <w:r w:rsidRPr="001D2355">
        <w:rPr>
          <w:i/>
          <w:sz w:val="20"/>
        </w:rPr>
        <w:t xml:space="preserve"> for the intervener the Chiefs of Ontario:  </w:t>
      </w:r>
      <w:proofErr w:type="spellStart"/>
      <w:r w:rsidRPr="001D2355">
        <w:rPr>
          <w:i/>
          <w:sz w:val="20"/>
        </w:rPr>
        <w:t>Nahwegahbow</w:t>
      </w:r>
      <w:proofErr w:type="spellEnd"/>
      <w:r w:rsidRPr="001D2355">
        <w:rPr>
          <w:i/>
          <w:sz w:val="20"/>
        </w:rPr>
        <w:t xml:space="preserve">, </w:t>
      </w:r>
      <w:proofErr w:type="spellStart"/>
      <w:r w:rsidRPr="001D2355">
        <w:rPr>
          <w:i/>
          <w:sz w:val="20"/>
        </w:rPr>
        <w:t>Corbiere</w:t>
      </w:r>
      <w:proofErr w:type="spellEnd"/>
      <w:r w:rsidRPr="001D2355">
        <w:rPr>
          <w:i/>
          <w:sz w:val="20"/>
        </w:rPr>
        <w:t xml:space="preserve"> </w:t>
      </w:r>
      <w:proofErr w:type="spellStart"/>
      <w:r w:rsidRPr="001D2355">
        <w:rPr>
          <w:i/>
          <w:sz w:val="20"/>
        </w:rPr>
        <w:t>Genoodmagejig</w:t>
      </w:r>
      <w:proofErr w:type="spellEnd"/>
      <w:r w:rsidRPr="001D2355">
        <w:rPr>
          <w:i/>
          <w:sz w:val="20"/>
        </w:rPr>
        <w:t>, Rama.</w:t>
      </w:r>
    </w:p>
    <w:p w:rsidR="00337A1B" w:rsidRDefault="00337A1B" w:rsidP="003B3977">
      <w:pPr>
        <w:rPr>
          <w:sz w:val="20"/>
          <w:szCs w:val="20"/>
        </w:rPr>
      </w:pPr>
    </w:p>
    <w:p w:rsidR="00337A1B" w:rsidRDefault="001557DD" w:rsidP="003B3977">
      <w:pPr>
        <w:rPr>
          <w:sz w:val="20"/>
          <w:szCs w:val="20"/>
        </w:rPr>
      </w:pPr>
      <w:r w:rsidRPr="001557DD">
        <w:rPr>
          <w:rFonts w:cs="Times New Roman"/>
          <w:sz w:val="20"/>
          <w:szCs w:val="20"/>
          <w:lang w:val="fr-CA"/>
        </w:rPr>
        <w:pict>
          <v:rect id="_x0000_i1060" style="width:144.3pt;height:1pt" o:hrpct="300" o:hralign="center" o:hrstd="t" o:hrnoshade="t" o:hr="t" fillcolor="black [3213]" stroked="f"/>
        </w:pict>
      </w:r>
    </w:p>
    <w:p w:rsidR="00337A1B" w:rsidRDefault="00337A1B">
      <w:pPr>
        <w:rPr>
          <w:sz w:val="20"/>
          <w:szCs w:val="20"/>
        </w:rPr>
      </w:pPr>
      <w:r>
        <w:rPr>
          <w:sz w:val="20"/>
          <w:szCs w:val="20"/>
        </w:rPr>
        <w:br w:type="page"/>
      </w:r>
    </w:p>
    <w:p w:rsidR="00337A1B" w:rsidRDefault="00337A1B" w:rsidP="00337A1B">
      <w:pPr>
        <w:tabs>
          <w:tab w:val="left" w:pos="-1440"/>
        </w:tabs>
        <w:ind w:left="720" w:hanging="720"/>
        <w:jc w:val="both"/>
        <w:rPr>
          <w:sz w:val="20"/>
          <w:szCs w:val="20"/>
          <w:lang w:val="en-GB"/>
        </w:rPr>
      </w:pPr>
      <w:r w:rsidRPr="00286FB0">
        <w:rPr>
          <w:i/>
          <w:sz w:val="20"/>
          <w:szCs w:val="20"/>
          <w:lang w:val="fr-CA"/>
        </w:rPr>
        <w:lastRenderedPageBreak/>
        <w:t xml:space="preserve">Alexandre </w:t>
      </w:r>
      <w:proofErr w:type="spellStart"/>
      <w:r w:rsidRPr="00286FB0">
        <w:rPr>
          <w:i/>
          <w:sz w:val="20"/>
          <w:szCs w:val="20"/>
          <w:lang w:val="fr-CA"/>
        </w:rPr>
        <w:t>Dubé</w:t>
      </w:r>
      <w:proofErr w:type="spellEnd"/>
      <w:r w:rsidRPr="00286FB0">
        <w:rPr>
          <w:i/>
          <w:sz w:val="20"/>
          <w:szCs w:val="20"/>
          <w:lang w:val="fr-CA"/>
        </w:rPr>
        <w:t xml:space="preserve"> c. Sa Majesté la Reine</w:t>
      </w:r>
      <w:r w:rsidRPr="00286FB0">
        <w:rPr>
          <w:sz w:val="20"/>
          <w:szCs w:val="20"/>
          <w:lang w:val="fr-CA"/>
        </w:rPr>
        <w:t xml:space="preserve"> </w:t>
      </w:r>
      <w:r w:rsidRPr="00286FB0">
        <w:rPr>
          <w:bCs/>
          <w:sz w:val="20"/>
          <w:szCs w:val="20"/>
          <w:lang w:val="fr-CA"/>
        </w:rPr>
        <w:t xml:space="preserve">(C.F.) </w:t>
      </w:r>
      <w:r w:rsidRPr="00286FB0">
        <w:rPr>
          <w:bCs/>
          <w:sz w:val="20"/>
          <w:szCs w:val="20"/>
          <w:lang w:val="en-GB"/>
        </w:rPr>
        <w:t>(</w:t>
      </w:r>
      <w:r w:rsidRPr="00286FB0">
        <w:rPr>
          <w:sz w:val="20"/>
          <w:szCs w:val="20"/>
          <w:lang w:val="en-GB"/>
        </w:rPr>
        <w:t>33194)</w:t>
      </w:r>
    </w:p>
    <w:p w:rsidR="00D54753" w:rsidRPr="0025792C" w:rsidRDefault="00D54753" w:rsidP="00D54753">
      <w:pPr>
        <w:jc w:val="both"/>
        <w:rPr>
          <w:rFonts w:cs="Times New Roman"/>
          <w:b/>
          <w:sz w:val="20"/>
          <w:szCs w:val="20"/>
        </w:rPr>
      </w:pPr>
      <w:r w:rsidRPr="0029698A">
        <w:rPr>
          <w:rFonts w:cs="Times New Roman"/>
          <w:b/>
          <w:sz w:val="20"/>
          <w:szCs w:val="20"/>
        </w:rPr>
        <w:t xml:space="preserve">Indexed as:  </w:t>
      </w:r>
      <w:proofErr w:type="spellStart"/>
      <w:r w:rsidRPr="00D54753">
        <w:rPr>
          <w:rStyle w:val="SCCAppellantForIndexChar"/>
          <w:rFonts w:eastAsiaTheme="minorHAnsi"/>
          <w:sz w:val="20"/>
          <w:lang w:val="en-CA"/>
        </w:rPr>
        <w:t>Dubé</w:t>
      </w:r>
      <w:proofErr w:type="spellEnd"/>
      <w:r w:rsidRPr="0029698A">
        <w:rPr>
          <w:rFonts w:cs="Times New Roman"/>
          <w:b/>
          <w:sz w:val="20"/>
          <w:szCs w:val="20"/>
        </w:rPr>
        <w:t xml:space="preserve"> </w:t>
      </w:r>
      <w:r w:rsidRPr="0029698A">
        <w:rPr>
          <w:rFonts w:cs="Times New Roman"/>
          <w:b/>
          <w:i/>
          <w:sz w:val="20"/>
          <w:szCs w:val="20"/>
        </w:rPr>
        <w:t>v.</w:t>
      </w:r>
      <w:r w:rsidRPr="0029698A">
        <w:rPr>
          <w:rFonts w:cs="Times New Roman"/>
          <w:b/>
          <w:sz w:val="20"/>
          <w:szCs w:val="20"/>
        </w:rPr>
        <w:t xml:space="preserve"> Canada</w:t>
      </w:r>
      <w:r>
        <w:rPr>
          <w:rFonts w:cs="Times New Roman"/>
          <w:b/>
          <w:sz w:val="20"/>
          <w:szCs w:val="20"/>
        </w:rPr>
        <w:t xml:space="preserve"> / </w:t>
      </w:r>
      <w:proofErr w:type="spellStart"/>
      <w:proofErr w:type="gramStart"/>
      <w:r w:rsidRPr="0025792C">
        <w:rPr>
          <w:rFonts w:cs="Times New Roman"/>
          <w:b/>
          <w:sz w:val="20"/>
          <w:szCs w:val="20"/>
        </w:rPr>
        <w:t>Répertorié</w:t>
      </w:r>
      <w:proofErr w:type="spellEnd"/>
      <w:r w:rsidRPr="0025792C">
        <w:rPr>
          <w:rFonts w:cs="Times New Roman"/>
          <w:b/>
          <w:sz w:val="20"/>
          <w:szCs w:val="20"/>
        </w:rPr>
        <w:t> :</w:t>
      </w:r>
      <w:proofErr w:type="gramEnd"/>
      <w:r w:rsidRPr="0025792C">
        <w:rPr>
          <w:rFonts w:cs="Times New Roman"/>
          <w:b/>
          <w:sz w:val="20"/>
          <w:szCs w:val="20"/>
        </w:rPr>
        <w:t> </w:t>
      </w:r>
      <w:proofErr w:type="spellStart"/>
      <w:r w:rsidRPr="005C033C">
        <w:rPr>
          <w:rStyle w:val="SCCAppellantForIndexChar"/>
          <w:rFonts w:eastAsiaTheme="minorHAnsi"/>
          <w:sz w:val="20"/>
          <w:lang w:val="en-CA"/>
        </w:rPr>
        <w:t>Dubé</w:t>
      </w:r>
      <w:proofErr w:type="spellEnd"/>
      <w:r w:rsidRPr="0025792C">
        <w:rPr>
          <w:rFonts w:cs="Times New Roman"/>
          <w:b/>
          <w:sz w:val="20"/>
          <w:szCs w:val="20"/>
        </w:rPr>
        <w:t xml:space="preserve"> </w:t>
      </w:r>
      <w:r w:rsidRPr="0025792C">
        <w:rPr>
          <w:rFonts w:cs="Times New Roman"/>
          <w:b/>
          <w:i/>
          <w:sz w:val="20"/>
          <w:szCs w:val="20"/>
        </w:rPr>
        <w:t>c.</w:t>
      </w:r>
      <w:r w:rsidRPr="0025792C">
        <w:rPr>
          <w:rFonts w:cs="Times New Roman"/>
          <w:b/>
          <w:sz w:val="20"/>
          <w:szCs w:val="20"/>
        </w:rPr>
        <w:t xml:space="preserve"> Canada</w:t>
      </w:r>
    </w:p>
    <w:p w:rsidR="00337A1B" w:rsidRPr="005C033C" w:rsidRDefault="00337A1B" w:rsidP="00337A1B">
      <w:pPr>
        <w:pStyle w:val="SCCSystemYear"/>
        <w:jc w:val="both"/>
        <w:rPr>
          <w:sz w:val="20"/>
          <w:lang w:val="en-CA"/>
        </w:rPr>
      </w:pPr>
      <w:r w:rsidRPr="005C033C">
        <w:rPr>
          <w:sz w:val="20"/>
          <w:lang w:val="en-CA"/>
        </w:rPr>
        <w:t xml:space="preserve">Neutral citation:  2011 SCC 39 / </w:t>
      </w:r>
      <w:proofErr w:type="spellStart"/>
      <w:r w:rsidRPr="005C033C">
        <w:rPr>
          <w:sz w:val="20"/>
          <w:lang w:val="en-CA"/>
        </w:rPr>
        <w:t>Référence</w:t>
      </w:r>
      <w:proofErr w:type="spellEnd"/>
      <w:r w:rsidRPr="005C033C">
        <w:rPr>
          <w:sz w:val="20"/>
          <w:lang w:val="en-CA"/>
        </w:rPr>
        <w:t xml:space="preserve"> </w:t>
      </w:r>
      <w:proofErr w:type="spellStart"/>
      <w:proofErr w:type="gramStart"/>
      <w:r w:rsidRPr="005C033C">
        <w:rPr>
          <w:sz w:val="20"/>
          <w:lang w:val="en-CA"/>
        </w:rPr>
        <w:t>neutre</w:t>
      </w:r>
      <w:proofErr w:type="spellEnd"/>
      <w:r w:rsidRPr="005C033C">
        <w:rPr>
          <w:sz w:val="20"/>
          <w:lang w:val="en-CA"/>
        </w:rPr>
        <w:t xml:space="preserve"> :</w:t>
      </w:r>
      <w:proofErr w:type="gramEnd"/>
      <w:r w:rsidRPr="005C033C">
        <w:rPr>
          <w:sz w:val="20"/>
          <w:lang w:val="en-CA"/>
        </w:rPr>
        <w:t xml:space="preserve"> 2011 CSC 39</w:t>
      </w:r>
    </w:p>
    <w:p w:rsidR="00337A1B" w:rsidRPr="003359D3" w:rsidRDefault="00337A1B" w:rsidP="00337A1B">
      <w:pPr>
        <w:rPr>
          <w:sz w:val="20"/>
          <w:szCs w:val="20"/>
        </w:rPr>
      </w:pPr>
      <w:r w:rsidRPr="003359D3">
        <w:rPr>
          <w:sz w:val="20"/>
          <w:szCs w:val="20"/>
        </w:rPr>
        <w:t>Hearing:  May 2</w:t>
      </w:r>
      <w:r w:rsidR="00D54753">
        <w:rPr>
          <w:sz w:val="20"/>
          <w:szCs w:val="20"/>
        </w:rPr>
        <w:t>0</w:t>
      </w:r>
      <w:r w:rsidRPr="003359D3">
        <w:rPr>
          <w:sz w:val="20"/>
          <w:szCs w:val="20"/>
        </w:rPr>
        <w:t xml:space="preserve">, 2010 / Judgment:  </w:t>
      </w:r>
      <w:r>
        <w:rPr>
          <w:sz w:val="20"/>
          <w:szCs w:val="20"/>
        </w:rPr>
        <w:t>July</w:t>
      </w:r>
      <w:r w:rsidRPr="003359D3">
        <w:rPr>
          <w:sz w:val="20"/>
          <w:szCs w:val="20"/>
        </w:rPr>
        <w:t xml:space="preserve"> </w:t>
      </w:r>
      <w:r>
        <w:rPr>
          <w:sz w:val="20"/>
          <w:szCs w:val="20"/>
        </w:rPr>
        <w:t>2</w:t>
      </w:r>
      <w:r w:rsidRPr="003359D3">
        <w:rPr>
          <w:sz w:val="20"/>
          <w:szCs w:val="20"/>
        </w:rPr>
        <w:t>2, 201</w:t>
      </w:r>
      <w:r>
        <w:rPr>
          <w:sz w:val="20"/>
          <w:szCs w:val="20"/>
        </w:rPr>
        <w:t>1</w:t>
      </w:r>
    </w:p>
    <w:p w:rsidR="00337A1B" w:rsidRPr="003B3977" w:rsidRDefault="00337A1B" w:rsidP="00337A1B">
      <w:pPr>
        <w:rPr>
          <w:sz w:val="20"/>
          <w:szCs w:val="20"/>
          <w:lang w:val="fr-CA"/>
        </w:rPr>
      </w:pPr>
      <w:r w:rsidRPr="003B3977">
        <w:rPr>
          <w:sz w:val="20"/>
          <w:szCs w:val="20"/>
          <w:lang w:val="fr-CA"/>
        </w:rPr>
        <w:t>Audition : Le 2</w:t>
      </w:r>
      <w:r w:rsidR="00D54753">
        <w:rPr>
          <w:sz w:val="20"/>
          <w:szCs w:val="20"/>
          <w:lang w:val="fr-CA"/>
        </w:rPr>
        <w:t>0</w:t>
      </w:r>
      <w:r w:rsidRPr="003B3977">
        <w:rPr>
          <w:sz w:val="20"/>
          <w:szCs w:val="20"/>
          <w:lang w:val="fr-CA"/>
        </w:rPr>
        <w:t xml:space="preserve"> mai 2010 / Jugement : Le 2</w:t>
      </w:r>
      <w:r>
        <w:rPr>
          <w:sz w:val="20"/>
          <w:szCs w:val="20"/>
          <w:lang w:val="fr-CA"/>
        </w:rPr>
        <w:t>2 juillet</w:t>
      </w:r>
      <w:r w:rsidRPr="003B3977">
        <w:rPr>
          <w:sz w:val="20"/>
          <w:szCs w:val="20"/>
          <w:lang w:val="fr-CA"/>
        </w:rPr>
        <w:t xml:space="preserve"> 201</w:t>
      </w:r>
      <w:r>
        <w:rPr>
          <w:sz w:val="20"/>
          <w:szCs w:val="20"/>
          <w:lang w:val="fr-CA"/>
        </w:rPr>
        <w:t>1</w:t>
      </w:r>
    </w:p>
    <w:p w:rsidR="00337A1B" w:rsidRPr="003B3977" w:rsidRDefault="001557DD" w:rsidP="00337A1B">
      <w:pPr>
        <w:rPr>
          <w:sz w:val="20"/>
          <w:szCs w:val="20"/>
          <w:lang w:val="fr-CA"/>
        </w:rPr>
      </w:pPr>
      <w:r w:rsidRPr="001557DD">
        <w:rPr>
          <w:i/>
          <w:sz w:val="20"/>
          <w:szCs w:val="20"/>
        </w:rPr>
        <w:pict>
          <v:rect id="_x0000_i1061" style="width:480.95pt;height:1pt" o:hralign="center" o:hrstd="t" o:hrnoshade="t" o:hr="t" fillcolor="black [3213]" stroked="f"/>
        </w:pict>
      </w:r>
    </w:p>
    <w:p w:rsidR="00337A1B" w:rsidRDefault="00337A1B" w:rsidP="00337A1B">
      <w:pPr>
        <w:spacing w:line="0" w:lineRule="atLeast"/>
        <w:rPr>
          <w:sz w:val="20"/>
          <w:szCs w:val="20"/>
          <w:lang w:val="fr-CA"/>
        </w:rPr>
      </w:pPr>
    </w:p>
    <w:p w:rsidR="00E77C39" w:rsidRPr="00D54753" w:rsidRDefault="00E77C39" w:rsidP="00E77C39">
      <w:pPr>
        <w:jc w:val="both"/>
        <w:rPr>
          <w:rFonts w:cs="Times New Roman"/>
          <w:sz w:val="20"/>
          <w:szCs w:val="20"/>
          <w:lang w:val="fr-CA"/>
        </w:rPr>
      </w:pPr>
      <w:r w:rsidRPr="00D54753">
        <w:rPr>
          <w:rFonts w:cs="Times New Roman"/>
          <w:sz w:val="20"/>
          <w:szCs w:val="20"/>
          <w:lang w:val="fr-CA"/>
        </w:rPr>
        <w:t xml:space="preserve">Présents : La juge en chef </w:t>
      </w:r>
      <w:proofErr w:type="spellStart"/>
      <w:r w:rsidRPr="00D54753">
        <w:rPr>
          <w:rFonts w:cs="Times New Roman"/>
          <w:sz w:val="20"/>
          <w:szCs w:val="20"/>
          <w:lang w:val="fr-CA"/>
        </w:rPr>
        <w:t>McLachlin</w:t>
      </w:r>
      <w:proofErr w:type="spellEnd"/>
      <w:r w:rsidRPr="00D54753">
        <w:rPr>
          <w:rFonts w:cs="Times New Roman"/>
          <w:sz w:val="20"/>
          <w:szCs w:val="20"/>
          <w:lang w:val="fr-CA"/>
        </w:rPr>
        <w:t xml:space="preserve"> et les juges </w:t>
      </w:r>
      <w:proofErr w:type="spellStart"/>
      <w:r w:rsidRPr="00D54753">
        <w:rPr>
          <w:rFonts w:cs="Times New Roman"/>
          <w:sz w:val="20"/>
          <w:szCs w:val="20"/>
          <w:lang w:val="fr-CA"/>
        </w:rPr>
        <w:t>Binnie</w:t>
      </w:r>
      <w:proofErr w:type="spellEnd"/>
      <w:r w:rsidRPr="00D54753">
        <w:rPr>
          <w:rFonts w:cs="Times New Roman"/>
          <w:sz w:val="20"/>
          <w:szCs w:val="20"/>
          <w:lang w:val="fr-CA"/>
        </w:rPr>
        <w:t xml:space="preserve">, Deschamps, Fish, Charron, </w:t>
      </w:r>
      <w:proofErr w:type="spellStart"/>
      <w:r w:rsidRPr="00D54753">
        <w:rPr>
          <w:rFonts w:cs="Times New Roman"/>
          <w:sz w:val="20"/>
          <w:szCs w:val="20"/>
          <w:lang w:val="fr-CA"/>
        </w:rPr>
        <w:t>Rothstein</w:t>
      </w:r>
      <w:proofErr w:type="spellEnd"/>
      <w:r w:rsidRPr="00D54753">
        <w:rPr>
          <w:rFonts w:cs="Times New Roman"/>
          <w:sz w:val="20"/>
          <w:szCs w:val="20"/>
          <w:lang w:val="fr-CA"/>
        </w:rPr>
        <w:t xml:space="preserve"> et Cromwell.</w:t>
      </w:r>
    </w:p>
    <w:p w:rsidR="00E77C39" w:rsidRPr="00D54753" w:rsidRDefault="00E77C39" w:rsidP="00E77C39">
      <w:pPr>
        <w:pStyle w:val="SCCLowerCourtNameLowercase"/>
        <w:spacing w:line="240" w:lineRule="auto"/>
        <w:rPr>
          <w:sz w:val="20"/>
          <w:lang w:val="fr-CA"/>
        </w:rPr>
      </w:pPr>
    </w:p>
    <w:p w:rsidR="00E77C39" w:rsidRPr="00D54753" w:rsidRDefault="00E77C39" w:rsidP="00E77C39">
      <w:pPr>
        <w:pStyle w:val="SCCNormalDoubleSpacing"/>
        <w:spacing w:line="240" w:lineRule="auto"/>
        <w:rPr>
          <w:i/>
          <w:sz w:val="20"/>
          <w:lang w:val="fr-CA"/>
        </w:rPr>
      </w:pPr>
      <w:r w:rsidRPr="00D54753">
        <w:rPr>
          <w:sz w:val="20"/>
          <w:lang w:val="fr-CA"/>
        </w:rPr>
        <w:tab/>
      </w:r>
      <w:r w:rsidRPr="00D54753">
        <w:rPr>
          <w:i/>
          <w:sz w:val="20"/>
          <w:lang w:val="fr-CA"/>
        </w:rPr>
        <w:t xml:space="preserve">Droit des Autochtones — Droit fiscal — Exemptions — Revenu en intérêts — Revenu d’un Indien inscrit ayant vécu un certain temps hors réserve placé dans des dépôts à terme d’une caisse populaire située sur une réserve — Revenu en intérêts tiré des dépôts à terme versé et déposé dans un compte d’épargne — Le revenu en intérêts </w:t>
      </w:r>
      <w:proofErr w:type="spellStart"/>
      <w:r w:rsidRPr="00D54753">
        <w:rPr>
          <w:i/>
          <w:spacing w:val="-3"/>
          <w:sz w:val="20"/>
          <w:lang w:val="fr-CA"/>
        </w:rPr>
        <w:t>était</w:t>
      </w:r>
      <w:r w:rsidRPr="00D54753">
        <w:rPr>
          <w:i/>
          <w:spacing w:val="-3"/>
          <w:sz w:val="20"/>
          <w:lang w:val="fr-CA"/>
        </w:rPr>
        <w:noBreakHyphen/>
        <w:t>il</w:t>
      </w:r>
      <w:proofErr w:type="spellEnd"/>
      <w:r w:rsidRPr="00D54753">
        <w:rPr>
          <w:i/>
          <w:spacing w:val="-3"/>
          <w:sz w:val="20"/>
          <w:lang w:val="fr-CA"/>
        </w:rPr>
        <w:t xml:space="preserve"> exempté de l’impôt sur le revenu à titre de bien meuble « situé sur une réserve »?</w:t>
      </w:r>
      <w:r w:rsidRPr="00D54753">
        <w:rPr>
          <w:i/>
          <w:sz w:val="20"/>
          <w:lang w:val="fr-CA"/>
        </w:rPr>
        <w:t xml:space="preserve"> — Méthode des facteurs de rattachement pour la détermination de l’emplacement d’un bien meuble immatériel — Poids accordé à la résidence du créancier, à la source de l’argent placé et au lieu où le revenu de placements a été dépensé — Loi sur les Indiens, L.R.C. 1985, ch. I</w:t>
      </w:r>
      <w:r w:rsidRPr="00D54753">
        <w:rPr>
          <w:i/>
          <w:sz w:val="20"/>
          <w:lang w:val="fr-CA"/>
        </w:rPr>
        <w:noBreakHyphen/>
        <w:t>5, art. 87(1)b).</w:t>
      </w:r>
    </w:p>
    <w:p w:rsidR="00E77C39" w:rsidRPr="00D54753" w:rsidRDefault="00E77C39" w:rsidP="00E77C39">
      <w:pPr>
        <w:pStyle w:val="SCCNormalDoubleSpacing"/>
        <w:spacing w:line="240" w:lineRule="auto"/>
        <w:rPr>
          <w:i/>
          <w:sz w:val="20"/>
          <w:lang w:val="fr-CA"/>
        </w:rPr>
      </w:pPr>
    </w:p>
    <w:p w:rsidR="00E77C39" w:rsidRPr="00D54753" w:rsidRDefault="00E77C39" w:rsidP="00E77C39">
      <w:pPr>
        <w:pStyle w:val="SCCNormalDoubleSpacing"/>
        <w:spacing w:line="240" w:lineRule="auto"/>
        <w:rPr>
          <w:i/>
          <w:sz w:val="20"/>
          <w:lang w:val="fr-CA"/>
        </w:rPr>
      </w:pPr>
      <w:r w:rsidRPr="00D54753">
        <w:rPr>
          <w:i/>
          <w:sz w:val="20"/>
          <w:lang w:val="fr-CA"/>
        </w:rPr>
        <w:tab/>
        <w:t xml:space="preserve">Droit fiscal — Impôt sur le revenu — Exemptions — Revenu d’un bien — Revenu en intérêts tiré de dépôts à terme par un Indien inscrit déposé dans son compte d’épargne sur une réserve — Le revenu en intérêts </w:t>
      </w:r>
      <w:proofErr w:type="spellStart"/>
      <w:r w:rsidRPr="00D54753">
        <w:rPr>
          <w:i/>
          <w:spacing w:val="-3"/>
          <w:sz w:val="20"/>
          <w:lang w:val="fr-CA"/>
        </w:rPr>
        <w:t>était</w:t>
      </w:r>
      <w:r w:rsidRPr="00D54753">
        <w:rPr>
          <w:i/>
          <w:spacing w:val="-3"/>
          <w:sz w:val="20"/>
          <w:lang w:val="fr-CA"/>
        </w:rPr>
        <w:noBreakHyphen/>
        <w:t>il</w:t>
      </w:r>
      <w:proofErr w:type="spellEnd"/>
      <w:r w:rsidRPr="00D54753">
        <w:rPr>
          <w:i/>
          <w:spacing w:val="-3"/>
          <w:sz w:val="20"/>
          <w:lang w:val="fr-CA"/>
        </w:rPr>
        <w:t xml:space="preserve"> exempté de taxation à titre de « bien meuble d’un Indien situé sur une réserve »?</w:t>
      </w:r>
      <w:r w:rsidRPr="00D54753">
        <w:rPr>
          <w:i/>
          <w:sz w:val="20"/>
          <w:lang w:val="fr-CA"/>
        </w:rPr>
        <w:t xml:space="preserve"> — Loi de l’impôt sur le revenu, L.R.C. 1985, ch. 1 (5</w:t>
      </w:r>
      <w:r w:rsidRPr="00D54753">
        <w:rPr>
          <w:i/>
          <w:sz w:val="20"/>
          <w:vertAlign w:val="superscript"/>
          <w:lang w:val="fr-CA"/>
        </w:rPr>
        <w:t>e</w:t>
      </w:r>
      <w:r w:rsidRPr="00D54753">
        <w:rPr>
          <w:i/>
          <w:sz w:val="20"/>
          <w:lang w:val="fr-CA"/>
        </w:rPr>
        <w:t xml:space="preserve"> suppl.), art. 3, 9 — Loi sur les Indiens, L.R.C. 1985, ch. I</w:t>
      </w:r>
      <w:r w:rsidRPr="00D54753">
        <w:rPr>
          <w:i/>
          <w:sz w:val="20"/>
          <w:lang w:val="fr-CA"/>
        </w:rPr>
        <w:noBreakHyphen/>
        <w:t>5, art. 87(1)b).</w:t>
      </w:r>
    </w:p>
    <w:p w:rsidR="00E77C39" w:rsidRPr="00D54753" w:rsidRDefault="00E77C39" w:rsidP="00E77C39">
      <w:pPr>
        <w:pStyle w:val="SCCNormalDoubleSpacing"/>
        <w:spacing w:line="240" w:lineRule="auto"/>
        <w:rPr>
          <w:i/>
          <w:sz w:val="20"/>
          <w:lang w:val="fr-CA"/>
        </w:rPr>
      </w:pPr>
    </w:p>
    <w:p w:rsidR="00E77C39" w:rsidRPr="00D54753" w:rsidRDefault="00E77C39" w:rsidP="00E77C39">
      <w:pPr>
        <w:pStyle w:val="SCCNormalDoubleSpacing"/>
        <w:spacing w:line="240" w:lineRule="auto"/>
        <w:rPr>
          <w:sz w:val="20"/>
          <w:lang w:val="fr-CA"/>
        </w:rPr>
      </w:pPr>
      <w:r w:rsidRPr="00D54753">
        <w:rPr>
          <w:sz w:val="20"/>
          <w:lang w:val="fr-CA"/>
        </w:rPr>
        <w:tab/>
        <w:t xml:space="preserve">D est un Indien </w:t>
      </w:r>
      <w:proofErr w:type="spellStart"/>
      <w:r w:rsidRPr="00D54753">
        <w:rPr>
          <w:sz w:val="20"/>
          <w:lang w:val="fr-CA"/>
        </w:rPr>
        <w:t>attikamek</w:t>
      </w:r>
      <w:proofErr w:type="spellEnd"/>
      <w:r w:rsidRPr="00D54753">
        <w:rPr>
          <w:sz w:val="20"/>
          <w:lang w:val="fr-CA"/>
        </w:rPr>
        <w:t>, qui est membre de la réserve d’</w:t>
      </w:r>
      <w:proofErr w:type="spellStart"/>
      <w:r w:rsidRPr="00D54753">
        <w:rPr>
          <w:sz w:val="20"/>
          <w:lang w:val="fr-CA"/>
        </w:rPr>
        <w:t>Obedjiwan</w:t>
      </w:r>
      <w:proofErr w:type="spellEnd"/>
      <w:r w:rsidRPr="00D54753">
        <w:rPr>
          <w:sz w:val="20"/>
          <w:lang w:val="fr-CA"/>
        </w:rPr>
        <w:t xml:space="preserve"> depuis sa naissance.  Au cours des années pertinentes, D a vécu pendant un certain temps hors réserve et a été propriétaire de biens immeubles situés à l’extérieur de la réserve.  Comme il n’y a aucune institution financière sur la réserve d’</w:t>
      </w:r>
      <w:proofErr w:type="spellStart"/>
      <w:r w:rsidRPr="00D54753">
        <w:rPr>
          <w:sz w:val="20"/>
          <w:lang w:val="fr-CA"/>
        </w:rPr>
        <w:t>Obedjiwan</w:t>
      </w:r>
      <w:proofErr w:type="spellEnd"/>
      <w:r w:rsidRPr="00D54753">
        <w:rPr>
          <w:sz w:val="20"/>
          <w:lang w:val="fr-CA"/>
        </w:rPr>
        <w:t xml:space="preserve">, D a utilisé les services de la Caisse populaire Desjardins de </w:t>
      </w:r>
      <w:proofErr w:type="spellStart"/>
      <w:r w:rsidRPr="00D54753">
        <w:rPr>
          <w:sz w:val="20"/>
          <w:lang w:val="fr-CA"/>
        </w:rPr>
        <w:t>Pointe</w:t>
      </w:r>
      <w:r w:rsidRPr="00D54753">
        <w:rPr>
          <w:sz w:val="20"/>
          <w:lang w:val="fr-CA"/>
        </w:rPr>
        <w:noBreakHyphen/>
        <w:t>Bleue</w:t>
      </w:r>
      <w:proofErr w:type="spellEnd"/>
      <w:r w:rsidRPr="00D54753">
        <w:rPr>
          <w:sz w:val="20"/>
          <w:lang w:val="fr-CA"/>
        </w:rPr>
        <w:t xml:space="preserve"> qui est située sur la réserve de </w:t>
      </w:r>
      <w:proofErr w:type="spellStart"/>
      <w:r w:rsidRPr="00D54753">
        <w:rPr>
          <w:sz w:val="20"/>
          <w:lang w:val="fr-CA"/>
        </w:rPr>
        <w:t>Mashteuiatsh</w:t>
      </w:r>
      <w:proofErr w:type="spellEnd"/>
      <w:r w:rsidRPr="00D54753">
        <w:rPr>
          <w:sz w:val="20"/>
          <w:lang w:val="fr-CA"/>
        </w:rPr>
        <w:t xml:space="preserve">.  Il a tiré un revenu en intérêts des dépôts à terme émis par la Caisse et ce revenu  a été déposé dans un compte d’épargne à la Caisse.  Le ministre du Revenu national a établi un avis de cotisation dans lequel il a inclus le revenu de placements de D dans le calcul de son revenu pour chacune des années d’imposition de 1997 à 2002.  Le ministre a refusé de considérer ce revenu comme un bien exempté de taxation en vertu de l’art. 87 de la </w:t>
      </w:r>
      <w:r w:rsidRPr="00D54753">
        <w:rPr>
          <w:i/>
          <w:sz w:val="20"/>
          <w:lang w:val="fr-CA"/>
        </w:rPr>
        <w:t>Loi sur les Indiens</w:t>
      </w:r>
      <w:r w:rsidRPr="00D54753">
        <w:rPr>
          <w:sz w:val="20"/>
          <w:lang w:val="fr-CA"/>
        </w:rPr>
        <w:t>.  L’avis de cotisation a été confirmé et D a été débouté en appel à la Cour canadienne de l’impôt et à la Cour d’appel fédérale.</w:t>
      </w:r>
    </w:p>
    <w:p w:rsidR="00E77C39" w:rsidRPr="00D54753" w:rsidRDefault="00E77C39" w:rsidP="00E77C39">
      <w:pPr>
        <w:pStyle w:val="SCCNormalDoubleSpacing"/>
        <w:spacing w:line="240" w:lineRule="auto"/>
        <w:rPr>
          <w:sz w:val="20"/>
          <w:lang w:val="fr-CA"/>
        </w:rPr>
      </w:pPr>
    </w:p>
    <w:p w:rsidR="00E77C39" w:rsidRPr="00D54753" w:rsidRDefault="00E77C39" w:rsidP="00E77C39">
      <w:pPr>
        <w:pStyle w:val="SCCNormalDoubleSpacing"/>
        <w:spacing w:line="240" w:lineRule="auto"/>
        <w:rPr>
          <w:sz w:val="20"/>
          <w:lang w:val="fr-CA"/>
        </w:rPr>
      </w:pPr>
      <w:r w:rsidRPr="00D54753">
        <w:rPr>
          <w:sz w:val="20"/>
          <w:lang w:val="fr-CA"/>
        </w:rPr>
        <w:tab/>
      </w:r>
      <w:r w:rsidRPr="00D54753">
        <w:rPr>
          <w:i/>
          <w:sz w:val="20"/>
          <w:lang w:val="fr-CA"/>
        </w:rPr>
        <w:t>Arrêt </w:t>
      </w:r>
      <w:r w:rsidRPr="00D54753">
        <w:rPr>
          <w:sz w:val="20"/>
          <w:lang w:val="fr-CA"/>
        </w:rPr>
        <w:t xml:space="preserve">(les juges Deschamps et </w:t>
      </w:r>
      <w:proofErr w:type="spellStart"/>
      <w:r w:rsidRPr="00D54753">
        <w:rPr>
          <w:sz w:val="20"/>
          <w:lang w:val="fr-CA"/>
        </w:rPr>
        <w:t>Rothstein</w:t>
      </w:r>
      <w:proofErr w:type="spellEnd"/>
      <w:r w:rsidRPr="00D54753">
        <w:rPr>
          <w:sz w:val="20"/>
          <w:lang w:val="fr-CA"/>
        </w:rPr>
        <w:t xml:space="preserve"> sont dissidents)</w:t>
      </w:r>
      <w:proofErr w:type="gramStart"/>
      <w:r w:rsidRPr="00D54753">
        <w:rPr>
          <w:sz w:val="20"/>
          <w:lang w:val="fr-CA"/>
        </w:rPr>
        <w:t>:</w:t>
      </w:r>
      <w:r w:rsidRPr="00D54753">
        <w:rPr>
          <w:i/>
          <w:sz w:val="20"/>
          <w:lang w:val="fr-CA"/>
        </w:rPr>
        <w:t xml:space="preserve">  </w:t>
      </w:r>
      <w:r w:rsidRPr="00D54753">
        <w:rPr>
          <w:sz w:val="20"/>
          <w:lang w:val="fr-CA"/>
        </w:rPr>
        <w:t>Le</w:t>
      </w:r>
      <w:proofErr w:type="gramEnd"/>
      <w:r w:rsidRPr="00D54753">
        <w:rPr>
          <w:sz w:val="20"/>
          <w:lang w:val="fr-CA"/>
        </w:rPr>
        <w:t xml:space="preserve"> pourvoi est accueilli.  </w:t>
      </w:r>
    </w:p>
    <w:p w:rsidR="00E77C39" w:rsidRPr="00D54753" w:rsidRDefault="00E77C39" w:rsidP="00E77C39">
      <w:pPr>
        <w:pStyle w:val="SCCNormalDoubleSpacing"/>
        <w:spacing w:line="240" w:lineRule="auto"/>
        <w:rPr>
          <w:sz w:val="20"/>
          <w:lang w:val="fr-CA"/>
        </w:rPr>
      </w:pPr>
    </w:p>
    <w:p w:rsidR="00E77C39" w:rsidRPr="00D54753" w:rsidRDefault="00E77C39" w:rsidP="00E77C39">
      <w:pPr>
        <w:pStyle w:val="SCCNormalDoubleSpacing"/>
        <w:spacing w:line="240" w:lineRule="auto"/>
        <w:rPr>
          <w:sz w:val="20"/>
          <w:lang w:val="fr-CA"/>
        </w:rPr>
      </w:pPr>
      <w:r w:rsidRPr="00D54753">
        <w:rPr>
          <w:sz w:val="20"/>
          <w:lang w:val="fr-CA"/>
        </w:rPr>
        <w:tab/>
        <w:t xml:space="preserve">La </w:t>
      </w:r>
      <w:r w:rsidRPr="00D54753">
        <w:rPr>
          <w:i/>
          <w:sz w:val="20"/>
          <w:lang w:val="fr-CA"/>
        </w:rPr>
        <w:t xml:space="preserve">juge en chef </w:t>
      </w:r>
      <w:proofErr w:type="spellStart"/>
      <w:r w:rsidRPr="00D54753">
        <w:rPr>
          <w:sz w:val="20"/>
          <w:lang w:val="fr-CA"/>
        </w:rPr>
        <w:t>McLachlin</w:t>
      </w:r>
      <w:proofErr w:type="spellEnd"/>
      <w:r w:rsidRPr="00D54753">
        <w:rPr>
          <w:sz w:val="20"/>
          <w:lang w:val="fr-CA"/>
        </w:rPr>
        <w:t xml:space="preserve"> et les juges </w:t>
      </w:r>
      <w:proofErr w:type="spellStart"/>
      <w:r w:rsidRPr="00D54753">
        <w:rPr>
          <w:sz w:val="20"/>
          <w:lang w:val="fr-CA"/>
        </w:rPr>
        <w:t>Binnie</w:t>
      </w:r>
      <w:proofErr w:type="spellEnd"/>
      <w:r w:rsidRPr="00D54753">
        <w:rPr>
          <w:sz w:val="20"/>
          <w:lang w:val="fr-CA"/>
        </w:rPr>
        <w:t xml:space="preserve">, Fish, Charron et </w:t>
      </w:r>
      <w:r w:rsidRPr="00D54753">
        <w:rPr>
          <w:b/>
          <w:sz w:val="20"/>
          <w:lang w:val="fr-CA"/>
        </w:rPr>
        <w:t>Cromwell</w:t>
      </w:r>
      <w:r w:rsidRPr="00D54753">
        <w:rPr>
          <w:sz w:val="20"/>
          <w:lang w:val="fr-CA"/>
        </w:rPr>
        <w:t> </w:t>
      </w:r>
      <w:proofErr w:type="gramStart"/>
      <w:r w:rsidRPr="00D54753">
        <w:rPr>
          <w:sz w:val="20"/>
          <w:lang w:val="fr-CA"/>
        </w:rPr>
        <w:t>:  Selon</w:t>
      </w:r>
      <w:proofErr w:type="gramEnd"/>
      <w:r w:rsidRPr="00D54753">
        <w:rPr>
          <w:sz w:val="20"/>
          <w:lang w:val="fr-CA"/>
        </w:rPr>
        <w:t xml:space="preserve"> la démarche analytique décrite dans </w:t>
      </w:r>
      <w:r w:rsidRPr="00D54753">
        <w:rPr>
          <w:i/>
          <w:sz w:val="20"/>
          <w:lang w:val="fr-CA"/>
        </w:rPr>
        <w:t>Succession</w:t>
      </w:r>
      <w:r w:rsidRPr="00D54753">
        <w:rPr>
          <w:sz w:val="20"/>
          <w:lang w:val="fr-CA"/>
        </w:rPr>
        <w:t xml:space="preserve"> </w:t>
      </w:r>
      <w:r w:rsidRPr="00D54753">
        <w:rPr>
          <w:i/>
          <w:sz w:val="20"/>
          <w:lang w:val="fr-CA"/>
        </w:rPr>
        <w:t>Bastien</w:t>
      </w:r>
      <w:r w:rsidRPr="00D54753">
        <w:rPr>
          <w:sz w:val="20"/>
          <w:lang w:val="fr-CA"/>
        </w:rPr>
        <w:t xml:space="preserve"> </w:t>
      </w:r>
      <w:r w:rsidRPr="00D54753">
        <w:rPr>
          <w:i/>
          <w:sz w:val="20"/>
          <w:lang w:val="fr-CA"/>
        </w:rPr>
        <w:t>c. Canada</w:t>
      </w:r>
      <w:r w:rsidRPr="00D54753">
        <w:rPr>
          <w:sz w:val="20"/>
          <w:lang w:val="fr-CA"/>
        </w:rPr>
        <w:t xml:space="preserve">, 2011 CSC 38, </w:t>
      </w:r>
      <w:r w:rsidRPr="00D54753">
        <w:rPr>
          <w:spacing w:val="-3"/>
          <w:sz w:val="20"/>
          <w:lang w:val="fr-CA"/>
        </w:rPr>
        <w:t>tant le fond que la forme</w:t>
      </w:r>
      <w:r w:rsidRPr="00D54753">
        <w:rPr>
          <w:sz w:val="20"/>
          <w:lang w:val="fr-CA"/>
        </w:rPr>
        <w:t xml:space="preserve"> des dépôts à terme </w:t>
      </w:r>
      <w:r w:rsidRPr="00D54753">
        <w:rPr>
          <w:spacing w:val="-3"/>
          <w:sz w:val="20"/>
          <w:lang w:val="fr-CA"/>
        </w:rPr>
        <w:t>rattachent fortement le revenu en intérêts à une réserve</w:t>
      </w:r>
      <w:r w:rsidRPr="00D54753">
        <w:rPr>
          <w:sz w:val="20"/>
          <w:lang w:val="fr-CA"/>
        </w:rPr>
        <w:t xml:space="preserve">.  </w:t>
      </w:r>
      <w:r w:rsidRPr="00D54753">
        <w:rPr>
          <w:spacing w:val="-3"/>
          <w:sz w:val="20"/>
          <w:lang w:val="fr-CA"/>
        </w:rPr>
        <w:t>Le revenu en intérêts est issu d’une obligation contractuelle de verser des sommes d’argent fixes sur une réserve, en vertu d’un contrat conclu sur cette réserve avec une institution qui exerce ses activités sur cette réserve</w:t>
      </w:r>
      <w:r w:rsidRPr="00D54753">
        <w:rPr>
          <w:sz w:val="20"/>
          <w:lang w:val="fr-CA"/>
        </w:rPr>
        <w:t xml:space="preserve">.  Une analyse axée sur la nature du bien du contribuable, par opposition à la source des revenus de la Caisse, indique que la production et le paiement du revenu sont fortement rattachés à une réserve.  </w:t>
      </w:r>
      <w:r w:rsidRPr="00D54753">
        <w:rPr>
          <w:spacing w:val="-3"/>
          <w:sz w:val="20"/>
          <w:lang w:val="fr-CA"/>
        </w:rPr>
        <w:t xml:space="preserve">Par conséquent, </w:t>
      </w:r>
      <w:r w:rsidRPr="00D54753">
        <w:rPr>
          <w:sz w:val="20"/>
          <w:lang w:val="fr-CA"/>
        </w:rPr>
        <w:t>les facteurs de rattachement du lieu de la conclusion du contrat, de l’emplacement de la Caisse et du lieu du paiement, examinés en fonction du genre de bien, de la nature de l’imposition du bien et de l’objet de l’exemption, devraient se voir accorder un poids très important.</w:t>
      </w:r>
    </w:p>
    <w:p w:rsidR="00E77C39" w:rsidRPr="00D54753" w:rsidRDefault="00E77C39" w:rsidP="00E77C39">
      <w:pPr>
        <w:pStyle w:val="SCCNormalDoubleSpacing"/>
        <w:spacing w:line="240" w:lineRule="auto"/>
        <w:rPr>
          <w:sz w:val="20"/>
          <w:lang w:val="fr-CA"/>
        </w:rPr>
      </w:pPr>
    </w:p>
    <w:p w:rsidR="00E77C39" w:rsidRPr="00D54753" w:rsidRDefault="00E77C39" w:rsidP="00E77C39">
      <w:pPr>
        <w:pStyle w:val="SCCNormalDoubleSpacing"/>
        <w:spacing w:line="240" w:lineRule="auto"/>
        <w:rPr>
          <w:sz w:val="20"/>
          <w:lang w:val="fr-CA"/>
        </w:rPr>
      </w:pPr>
      <w:r w:rsidRPr="00D54753">
        <w:rPr>
          <w:sz w:val="20"/>
          <w:lang w:val="fr-CA"/>
        </w:rPr>
        <w:tab/>
        <w:t xml:space="preserve">Malgré les différences factuelles entre l’affaire </w:t>
      </w:r>
      <w:r w:rsidRPr="00D54753">
        <w:rPr>
          <w:i/>
          <w:sz w:val="20"/>
          <w:lang w:val="fr-CA"/>
        </w:rPr>
        <w:t xml:space="preserve">Bastien </w:t>
      </w:r>
      <w:r w:rsidRPr="00D54753">
        <w:rPr>
          <w:sz w:val="20"/>
          <w:lang w:val="fr-CA"/>
        </w:rPr>
        <w:t xml:space="preserve">et la présente affaire, tous les facteurs pertinents désignent la réserve de </w:t>
      </w:r>
      <w:proofErr w:type="spellStart"/>
      <w:r w:rsidRPr="00D54753">
        <w:rPr>
          <w:sz w:val="20"/>
          <w:lang w:val="fr-CA"/>
        </w:rPr>
        <w:t>Mashteuiatsh</w:t>
      </w:r>
      <w:proofErr w:type="spellEnd"/>
      <w:r w:rsidRPr="00D54753">
        <w:rPr>
          <w:sz w:val="20"/>
          <w:lang w:val="fr-CA"/>
        </w:rPr>
        <w:t xml:space="preserve"> comme emplacement du revenu en intérêts et D devrait donc avoir droit à l’exemption fiscale établie par l’art. 87.  Le fait que la Caisse n’était pas située sur la réserve de D et le fait que la résidence principale de D n’était pas située sur une réserve, bien que potentiellement pertinents, doivent se voir accorder peu d’importance lorsqu’ils sont examinés en fonction du genre de bien, de la nature de l’imposition en cause et de l’objet de l’exemption.  L’exemption fiscale vise les biens meubles d’un Indien situés sur « une » réserve et non pas les biens d’un Indien situés sur « sa propre » réserve.  De plus, compte tenu de la force des facteurs de rattachement concernant le lieu où le contrat de placement a été conclu et où il devait être exécuté et le lieu de l’établissement de la Caisse, le fait que la majeure partie du capital investi ne provenait pas des activités sur une réserve qui sont exonérées d’impôt n’atténue pas sensiblement le lien entre le revenu et la réserve de </w:t>
      </w:r>
      <w:proofErr w:type="spellStart"/>
      <w:r w:rsidRPr="00D54753">
        <w:rPr>
          <w:sz w:val="20"/>
          <w:lang w:val="fr-CA"/>
        </w:rPr>
        <w:t>Mashteuiatsh</w:t>
      </w:r>
      <w:proofErr w:type="spellEnd"/>
      <w:r w:rsidRPr="00D54753">
        <w:rPr>
          <w:sz w:val="20"/>
          <w:lang w:val="fr-CA"/>
        </w:rPr>
        <w:t xml:space="preserve">.  Enfin, compte tenu du genre de bien, de la nature de l’imposition du bien et de l’objet de l’imposition, l’endroit où D a dépensé le revenu de </w:t>
      </w:r>
      <w:r w:rsidRPr="00D54753">
        <w:rPr>
          <w:sz w:val="20"/>
          <w:lang w:val="fr-CA"/>
        </w:rPr>
        <w:lastRenderedPageBreak/>
        <w:t xml:space="preserve">placements n’est pas un facteur de rattachement pertinent pour déterminer l’emplacement du revenu généré par les dépôts à terme. </w:t>
      </w:r>
    </w:p>
    <w:p w:rsidR="00E77C39" w:rsidRPr="00D54753" w:rsidRDefault="00E77C39" w:rsidP="00E77C39">
      <w:pPr>
        <w:pStyle w:val="SCCNormalDoubleSpacing"/>
        <w:spacing w:line="240" w:lineRule="auto"/>
        <w:rPr>
          <w:sz w:val="20"/>
          <w:lang w:val="fr-CA"/>
        </w:rPr>
      </w:pPr>
    </w:p>
    <w:p w:rsidR="00E77C39" w:rsidRDefault="00E77C39" w:rsidP="00E77C39">
      <w:pPr>
        <w:pStyle w:val="SCCNormalDoubleSpacing"/>
        <w:spacing w:line="240" w:lineRule="auto"/>
        <w:rPr>
          <w:sz w:val="20"/>
          <w:lang w:val="fr-FR"/>
        </w:rPr>
      </w:pPr>
      <w:r w:rsidRPr="00D54753">
        <w:rPr>
          <w:i/>
          <w:sz w:val="20"/>
          <w:lang w:val="fr-CA"/>
        </w:rPr>
        <w:tab/>
        <w:t>Les</w:t>
      </w:r>
      <w:r w:rsidRPr="00D54753">
        <w:rPr>
          <w:sz w:val="20"/>
          <w:lang w:val="fr-CA"/>
        </w:rPr>
        <w:t xml:space="preserve"> juges </w:t>
      </w:r>
      <w:r w:rsidRPr="00D54753">
        <w:rPr>
          <w:b/>
          <w:sz w:val="20"/>
          <w:lang w:val="fr-CA"/>
        </w:rPr>
        <w:t>Deschamps</w:t>
      </w:r>
      <w:r w:rsidRPr="00D54753">
        <w:rPr>
          <w:sz w:val="20"/>
          <w:lang w:val="fr-CA"/>
        </w:rPr>
        <w:t xml:space="preserve"> et </w:t>
      </w:r>
      <w:proofErr w:type="spellStart"/>
      <w:r w:rsidRPr="00D54753">
        <w:rPr>
          <w:sz w:val="20"/>
          <w:lang w:val="fr-CA"/>
        </w:rPr>
        <w:t>Rothstein</w:t>
      </w:r>
      <w:proofErr w:type="spellEnd"/>
      <w:r w:rsidRPr="00D54753">
        <w:rPr>
          <w:sz w:val="20"/>
          <w:lang w:val="fr-CA"/>
        </w:rPr>
        <w:t xml:space="preserve"> (dissidents) : </w:t>
      </w:r>
      <w:r w:rsidRPr="0025792C">
        <w:rPr>
          <w:sz w:val="20"/>
          <w:lang w:val="fr-FR"/>
        </w:rPr>
        <w:t xml:space="preserve">Les intérêts courus en vertu du contrat de placement auquel D a adhéré ne peuvent être exonérés d’impôt.  Pour que l’exemption prévue à la </w:t>
      </w:r>
      <w:r w:rsidRPr="0025792C">
        <w:rPr>
          <w:i/>
          <w:sz w:val="20"/>
          <w:lang w:val="fr-FR"/>
        </w:rPr>
        <w:t>Loi sur les Indiens</w:t>
      </w:r>
      <w:r w:rsidRPr="0025792C">
        <w:rPr>
          <w:sz w:val="20"/>
          <w:lang w:val="fr-FR"/>
        </w:rPr>
        <w:t xml:space="preserve"> s’applique, le bien meuble d’un Indien doit posséder des liens concrets et discernables avec la réserve.  Or, les conclusions de fait du juge de la Cour canadienne de l’impôt ne révèlent pas l’existence de tels liens en l’espèce.  D ne résidait pas sur la réserve, il a été incapable d’expliquer l’origine des dépôts et le juge n’a pas été en mesure de relier le capital déposé à l’entreprise de transport exploitée par D.  Reconnaître l’exemption dans de pareilles circonstances équivaudrait à transformer la réserve en abri fiscal pour les Indiens qui se livrent hors réserve à des activités lucratives indéterminées.</w:t>
      </w:r>
    </w:p>
    <w:p w:rsidR="00E77C39" w:rsidRDefault="00E77C39" w:rsidP="00E77C39">
      <w:pPr>
        <w:pStyle w:val="SCCNormalDoubleSpacing"/>
        <w:spacing w:line="240" w:lineRule="auto"/>
        <w:rPr>
          <w:sz w:val="20"/>
          <w:lang w:val="fr-FR"/>
        </w:rPr>
      </w:pPr>
    </w:p>
    <w:p w:rsidR="00E77C39" w:rsidRPr="00D54753" w:rsidRDefault="00E77C39" w:rsidP="00E77C39">
      <w:pPr>
        <w:pStyle w:val="SCCNormalDoubleSpacing"/>
        <w:spacing w:line="240" w:lineRule="auto"/>
        <w:rPr>
          <w:sz w:val="20"/>
          <w:lang w:val="fr-CA"/>
        </w:rPr>
      </w:pPr>
      <w:r w:rsidRPr="00D54753">
        <w:rPr>
          <w:sz w:val="20"/>
          <w:lang w:val="fr-CA"/>
        </w:rPr>
        <w:tab/>
        <w:t xml:space="preserve">POURVOI contre un arrêt de la Cour d’appel fédérale (les juges </w:t>
      </w:r>
      <w:r w:rsidR="001557DD" w:rsidRPr="0025792C">
        <w:rPr>
          <w:sz w:val="20"/>
        </w:rPr>
        <w:fldChar w:fldCharType="begin"/>
      </w:r>
      <w:r w:rsidRPr="00D54753">
        <w:rPr>
          <w:sz w:val="20"/>
          <w:lang w:val="fr-CA"/>
        </w:rPr>
        <w:instrText xml:space="preserve"> SEQ CHAPTER \h \r 1</w:instrText>
      </w:r>
      <w:r w:rsidR="001557DD" w:rsidRPr="0025792C">
        <w:rPr>
          <w:sz w:val="20"/>
        </w:rPr>
        <w:fldChar w:fldCharType="end"/>
      </w:r>
      <w:r w:rsidRPr="00D54753">
        <w:rPr>
          <w:sz w:val="20"/>
          <w:lang w:val="fr-CA"/>
        </w:rPr>
        <w:t>Nadon, Blais et Pelletier), 2009 CAF 109, 393 N.R. 143, 2009 D.T.C. 5080, [2010] 1 C.N.L.R. 249, 315 D.L.R. (4th) 372, [2009] A.C.F. n</w:t>
      </w:r>
      <w:r w:rsidRPr="00D54753">
        <w:rPr>
          <w:sz w:val="20"/>
          <w:vertAlign w:val="superscript"/>
          <w:lang w:val="fr-CA"/>
        </w:rPr>
        <w:t>o</w:t>
      </w:r>
      <w:r w:rsidRPr="00D54753">
        <w:rPr>
          <w:sz w:val="20"/>
          <w:lang w:val="fr-CA"/>
        </w:rPr>
        <w:t xml:space="preserve"> 408 (QL), </w:t>
      </w:r>
      <w:r w:rsidR="001557DD" w:rsidRPr="0025792C">
        <w:rPr>
          <w:sz w:val="20"/>
        </w:rPr>
        <w:fldChar w:fldCharType="begin"/>
      </w:r>
      <w:r w:rsidRPr="00D54753">
        <w:rPr>
          <w:sz w:val="20"/>
          <w:lang w:val="fr-CA"/>
        </w:rPr>
        <w:instrText xml:space="preserve"> SEQ CHAPTER \h \r 1</w:instrText>
      </w:r>
      <w:r w:rsidR="001557DD" w:rsidRPr="0025792C">
        <w:rPr>
          <w:sz w:val="20"/>
        </w:rPr>
        <w:fldChar w:fldCharType="end"/>
      </w:r>
      <w:r w:rsidRPr="00D54753">
        <w:rPr>
          <w:sz w:val="20"/>
          <w:lang w:val="fr-CA"/>
        </w:rPr>
        <w:t xml:space="preserve">2009 </w:t>
      </w:r>
      <w:proofErr w:type="spellStart"/>
      <w:r w:rsidRPr="00D54753">
        <w:rPr>
          <w:sz w:val="20"/>
          <w:lang w:val="fr-CA"/>
        </w:rPr>
        <w:t>CarswellNat</w:t>
      </w:r>
      <w:proofErr w:type="spellEnd"/>
      <w:r w:rsidRPr="00D54753">
        <w:rPr>
          <w:sz w:val="20"/>
          <w:lang w:val="fr-CA"/>
        </w:rPr>
        <w:t xml:space="preserve"> 820, qui a confirmé une décision du juge Angers, 2007 CCI 393, 2008 D.T.C. 2204, [2007] A.C.I. n</w:t>
      </w:r>
      <w:r w:rsidRPr="00D54753">
        <w:rPr>
          <w:sz w:val="20"/>
          <w:vertAlign w:val="superscript"/>
          <w:lang w:val="fr-CA"/>
        </w:rPr>
        <w:t>o</w:t>
      </w:r>
      <w:r w:rsidRPr="00D54753">
        <w:rPr>
          <w:sz w:val="20"/>
          <w:lang w:val="fr-CA"/>
        </w:rPr>
        <w:t xml:space="preserve"> 540 (QL), </w:t>
      </w:r>
      <w:r w:rsidR="001557DD" w:rsidRPr="0025792C">
        <w:rPr>
          <w:sz w:val="20"/>
        </w:rPr>
        <w:fldChar w:fldCharType="begin"/>
      </w:r>
      <w:r w:rsidRPr="00D54753">
        <w:rPr>
          <w:sz w:val="20"/>
          <w:lang w:val="fr-CA"/>
        </w:rPr>
        <w:instrText xml:space="preserve"> SEQ CHAPTER \h \r 1</w:instrText>
      </w:r>
      <w:r w:rsidR="001557DD" w:rsidRPr="0025792C">
        <w:rPr>
          <w:sz w:val="20"/>
        </w:rPr>
        <w:fldChar w:fldCharType="end"/>
      </w:r>
      <w:r w:rsidRPr="00D54753">
        <w:rPr>
          <w:sz w:val="20"/>
          <w:lang w:val="fr-CA"/>
        </w:rPr>
        <w:t xml:space="preserve">2007 </w:t>
      </w:r>
      <w:proofErr w:type="spellStart"/>
      <w:r w:rsidRPr="00D54753">
        <w:rPr>
          <w:sz w:val="20"/>
          <w:lang w:val="fr-CA"/>
        </w:rPr>
        <w:t>CarswellNat</w:t>
      </w:r>
      <w:proofErr w:type="spellEnd"/>
      <w:r w:rsidRPr="00D54753">
        <w:rPr>
          <w:sz w:val="20"/>
          <w:lang w:val="fr-CA"/>
        </w:rPr>
        <w:t xml:space="preserve"> 4282.  Pourvoi accueilli, les juges Deschamps et </w:t>
      </w:r>
      <w:proofErr w:type="spellStart"/>
      <w:r w:rsidRPr="00D54753">
        <w:rPr>
          <w:sz w:val="20"/>
          <w:lang w:val="fr-CA"/>
        </w:rPr>
        <w:t>Rothstein</w:t>
      </w:r>
      <w:proofErr w:type="spellEnd"/>
      <w:r w:rsidRPr="00D54753">
        <w:rPr>
          <w:sz w:val="20"/>
          <w:lang w:val="fr-CA"/>
        </w:rPr>
        <w:t xml:space="preserve"> sont dissidents.</w:t>
      </w:r>
    </w:p>
    <w:p w:rsidR="00E77C39" w:rsidRPr="00D54753" w:rsidRDefault="00E77C39" w:rsidP="00E77C39">
      <w:pPr>
        <w:pStyle w:val="SCCNormalDoubleSpacing"/>
        <w:spacing w:line="240" w:lineRule="auto"/>
        <w:rPr>
          <w:sz w:val="20"/>
          <w:lang w:val="fr-CA"/>
        </w:rPr>
      </w:pPr>
    </w:p>
    <w:p w:rsidR="00E77C39" w:rsidRPr="00D54753" w:rsidRDefault="00E77C39" w:rsidP="00E77C39">
      <w:pPr>
        <w:pStyle w:val="SCCNormalDoubleSpacing"/>
        <w:spacing w:line="240" w:lineRule="auto"/>
        <w:rPr>
          <w:rStyle w:val="SCCCounselPartyRoleChar"/>
          <w:sz w:val="20"/>
          <w:lang w:val="fr-CA"/>
        </w:rPr>
      </w:pPr>
      <w:r w:rsidRPr="00D54753">
        <w:rPr>
          <w:rStyle w:val="SCCCounselNameChar"/>
          <w:sz w:val="20"/>
          <w:lang w:val="fr-CA"/>
        </w:rPr>
        <w:tab/>
        <w:t>François Bouchard</w:t>
      </w:r>
      <w:r w:rsidRPr="0025792C">
        <w:rPr>
          <w:rStyle w:val="SCCCounselSeparatorChar"/>
          <w:sz w:val="20"/>
        </w:rPr>
        <w:t xml:space="preserve">, </w:t>
      </w:r>
      <w:proofErr w:type="spellStart"/>
      <w:r w:rsidRPr="00D54753">
        <w:rPr>
          <w:rStyle w:val="SCCCounselNameChar"/>
          <w:sz w:val="20"/>
          <w:lang w:val="fr-CA"/>
        </w:rPr>
        <w:t>Vassilis</w:t>
      </w:r>
      <w:proofErr w:type="spellEnd"/>
      <w:r w:rsidRPr="00D54753">
        <w:rPr>
          <w:rStyle w:val="SCCCounselNameChar"/>
          <w:sz w:val="20"/>
          <w:lang w:val="fr-CA"/>
        </w:rPr>
        <w:t xml:space="preserve"> </w:t>
      </w:r>
      <w:proofErr w:type="spellStart"/>
      <w:r w:rsidRPr="00D54753">
        <w:rPr>
          <w:rStyle w:val="SCCCounselNameChar"/>
          <w:sz w:val="20"/>
          <w:lang w:val="fr-CA"/>
        </w:rPr>
        <w:t>Fasfalis</w:t>
      </w:r>
      <w:proofErr w:type="spellEnd"/>
      <w:r w:rsidRPr="00D54753">
        <w:rPr>
          <w:rStyle w:val="SCCCounselNameChar"/>
          <w:sz w:val="20"/>
          <w:lang w:val="fr-CA"/>
        </w:rPr>
        <w:t xml:space="preserve"> et Karine </w:t>
      </w:r>
      <w:proofErr w:type="spellStart"/>
      <w:r w:rsidRPr="00D54753">
        <w:rPr>
          <w:rStyle w:val="SCCCounselNameChar"/>
          <w:sz w:val="20"/>
          <w:lang w:val="fr-CA"/>
        </w:rPr>
        <w:t>Boies</w:t>
      </w:r>
      <w:proofErr w:type="spellEnd"/>
      <w:r w:rsidRPr="00D54753">
        <w:rPr>
          <w:rStyle w:val="SCCCounselPartyRoleChar"/>
          <w:sz w:val="20"/>
          <w:lang w:val="fr-CA"/>
        </w:rPr>
        <w:t>, pour l’appelant.</w:t>
      </w:r>
    </w:p>
    <w:p w:rsidR="00E77C39" w:rsidRDefault="00E77C39" w:rsidP="00E77C39">
      <w:pPr>
        <w:rPr>
          <w:rStyle w:val="SCCCounselNameChar"/>
          <w:rFonts w:eastAsiaTheme="minorHAnsi"/>
          <w:sz w:val="20"/>
          <w:lang w:val="fr-CA"/>
        </w:rPr>
      </w:pPr>
    </w:p>
    <w:p w:rsidR="00E77C39" w:rsidRDefault="00E77C39" w:rsidP="00E77C39">
      <w:pPr>
        <w:pStyle w:val="SCCNormalDoubleSpacing"/>
        <w:spacing w:line="240" w:lineRule="auto"/>
        <w:rPr>
          <w:rStyle w:val="SCCCounselPartyRoleChar"/>
          <w:sz w:val="20"/>
          <w:lang w:val="fr-CA"/>
        </w:rPr>
      </w:pPr>
      <w:r w:rsidRPr="00D54753">
        <w:rPr>
          <w:rStyle w:val="SCCCounselNameChar"/>
          <w:sz w:val="20"/>
          <w:lang w:val="fr-CA"/>
        </w:rPr>
        <w:tab/>
        <w:t>Pierre Cossette</w:t>
      </w:r>
      <w:r w:rsidRPr="0025792C">
        <w:rPr>
          <w:rStyle w:val="SCCCounselSeparatorChar"/>
          <w:sz w:val="20"/>
        </w:rPr>
        <w:t xml:space="preserve"> et </w:t>
      </w:r>
      <w:r w:rsidRPr="00D54753">
        <w:rPr>
          <w:rStyle w:val="SCCCounselNameChar"/>
          <w:sz w:val="20"/>
          <w:lang w:val="fr-CA"/>
        </w:rPr>
        <w:t xml:space="preserve">Bernard </w:t>
      </w:r>
      <w:proofErr w:type="spellStart"/>
      <w:r w:rsidRPr="00D54753">
        <w:rPr>
          <w:rStyle w:val="SCCCounselNameChar"/>
          <w:sz w:val="20"/>
          <w:lang w:val="fr-CA"/>
        </w:rPr>
        <w:t>Letarte</w:t>
      </w:r>
      <w:proofErr w:type="spellEnd"/>
      <w:r w:rsidRPr="00D54753">
        <w:rPr>
          <w:rStyle w:val="SCCCounselPartyRoleChar"/>
          <w:sz w:val="20"/>
          <w:lang w:val="fr-CA"/>
        </w:rPr>
        <w:t>, pour l’intimée.</w:t>
      </w:r>
    </w:p>
    <w:p w:rsidR="00E77C39" w:rsidRPr="00D54753" w:rsidRDefault="00E77C39" w:rsidP="00E77C39">
      <w:pPr>
        <w:pStyle w:val="SCCNormalDoubleSpacing"/>
        <w:spacing w:line="240" w:lineRule="auto"/>
        <w:rPr>
          <w:rStyle w:val="SCCCounselPartyRoleChar"/>
          <w:sz w:val="20"/>
          <w:lang w:val="fr-CA"/>
        </w:rPr>
      </w:pPr>
    </w:p>
    <w:p w:rsidR="00E77C39" w:rsidRPr="00D54753" w:rsidRDefault="00E77C39" w:rsidP="00E77C39">
      <w:pPr>
        <w:pStyle w:val="SCCNormalDoubleSpacing"/>
        <w:spacing w:line="240" w:lineRule="auto"/>
        <w:rPr>
          <w:rStyle w:val="SCCCounselPartyRoleChar"/>
          <w:sz w:val="20"/>
          <w:lang w:val="fr-CA"/>
        </w:rPr>
      </w:pPr>
      <w:r w:rsidRPr="00D54753">
        <w:rPr>
          <w:rStyle w:val="SCCCounselNameChar"/>
          <w:sz w:val="20"/>
          <w:lang w:val="fr-CA"/>
        </w:rPr>
        <w:tab/>
        <w:t xml:space="preserve">Jeffrey D. </w:t>
      </w:r>
      <w:proofErr w:type="spellStart"/>
      <w:r w:rsidRPr="00D54753">
        <w:rPr>
          <w:rStyle w:val="SCCCounselNameChar"/>
          <w:sz w:val="20"/>
          <w:lang w:val="fr-CA"/>
        </w:rPr>
        <w:t>Pniowsky</w:t>
      </w:r>
      <w:proofErr w:type="spellEnd"/>
      <w:r w:rsidRPr="0025792C">
        <w:rPr>
          <w:rStyle w:val="SCCCounselSeparatorChar"/>
          <w:sz w:val="20"/>
        </w:rPr>
        <w:t xml:space="preserve"> et </w:t>
      </w:r>
      <w:r w:rsidRPr="00D54753">
        <w:rPr>
          <w:rStyle w:val="SCCCounselNameChar"/>
          <w:sz w:val="20"/>
          <w:lang w:val="fr-CA"/>
        </w:rPr>
        <w:t>Sacha R. Paul</w:t>
      </w:r>
      <w:r w:rsidRPr="00D54753">
        <w:rPr>
          <w:rStyle w:val="SCCCounselPartyRoleChar"/>
          <w:sz w:val="20"/>
          <w:lang w:val="fr-CA"/>
        </w:rPr>
        <w:t xml:space="preserve">, pour l’intervenante </w:t>
      </w:r>
      <w:proofErr w:type="spellStart"/>
      <w:r w:rsidRPr="00D54753">
        <w:rPr>
          <w:rStyle w:val="SCCCounselPartyRoleChar"/>
          <w:sz w:val="20"/>
          <w:lang w:val="fr-CA"/>
        </w:rPr>
        <w:t>Assembly</w:t>
      </w:r>
      <w:proofErr w:type="spellEnd"/>
      <w:r w:rsidRPr="00D54753">
        <w:rPr>
          <w:rStyle w:val="SCCCounselPartyRoleChar"/>
          <w:sz w:val="20"/>
          <w:lang w:val="fr-CA"/>
        </w:rPr>
        <w:t xml:space="preserve"> of Manitoba </w:t>
      </w:r>
      <w:proofErr w:type="spellStart"/>
      <w:r w:rsidRPr="00D54753">
        <w:rPr>
          <w:rStyle w:val="SCCCounselPartyRoleChar"/>
          <w:sz w:val="20"/>
          <w:lang w:val="fr-CA"/>
        </w:rPr>
        <w:t>Chiefs</w:t>
      </w:r>
      <w:proofErr w:type="spellEnd"/>
      <w:r w:rsidRPr="00D54753">
        <w:rPr>
          <w:rStyle w:val="SCCCounselPartyRoleChar"/>
          <w:sz w:val="20"/>
          <w:lang w:val="fr-CA"/>
        </w:rPr>
        <w:t>.</w:t>
      </w:r>
    </w:p>
    <w:p w:rsidR="00E77C39" w:rsidRPr="00D54753" w:rsidRDefault="00E77C39" w:rsidP="00E77C39">
      <w:pPr>
        <w:pStyle w:val="SCCNormalDoubleSpacing"/>
        <w:spacing w:line="240" w:lineRule="auto"/>
        <w:rPr>
          <w:sz w:val="20"/>
          <w:lang w:val="fr-CA"/>
        </w:rPr>
      </w:pPr>
    </w:p>
    <w:p w:rsidR="00E77C39" w:rsidRPr="00D54753" w:rsidRDefault="00E77C39" w:rsidP="00E77C39">
      <w:pPr>
        <w:pStyle w:val="SCCNormalDoubleSpacing"/>
        <w:spacing w:line="240" w:lineRule="auto"/>
        <w:rPr>
          <w:rStyle w:val="SCCCounselPartyRoleChar"/>
          <w:sz w:val="20"/>
          <w:lang w:val="fr-CA"/>
        </w:rPr>
      </w:pPr>
      <w:r w:rsidRPr="00D54753">
        <w:rPr>
          <w:rStyle w:val="SCCCounselNameChar"/>
          <w:sz w:val="20"/>
          <w:lang w:val="fr-CA"/>
        </w:rPr>
        <w:tab/>
        <w:t>John Hurley</w:t>
      </w:r>
      <w:r w:rsidRPr="0025792C">
        <w:rPr>
          <w:rStyle w:val="SCCCounselSeparatorChar"/>
          <w:sz w:val="20"/>
        </w:rPr>
        <w:t xml:space="preserve"> et </w:t>
      </w:r>
      <w:r w:rsidRPr="00D54753">
        <w:rPr>
          <w:rStyle w:val="SCCCounselNameChar"/>
          <w:sz w:val="20"/>
          <w:lang w:val="fr-CA"/>
        </w:rPr>
        <w:t xml:space="preserve">François </w:t>
      </w:r>
      <w:proofErr w:type="spellStart"/>
      <w:r w:rsidRPr="00D54753">
        <w:rPr>
          <w:rStyle w:val="SCCCounselNameChar"/>
          <w:sz w:val="20"/>
          <w:lang w:val="fr-CA"/>
        </w:rPr>
        <w:t>Dandonneau</w:t>
      </w:r>
      <w:proofErr w:type="spellEnd"/>
      <w:r w:rsidRPr="00D54753">
        <w:rPr>
          <w:rStyle w:val="SCCCounselPartyRoleChar"/>
          <w:sz w:val="20"/>
          <w:lang w:val="fr-CA"/>
        </w:rPr>
        <w:t>, pour l’intervenant le Grand Conseil des Cris (</w:t>
      </w:r>
      <w:proofErr w:type="spellStart"/>
      <w:r w:rsidRPr="00D54753">
        <w:rPr>
          <w:rStyle w:val="SCCCounselPartyRoleChar"/>
          <w:sz w:val="20"/>
          <w:lang w:val="fr-CA"/>
        </w:rPr>
        <w:t>Eeyou</w:t>
      </w:r>
      <w:proofErr w:type="spellEnd"/>
      <w:r w:rsidRPr="00D54753">
        <w:rPr>
          <w:rStyle w:val="SCCCounselPartyRoleChar"/>
          <w:sz w:val="20"/>
          <w:lang w:val="fr-CA"/>
        </w:rPr>
        <w:t xml:space="preserve"> </w:t>
      </w:r>
      <w:proofErr w:type="spellStart"/>
      <w:r w:rsidRPr="00D54753">
        <w:rPr>
          <w:rStyle w:val="SCCCounselPartyRoleChar"/>
          <w:sz w:val="20"/>
          <w:lang w:val="fr-CA"/>
        </w:rPr>
        <w:t>Istchee</w:t>
      </w:r>
      <w:proofErr w:type="spellEnd"/>
      <w:r w:rsidRPr="00D54753">
        <w:rPr>
          <w:rStyle w:val="SCCCounselPartyRoleChar"/>
          <w:sz w:val="20"/>
          <w:lang w:val="fr-CA"/>
        </w:rPr>
        <w:t>)/Administration régionale crie.</w:t>
      </w:r>
    </w:p>
    <w:p w:rsidR="00E77C39" w:rsidRPr="00D54753" w:rsidRDefault="00E77C39" w:rsidP="00E77C39">
      <w:pPr>
        <w:pStyle w:val="SCCNormalDoubleSpacing"/>
        <w:spacing w:line="240" w:lineRule="auto"/>
        <w:rPr>
          <w:sz w:val="20"/>
          <w:lang w:val="fr-CA"/>
        </w:rPr>
      </w:pPr>
    </w:p>
    <w:p w:rsidR="00E77C39" w:rsidRPr="00D54753" w:rsidRDefault="00E77C39" w:rsidP="00E77C39">
      <w:pPr>
        <w:pStyle w:val="SCCNormalDoubleSpacing"/>
        <w:spacing w:line="240" w:lineRule="auto"/>
        <w:rPr>
          <w:rStyle w:val="SCCCounselPartyRoleChar"/>
          <w:sz w:val="20"/>
          <w:lang w:val="fr-CA"/>
        </w:rPr>
      </w:pPr>
      <w:r w:rsidRPr="00D54753">
        <w:rPr>
          <w:rStyle w:val="SCCCounselNameChar"/>
          <w:sz w:val="20"/>
          <w:lang w:val="fr-CA"/>
        </w:rPr>
        <w:tab/>
        <w:t>Maxime Faille</w:t>
      </w:r>
      <w:r w:rsidRPr="0025792C">
        <w:rPr>
          <w:rStyle w:val="SCCCounselSeparatorChar"/>
          <w:sz w:val="20"/>
        </w:rPr>
        <w:t xml:space="preserve"> et </w:t>
      </w:r>
      <w:r w:rsidRPr="00D54753">
        <w:rPr>
          <w:rStyle w:val="SCCCounselNameChar"/>
          <w:sz w:val="20"/>
          <w:lang w:val="fr-CA"/>
        </w:rPr>
        <w:t xml:space="preserve">Graham </w:t>
      </w:r>
      <w:proofErr w:type="spellStart"/>
      <w:r w:rsidRPr="00D54753">
        <w:rPr>
          <w:rStyle w:val="SCCCounselNameChar"/>
          <w:sz w:val="20"/>
          <w:lang w:val="fr-CA"/>
        </w:rPr>
        <w:t>Ragan</w:t>
      </w:r>
      <w:proofErr w:type="spellEnd"/>
      <w:r w:rsidRPr="00D54753">
        <w:rPr>
          <w:rStyle w:val="SCCCounselPartyRoleChar"/>
          <w:sz w:val="20"/>
          <w:lang w:val="fr-CA"/>
        </w:rPr>
        <w:t>, pour l’intervenante l’Assemblée des Premières Nations.</w:t>
      </w:r>
    </w:p>
    <w:p w:rsidR="00E77C39" w:rsidRPr="00D54753" w:rsidRDefault="00E77C39" w:rsidP="00E77C39">
      <w:pPr>
        <w:pStyle w:val="SCCNormalDoubleSpacing"/>
        <w:spacing w:line="240" w:lineRule="auto"/>
        <w:rPr>
          <w:sz w:val="20"/>
          <w:lang w:val="fr-CA"/>
        </w:rPr>
      </w:pPr>
    </w:p>
    <w:p w:rsidR="00E77C39" w:rsidRPr="00D54753" w:rsidRDefault="00E77C39" w:rsidP="00E77C39">
      <w:pPr>
        <w:pStyle w:val="SCCNormalDoubleSpacing"/>
        <w:spacing w:line="240" w:lineRule="auto"/>
        <w:rPr>
          <w:rStyle w:val="SCCCounselPartyRoleChar"/>
          <w:sz w:val="20"/>
          <w:lang w:val="fr-CA"/>
        </w:rPr>
      </w:pPr>
      <w:r w:rsidRPr="00D54753">
        <w:rPr>
          <w:rStyle w:val="SCCCounselNameChar"/>
          <w:sz w:val="20"/>
          <w:lang w:val="fr-CA"/>
        </w:rPr>
        <w:tab/>
        <w:t xml:space="preserve">David C. </w:t>
      </w:r>
      <w:proofErr w:type="spellStart"/>
      <w:r w:rsidRPr="00D54753">
        <w:rPr>
          <w:rStyle w:val="SCCCounselNameChar"/>
          <w:sz w:val="20"/>
          <w:lang w:val="fr-CA"/>
        </w:rPr>
        <w:t>Nahwegahbow</w:t>
      </w:r>
      <w:proofErr w:type="spellEnd"/>
      <w:r w:rsidRPr="0025792C">
        <w:rPr>
          <w:rStyle w:val="SCCCounselSeparatorChar"/>
          <w:sz w:val="20"/>
        </w:rPr>
        <w:t xml:space="preserve"> et </w:t>
      </w:r>
      <w:r w:rsidRPr="00D54753">
        <w:rPr>
          <w:rStyle w:val="SCCCounselNameChar"/>
          <w:sz w:val="20"/>
          <w:lang w:val="fr-CA"/>
        </w:rPr>
        <w:t>James Hopkins</w:t>
      </w:r>
      <w:r w:rsidRPr="00D54753">
        <w:rPr>
          <w:rStyle w:val="SCCCounselPartyRoleChar"/>
          <w:sz w:val="20"/>
          <w:lang w:val="fr-CA"/>
        </w:rPr>
        <w:t xml:space="preserve">, pour l’intervenant </w:t>
      </w:r>
      <w:proofErr w:type="spellStart"/>
      <w:r w:rsidRPr="00D54753">
        <w:rPr>
          <w:rStyle w:val="SCCCounselPartyRoleChar"/>
          <w:sz w:val="20"/>
          <w:lang w:val="fr-CA"/>
        </w:rPr>
        <w:t>Chiefs</w:t>
      </w:r>
      <w:proofErr w:type="spellEnd"/>
      <w:r w:rsidRPr="00D54753">
        <w:rPr>
          <w:rStyle w:val="SCCCounselPartyRoleChar"/>
          <w:sz w:val="20"/>
          <w:lang w:val="fr-CA"/>
        </w:rPr>
        <w:t xml:space="preserve"> of Ontario.</w:t>
      </w:r>
    </w:p>
    <w:p w:rsidR="00E77C39" w:rsidRPr="00D54753" w:rsidRDefault="00E77C39" w:rsidP="00E77C39">
      <w:pPr>
        <w:pStyle w:val="SCCNormalDoubleSpacing"/>
        <w:spacing w:line="240" w:lineRule="auto"/>
        <w:rPr>
          <w:sz w:val="20"/>
          <w:lang w:val="fr-CA"/>
        </w:rPr>
      </w:pPr>
    </w:p>
    <w:p w:rsidR="00E77C39" w:rsidRPr="00D54753" w:rsidRDefault="00E77C39" w:rsidP="00E77C39">
      <w:pPr>
        <w:pStyle w:val="SCCNormalDoubleSpacing"/>
        <w:spacing w:line="240" w:lineRule="auto"/>
        <w:rPr>
          <w:rStyle w:val="SCCCounselPartyRoleChar"/>
          <w:sz w:val="20"/>
          <w:lang w:val="fr-CA"/>
        </w:rPr>
      </w:pPr>
      <w:r w:rsidRPr="00D54753">
        <w:rPr>
          <w:rStyle w:val="SCCCounselNameChar"/>
          <w:sz w:val="20"/>
          <w:lang w:val="fr-CA"/>
        </w:rPr>
        <w:tab/>
        <w:t>Brian A. Crane, c.r.</w:t>
      </w:r>
      <w:r w:rsidRPr="0025792C">
        <w:rPr>
          <w:rStyle w:val="SCCCounselSeparatorChar"/>
          <w:sz w:val="20"/>
        </w:rPr>
        <w:t xml:space="preserve">, et </w:t>
      </w:r>
      <w:r w:rsidRPr="00D54753">
        <w:rPr>
          <w:rStyle w:val="SCCCounselNameChar"/>
          <w:sz w:val="20"/>
          <w:lang w:val="fr-CA"/>
        </w:rPr>
        <w:t xml:space="preserve">Guy </w:t>
      </w:r>
      <w:proofErr w:type="spellStart"/>
      <w:r w:rsidRPr="00D54753">
        <w:rPr>
          <w:rStyle w:val="SCCCounselNameChar"/>
          <w:sz w:val="20"/>
          <w:lang w:val="fr-CA"/>
        </w:rPr>
        <w:t>Régimbald</w:t>
      </w:r>
      <w:proofErr w:type="spellEnd"/>
      <w:r w:rsidRPr="00D54753">
        <w:rPr>
          <w:rStyle w:val="SCCCounselPartyRoleChar"/>
          <w:sz w:val="20"/>
          <w:lang w:val="fr-CA"/>
        </w:rPr>
        <w:t xml:space="preserve">, pour l’intervenante Union of Nova </w:t>
      </w:r>
      <w:proofErr w:type="spellStart"/>
      <w:r w:rsidRPr="00D54753">
        <w:rPr>
          <w:rStyle w:val="SCCCounselPartyRoleChar"/>
          <w:sz w:val="20"/>
          <w:lang w:val="fr-CA"/>
        </w:rPr>
        <w:t>Scotia</w:t>
      </w:r>
      <w:proofErr w:type="spellEnd"/>
      <w:r w:rsidRPr="00D54753">
        <w:rPr>
          <w:rStyle w:val="SCCCounselPartyRoleChar"/>
          <w:sz w:val="20"/>
          <w:lang w:val="fr-CA"/>
        </w:rPr>
        <w:t xml:space="preserve"> </w:t>
      </w:r>
      <w:proofErr w:type="spellStart"/>
      <w:r w:rsidRPr="00D54753">
        <w:rPr>
          <w:rStyle w:val="SCCCounselPartyRoleChar"/>
          <w:sz w:val="20"/>
          <w:lang w:val="fr-CA"/>
        </w:rPr>
        <w:t>Indians</w:t>
      </w:r>
      <w:proofErr w:type="spellEnd"/>
      <w:r w:rsidRPr="00D54753">
        <w:rPr>
          <w:rStyle w:val="SCCCounselPartyRoleChar"/>
          <w:sz w:val="20"/>
          <w:lang w:val="fr-CA"/>
        </w:rPr>
        <w:t>.</w:t>
      </w:r>
    </w:p>
    <w:p w:rsidR="00E77C39" w:rsidRPr="00D54753" w:rsidRDefault="00E77C39" w:rsidP="00E77C39">
      <w:pPr>
        <w:pStyle w:val="SCCNormalDoubleSpacing"/>
        <w:spacing w:line="240" w:lineRule="auto"/>
        <w:rPr>
          <w:sz w:val="20"/>
          <w:lang w:val="fr-CA"/>
        </w:rPr>
      </w:pPr>
    </w:p>
    <w:p w:rsidR="00E77C39" w:rsidRPr="00D54753" w:rsidRDefault="00E77C39" w:rsidP="00E77C39">
      <w:pPr>
        <w:pStyle w:val="SCCNormalDoubleSpacing"/>
        <w:spacing w:line="240" w:lineRule="auto"/>
        <w:rPr>
          <w:i/>
          <w:sz w:val="20"/>
          <w:lang w:val="fr-CA"/>
        </w:rPr>
      </w:pPr>
      <w:r w:rsidRPr="00D54753">
        <w:rPr>
          <w:i/>
          <w:sz w:val="20"/>
          <w:lang w:val="fr-CA"/>
        </w:rPr>
        <w:tab/>
        <w:t>Procureurs de l’appelant : </w:t>
      </w:r>
      <w:proofErr w:type="spellStart"/>
      <w:r w:rsidRPr="00D54753">
        <w:rPr>
          <w:i/>
          <w:sz w:val="20"/>
          <w:lang w:val="fr-CA"/>
        </w:rPr>
        <w:t>Cain</w:t>
      </w:r>
      <w:proofErr w:type="spellEnd"/>
      <w:r w:rsidRPr="00D54753">
        <w:rPr>
          <w:i/>
          <w:sz w:val="20"/>
          <w:lang w:val="fr-CA"/>
        </w:rPr>
        <w:t xml:space="preserve"> </w:t>
      </w:r>
      <w:proofErr w:type="spellStart"/>
      <w:r w:rsidRPr="00D54753">
        <w:rPr>
          <w:i/>
          <w:sz w:val="20"/>
          <w:lang w:val="fr-CA"/>
        </w:rPr>
        <w:t>Lamarre</w:t>
      </w:r>
      <w:proofErr w:type="spellEnd"/>
      <w:r w:rsidRPr="00D54753">
        <w:rPr>
          <w:i/>
          <w:sz w:val="20"/>
          <w:lang w:val="fr-CA"/>
        </w:rPr>
        <w:t xml:space="preserve"> </w:t>
      </w:r>
      <w:proofErr w:type="spellStart"/>
      <w:r w:rsidRPr="00D54753">
        <w:rPr>
          <w:i/>
          <w:sz w:val="20"/>
          <w:lang w:val="fr-CA"/>
        </w:rPr>
        <w:t>Casgrain</w:t>
      </w:r>
      <w:proofErr w:type="spellEnd"/>
      <w:r w:rsidRPr="00D54753">
        <w:rPr>
          <w:i/>
          <w:sz w:val="20"/>
          <w:lang w:val="fr-CA"/>
        </w:rPr>
        <w:t xml:space="preserve"> Wells, Chicoutimi.</w:t>
      </w:r>
    </w:p>
    <w:p w:rsidR="00E77C39" w:rsidRPr="00D54753" w:rsidRDefault="00E77C39" w:rsidP="00E77C39">
      <w:pPr>
        <w:pStyle w:val="SCCNormalDoubleSpacing"/>
        <w:spacing w:line="240" w:lineRule="auto"/>
        <w:rPr>
          <w:i/>
          <w:sz w:val="20"/>
          <w:lang w:val="fr-CA"/>
        </w:rPr>
      </w:pPr>
    </w:p>
    <w:p w:rsidR="00E77C39" w:rsidRPr="00D54753" w:rsidRDefault="00E77C39" w:rsidP="00E77C39">
      <w:pPr>
        <w:pStyle w:val="SCCNormalDoubleSpacing"/>
        <w:spacing w:line="240" w:lineRule="auto"/>
        <w:rPr>
          <w:i/>
          <w:sz w:val="20"/>
          <w:lang w:val="fr-CA"/>
        </w:rPr>
      </w:pPr>
      <w:r w:rsidRPr="00D54753">
        <w:rPr>
          <w:i/>
          <w:sz w:val="20"/>
          <w:lang w:val="fr-CA"/>
        </w:rPr>
        <w:tab/>
        <w:t>Procureur de l’intimée : Procureur général du Canada, Montréal.</w:t>
      </w:r>
    </w:p>
    <w:p w:rsidR="00E77C39" w:rsidRPr="00D54753" w:rsidRDefault="00E77C39" w:rsidP="00E77C39">
      <w:pPr>
        <w:pStyle w:val="SCCNormalDoubleSpacing"/>
        <w:spacing w:line="240" w:lineRule="auto"/>
        <w:rPr>
          <w:i/>
          <w:sz w:val="20"/>
          <w:lang w:val="fr-CA"/>
        </w:rPr>
      </w:pPr>
    </w:p>
    <w:p w:rsidR="00E77C39" w:rsidRDefault="00E77C39" w:rsidP="00E77C39">
      <w:pPr>
        <w:pStyle w:val="SCCNormalDoubleSpacing"/>
        <w:spacing w:line="240" w:lineRule="auto"/>
        <w:rPr>
          <w:i/>
          <w:sz w:val="20"/>
          <w:lang w:val="en-US"/>
        </w:rPr>
      </w:pPr>
      <w:r w:rsidRPr="00D54753">
        <w:rPr>
          <w:i/>
          <w:sz w:val="20"/>
          <w:lang w:val="fr-CA"/>
        </w:rPr>
        <w:tab/>
      </w:r>
      <w:proofErr w:type="spellStart"/>
      <w:r w:rsidRPr="0025792C">
        <w:rPr>
          <w:i/>
          <w:sz w:val="20"/>
          <w:lang w:val="en-US"/>
        </w:rPr>
        <w:t>Procureurs</w:t>
      </w:r>
      <w:proofErr w:type="spellEnd"/>
      <w:r w:rsidRPr="0025792C">
        <w:rPr>
          <w:i/>
          <w:sz w:val="20"/>
          <w:lang w:val="en-US"/>
        </w:rPr>
        <w:t xml:space="preserve"> de </w:t>
      </w:r>
      <w:proofErr w:type="spellStart"/>
      <w:r w:rsidRPr="0025792C">
        <w:rPr>
          <w:i/>
          <w:sz w:val="20"/>
          <w:lang w:val="en-US"/>
        </w:rPr>
        <w:t>l’intervenante</w:t>
      </w:r>
      <w:proofErr w:type="spellEnd"/>
      <w:r w:rsidRPr="0025792C">
        <w:rPr>
          <w:i/>
          <w:sz w:val="20"/>
          <w:lang w:val="en-US"/>
        </w:rPr>
        <w:t xml:space="preserve"> Assembly of Manitoba </w:t>
      </w:r>
      <w:proofErr w:type="gramStart"/>
      <w:r w:rsidRPr="0025792C">
        <w:rPr>
          <w:i/>
          <w:sz w:val="20"/>
          <w:lang w:val="en-US"/>
        </w:rPr>
        <w:t>Chiefs :</w:t>
      </w:r>
      <w:proofErr w:type="gramEnd"/>
      <w:r w:rsidRPr="0025792C">
        <w:rPr>
          <w:i/>
          <w:sz w:val="20"/>
          <w:lang w:val="en-US"/>
        </w:rPr>
        <w:t xml:space="preserve"> Thompson </w:t>
      </w:r>
      <w:proofErr w:type="spellStart"/>
      <w:r w:rsidRPr="0025792C">
        <w:rPr>
          <w:i/>
          <w:sz w:val="20"/>
          <w:lang w:val="en-US"/>
        </w:rPr>
        <w:t>Dorfman</w:t>
      </w:r>
      <w:proofErr w:type="spellEnd"/>
      <w:r w:rsidRPr="0025792C">
        <w:rPr>
          <w:i/>
          <w:sz w:val="20"/>
          <w:lang w:val="en-US"/>
        </w:rPr>
        <w:t xml:space="preserve"> </w:t>
      </w:r>
      <w:proofErr w:type="spellStart"/>
      <w:r w:rsidRPr="0025792C">
        <w:rPr>
          <w:i/>
          <w:sz w:val="20"/>
          <w:lang w:val="en-US"/>
        </w:rPr>
        <w:t>Sweatman</w:t>
      </w:r>
      <w:proofErr w:type="spellEnd"/>
      <w:r w:rsidRPr="0025792C">
        <w:rPr>
          <w:i/>
          <w:sz w:val="20"/>
          <w:lang w:val="en-US"/>
        </w:rPr>
        <w:t>, Winnipeg.</w:t>
      </w:r>
    </w:p>
    <w:p w:rsidR="00E77C39" w:rsidRPr="0025792C" w:rsidRDefault="00E77C39" w:rsidP="00E77C39">
      <w:pPr>
        <w:pStyle w:val="SCCNormalDoubleSpacing"/>
        <w:spacing w:line="240" w:lineRule="auto"/>
        <w:rPr>
          <w:i/>
          <w:sz w:val="20"/>
          <w:lang w:val="en-US"/>
        </w:rPr>
      </w:pPr>
    </w:p>
    <w:p w:rsidR="00E77C39" w:rsidRPr="00D54753" w:rsidRDefault="00E77C39" w:rsidP="00E77C39">
      <w:pPr>
        <w:pStyle w:val="SCCNormalDoubleSpacing"/>
        <w:spacing w:line="240" w:lineRule="auto"/>
        <w:rPr>
          <w:i/>
          <w:sz w:val="20"/>
          <w:lang w:val="fr-CA"/>
        </w:rPr>
      </w:pPr>
      <w:r w:rsidRPr="0025792C">
        <w:rPr>
          <w:i/>
          <w:sz w:val="20"/>
          <w:lang w:val="en-US"/>
        </w:rPr>
        <w:tab/>
      </w:r>
      <w:r w:rsidRPr="00D54753">
        <w:rPr>
          <w:i/>
          <w:sz w:val="20"/>
          <w:lang w:val="fr-CA"/>
        </w:rPr>
        <w:t>Procureurs de l’intervenant le Grand Conseil des Cris (</w:t>
      </w:r>
      <w:proofErr w:type="spellStart"/>
      <w:r w:rsidRPr="00D54753">
        <w:rPr>
          <w:i/>
          <w:sz w:val="20"/>
          <w:lang w:val="fr-CA"/>
        </w:rPr>
        <w:t>Eeyou</w:t>
      </w:r>
      <w:proofErr w:type="spellEnd"/>
      <w:r w:rsidRPr="00D54753">
        <w:rPr>
          <w:i/>
          <w:sz w:val="20"/>
          <w:lang w:val="fr-CA"/>
        </w:rPr>
        <w:t xml:space="preserve"> </w:t>
      </w:r>
      <w:proofErr w:type="spellStart"/>
      <w:r w:rsidRPr="00D54753">
        <w:rPr>
          <w:i/>
          <w:sz w:val="20"/>
          <w:lang w:val="fr-CA"/>
        </w:rPr>
        <w:t>Istchee</w:t>
      </w:r>
      <w:proofErr w:type="spellEnd"/>
      <w:r w:rsidRPr="00D54753">
        <w:rPr>
          <w:i/>
          <w:sz w:val="20"/>
          <w:lang w:val="fr-CA"/>
        </w:rPr>
        <w:t>)/Administration régionale crie : </w:t>
      </w:r>
      <w:proofErr w:type="spellStart"/>
      <w:r w:rsidRPr="00D54753">
        <w:rPr>
          <w:i/>
          <w:sz w:val="20"/>
          <w:lang w:val="fr-CA"/>
        </w:rPr>
        <w:t>Gowling</w:t>
      </w:r>
      <w:proofErr w:type="spellEnd"/>
      <w:r w:rsidRPr="00D54753">
        <w:rPr>
          <w:i/>
          <w:sz w:val="20"/>
          <w:lang w:val="fr-CA"/>
        </w:rPr>
        <w:t xml:space="preserve"> Lafleur Henderson, Montréal.</w:t>
      </w:r>
    </w:p>
    <w:p w:rsidR="00E77C39" w:rsidRPr="00D54753" w:rsidRDefault="00E77C39" w:rsidP="00E77C39">
      <w:pPr>
        <w:pStyle w:val="SCCNormalDoubleSpacing"/>
        <w:spacing w:line="240" w:lineRule="auto"/>
        <w:rPr>
          <w:i/>
          <w:sz w:val="20"/>
          <w:lang w:val="fr-CA"/>
        </w:rPr>
      </w:pPr>
    </w:p>
    <w:p w:rsidR="00E77C39" w:rsidRPr="00D54753" w:rsidRDefault="00E77C39" w:rsidP="00E77C39">
      <w:pPr>
        <w:pStyle w:val="SCCNormalDoubleSpacing"/>
        <w:spacing w:line="240" w:lineRule="auto"/>
        <w:rPr>
          <w:i/>
          <w:sz w:val="20"/>
          <w:lang w:val="fr-CA"/>
        </w:rPr>
      </w:pPr>
      <w:r w:rsidRPr="00D54753">
        <w:rPr>
          <w:i/>
          <w:sz w:val="20"/>
          <w:lang w:val="fr-CA"/>
        </w:rPr>
        <w:tab/>
        <w:t xml:space="preserve">Procureurs des intervenantes l’Assemblée des Premières Nations et Union of Nova </w:t>
      </w:r>
      <w:proofErr w:type="spellStart"/>
      <w:r w:rsidRPr="00D54753">
        <w:rPr>
          <w:i/>
          <w:sz w:val="20"/>
          <w:lang w:val="fr-CA"/>
        </w:rPr>
        <w:t>Scotia</w:t>
      </w:r>
      <w:proofErr w:type="spellEnd"/>
      <w:r w:rsidRPr="00D54753">
        <w:rPr>
          <w:i/>
          <w:sz w:val="20"/>
          <w:lang w:val="fr-CA"/>
        </w:rPr>
        <w:t xml:space="preserve"> </w:t>
      </w:r>
      <w:proofErr w:type="spellStart"/>
      <w:r w:rsidRPr="00D54753">
        <w:rPr>
          <w:i/>
          <w:sz w:val="20"/>
          <w:lang w:val="fr-CA"/>
        </w:rPr>
        <w:t>Indians</w:t>
      </w:r>
      <w:proofErr w:type="spellEnd"/>
      <w:r w:rsidRPr="00D54753">
        <w:rPr>
          <w:i/>
          <w:sz w:val="20"/>
          <w:lang w:val="fr-CA"/>
        </w:rPr>
        <w:t> : </w:t>
      </w:r>
      <w:proofErr w:type="spellStart"/>
      <w:r w:rsidRPr="00D54753">
        <w:rPr>
          <w:i/>
          <w:sz w:val="20"/>
          <w:lang w:val="fr-CA"/>
        </w:rPr>
        <w:t>Gowling</w:t>
      </w:r>
      <w:proofErr w:type="spellEnd"/>
      <w:r w:rsidRPr="00D54753">
        <w:rPr>
          <w:i/>
          <w:sz w:val="20"/>
          <w:lang w:val="fr-CA"/>
        </w:rPr>
        <w:t xml:space="preserve"> Lafleur Henderson, Ottawa.</w:t>
      </w:r>
    </w:p>
    <w:p w:rsidR="00E77C39" w:rsidRPr="00D54753" w:rsidRDefault="00E77C39" w:rsidP="00E77C39">
      <w:pPr>
        <w:pStyle w:val="SCCNormalDoubleSpacing"/>
        <w:spacing w:line="240" w:lineRule="auto"/>
        <w:rPr>
          <w:i/>
          <w:sz w:val="20"/>
          <w:lang w:val="fr-CA"/>
        </w:rPr>
      </w:pPr>
    </w:p>
    <w:p w:rsidR="00E77C39" w:rsidRDefault="00E77C39" w:rsidP="00E77C39">
      <w:pPr>
        <w:pStyle w:val="SCCNormalDoubleSpacing"/>
        <w:spacing w:line="240" w:lineRule="auto"/>
        <w:rPr>
          <w:i/>
          <w:sz w:val="20"/>
        </w:rPr>
      </w:pPr>
      <w:r w:rsidRPr="00D54753">
        <w:rPr>
          <w:i/>
          <w:sz w:val="20"/>
          <w:lang w:val="fr-CA"/>
        </w:rPr>
        <w:tab/>
      </w:r>
      <w:proofErr w:type="spellStart"/>
      <w:r w:rsidRPr="0025792C">
        <w:rPr>
          <w:i/>
          <w:sz w:val="20"/>
        </w:rPr>
        <w:t>Procureurs</w:t>
      </w:r>
      <w:proofErr w:type="spellEnd"/>
      <w:r w:rsidRPr="0025792C">
        <w:rPr>
          <w:i/>
          <w:sz w:val="20"/>
        </w:rPr>
        <w:t xml:space="preserve"> de </w:t>
      </w:r>
      <w:proofErr w:type="spellStart"/>
      <w:r w:rsidRPr="0025792C">
        <w:rPr>
          <w:i/>
          <w:sz w:val="20"/>
        </w:rPr>
        <w:t>l’intervenant</w:t>
      </w:r>
      <w:proofErr w:type="spellEnd"/>
      <w:r w:rsidRPr="0025792C">
        <w:rPr>
          <w:i/>
          <w:sz w:val="20"/>
        </w:rPr>
        <w:t xml:space="preserve"> Chiefs of </w:t>
      </w:r>
      <w:proofErr w:type="gramStart"/>
      <w:r w:rsidRPr="0025792C">
        <w:rPr>
          <w:i/>
          <w:sz w:val="20"/>
        </w:rPr>
        <w:t>Ontario :</w:t>
      </w:r>
      <w:proofErr w:type="gramEnd"/>
      <w:r w:rsidRPr="0025792C">
        <w:rPr>
          <w:i/>
          <w:sz w:val="20"/>
        </w:rPr>
        <w:t> </w:t>
      </w:r>
      <w:proofErr w:type="spellStart"/>
      <w:r w:rsidRPr="0025792C">
        <w:rPr>
          <w:i/>
          <w:sz w:val="20"/>
        </w:rPr>
        <w:t>Nahwegahbow</w:t>
      </w:r>
      <w:proofErr w:type="spellEnd"/>
      <w:r w:rsidRPr="0025792C">
        <w:rPr>
          <w:i/>
          <w:sz w:val="20"/>
        </w:rPr>
        <w:t xml:space="preserve">, </w:t>
      </w:r>
      <w:proofErr w:type="spellStart"/>
      <w:r w:rsidRPr="0025792C">
        <w:rPr>
          <w:i/>
          <w:sz w:val="20"/>
        </w:rPr>
        <w:t>Corbiere</w:t>
      </w:r>
      <w:proofErr w:type="spellEnd"/>
      <w:r w:rsidRPr="0025792C">
        <w:rPr>
          <w:i/>
          <w:sz w:val="20"/>
        </w:rPr>
        <w:t xml:space="preserve"> </w:t>
      </w:r>
      <w:proofErr w:type="spellStart"/>
      <w:r w:rsidRPr="0025792C">
        <w:rPr>
          <w:i/>
          <w:sz w:val="20"/>
        </w:rPr>
        <w:t>Genoodmagejig</w:t>
      </w:r>
      <w:proofErr w:type="spellEnd"/>
      <w:r w:rsidRPr="0025792C">
        <w:rPr>
          <w:i/>
          <w:sz w:val="20"/>
        </w:rPr>
        <w:t>, Rama.</w:t>
      </w:r>
    </w:p>
    <w:p w:rsidR="00E77C39" w:rsidRPr="00E77C39" w:rsidRDefault="00E77C39" w:rsidP="00E77C39">
      <w:pPr>
        <w:rPr>
          <w:sz w:val="20"/>
          <w:szCs w:val="20"/>
        </w:rPr>
      </w:pPr>
      <w:r w:rsidRPr="00E77C39">
        <w:rPr>
          <w:sz w:val="20"/>
          <w:szCs w:val="20"/>
        </w:rPr>
        <w:t>________________________</w:t>
      </w:r>
    </w:p>
    <w:p w:rsidR="00E77C39" w:rsidRPr="00E77C39" w:rsidRDefault="00E77C39" w:rsidP="00E77C39">
      <w:pPr>
        <w:rPr>
          <w:sz w:val="20"/>
          <w:szCs w:val="20"/>
        </w:rPr>
      </w:pPr>
    </w:p>
    <w:p w:rsidR="00D54753" w:rsidRPr="0029698A" w:rsidRDefault="00D54753" w:rsidP="00D54753">
      <w:pPr>
        <w:jc w:val="both"/>
        <w:rPr>
          <w:rFonts w:cs="Times New Roman"/>
          <w:sz w:val="20"/>
          <w:szCs w:val="20"/>
        </w:rPr>
      </w:pPr>
      <w:r w:rsidRPr="0029698A">
        <w:rPr>
          <w:rFonts w:cs="Times New Roman"/>
          <w:sz w:val="20"/>
          <w:szCs w:val="20"/>
        </w:rPr>
        <w:t xml:space="preserve">Present:  </w:t>
      </w:r>
      <w:proofErr w:type="spellStart"/>
      <w:r w:rsidRPr="0029698A">
        <w:rPr>
          <w:rFonts w:cs="Times New Roman"/>
          <w:sz w:val="20"/>
          <w:szCs w:val="20"/>
        </w:rPr>
        <w:t>McLachlin</w:t>
      </w:r>
      <w:proofErr w:type="spellEnd"/>
      <w:r w:rsidRPr="0029698A">
        <w:rPr>
          <w:rFonts w:cs="Times New Roman"/>
          <w:sz w:val="20"/>
          <w:szCs w:val="20"/>
        </w:rPr>
        <w:t xml:space="preserve"> C.J. and </w:t>
      </w:r>
      <w:proofErr w:type="spellStart"/>
      <w:r w:rsidRPr="0029698A">
        <w:rPr>
          <w:rFonts w:cs="Times New Roman"/>
          <w:sz w:val="20"/>
          <w:szCs w:val="20"/>
        </w:rPr>
        <w:t>Binnie</w:t>
      </w:r>
      <w:proofErr w:type="spellEnd"/>
      <w:r w:rsidRPr="0029698A">
        <w:rPr>
          <w:rFonts w:cs="Times New Roman"/>
          <w:sz w:val="20"/>
          <w:szCs w:val="20"/>
        </w:rPr>
        <w:t xml:space="preserve">, </w:t>
      </w:r>
      <w:proofErr w:type="spellStart"/>
      <w:r w:rsidRPr="0029698A">
        <w:rPr>
          <w:rFonts w:cs="Times New Roman"/>
          <w:sz w:val="20"/>
          <w:szCs w:val="20"/>
        </w:rPr>
        <w:t>Deschamps</w:t>
      </w:r>
      <w:proofErr w:type="spellEnd"/>
      <w:r w:rsidRPr="0029698A">
        <w:rPr>
          <w:rFonts w:cs="Times New Roman"/>
          <w:sz w:val="20"/>
          <w:szCs w:val="20"/>
        </w:rPr>
        <w:t xml:space="preserve">, Fish, </w:t>
      </w:r>
      <w:proofErr w:type="spellStart"/>
      <w:r w:rsidRPr="0029698A">
        <w:rPr>
          <w:rFonts w:cs="Times New Roman"/>
          <w:sz w:val="20"/>
          <w:szCs w:val="20"/>
        </w:rPr>
        <w:t>Charron</w:t>
      </w:r>
      <w:proofErr w:type="spellEnd"/>
      <w:r w:rsidRPr="0029698A">
        <w:rPr>
          <w:rFonts w:cs="Times New Roman"/>
          <w:sz w:val="20"/>
          <w:szCs w:val="20"/>
        </w:rPr>
        <w:t>, Rothstein and Cromwell JJ.</w:t>
      </w:r>
    </w:p>
    <w:p w:rsidR="00D54753" w:rsidRDefault="00D54753" w:rsidP="00D54753">
      <w:pPr>
        <w:pStyle w:val="SCCLowerCourtNameLowercase"/>
        <w:spacing w:line="240" w:lineRule="auto"/>
        <w:rPr>
          <w:sz w:val="20"/>
        </w:rPr>
      </w:pPr>
    </w:p>
    <w:p w:rsidR="00D54753" w:rsidRDefault="00D54753" w:rsidP="00D54753">
      <w:pPr>
        <w:pStyle w:val="SCCNormalDoubleSpacing"/>
        <w:spacing w:line="240" w:lineRule="auto"/>
        <w:rPr>
          <w:i/>
          <w:sz w:val="20"/>
        </w:rPr>
      </w:pPr>
      <w:r w:rsidRPr="0029698A">
        <w:rPr>
          <w:sz w:val="20"/>
        </w:rPr>
        <w:tab/>
      </w:r>
      <w:r w:rsidRPr="0029698A">
        <w:rPr>
          <w:i/>
          <w:sz w:val="20"/>
        </w:rPr>
        <w:t xml:space="preserve">Aboriginal law — Taxation — Exemptions — Interest income — Status Indian living part time </w:t>
      </w:r>
      <w:proofErr w:type="spellStart"/>
      <w:r w:rsidRPr="0029698A">
        <w:rPr>
          <w:i/>
          <w:sz w:val="20"/>
        </w:rPr>
        <w:t>off</w:t>
      </w:r>
      <w:r w:rsidRPr="0029698A">
        <w:rPr>
          <w:i/>
          <w:sz w:val="20"/>
        </w:rPr>
        <w:noBreakHyphen/>
        <w:t>reserve</w:t>
      </w:r>
      <w:proofErr w:type="spellEnd"/>
      <w:r w:rsidRPr="0029698A">
        <w:rPr>
          <w:i/>
          <w:sz w:val="20"/>
        </w:rPr>
        <w:t xml:space="preserve"> investing income in term deposits with </w:t>
      </w:r>
      <w:proofErr w:type="spellStart"/>
      <w:r w:rsidRPr="0029698A">
        <w:rPr>
          <w:i/>
          <w:sz w:val="20"/>
        </w:rPr>
        <w:t>caisse</w:t>
      </w:r>
      <w:proofErr w:type="spellEnd"/>
      <w:r w:rsidRPr="0029698A">
        <w:rPr>
          <w:i/>
          <w:sz w:val="20"/>
        </w:rPr>
        <w:t xml:space="preserve"> </w:t>
      </w:r>
      <w:proofErr w:type="spellStart"/>
      <w:r w:rsidRPr="0029698A">
        <w:rPr>
          <w:i/>
          <w:sz w:val="20"/>
        </w:rPr>
        <w:t>populaire</w:t>
      </w:r>
      <w:proofErr w:type="spellEnd"/>
      <w:r w:rsidRPr="0029698A">
        <w:rPr>
          <w:i/>
          <w:sz w:val="20"/>
        </w:rPr>
        <w:t xml:space="preserve"> located on reserve — Interest income earned on term deposits paid and deposited in savings account — Whether interest income exempt from income taxation as personal property “situated on a reserve” — Connecting factors approach to determining location of intangible personal property — Weight given to creditor’s place of residence, source of invested funds and location where investment income spent — Indian Act, R.S.C. 1985, c. I</w:t>
      </w:r>
      <w:r w:rsidRPr="0029698A">
        <w:rPr>
          <w:i/>
          <w:sz w:val="20"/>
        </w:rPr>
        <w:noBreakHyphen/>
        <w:t>5, s. 87(1)(b).</w:t>
      </w:r>
    </w:p>
    <w:p w:rsidR="00D12AD6" w:rsidRDefault="00D12AD6" w:rsidP="00D54753">
      <w:pPr>
        <w:pStyle w:val="SCCNormalDoubleSpacing"/>
        <w:spacing w:line="240" w:lineRule="auto"/>
        <w:rPr>
          <w:i/>
          <w:sz w:val="20"/>
        </w:rPr>
      </w:pPr>
    </w:p>
    <w:p w:rsidR="00D54753" w:rsidRDefault="00D54753" w:rsidP="00D54753">
      <w:pPr>
        <w:pStyle w:val="SCCNormalDoubleSpacing"/>
        <w:spacing w:line="240" w:lineRule="auto"/>
        <w:rPr>
          <w:i/>
          <w:sz w:val="20"/>
        </w:rPr>
      </w:pPr>
      <w:r w:rsidRPr="0029698A">
        <w:rPr>
          <w:i/>
          <w:sz w:val="20"/>
        </w:rPr>
        <w:lastRenderedPageBreak/>
        <w:tab/>
        <w:t>Taxation — Income tax — Exemptions — Income from property — Interest income earned on term deposits deposited in status Indian’s savings account on reserve — Whether interest income exempt from tax as “personal property of an Indian situated on a reserve” — Income Tax Act, R.S.C. 1985, c. 1 (5</w:t>
      </w:r>
      <w:r w:rsidRPr="0029698A">
        <w:rPr>
          <w:i/>
          <w:sz w:val="20"/>
          <w:vertAlign w:val="superscript"/>
        </w:rPr>
        <w:t>th</w:t>
      </w:r>
      <w:r w:rsidRPr="0029698A">
        <w:rPr>
          <w:i/>
          <w:sz w:val="20"/>
        </w:rPr>
        <w:t xml:space="preserve"> Supp.), s. 3, 9 — Indian Act, R.S.C. 1985, c. I</w:t>
      </w:r>
      <w:r w:rsidRPr="0029698A">
        <w:rPr>
          <w:i/>
          <w:sz w:val="20"/>
        </w:rPr>
        <w:noBreakHyphen/>
        <w:t>5, s. 87(1)(b).</w:t>
      </w:r>
    </w:p>
    <w:p w:rsidR="00D54753" w:rsidRPr="0029698A" w:rsidRDefault="00D54753" w:rsidP="00D54753">
      <w:pPr>
        <w:pStyle w:val="SCCNormalDoubleSpacing"/>
        <w:spacing w:line="240" w:lineRule="auto"/>
        <w:rPr>
          <w:i/>
          <w:sz w:val="20"/>
        </w:rPr>
      </w:pPr>
    </w:p>
    <w:p w:rsidR="00D54753" w:rsidRDefault="00D54753" w:rsidP="00D54753">
      <w:pPr>
        <w:pStyle w:val="SCCNormalDoubleSpacing"/>
        <w:spacing w:line="240" w:lineRule="auto"/>
        <w:rPr>
          <w:sz w:val="20"/>
        </w:rPr>
      </w:pPr>
      <w:r w:rsidRPr="0029698A">
        <w:rPr>
          <w:sz w:val="20"/>
        </w:rPr>
        <w:tab/>
        <w:t xml:space="preserve">D is an </w:t>
      </w:r>
      <w:proofErr w:type="spellStart"/>
      <w:r w:rsidRPr="0029698A">
        <w:rPr>
          <w:sz w:val="20"/>
        </w:rPr>
        <w:t>Attikamek</w:t>
      </w:r>
      <w:proofErr w:type="spellEnd"/>
      <w:r w:rsidRPr="0029698A">
        <w:rPr>
          <w:sz w:val="20"/>
        </w:rPr>
        <w:t xml:space="preserve"> Indian and has been a member of the </w:t>
      </w:r>
      <w:proofErr w:type="spellStart"/>
      <w:r w:rsidRPr="0029698A">
        <w:rPr>
          <w:sz w:val="20"/>
        </w:rPr>
        <w:t>Obedjiwan</w:t>
      </w:r>
      <w:proofErr w:type="spellEnd"/>
      <w:r w:rsidRPr="0029698A">
        <w:rPr>
          <w:sz w:val="20"/>
        </w:rPr>
        <w:t xml:space="preserve"> Reserve since birth.  During the relevant years, D lived part time </w:t>
      </w:r>
      <w:proofErr w:type="spellStart"/>
      <w:r w:rsidRPr="0029698A">
        <w:rPr>
          <w:sz w:val="20"/>
        </w:rPr>
        <w:t>off</w:t>
      </w:r>
      <w:r w:rsidRPr="0029698A">
        <w:rPr>
          <w:sz w:val="20"/>
        </w:rPr>
        <w:noBreakHyphen/>
        <w:t>reserve</w:t>
      </w:r>
      <w:proofErr w:type="spellEnd"/>
      <w:r w:rsidRPr="0029698A">
        <w:rPr>
          <w:sz w:val="20"/>
        </w:rPr>
        <w:t xml:space="preserve"> and owned real property </w:t>
      </w:r>
      <w:proofErr w:type="spellStart"/>
      <w:r w:rsidRPr="0029698A">
        <w:rPr>
          <w:sz w:val="20"/>
        </w:rPr>
        <w:t>off</w:t>
      </w:r>
      <w:r w:rsidRPr="0029698A">
        <w:rPr>
          <w:sz w:val="20"/>
        </w:rPr>
        <w:noBreakHyphen/>
        <w:t>reserve</w:t>
      </w:r>
      <w:proofErr w:type="spellEnd"/>
      <w:r w:rsidRPr="0029698A">
        <w:rPr>
          <w:sz w:val="20"/>
        </w:rPr>
        <w:t xml:space="preserve">.  As there were no financial institutions on the </w:t>
      </w:r>
      <w:proofErr w:type="spellStart"/>
      <w:r w:rsidRPr="0029698A">
        <w:rPr>
          <w:sz w:val="20"/>
        </w:rPr>
        <w:t>Obedjiwan</w:t>
      </w:r>
      <w:proofErr w:type="spellEnd"/>
      <w:r w:rsidRPr="0029698A">
        <w:rPr>
          <w:sz w:val="20"/>
        </w:rPr>
        <w:t xml:space="preserve"> Reserve, D used the services of the </w:t>
      </w:r>
      <w:proofErr w:type="spellStart"/>
      <w:r w:rsidRPr="0029698A">
        <w:rPr>
          <w:sz w:val="20"/>
        </w:rPr>
        <w:t>Caisse</w:t>
      </w:r>
      <w:proofErr w:type="spellEnd"/>
      <w:r w:rsidRPr="0029698A">
        <w:rPr>
          <w:sz w:val="20"/>
        </w:rPr>
        <w:t xml:space="preserve"> </w:t>
      </w:r>
      <w:proofErr w:type="spellStart"/>
      <w:r w:rsidRPr="0029698A">
        <w:rPr>
          <w:sz w:val="20"/>
        </w:rPr>
        <w:t>populaire</w:t>
      </w:r>
      <w:proofErr w:type="spellEnd"/>
      <w:r w:rsidRPr="0029698A">
        <w:rPr>
          <w:sz w:val="20"/>
        </w:rPr>
        <w:t xml:space="preserve"> Desjardins de </w:t>
      </w:r>
      <w:proofErr w:type="spellStart"/>
      <w:r w:rsidRPr="0029698A">
        <w:rPr>
          <w:sz w:val="20"/>
        </w:rPr>
        <w:t>Pointe</w:t>
      </w:r>
      <w:r w:rsidRPr="0029698A">
        <w:rPr>
          <w:sz w:val="20"/>
        </w:rPr>
        <w:noBreakHyphen/>
        <w:t>Bleue</w:t>
      </w:r>
      <w:proofErr w:type="spellEnd"/>
      <w:r w:rsidRPr="0029698A">
        <w:rPr>
          <w:sz w:val="20"/>
        </w:rPr>
        <w:t xml:space="preserve"> situated on the </w:t>
      </w:r>
      <w:proofErr w:type="spellStart"/>
      <w:r w:rsidRPr="0029698A">
        <w:rPr>
          <w:sz w:val="20"/>
        </w:rPr>
        <w:t>Mashteuiatsh</w:t>
      </w:r>
      <w:proofErr w:type="spellEnd"/>
      <w:r w:rsidRPr="0029698A">
        <w:rPr>
          <w:sz w:val="20"/>
        </w:rPr>
        <w:t xml:space="preserve"> Reserve.  He earned interest income on term deposits with the </w:t>
      </w:r>
      <w:proofErr w:type="spellStart"/>
      <w:r w:rsidRPr="0029698A">
        <w:rPr>
          <w:sz w:val="20"/>
        </w:rPr>
        <w:t>Caisse</w:t>
      </w:r>
      <w:proofErr w:type="spellEnd"/>
      <w:r w:rsidRPr="0029698A">
        <w:rPr>
          <w:sz w:val="20"/>
        </w:rPr>
        <w:t xml:space="preserve">, which was deposited in a savings account at the </w:t>
      </w:r>
      <w:proofErr w:type="spellStart"/>
      <w:r w:rsidRPr="0029698A">
        <w:rPr>
          <w:sz w:val="20"/>
        </w:rPr>
        <w:t>Caisse</w:t>
      </w:r>
      <w:proofErr w:type="spellEnd"/>
      <w:r w:rsidRPr="0029698A">
        <w:rPr>
          <w:sz w:val="20"/>
        </w:rPr>
        <w:t xml:space="preserve">.  The Minister of National Revenue made an assessment in which he added the investment income to D’s income for each taxation year from 1997 to 2002.  The Minister refused to consider this income to be property exempt from taxation under s. 87 of the </w:t>
      </w:r>
      <w:r w:rsidRPr="0029698A">
        <w:rPr>
          <w:i/>
          <w:sz w:val="20"/>
        </w:rPr>
        <w:t>Indian Act</w:t>
      </w:r>
      <w:r w:rsidRPr="0029698A">
        <w:rPr>
          <w:sz w:val="20"/>
        </w:rPr>
        <w:t>.  The assessment was confirmed and D appealed unsuccessfully to the Tax Court of Canada and the Federal Court of Appeal.</w:t>
      </w:r>
    </w:p>
    <w:p w:rsidR="00D54753" w:rsidRPr="0029698A" w:rsidRDefault="00D54753" w:rsidP="00D54753">
      <w:pPr>
        <w:pStyle w:val="SCCNormalDoubleSpacing"/>
        <w:spacing w:line="240" w:lineRule="auto"/>
        <w:rPr>
          <w:sz w:val="20"/>
        </w:rPr>
      </w:pPr>
    </w:p>
    <w:p w:rsidR="00D54753" w:rsidRDefault="00D54753" w:rsidP="00D54753">
      <w:pPr>
        <w:pStyle w:val="SCCNormalDoubleSpacing"/>
        <w:spacing w:line="240" w:lineRule="auto"/>
        <w:rPr>
          <w:sz w:val="20"/>
        </w:rPr>
      </w:pPr>
      <w:r w:rsidRPr="0029698A">
        <w:rPr>
          <w:sz w:val="20"/>
        </w:rPr>
        <w:tab/>
      </w:r>
      <w:r w:rsidRPr="0029698A">
        <w:rPr>
          <w:i/>
          <w:sz w:val="20"/>
        </w:rPr>
        <w:t xml:space="preserve">Held </w:t>
      </w:r>
      <w:r w:rsidRPr="0029698A">
        <w:rPr>
          <w:sz w:val="20"/>
        </w:rPr>
        <w:t>(</w:t>
      </w:r>
      <w:proofErr w:type="spellStart"/>
      <w:r w:rsidRPr="0029698A">
        <w:rPr>
          <w:sz w:val="20"/>
        </w:rPr>
        <w:t>Deschamps</w:t>
      </w:r>
      <w:proofErr w:type="spellEnd"/>
      <w:r w:rsidRPr="0029698A">
        <w:rPr>
          <w:sz w:val="20"/>
        </w:rPr>
        <w:t xml:space="preserve"> and Rothstein JJ. </w:t>
      </w:r>
      <w:proofErr w:type="gramStart"/>
      <w:r w:rsidRPr="0029698A">
        <w:rPr>
          <w:sz w:val="20"/>
        </w:rPr>
        <w:t>dissenting)</w:t>
      </w:r>
      <w:proofErr w:type="gramEnd"/>
      <w:r w:rsidRPr="0029698A">
        <w:rPr>
          <w:sz w:val="20"/>
        </w:rPr>
        <w:t>:  The appeal should be allowed.</w:t>
      </w:r>
    </w:p>
    <w:p w:rsidR="00D54753" w:rsidRPr="0029698A" w:rsidRDefault="00D54753" w:rsidP="00D54753">
      <w:pPr>
        <w:pStyle w:val="SCCNormalDoubleSpacing"/>
        <w:spacing w:line="240" w:lineRule="auto"/>
        <w:rPr>
          <w:sz w:val="20"/>
        </w:rPr>
      </w:pPr>
    </w:p>
    <w:p w:rsidR="00D54753" w:rsidRDefault="00D54753" w:rsidP="00D54753">
      <w:pPr>
        <w:pStyle w:val="SCCNormalDoubleSpacing"/>
        <w:spacing w:line="240" w:lineRule="auto"/>
        <w:rPr>
          <w:sz w:val="20"/>
        </w:rPr>
      </w:pPr>
      <w:r w:rsidRPr="0029698A">
        <w:rPr>
          <w:sz w:val="20"/>
        </w:rPr>
        <w:tab/>
      </w:r>
      <w:r w:rsidRPr="0029698A">
        <w:rPr>
          <w:i/>
          <w:sz w:val="20"/>
        </w:rPr>
        <w:t>Per</w:t>
      </w:r>
      <w:r w:rsidRPr="0029698A">
        <w:rPr>
          <w:sz w:val="20"/>
        </w:rPr>
        <w:t xml:space="preserve"> </w:t>
      </w:r>
      <w:proofErr w:type="spellStart"/>
      <w:r w:rsidRPr="0029698A">
        <w:rPr>
          <w:sz w:val="20"/>
        </w:rPr>
        <w:t>McLachlin</w:t>
      </w:r>
      <w:proofErr w:type="spellEnd"/>
      <w:r w:rsidRPr="0029698A">
        <w:rPr>
          <w:sz w:val="20"/>
        </w:rPr>
        <w:t xml:space="preserve"> C.J. and </w:t>
      </w:r>
      <w:proofErr w:type="spellStart"/>
      <w:r w:rsidRPr="0029698A">
        <w:rPr>
          <w:sz w:val="20"/>
        </w:rPr>
        <w:t>Binnie</w:t>
      </w:r>
      <w:proofErr w:type="spellEnd"/>
      <w:r w:rsidRPr="0029698A">
        <w:rPr>
          <w:sz w:val="20"/>
        </w:rPr>
        <w:t xml:space="preserve">, Fish, </w:t>
      </w:r>
      <w:proofErr w:type="spellStart"/>
      <w:r w:rsidRPr="0029698A">
        <w:rPr>
          <w:sz w:val="20"/>
        </w:rPr>
        <w:t>Charron</w:t>
      </w:r>
      <w:proofErr w:type="spellEnd"/>
      <w:r w:rsidRPr="0029698A">
        <w:rPr>
          <w:sz w:val="20"/>
        </w:rPr>
        <w:t xml:space="preserve"> and </w:t>
      </w:r>
      <w:r w:rsidRPr="0029698A">
        <w:rPr>
          <w:b/>
          <w:sz w:val="20"/>
        </w:rPr>
        <w:t>Cromwell</w:t>
      </w:r>
      <w:r w:rsidRPr="0029698A">
        <w:rPr>
          <w:sz w:val="20"/>
        </w:rPr>
        <w:t xml:space="preserve"> JJ.:  According to the analytical approach set out in </w:t>
      </w:r>
      <w:proofErr w:type="spellStart"/>
      <w:r w:rsidRPr="0029698A">
        <w:rPr>
          <w:i/>
          <w:sz w:val="20"/>
        </w:rPr>
        <w:t>Bastien</w:t>
      </w:r>
      <w:proofErr w:type="spellEnd"/>
      <w:r w:rsidRPr="0029698A">
        <w:rPr>
          <w:i/>
          <w:sz w:val="20"/>
        </w:rPr>
        <w:t xml:space="preserve"> Estate v. Canada</w:t>
      </w:r>
      <w:r w:rsidRPr="0029698A">
        <w:rPr>
          <w:sz w:val="20"/>
        </w:rPr>
        <w:t xml:space="preserve">, 2011 SCC 38, both the substance and the form of the term deposits provide strong connecting factors between the interest income and a reserve.  The interest income derives from a contractual obligation entered into on a reserve with an institution carrying on business on that reserve to pay fixed sums of money on that reserve.  Focusing on the nature of the taxpayer’s property, as opposed to the </w:t>
      </w:r>
      <w:proofErr w:type="spellStart"/>
      <w:r w:rsidRPr="0029698A">
        <w:rPr>
          <w:sz w:val="20"/>
        </w:rPr>
        <w:t>Caisse’s</w:t>
      </w:r>
      <w:proofErr w:type="spellEnd"/>
      <w:r w:rsidRPr="0029698A">
        <w:rPr>
          <w:sz w:val="20"/>
        </w:rPr>
        <w:t xml:space="preserve"> sources of revenue, the generation and payment of the income is strongly connected to a reserve.  Therefore, the connecting factors of the place of contracting, the location of the </w:t>
      </w:r>
      <w:proofErr w:type="spellStart"/>
      <w:r w:rsidRPr="0029698A">
        <w:rPr>
          <w:sz w:val="20"/>
        </w:rPr>
        <w:t>Caisse</w:t>
      </w:r>
      <w:proofErr w:type="spellEnd"/>
      <w:r w:rsidRPr="0029698A">
        <w:rPr>
          <w:sz w:val="20"/>
        </w:rPr>
        <w:t xml:space="preserve"> and the place of payment should, when considered in light of the type of property, the nature of the taxation of that property and the purpose of the exemption, be given considerable weight.</w:t>
      </w:r>
    </w:p>
    <w:p w:rsidR="00D54753" w:rsidRPr="0029698A" w:rsidRDefault="00D54753" w:rsidP="00D54753">
      <w:pPr>
        <w:pStyle w:val="SCCNormalDoubleSpacing"/>
        <w:spacing w:line="240" w:lineRule="auto"/>
        <w:rPr>
          <w:sz w:val="20"/>
        </w:rPr>
      </w:pPr>
    </w:p>
    <w:p w:rsidR="00D54753" w:rsidRDefault="00D54753" w:rsidP="00D54753">
      <w:pPr>
        <w:pStyle w:val="SCCNormalDoubleSpacing"/>
        <w:spacing w:line="240" w:lineRule="auto"/>
        <w:rPr>
          <w:sz w:val="20"/>
        </w:rPr>
      </w:pPr>
      <w:r w:rsidRPr="0029698A">
        <w:rPr>
          <w:sz w:val="20"/>
        </w:rPr>
        <w:tab/>
        <w:t xml:space="preserve">Notwithstanding the factual differences between </w:t>
      </w:r>
      <w:proofErr w:type="spellStart"/>
      <w:r w:rsidRPr="0029698A">
        <w:rPr>
          <w:i/>
          <w:sz w:val="20"/>
        </w:rPr>
        <w:t>Bastien</w:t>
      </w:r>
      <w:proofErr w:type="spellEnd"/>
      <w:r w:rsidRPr="0029698A">
        <w:rPr>
          <w:sz w:val="20"/>
        </w:rPr>
        <w:t xml:space="preserve"> and this case, all the relevant factors point to the </w:t>
      </w:r>
      <w:proofErr w:type="spellStart"/>
      <w:r w:rsidRPr="0029698A">
        <w:rPr>
          <w:sz w:val="20"/>
        </w:rPr>
        <w:t>Mashteuiatsh</w:t>
      </w:r>
      <w:proofErr w:type="spellEnd"/>
      <w:r w:rsidRPr="0029698A">
        <w:rPr>
          <w:sz w:val="20"/>
        </w:rPr>
        <w:t xml:space="preserve"> Reserve as the location of the interest income, and D should therefore be entitled to the s. 87 </w:t>
      </w:r>
      <w:proofErr w:type="gramStart"/>
      <w:r w:rsidRPr="0029698A">
        <w:rPr>
          <w:sz w:val="20"/>
        </w:rPr>
        <w:t>exemption</w:t>
      </w:r>
      <w:proofErr w:type="gramEnd"/>
      <w:r w:rsidRPr="0029698A">
        <w:rPr>
          <w:sz w:val="20"/>
        </w:rPr>
        <w:t xml:space="preserve"> from taxation.  The facts that the </w:t>
      </w:r>
      <w:proofErr w:type="spellStart"/>
      <w:r w:rsidRPr="0029698A">
        <w:rPr>
          <w:sz w:val="20"/>
        </w:rPr>
        <w:t>Caisse</w:t>
      </w:r>
      <w:proofErr w:type="spellEnd"/>
      <w:r w:rsidRPr="0029698A">
        <w:rPr>
          <w:sz w:val="20"/>
        </w:rPr>
        <w:t xml:space="preserve"> was not on D’s reserve and that D’s principal residence was not on a reserve, while potentially relevant, should receive little weight when considered in light of the type of property, the nature of the taxation in issue and the purpose of the exemption.  The taxation exemption refers to an Indian’s personal property situated on “a” reserve and not to property on his or her “own” reserve.  Furthermore, given the strength of the connecting factors relating to the location where the contract of investment was entered into, where it was to be performed and the </w:t>
      </w:r>
      <w:proofErr w:type="spellStart"/>
      <w:r w:rsidRPr="0029698A">
        <w:rPr>
          <w:sz w:val="20"/>
        </w:rPr>
        <w:t>Caisse’s</w:t>
      </w:r>
      <w:proofErr w:type="spellEnd"/>
      <w:r w:rsidRPr="0029698A">
        <w:rPr>
          <w:sz w:val="20"/>
        </w:rPr>
        <w:t xml:space="preserve"> place of business, the fact that the bulk of the capital invested was not derived from the </w:t>
      </w:r>
      <w:proofErr w:type="spellStart"/>
      <w:r w:rsidRPr="0029698A">
        <w:rPr>
          <w:sz w:val="20"/>
        </w:rPr>
        <w:t>tax</w:t>
      </w:r>
      <w:r w:rsidRPr="0029698A">
        <w:rPr>
          <w:sz w:val="20"/>
        </w:rPr>
        <w:noBreakHyphen/>
        <w:t>exempt</w:t>
      </w:r>
      <w:proofErr w:type="spellEnd"/>
      <w:r w:rsidRPr="0029698A">
        <w:rPr>
          <w:sz w:val="20"/>
        </w:rPr>
        <w:t xml:space="preserve"> activities on a reserve does not appreciably weaken the connection between the income and the </w:t>
      </w:r>
      <w:proofErr w:type="spellStart"/>
      <w:r w:rsidRPr="0029698A">
        <w:rPr>
          <w:sz w:val="20"/>
        </w:rPr>
        <w:t>Mashteuiatsh</w:t>
      </w:r>
      <w:proofErr w:type="spellEnd"/>
      <w:r w:rsidRPr="0029698A">
        <w:rPr>
          <w:sz w:val="20"/>
        </w:rPr>
        <w:t xml:space="preserve"> Reserve.  Finally, when considered in light of the type of property, the nature of the taxation of that property and the purpose of the exemption, the location where the investment income was spent by D is not a relevant connecting factor in determining the location of the income earned on his term deposits. </w:t>
      </w:r>
    </w:p>
    <w:p w:rsidR="00D54753" w:rsidRPr="0029698A" w:rsidRDefault="00D54753" w:rsidP="00D54753">
      <w:pPr>
        <w:pStyle w:val="SCCNormalDoubleSpacing"/>
        <w:spacing w:line="240" w:lineRule="auto"/>
        <w:rPr>
          <w:sz w:val="20"/>
        </w:rPr>
      </w:pPr>
    </w:p>
    <w:p w:rsidR="00D54753" w:rsidRDefault="00D54753" w:rsidP="00D54753">
      <w:pPr>
        <w:pStyle w:val="SCCNormalDoubleSpacing"/>
        <w:spacing w:line="240" w:lineRule="auto"/>
        <w:rPr>
          <w:sz w:val="20"/>
          <w:lang w:val="en-US"/>
        </w:rPr>
      </w:pPr>
      <w:r w:rsidRPr="0029698A">
        <w:rPr>
          <w:i/>
          <w:sz w:val="20"/>
        </w:rPr>
        <w:tab/>
      </w:r>
      <w:r w:rsidRPr="0029698A">
        <w:rPr>
          <w:i/>
          <w:sz w:val="20"/>
          <w:lang w:val="en-US"/>
        </w:rPr>
        <w:t>Per</w:t>
      </w:r>
      <w:r w:rsidRPr="0029698A">
        <w:rPr>
          <w:sz w:val="20"/>
          <w:lang w:val="en-US"/>
        </w:rPr>
        <w:t xml:space="preserve"> </w:t>
      </w:r>
      <w:proofErr w:type="spellStart"/>
      <w:r w:rsidRPr="0029698A">
        <w:rPr>
          <w:b/>
          <w:sz w:val="20"/>
          <w:lang w:val="en-US"/>
        </w:rPr>
        <w:t>Deschamps</w:t>
      </w:r>
      <w:proofErr w:type="spellEnd"/>
      <w:r w:rsidRPr="0029698A">
        <w:rPr>
          <w:sz w:val="20"/>
          <w:lang w:val="en-US"/>
        </w:rPr>
        <w:t xml:space="preserve"> and Rothstein (dissenting): </w:t>
      </w:r>
      <w:r w:rsidRPr="0029698A">
        <w:rPr>
          <w:sz w:val="20"/>
        </w:rPr>
        <w:t xml:space="preserve"> The interest accrued under D’s investment contract cannot be exempt from taxation.  For the exemption provided for in the </w:t>
      </w:r>
      <w:r w:rsidRPr="0029698A">
        <w:rPr>
          <w:i/>
          <w:sz w:val="20"/>
        </w:rPr>
        <w:t>Indian Act</w:t>
      </w:r>
      <w:r w:rsidRPr="0029698A">
        <w:rPr>
          <w:sz w:val="20"/>
        </w:rPr>
        <w:t xml:space="preserve"> to apply, an Indian’s personal property must have concrete and discernible connections with a reserve</w:t>
      </w:r>
      <w:r w:rsidRPr="0029698A">
        <w:rPr>
          <w:sz w:val="20"/>
          <w:lang w:val="en-US"/>
        </w:rPr>
        <w:t>.  T</w:t>
      </w:r>
      <w:r w:rsidRPr="0029698A">
        <w:rPr>
          <w:sz w:val="20"/>
        </w:rPr>
        <w:t>he findings of fact of the Tax Court of Canada judge disclose no such connections</w:t>
      </w:r>
      <w:r w:rsidRPr="0029698A">
        <w:rPr>
          <w:sz w:val="20"/>
          <w:lang w:val="en-US"/>
        </w:rPr>
        <w:t xml:space="preserve"> in this case.  D </w:t>
      </w:r>
      <w:r w:rsidRPr="0029698A">
        <w:rPr>
          <w:sz w:val="20"/>
        </w:rPr>
        <w:t xml:space="preserve">did not reside on the reserve, he was unable to explain where the deposits came from and the judge was unable to establish a connection between the deposited capital and the transportation company operated by </w:t>
      </w:r>
      <w:r w:rsidRPr="0029698A">
        <w:rPr>
          <w:sz w:val="20"/>
          <w:lang w:val="en-US"/>
        </w:rPr>
        <w:t xml:space="preserve">D.  </w:t>
      </w:r>
      <w:r w:rsidRPr="0029698A">
        <w:rPr>
          <w:sz w:val="20"/>
        </w:rPr>
        <w:t>To grant the exemption in such circumstances would be tantamount to turning the reserve into a tax haven for Indians engaged in unspecified for-profit activities off the reserve</w:t>
      </w:r>
      <w:r w:rsidRPr="0029698A">
        <w:rPr>
          <w:sz w:val="20"/>
          <w:lang w:val="en-US"/>
        </w:rPr>
        <w:t>.</w:t>
      </w:r>
    </w:p>
    <w:p w:rsidR="00D54753" w:rsidRDefault="00D54753" w:rsidP="00D54753">
      <w:pPr>
        <w:pStyle w:val="SCCNormalDoubleSpacing"/>
        <w:spacing w:line="240" w:lineRule="auto"/>
        <w:rPr>
          <w:sz w:val="20"/>
          <w:lang w:val="en-US"/>
        </w:rPr>
      </w:pPr>
    </w:p>
    <w:p w:rsidR="00D54753" w:rsidRDefault="00D54753" w:rsidP="00D54753">
      <w:pPr>
        <w:pStyle w:val="SCCNormalDoubleSpacing"/>
        <w:widowControl w:val="0"/>
        <w:spacing w:line="240" w:lineRule="auto"/>
        <w:rPr>
          <w:sz w:val="20"/>
          <w:lang w:val="en-US"/>
        </w:rPr>
      </w:pPr>
      <w:r w:rsidRPr="0029698A">
        <w:rPr>
          <w:sz w:val="20"/>
        </w:rPr>
        <w:tab/>
        <w:t>APPEAL from a judgment of the Federal Court of Appeal (</w:t>
      </w:r>
      <w:r w:rsidR="001557DD" w:rsidRPr="0029698A">
        <w:rPr>
          <w:sz w:val="20"/>
        </w:rPr>
        <w:fldChar w:fldCharType="begin"/>
      </w:r>
      <w:r w:rsidRPr="0029698A">
        <w:rPr>
          <w:sz w:val="20"/>
        </w:rPr>
        <w:instrText xml:space="preserve"> SEQ CHAPTER \h \r 1</w:instrText>
      </w:r>
      <w:r w:rsidR="001557DD" w:rsidRPr="0029698A">
        <w:rPr>
          <w:sz w:val="20"/>
        </w:rPr>
        <w:fldChar w:fldCharType="end"/>
      </w:r>
      <w:proofErr w:type="spellStart"/>
      <w:r w:rsidRPr="0029698A">
        <w:rPr>
          <w:sz w:val="20"/>
          <w:lang w:val="en-US"/>
        </w:rPr>
        <w:t>Nadon</w:t>
      </w:r>
      <w:proofErr w:type="spellEnd"/>
      <w:r w:rsidRPr="0029698A">
        <w:rPr>
          <w:sz w:val="20"/>
          <w:lang w:val="en-US"/>
        </w:rPr>
        <w:t xml:space="preserve">, </w:t>
      </w:r>
      <w:proofErr w:type="spellStart"/>
      <w:r w:rsidRPr="0029698A">
        <w:rPr>
          <w:sz w:val="20"/>
          <w:lang w:val="en-US"/>
        </w:rPr>
        <w:t>Blais</w:t>
      </w:r>
      <w:proofErr w:type="spellEnd"/>
      <w:r w:rsidRPr="0029698A">
        <w:rPr>
          <w:sz w:val="20"/>
          <w:lang w:val="en-US"/>
        </w:rPr>
        <w:t xml:space="preserve"> and Pelletier JJ.A.</w:t>
      </w:r>
      <w:r w:rsidRPr="0029698A">
        <w:rPr>
          <w:sz w:val="20"/>
        </w:rPr>
        <w:t xml:space="preserve">), </w:t>
      </w:r>
      <w:r w:rsidRPr="0029698A">
        <w:rPr>
          <w:sz w:val="20"/>
          <w:lang w:val="en-US"/>
        </w:rPr>
        <w:t xml:space="preserve">2009 FCA 109, 393 N.R. 143, 2009 D.T.C. 5175, [2010] 1 C.N.L.R. 249, 315 D.L.R. (4th) 372, [2009] F.C.J. No. 408 (QL), </w:t>
      </w:r>
      <w:r w:rsidR="001557DD" w:rsidRPr="0029698A">
        <w:rPr>
          <w:sz w:val="20"/>
        </w:rPr>
        <w:fldChar w:fldCharType="begin"/>
      </w:r>
      <w:r w:rsidRPr="0029698A">
        <w:rPr>
          <w:sz w:val="20"/>
        </w:rPr>
        <w:instrText xml:space="preserve"> SEQ CHAPTER \h \r 1</w:instrText>
      </w:r>
      <w:r w:rsidR="001557DD" w:rsidRPr="0029698A">
        <w:rPr>
          <w:sz w:val="20"/>
        </w:rPr>
        <w:fldChar w:fldCharType="end"/>
      </w:r>
      <w:r w:rsidRPr="0029698A">
        <w:rPr>
          <w:sz w:val="20"/>
          <w:lang w:val="en-US"/>
        </w:rPr>
        <w:t xml:space="preserve">2009 </w:t>
      </w:r>
      <w:proofErr w:type="spellStart"/>
      <w:r w:rsidRPr="0029698A">
        <w:rPr>
          <w:sz w:val="20"/>
          <w:lang w:val="en-US"/>
        </w:rPr>
        <w:t>CarswellNat</w:t>
      </w:r>
      <w:proofErr w:type="spellEnd"/>
      <w:r w:rsidRPr="0029698A">
        <w:rPr>
          <w:sz w:val="20"/>
          <w:lang w:val="en-US"/>
        </w:rPr>
        <w:t xml:space="preserve"> 2572, affirming a decision of Angers J., 2007 TCC 393, 2008 D.T.C. 4022, [2007] F.C.J. No. 540 (QL), </w:t>
      </w:r>
      <w:r w:rsidR="001557DD" w:rsidRPr="0029698A">
        <w:rPr>
          <w:sz w:val="20"/>
        </w:rPr>
        <w:fldChar w:fldCharType="begin"/>
      </w:r>
      <w:r w:rsidRPr="0029698A">
        <w:rPr>
          <w:sz w:val="20"/>
        </w:rPr>
        <w:instrText xml:space="preserve"> SEQ CHAPTER \h \r 1</w:instrText>
      </w:r>
      <w:r w:rsidR="001557DD" w:rsidRPr="0029698A">
        <w:rPr>
          <w:sz w:val="20"/>
        </w:rPr>
        <w:fldChar w:fldCharType="end"/>
      </w:r>
      <w:r w:rsidRPr="0029698A">
        <w:rPr>
          <w:sz w:val="20"/>
          <w:lang w:val="en-US"/>
        </w:rPr>
        <w:t xml:space="preserve">2007 </w:t>
      </w:r>
      <w:proofErr w:type="spellStart"/>
      <w:r w:rsidRPr="0029698A">
        <w:rPr>
          <w:sz w:val="20"/>
          <w:lang w:val="en-US"/>
        </w:rPr>
        <w:t>CarswellNat</w:t>
      </w:r>
      <w:proofErr w:type="spellEnd"/>
      <w:r w:rsidRPr="0029698A">
        <w:rPr>
          <w:sz w:val="20"/>
          <w:lang w:val="en-US"/>
        </w:rPr>
        <w:t xml:space="preserve"> 5432.  Appeal allowed, </w:t>
      </w:r>
      <w:proofErr w:type="spellStart"/>
      <w:r w:rsidRPr="0029698A">
        <w:rPr>
          <w:sz w:val="20"/>
          <w:lang w:val="en-US"/>
        </w:rPr>
        <w:t>Deschamps</w:t>
      </w:r>
      <w:proofErr w:type="spellEnd"/>
      <w:r w:rsidRPr="0029698A">
        <w:rPr>
          <w:sz w:val="20"/>
          <w:lang w:val="en-US"/>
        </w:rPr>
        <w:t xml:space="preserve"> and Rothstein JJ. </w:t>
      </w:r>
      <w:proofErr w:type="gramStart"/>
      <w:r w:rsidRPr="0029698A">
        <w:rPr>
          <w:sz w:val="20"/>
          <w:lang w:val="en-US"/>
        </w:rPr>
        <w:t>dissenting</w:t>
      </w:r>
      <w:proofErr w:type="gramEnd"/>
      <w:r w:rsidRPr="0029698A">
        <w:rPr>
          <w:sz w:val="20"/>
          <w:lang w:val="en-US"/>
        </w:rPr>
        <w:t>.</w:t>
      </w:r>
    </w:p>
    <w:p w:rsidR="00D54753" w:rsidRPr="0029698A" w:rsidRDefault="00D54753" w:rsidP="00D54753">
      <w:pPr>
        <w:pStyle w:val="SCCNormalDoubleSpacing"/>
        <w:widowControl w:val="0"/>
        <w:spacing w:line="240" w:lineRule="auto"/>
        <w:rPr>
          <w:sz w:val="20"/>
          <w:lang w:val="en-US"/>
        </w:rPr>
      </w:pPr>
    </w:p>
    <w:p w:rsidR="00D54753" w:rsidRDefault="00D54753" w:rsidP="00D54753">
      <w:pPr>
        <w:pStyle w:val="SCCNormalDoubleSpacing"/>
        <w:spacing w:line="240" w:lineRule="auto"/>
        <w:rPr>
          <w:rStyle w:val="SCCCounselPartyRoleChar"/>
          <w:sz w:val="20"/>
        </w:rPr>
      </w:pPr>
      <w:r w:rsidRPr="0029698A">
        <w:rPr>
          <w:rStyle w:val="SCCCounselNameChar"/>
          <w:sz w:val="20"/>
        </w:rPr>
        <w:tab/>
      </w:r>
      <w:proofErr w:type="gramStart"/>
      <w:r w:rsidRPr="0029698A">
        <w:rPr>
          <w:rStyle w:val="SCCCounselNameChar"/>
          <w:sz w:val="20"/>
        </w:rPr>
        <w:t>François Bouchard</w:t>
      </w:r>
      <w:r w:rsidRPr="00D54753">
        <w:rPr>
          <w:rStyle w:val="SCCCounselSeparatorChar"/>
          <w:sz w:val="20"/>
          <w:lang w:val="en-CA"/>
        </w:rPr>
        <w:t xml:space="preserve">, </w:t>
      </w:r>
      <w:proofErr w:type="spellStart"/>
      <w:r w:rsidRPr="0029698A">
        <w:rPr>
          <w:rStyle w:val="SCCCounselNameChar"/>
          <w:sz w:val="20"/>
        </w:rPr>
        <w:t>Vassilis</w:t>
      </w:r>
      <w:proofErr w:type="spellEnd"/>
      <w:r w:rsidRPr="0029698A">
        <w:rPr>
          <w:rStyle w:val="SCCCounselNameChar"/>
          <w:sz w:val="20"/>
        </w:rPr>
        <w:t xml:space="preserve"> </w:t>
      </w:r>
      <w:proofErr w:type="spellStart"/>
      <w:r w:rsidRPr="0029698A">
        <w:rPr>
          <w:rStyle w:val="SCCCounselNameChar"/>
          <w:sz w:val="20"/>
        </w:rPr>
        <w:t>Fasfalis</w:t>
      </w:r>
      <w:proofErr w:type="spellEnd"/>
      <w:r w:rsidRPr="0029698A">
        <w:rPr>
          <w:rStyle w:val="SCCCounselNameChar"/>
          <w:sz w:val="20"/>
        </w:rPr>
        <w:t xml:space="preserve"> and </w:t>
      </w:r>
      <w:proofErr w:type="spellStart"/>
      <w:r w:rsidRPr="0029698A">
        <w:rPr>
          <w:rStyle w:val="SCCCounselNameChar"/>
          <w:sz w:val="20"/>
        </w:rPr>
        <w:t>Karine</w:t>
      </w:r>
      <w:proofErr w:type="spellEnd"/>
      <w:r w:rsidRPr="0029698A">
        <w:rPr>
          <w:rStyle w:val="SCCCounselNameChar"/>
          <w:sz w:val="20"/>
        </w:rPr>
        <w:t xml:space="preserve"> </w:t>
      </w:r>
      <w:proofErr w:type="spellStart"/>
      <w:r w:rsidRPr="0029698A">
        <w:rPr>
          <w:rStyle w:val="SCCCounselNameChar"/>
          <w:sz w:val="20"/>
        </w:rPr>
        <w:t>Boies</w:t>
      </w:r>
      <w:proofErr w:type="spellEnd"/>
      <w:r w:rsidRPr="0029698A">
        <w:rPr>
          <w:rStyle w:val="SCCCounselPartyRoleChar"/>
          <w:sz w:val="20"/>
        </w:rPr>
        <w:t>, for the appellant.</w:t>
      </w:r>
      <w:proofErr w:type="gramEnd"/>
    </w:p>
    <w:p w:rsidR="00D54753" w:rsidRPr="0029698A" w:rsidRDefault="00D54753" w:rsidP="00D54753">
      <w:pPr>
        <w:pStyle w:val="SCCNormalDoubleSpacing"/>
        <w:spacing w:line="240" w:lineRule="auto"/>
        <w:rPr>
          <w:sz w:val="20"/>
        </w:rPr>
      </w:pPr>
    </w:p>
    <w:p w:rsidR="00D54753" w:rsidRDefault="00D54753" w:rsidP="00D54753">
      <w:pPr>
        <w:pStyle w:val="SCCNormalDoubleSpacing"/>
        <w:spacing w:line="240" w:lineRule="auto"/>
        <w:rPr>
          <w:rStyle w:val="SCCCounselPartyRoleChar"/>
          <w:sz w:val="20"/>
        </w:rPr>
      </w:pPr>
      <w:r w:rsidRPr="0029698A">
        <w:rPr>
          <w:rStyle w:val="SCCCounselNameChar"/>
          <w:sz w:val="20"/>
        </w:rPr>
        <w:tab/>
      </w:r>
      <w:proofErr w:type="gramStart"/>
      <w:r w:rsidRPr="0029698A">
        <w:rPr>
          <w:rStyle w:val="SCCCounselNameChar"/>
          <w:sz w:val="20"/>
        </w:rPr>
        <w:t>Pierre Cossette</w:t>
      </w:r>
      <w:r w:rsidRPr="00D54753">
        <w:rPr>
          <w:rStyle w:val="SCCCounselSeparatorChar"/>
          <w:sz w:val="20"/>
          <w:lang w:val="en-CA"/>
        </w:rPr>
        <w:t xml:space="preserve"> and </w:t>
      </w:r>
      <w:r w:rsidRPr="0029698A">
        <w:rPr>
          <w:rStyle w:val="SCCCounselNameChar"/>
          <w:sz w:val="20"/>
        </w:rPr>
        <w:t xml:space="preserve">Bernard </w:t>
      </w:r>
      <w:proofErr w:type="spellStart"/>
      <w:r w:rsidRPr="0029698A">
        <w:rPr>
          <w:rStyle w:val="SCCCounselNameChar"/>
          <w:sz w:val="20"/>
        </w:rPr>
        <w:t>Letarte</w:t>
      </w:r>
      <w:proofErr w:type="spellEnd"/>
      <w:r w:rsidRPr="0029698A">
        <w:rPr>
          <w:rStyle w:val="SCCCounselPartyRoleChar"/>
          <w:sz w:val="20"/>
        </w:rPr>
        <w:t>, for the respondent.</w:t>
      </w:r>
      <w:proofErr w:type="gramEnd"/>
    </w:p>
    <w:p w:rsidR="00D54753" w:rsidRPr="0029698A" w:rsidRDefault="00D54753" w:rsidP="00D54753">
      <w:pPr>
        <w:pStyle w:val="SCCNormalDoubleSpacing"/>
        <w:spacing w:line="240" w:lineRule="auto"/>
        <w:rPr>
          <w:sz w:val="20"/>
        </w:rPr>
      </w:pPr>
    </w:p>
    <w:p w:rsidR="00D54753" w:rsidRDefault="00D54753" w:rsidP="00D54753">
      <w:pPr>
        <w:pStyle w:val="SCCNormalDoubleSpacing"/>
        <w:spacing w:line="240" w:lineRule="auto"/>
        <w:rPr>
          <w:rStyle w:val="SCCCounselPartyRoleChar"/>
          <w:sz w:val="20"/>
        </w:rPr>
      </w:pPr>
      <w:r w:rsidRPr="0029698A">
        <w:rPr>
          <w:rStyle w:val="SCCCounselNameChar"/>
          <w:sz w:val="20"/>
        </w:rPr>
        <w:lastRenderedPageBreak/>
        <w:tab/>
      </w:r>
      <w:proofErr w:type="gramStart"/>
      <w:r w:rsidRPr="0029698A">
        <w:rPr>
          <w:rStyle w:val="SCCCounselNameChar"/>
          <w:sz w:val="20"/>
        </w:rPr>
        <w:t xml:space="preserve">Jeffrey D. </w:t>
      </w:r>
      <w:proofErr w:type="spellStart"/>
      <w:r w:rsidRPr="0029698A">
        <w:rPr>
          <w:rStyle w:val="SCCCounselNameChar"/>
          <w:sz w:val="20"/>
        </w:rPr>
        <w:t>Pniowsky</w:t>
      </w:r>
      <w:proofErr w:type="spellEnd"/>
      <w:r w:rsidRPr="00D54753">
        <w:rPr>
          <w:rStyle w:val="SCCCounselSeparatorChar"/>
          <w:sz w:val="20"/>
          <w:lang w:val="en-CA"/>
        </w:rPr>
        <w:t xml:space="preserve"> and </w:t>
      </w:r>
      <w:proofErr w:type="spellStart"/>
      <w:r w:rsidRPr="0029698A">
        <w:rPr>
          <w:rStyle w:val="SCCCounselNameChar"/>
          <w:sz w:val="20"/>
        </w:rPr>
        <w:t>Sacha</w:t>
      </w:r>
      <w:proofErr w:type="spellEnd"/>
      <w:r w:rsidRPr="0029698A">
        <w:rPr>
          <w:rStyle w:val="SCCCounselNameChar"/>
          <w:sz w:val="20"/>
        </w:rPr>
        <w:t> R. Paul</w:t>
      </w:r>
      <w:r w:rsidRPr="0029698A">
        <w:rPr>
          <w:rStyle w:val="SCCCounselPartyRoleChar"/>
          <w:sz w:val="20"/>
        </w:rPr>
        <w:t>, for the intervener the Assembly of Manitoba Chiefs.</w:t>
      </w:r>
      <w:proofErr w:type="gramEnd"/>
    </w:p>
    <w:p w:rsidR="00D54753" w:rsidRPr="0029698A" w:rsidRDefault="00D54753" w:rsidP="00D54753">
      <w:pPr>
        <w:pStyle w:val="SCCNormalDoubleSpacing"/>
        <w:spacing w:line="240" w:lineRule="auto"/>
        <w:rPr>
          <w:sz w:val="20"/>
        </w:rPr>
      </w:pPr>
    </w:p>
    <w:p w:rsidR="00D54753" w:rsidRDefault="00D54753" w:rsidP="00D54753">
      <w:pPr>
        <w:pStyle w:val="SCCNormalDoubleSpacing"/>
        <w:spacing w:line="240" w:lineRule="auto"/>
        <w:rPr>
          <w:rStyle w:val="SCCCounselPartyRoleChar"/>
          <w:sz w:val="20"/>
        </w:rPr>
      </w:pPr>
      <w:r w:rsidRPr="0029698A">
        <w:rPr>
          <w:rStyle w:val="SCCCounselNameChar"/>
          <w:sz w:val="20"/>
        </w:rPr>
        <w:tab/>
      </w:r>
      <w:proofErr w:type="gramStart"/>
      <w:r w:rsidRPr="0029698A">
        <w:rPr>
          <w:rStyle w:val="SCCCounselNameChar"/>
          <w:sz w:val="20"/>
        </w:rPr>
        <w:t>John Hurley</w:t>
      </w:r>
      <w:r w:rsidRPr="00D54753">
        <w:rPr>
          <w:rStyle w:val="SCCCounselSeparatorChar"/>
          <w:sz w:val="20"/>
          <w:lang w:val="en-CA"/>
        </w:rPr>
        <w:t xml:space="preserve"> and </w:t>
      </w:r>
      <w:r w:rsidRPr="0029698A">
        <w:rPr>
          <w:rStyle w:val="SCCCounselNameChar"/>
          <w:sz w:val="20"/>
        </w:rPr>
        <w:t xml:space="preserve">François </w:t>
      </w:r>
      <w:proofErr w:type="spellStart"/>
      <w:r w:rsidRPr="0029698A">
        <w:rPr>
          <w:rStyle w:val="SCCCounselNameChar"/>
          <w:sz w:val="20"/>
        </w:rPr>
        <w:t>Dandonneau</w:t>
      </w:r>
      <w:proofErr w:type="spellEnd"/>
      <w:r w:rsidRPr="0029698A">
        <w:rPr>
          <w:rStyle w:val="SCCCounselPartyRoleChar"/>
          <w:sz w:val="20"/>
        </w:rPr>
        <w:t xml:space="preserve">, for the intervener the Grand Council of the </w:t>
      </w:r>
      <w:proofErr w:type="spellStart"/>
      <w:r w:rsidRPr="0029698A">
        <w:rPr>
          <w:rStyle w:val="SCCCounselPartyRoleChar"/>
          <w:sz w:val="20"/>
        </w:rPr>
        <w:t>Crees</w:t>
      </w:r>
      <w:proofErr w:type="spellEnd"/>
      <w:r w:rsidRPr="0029698A">
        <w:rPr>
          <w:rStyle w:val="SCCCounselPartyRoleChar"/>
          <w:sz w:val="20"/>
        </w:rPr>
        <w:t xml:space="preserve"> (</w:t>
      </w:r>
      <w:proofErr w:type="spellStart"/>
      <w:r w:rsidRPr="0029698A">
        <w:rPr>
          <w:rStyle w:val="SCCCounselPartyRoleChar"/>
          <w:sz w:val="20"/>
        </w:rPr>
        <w:t>Eeyou</w:t>
      </w:r>
      <w:proofErr w:type="spellEnd"/>
      <w:r w:rsidRPr="0029698A">
        <w:rPr>
          <w:rStyle w:val="SCCCounselPartyRoleChar"/>
          <w:sz w:val="20"/>
        </w:rPr>
        <w:t xml:space="preserve"> </w:t>
      </w:r>
      <w:proofErr w:type="spellStart"/>
      <w:r w:rsidRPr="0029698A">
        <w:rPr>
          <w:rStyle w:val="SCCCounselPartyRoleChar"/>
          <w:sz w:val="20"/>
        </w:rPr>
        <w:t>Istchee</w:t>
      </w:r>
      <w:proofErr w:type="spellEnd"/>
      <w:r w:rsidRPr="0029698A">
        <w:rPr>
          <w:rStyle w:val="SCCCounselPartyRoleChar"/>
          <w:sz w:val="20"/>
        </w:rPr>
        <w:t>)/Cree Regional Authority.</w:t>
      </w:r>
      <w:proofErr w:type="gramEnd"/>
    </w:p>
    <w:p w:rsidR="00D54753" w:rsidRPr="0029698A" w:rsidRDefault="00D54753" w:rsidP="00D54753">
      <w:pPr>
        <w:pStyle w:val="SCCNormalDoubleSpacing"/>
        <w:spacing w:line="240" w:lineRule="auto"/>
        <w:rPr>
          <w:sz w:val="20"/>
        </w:rPr>
      </w:pPr>
    </w:p>
    <w:p w:rsidR="00D54753" w:rsidRDefault="00D54753" w:rsidP="00D54753">
      <w:pPr>
        <w:pStyle w:val="SCCNormalDoubleSpacing"/>
        <w:spacing w:line="240" w:lineRule="auto"/>
        <w:rPr>
          <w:rStyle w:val="SCCCounselPartyRoleChar"/>
          <w:sz w:val="20"/>
        </w:rPr>
      </w:pPr>
      <w:r w:rsidRPr="0029698A">
        <w:rPr>
          <w:rStyle w:val="SCCCounselNameChar"/>
          <w:sz w:val="20"/>
        </w:rPr>
        <w:tab/>
      </w:r>
      <w:proofErr w:type="spellStart"/>
      <w:proofErr w:type="gramStart"/>
      <w:r w:rsidRPr="0029698A">
        <w:rPr>
          <w:rStyle w:val="SCCCounselNameChar"/>
          <w:sz w:val="20"/>
        </w:rPr>
        <w:t>Maxime</w:t>
      </w:r>
      <w:proofErr w:type="spellEnd"/>
      <w:r w:rsidRPr="0029698A">
        <w:rPr>
          <w:rStyle w:val="SCCCounselNameChar"/>
          <w:sz w:val="20"/>
        </w:rPr>
        <w:t xml:space="preserve"> Faille</w:t>
      </w:r>
      <w:r w:rsidRPr="00D54753">
        <w:rPr>
          <w:rStyle w:val="SCCCounselSeparatorChar"/>
          <w:sz w:val="20"/>
          <w:lang w:val="en-CA"/>
        </w:rPr>
        <w:t xml:space="preserve"> and </w:t>
      </w:r>
      <w:r w:rsidRPr="0029698A">
        <w:rPr>
          <w:rStyle w:val="SCCCounselNameChar"/>
          <w:sz w:val="20"/>
        </w:rPr>
        <w:t>Graham Ragan</w:t>
      </w:r>
      <w:r w:rsidRPr="0029698A">
        <w:rPr>
          <w:rStyle w:val="SCCCounselPartyRoleChar"/>
          <w:sz w:val="20"/>
        </w:rPr>
        <w:t>, for the intervener the Assembly of First Nations.</w:t>
      </w:r>
      <w:proofErr w:type="gramEnd"/>
    </w:p>
    <w:p w:rsidR="00D54753" w:rsidRPr="0029698A" w:rsidRDefault="00D54753" w:rsidP="00D54753">
      <w:pPr>
        <w:pStyle w:val="SCCNormalDoubleSpacing"/>
        <w:spacing w:line="240" w:lineRule="auto"/>
        <w:rPr>
          <w:sz w:val="20"/>
        </w:rPr>
      </w:pPr>
    </w:p>
    <w:p w:rsidR="00D54753" w:rsidRDefault="00D54753" w:rsidP="00D54753">
      <w:pPr>
        <w:pStyle w:val="SCCNormalDoubleSpacing"/>
        <w:spacing w:line="240" w:lineRule="auto"/>
        <w:rPr>
          <w:rStyle w:val="SCCCounselPartyRoleChar"/>
          <w:sz w:val="20"/>
        </w:rPr>
      </w:pPr>
      <w:r w:rsidRPr="0029698A">
        <w:rPr>
          <w:rStyle w:val="SCCCounselNameChar"/>
          <w:sz w:val="20"/>
        </w:rPr>
        <w:tab/>
      </w:r>
      <w:proofErr w:type="gramStart"/>
      <w:r w:rsidRPr="0029698A">
        <w:rPr>
          <w:rStyle w:val="SCCCounselNameChar"/>
          <w:sz w:val="20"/>
        </w:rPr>
        <w:t xml:space="preserve">David C. </w:t>
      </w:r>
      <w:proofErr w:type="spellStart"/>
      <w:r w:rsidRPr="0029698A">
        <w:rPr>
          <w:rStyle w:val="SCCCounselNameChar"/>
          <w:sz w:val="20"/>
        </w:rPr>
        <w:t>Nahwegahbow</w:t>
      </w:r>
      <w:proofErr w:type="spellEnd"/>
      <w:r w:rsidRPr="00D54753">
        <w:rPr>
          <w:rStyle w:val="SCCCounselSeparatorChar"/>
          <w:sz w:val="20"/>
          <w:lang w:val="en-CA"/>
        </w:rPr>
        <w:t xml:space="preserve"> and </w:t>
      </w:r>
      <w:r w:rsidRPr="0029698A">
        <w:rPr>
          <w:rStyle w:val="SCCCounselNameChar"/>
          <w:sz w:val="20"/>
        </w:rPr>
        <w:t>James Hopkins</w:t>
      </w:r>
      <w:r w:rsidRPr="0029698A">
        <w:rPr>
          <w:rStyle w:val="SCCCounselPartyRoleChar"/>
          <w:sz w:val="20"/>
        </w:rPr>
        <w:t>, for the intervener the Chiefs of Ontario.</w:t>
      </w:r>
      <w:proofErr w:type="gramEnd"/>
    </w:p>
    <w:p w:rsidR="00D54753" w:rsidRPr="0029698A" w:rsidRDefault="00D54753" w:rsidP="00D54753">
      <w:pPr>
        <w:pStyle w:val="SCCNormalDoubleSpacing"/>
        <w:spacing w:line="240" w:lineRule="auto"/>
        <w:rPr>
          <w:sz w:val="20"/>
        </w:rPr>
      </w:pPr>
    </w:p>
    <w:p w:rsidR="00D54753" w:rsidRDefault="00D54753" w:rsidP="00D54753">
      <w:pPr>
        <w:pStyle w:val="SCCNormalDoubleSpacing"/>
        <w:spacing w:line="240" w:lineRule="auto"/>
        <w:rPr>
          <w:rStyle w:val="SCCCounselPartyRoleChar"/>
          <w:sz w:val="20"/>
        </w:rPr>
      </w:pPr>
      <w:r w:rsidRPr="0029698A">
        <w:rPr>
          <w:rStyle w:val="SCCCounselNameChar"/>
          <w:sz w:val="20"/>
        </w:rPr>
        <w:tab/>
      </w:r>
      <w:proofErr w:type="gramStart"/>
      <w:r w:rsidRPr="0029698A">
        <w:rPr>
          <w:rStyle w:val="SCCCounselNameChar"/>
          <w:sz w:val="20"/>
        </w:rPr>
        <w:t>Brian A. Crane, Q.C.</w:t>
      </w:r>
      <w:r w:rsidRPr="00D54753">
        <w:rPr>
          <w:rStyle w:val="SCCCounselSeparatorChar"/>
          <w:sz w:val="20"/>
          <w:lang w:val="en-CA"/>
        </w:rPr>
        <w:t xml:space="preserve">, and </w:t>
      </w:r>
      <w:r w:rsidRPr="0029698A">
        <w:rPr>
          <w:rStyle w:val="SCCCounselNameChar"/>
          <w:sz w:val="20"/>
        </w:rPr>
        <w:t xml:space="preserve">Guy </w:t>
      </w:r>
      <w:proofErr w:type="spellStart"/>
      <w:r w:rsidRPr="0029698A">
        <w:rPr>
          <w:rStyle w:val="SCCCounselNameChar"/>
          <w:sz w:val="20"/>
        </w:rPr>
        <w:t>Régimbald</w:t>
      </w:r>
      <w:proofErr w:type="spellEnd"/>
      <w:r w:rsidRPr="0029698A">
        <w:rPr>
          <w:rStyle w:val="SCCCounselPartyRoleChar"/>
          <w:sz w:val="20"/>
        </w:rPr>
        <w:t>, for the intervener the Union of Nova Scotia Indians.</w:t>
      </w:r>
      <w:proofErr w:type="gramEnd"/>
    </w:p>
    <w:p w:rsidR="00D54753" w:rsidRPr="0029698A" w:rsidRDefault="00D54753" w:rsidP="00D54753">
      <w:pPr>
        <w:pStyle w:val="SCCNormalDoubleSpacing"/>
        <w:spacing w:line="240" w:lineRule="auto"/>
        <w:rPr>
          <w:sz w:val="20"/>
        </w:rPr>
      </w:pPr>
    </w:p>
    <w:p w:rsidR="00D54753" w:rsidRDefault="00D54753" w:rsidP="00D54753">
      <w:pPr>
        <w:pStyle w:val="SCCNormalDoubleSpacing"/>
        <w:spacing w:line="240" w:lineRule="auto"/>
        <w:rPr>
          <w:i/>
          <w:sz w:val="20"/>
        </w:rPr>
      </w:pPr>
      <w:r w:rsidRPr="0029698A">
        <w:rPr>
          <w:sz w:val="20"/>
        </w:rPr>
        <w:tab/>
      </w:r>
      <w:r w:rsidRPr="0029698A">
        <w:rPr>
          <w:rStyle w:val="SCCCounselNameChar"/>
          <w:sz w:val="20"/>
        </w:rPr>
        <w:t>Solicitors</w:t>
      </w:r>
      <w:r w:rsidRPr="0029698A">
        <w:rPr>
          <w:i/>
          <w:sz w:val="20"/>
        </w:rPr>
        <w:t xml:space="preserve"> for the appellant:  Cain </w:t>
      </w:r>
      <w:proofErr w:type="spellStart"/>
      <w:r w:rsidRPr="0029698A">
        <w:rPr>
          <w:i/>
          <w:sz w:val="20"/>
        </w:rPr>
        <w:t>Lamarre</w:t>
      </w:r>
      <w:proofErr w:type="spellEnd"/>
      <w:r w:rsidRPr="0029698A">
        <w:rPr>
          <w:i/>
          <w:sz w:val="20"/>
        </w:rPr>
        <w:t xml:space="preserve"> </w:t>
      </w:r>
      <w:proofErr w:type="spellStart"/>
      <w:r w:rsidRPr="0029698A">
        <w:rPr>
          <w:i/>
          <w:sz w:val="20"/>
        </w:rPr>
        <w:t>Casgrain</w:t>
      </w:r>
      <w:proofErr w:type="spellEnd"/>
      <w:r w:rsidRPr="0029698A">
        <w:rPr>
          <w:i/>
          <w:sz w:val="20"/>
        </w:rPr>
        <w:t xml:space="preserve"> Wells, Chicoutimi.</w:t>
      </w:r>
    </w:p>
    <w:p w:rsidR="00D54753" w:rsidRPr="0029698A" w:rsidRDefault="00D54753" w:rsidP="00D54753">
      <w:pPr>
        <w:pStyle w:val="SCCNormalDoubleSpacing"/>
        <w:spacing w:line="240" w:lineRule="auto"/>
        <w:rPr>
          <w:i/>
          <w:sz w:val="20"/>
        </w:rPr>
      </w:pPr>
    </w:p>
    <w:p w:rsidR="00D54753" w:rsidRDefault="00D54753" w:rsidP="00D54753">
      <w:pPr>
        <w:pStyle w:val="SCCNormalDoubleSpacing"/>
        <w:spacing w:line="240" w:lineRule="auto"/>
        <w:rPr>
          <w:i/>
          <w:sz w:val="20"/>
        </w:rPr>
      </w:pPr>
      <w:r w:rsidRPr="0029698A">
        <w:rPr>
          <w:i/>
          <w:sz w:val="20"/>
        </w:rPr>
        <w:tab/>
      </w:r>
      <w:r w:rsidRPr="0029698A">
        <w:rPr>
          <w:rStyle w:val="SCCCounselNameChar"/>
          <w:sz w:val="20"/>
        </w:rPr>
        <w:t>Solicitor</w:t>
      </w:r>
      <w:r w:rsidRPr="0029698A">
        <w:rPr>
          <w:i/>
          <w:sz w:val="20"/>
        </w:rPr>
        <w:t xml:space="preserve"> for the respondent:  Attorney General of Canada, Montréal.</w:t>
      </w:r>
    </w:p>
    <w:p w:rsidR="00D54753" w:rsidRPr="0029698A" w:rsidRDefault="00D54753" w:rsidP="00D54753">
      <w:pPr>
        <w:pStyle w:val="SCCNormalDoubleSpacing"/>
        <w:spacing w:line="240" w:lineRule="auto"/>
        <w:rPr>
          <w:i/>
          <w:sz w:val="20"/>
        </w:rPr>
      </w:pPr>
    </w:p>
    <w:p w:rsidR="00D54753" w:rsidRDefault="00D54753" w:rsidP="00D54753">
      <w:pPr>
        <w:pStyle w:val="SCCNormalDoubleSpacing"/>
        <w:spacing w:line="240" w:lineRule="auto"/>
        <w:rPr>
          <w:i/>
          <w:sz w:val="20"/>
        </w:rPr>
      </w:pPr>
      <w:r w:rsidRPr="0029698A">
        <w:rPr>
          <w:i/>
          <w:sz w:val="20"/>
        </w:rPr>
        <w:tab/>
      </w:r>
      <w:r w:rsidRPr="0029698A">
        <w:rPr>
          <w:rStyle w:val="SCCCounselNameChar"/>
          <w:sz w:val="20"/>
        </w:rPr>
        <w:t>Solicitors</w:t>
      </w:r>
      <w:r w:rsidRPr="0029698A">
        <w:rPr>
          <w:i/>
          <w:sz w:val="20"/>
        </w:rPr>
        <w:t xml:space="preserve"> for the intervener the Assembly of Manitoba Chiefs:  Thompson </w:t>
      </w:r>
      <w:proofErr w:type="spellStart"/>
      <w:r w:rsidRPr="0029698A">
        <w:rPr>
          <w:i/>
          <w:sz w:val="20"/>
        </w:rPr>
        <w:t>Dorfman</w:t>
      </w:r>
      <w:proofErr w:type="spellEnd"/>
      <w:r w:rsidRPr="0029698A">
        <w:rPr>
          <w:i/>
          <w:sz w:val="20"/>
        </w:rPr>
        <w:t xml:space="preserve"> </w:t>
      </w:r>
      <w:proofErr w:type="spellStart"/>
      <w:r w:rsidRPr="0029698A">
        <w:rPr>
          <w:i/>
          <w:sz w:val="20"/>
        </w:rPr>
        <w:t>Sweatman</w:t>
      </w:r>
      <w:proofErr w:type="spellEnd"/>
      <w:r w:rsidRPr="0029698A">
        <w:rPr>
          <w:i/>
          <w:sz w:val="20"/>
        </w:rPr>
        <w:t>, Winnipeg.</w:t>
      </w:r>
    </w:p>
    <w:p w:rsidR="00D54753" w:rsidRPr="0029698A" w:rsidRDefault="00D54753" w:rsidP="00D54753">
      <w:pPr>
        <w:pStyle w:val="SCCNormalDoubleSpacing"/>
        <w:spacing w:line="240" w:lineRule="auto"/>
        <w:rPr>
          <w:i/>
          <w:sz w:val="20"/>
        </w:rPr>
      </w:pPr>
    </w:p>
    <w:p w:rsidR="00D54753" w:rsidRDefault="00D54753" w:rsidP="00D54753">
      <w:pPr>
        <w:pStyle w:val="SCCNormalDoubleSpacing"/>
        <w:spacing w:line="240" w:lineRule="auto"/>
        <w:rPr>
          <w:i/>
          <w:sz w:val="20"/>
        </w:rPr>
      </w:pPr>
      <w:r w:rsidRPr="0029698A">
        <w:rPr>
          <w:i/>
          <w:sz w:val="20"/>
        </w:rPr>
        <w:tab/>
      </w:r>
      <w:r w:rsidRPr="0029698A">
        <w:rPr>
          <w:rStyle w:val="SCCCounselNameChar"/>
          <w:sz w:val="20"/>
        </w:rPr>
        <w:t>Solicitors</w:t>
      </w:r>
      <w:r w:rsidRPr="0029698A">
        <w:rPr>
          <w:i/>
          <w:sz w:val="20"/>
        </w:rPr>
        <w:t xml:space="preserve"> for the intervener the Grand Council of the </w:t>
      </w:r>
      <w:proofErr w:type="spellStart"/>
      <w:r w:rsidRPr="0029698A">
        <w:rPr>
          <w:i/>
          <w:sz w:val="20"/>
        </w:rPr>
        <w:t>Crees</w:t>
      </w:r>
      <w:proofErr w:type="spellEnd"/>
      <w:r w:rsidRPr="0029698A">
        <w:rPr>
          <w:i/>
          <w:sz w:val="20"/>
        </w:rPr>
        <w:t xml:space="preserve"> (</w:t>
      </w:r>
      <w:proofErr w:type="spellStart"/>
      <w:r w:rsidRPr="0029698A">
        <w:rPr>
          <w:i/>
          <w:sz w:val="20"/>
        </w:rPr>
        <w:t>Eeyou</w:t>
      </w:r>
      <w:proofErr w:type="spellEnd"/>
      <w:r w:rsidRPr="0029698A">
        <w:rPr>
          <w:i/>
          <w:sz w:val="20"/>
        </w:rPr>
        <w:t xml:space="preserve"> </w:t>
      </w:r>
      <w:proofErr w:type="spellStart"/>
      <w:r w:rsidRPr="0029698A">
        <w:rPr>
          <w:i/>
          <w:sz w:val="20"/>
        </w:rPr>
        <w:t>Istchee</w:t>
      </w:r>
      <w:proofErr w:type="spellEnd"/>
      <w:r w:rsidRPr="0029698A">
        <w:rPr>
          <w:i/>
          <w:sz w:val="20"/>
        </w:rPr>
        <w:t>)/Cree Regional Authority:  </w:t>
      </w:r>
      <w:proofErr w:type="spellStart"/>
      <w:r w:rsidRPr="0029698A">
        <w:rPr>
          <w:i/>
          <w:sz w:val="20"/>
        </w:rPr>
        <w:t>Gowling</w:t>
      </w:r>
      <w:proofErr w:type="spellEnd"/>
      <w:r w:rsidRPr="0029698A">
        <w:rPr>
          <w:i/>
          <w:sz w:val="20"/>
        </w:rPr>
        <w:t xml:space="preserve"> </w:t>
      </w:r>
      <w:proofErr w:type="spellStart"/>
      <w:r w:rsidRPr="0029698A">
        <w:rPr>
          <w:i/>
          <w:sz w:val="20"/>
        </w:rPr>
        <w:t>Lafleur</w:t>
      </w:r>
      <w:proofErr w:type="spellEnd"/>
      <w:r w:rsidRPr="0029698A">
        <w:rPr>
          <w:i/>
          <w:sz w:val="20"/>
        </w:rPr>
        <w:t xml:space="preserve"> Henderson, Montreal.</w:t>
      </w:r>
    </w:p>
    <w:p w:rsidR="00D54753" w:rsidRPr="0029698A" w:rsidRDefault="00D54753" w:rsidP="00D54753">
      <w:pPr>
        <w:pStyle w:val="SCCNormalDoubleSpacing"/>
        <w:spacing w:line="240" w:lineRule="auto"/>
        <w:rPr>
          <w:i/>
          <w:sz w:val="20"/>
        </w:rPr>
      </w:pPr>
    </w:p>
    <w:p w:rsidR="00D54753" w:rsidRDefault="00D54753" w:rsidP="00D54753">
      <w:pPr>
        <w:pStyle w:val="SCCNormalDoubleSpacing"/>
        <w:spacing w:line="240" w:lineRule="auto"/>
        <w:rPr>
          <w:i/>
          <w:sz w:val="20"/>
        </w:rPr>
      </w:pPr>
      <w:r w:rsidRPr="0029698A">
        <w:rPr>
          <w:i/>
          <w:sz w:val="20"/>
        </w:rPr>
        <w:tab/>
      </w:r>
      <w:r w:rsidRPr="0029698A">
        <w:rPr>
          <w:rStyle w:val="SCCCounselNameChar"/>
          <w:sz w:val="20"/>
        </w:rPr>
        <w:t>Solicitors</w:t>
      </w:r>
      <w:r w:rsidRPr="0029698A">
        <w:rPr>
          <w:i/>
          <w:sz w:val="20"/>
        </w:rPr>
        <w:t xml:space="preserve"> for the interveners the Assembly of First Nations and the Union of Nova Scotia Indians:  </w:t>
      </w:r>
      <w:proofErr w:type="spellStart"/>
      <w:r w:rsidRPr="0029698A">
        <w:rPr>
          <w:i/>
          <w:sz w:val="20"/>
        </w:rPr>
        <w:t>Gowling</w:t>
      </w:r>
      <w:proofErr w:type="spellEnd"/>
      <w:r w:rsidRPr="0029698A">
        <w:rPr>
          <w:i/>
          <w:sz w:val="20"/>
        </w:rPr>
        <w:t xml:space="preserve"> </w:t>
      </w:r>
      <w:proofErr w:type="spellStart"/>
      <w:r w:rsidRPr="0029698A">
        <w:rPr>
          <w:i/>
          <w:sz w:val="20"/>
        </w:rPr>
        <w:t>Lafleur</w:t>
      </w:r>
      <w:proofErr w:type="spellEnd"/>
      <w:r w:rsidRPr="0029698A">
        <w:rPr>
          <w:i/>
          <w:sz w:val="20"/>
        </w:rPr>
        <w:t xml:space="preserve"> Henderson, Ottawa.</w:t>
      </w:r>
    </w:p>
    <w:p w:rsidR="00D54753" w:rsidRPr="0029698A" w:rsidRDefault="00D54753" w:rsidP="00D54753">
      <w:pPr>
        <w:pStyle w:val="SCCNormalDoubleSpacing"/>
        <w:spacing w:line="240" w:lineRule="auto"/>
        <w:rPr>
          <w:i/>
          <w:sz w:val="20"/>
        </w:rPr>
      </w:pPr>
    </w:p>
    <w:p w:rsidR="00337A1B" w:rsidRDefault="00D54753" w:rsidP="00E77C39">
      <w:pPr>
        <w:pStyle w:val="SCCNormalDoubleSpacing"/>
        <w:spacing w:line="240" w:lineRule="auto"/>
        <w:rPr>
          <w:sz w:val="20"/>
        </w:rPr>
      </w:pPr>
      <w:r w:rsidRPr="0029698A">
        <w:rPr>
          <w:i/>
          <w:sz w:val="20"/>
        </w:rPr>
        <w:tab/>
      </w:r>
      <w:r w:rsidRPr="0029698A">
        <w:rPr>
          <w:rStyle w:val="SCCCounselNameChar"/>
          <w:sz w:val="20"/>
        </w:rPr>
        <w:t>Solicitors</w:t>
      </w:r>
      <w:r w:rsidRPr="0029698A">
        <w:rPr>
          <w:i/>
          <w:sz w:val="20"/>
        </w:rPr>
        <w:t xml:space="preserve"> for the intervener the Chiefs of Ontario:  </w:t>
      </w:r>
      <w:proofErr w:type="spellStart"/>
      <w:r w:rsidRPr="0029698A">
        <w:rPr>
          <w:i/>
          <w:sz w:val="20"/>
        </w:rPr>
        <w:t>Nahwegahbow</w:t>
      </w:r>
      <w:proofErr w:type="spellEnd"/>
      <w:r w:rsidRPr="0029698A">
        <w:rPr>
          <w:i/>
          <w:sz w:val="20"/>
        </w:rPr>
        <w:t xml:space="preserve">, </w:t>
      </w:r>
      <w:proofErr w:type="spellStart"/>
      <w:r w:rsidRPr="0029698A">
        <w:rPr>
          <w:i/>
          <w:sz w:val="20"/>
        </w:rPr>
        <w:t>Corbiere</w:t>
      </w:r>
      <w:proofErr w:type="spellEnd"/>
      <w:r w:rsidRPr="0029698A">
        <w:rPr>
          <w:i/>
          <w:sz w:val="20"/>
        </w:rPr>
        <w:t xml:space="preserve"> </w:t>
      </w:r>
      <w:proofErr w:type="spellStart"/>
      <w:r w:rsidRPr="0029698A">
        <w:rPr>
          <w:i/>
          <w:sz w:val="20"/>
        </w:rPr>
        <w:t>Genoodmagejig</w:t>
      </w:r>
      <w:proofErr w:type="spellEnd"/>
      <w:r w:rsidRPr="0029698A">
        <w:rPr>
          <w:i/>
          <w:sz w:val="20"/>
        </w:rPr>
        <w:t>, Rama.</w:t>
      </w:r>
      <w:r w:rsidR="00E77C39" w:rsidRPr="00E77C39">
        <w:rPr>
          <w:sz w:val="20"/>
        </w:rPr>
        <w:t xml:space="preserve"> </w:t>
      </w:r>
    </w:p>
    <w:p w:rsidR="00E77C39" w:rsidRPr="00E77C39" w:rsidRDefault="00E77C39" w:rsidP="00E77C39">
      <w:pPr>
        <w:pStyle w:val="SCCNormalDoubleSpacing"/>
        <w:spacing w:line="240" w:lineRule="auto"/>
        <w:rPr>
          <w:sz w:val="20"/>
        </w:rPr>
      </w:pPr>
    </w:p>
    <w:p w:rsidR="00337A1B" w:rsidRDefault="001557DD" w:rsidP="003B3977">
      <w:pPr>
        <w:rPr>
          <w:sz w:val="20"/>
          <w:szCs w:val="20"/>
        </w:rPr>
      </w:pPr>
      <w:r w:rsidRPr="001557DD">
        <w:rPr>
          <w:rFonts w:cs="Times New Roman"/>
          <w:sz w:val="20"/>
          <w:szCs w:val="20"/>
          <w:lang w:val="fr-CA"/>
        </w:rPr>
        <w:pict>
          <v:rect id="_x0000_i1062" style="width:144.3pt;height:1pt" o:hrpct="300" o:hralign="center" o:hrstd="t" o:hrnoshade="t" o:hr="t" fillcolor="black [3213]" stroked="f"/>
        </w:pict>
      </w:r>
    </w:p>
    <w:p w:rsidR="00337A1B" w:rsidRDefault="00337A1B" w:rsidP="003B3977">
      <w:pPr>
        <w:rPr>
          <w:sz w:val="20"/>
          <w:szCs w:val="20"/>
        </w:rPr>
      </w:pPr>
    </w:p>
    <w:p w:rsidR="00337A1B" w:rsidRPr="003F4721" w:rsidRDefault="00337A1B"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576" w:footer="960" w:gutter="0"/>
          <w:cols w:space="720"/>
          <w:titlePg/>
          <w:docGrid w:linePitch="272"/>
        </w:sectPr>
      </w:pPr>
    </w:p>
    <w:p w:rsidR="00924065" w:rsidRPr="00DE5525" w:rsidRDefault="001557DD"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3"/>
      <w:footerReference w:type="default" r:id="rId54"/>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9B2" w:rsidRDefault="000349B2" w:rsidP="00A87207">
      <w:r>
        <w:separator/>
      </w:r>
    </w:p>
  </w:endnote>
  <w:endnote w:type="continuationSeparator" w:id="0">
    <w:p w:rsidR="000349B2" w:rsidRDefault="000349B2"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20" w:rsidRDefault="00A2752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rsidP="00EB2B90">
    <w:pPr>
      <w:tabs>
        <w:tab w:val="center" w:pos="4680"/>
      </w:tabs>
    </w:pPr>
    <w:r>
      <w:pict>
        <v:rect id="_x0000_i1045" style="width:480.95pt;height:1pt" o:hralign="center" o:hrstd="t" o:hrnoshade="t" o:hr="t" fillcolor="black [3213]" stroked="f"/>
      </w:pict>
    </w:r>
  </w:p>
  <w:p w:rsidR="000349B2" w:rsidRPr="0031432F" w:rsidRDefault="000349B2" w:rsidP="00EB2B90">
    <w:pPr>
      <w:tabs>
        <w:tab w:val="center" w:pos="4680"/>
      </w:tabs>
    </w:pPr>
    <w:r>
      <w:tab/>
      <w:t xml:space="preserve">- </w:t>
    </w:r>
    <w:fldSimple w:instr=" PAGE   \* MERGEFORMAT ">
      <w:r w:rsidR="00854D3F">
        <w:rPr>
          <w:noProof/>
        </w:rPr>
        <w:t>1108</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49B2" w:rsidRDefault="000349B2">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rsidP="00245129">
    <w:pPr>
      <w:tabs>
        <w:tab w:val="center" w:pos="4740"/>
      </w:tabs>
    </w:pPr>
    <w:r w:rsidRPr="001557DD">
      <w:rPr>
        <w:lang w:val="fr-CA"/>
      </w:rPr>
      <w:pict>
        <v:rect id="_x0000_i1047" style="width:480.95pt;height:1pt" o:hralign="center" o:hrstd="t" o:hrnoshade="t" o:hr="t" fillcolor="black [3213]" stroked="f"/>
      </w:pict>
    </w:r>
  </w:p>
  <w:p w:rsidR="000349B2" w:rsidRDefault="000349B2" w:rsidP="00096BD9">
    <w:pPr>
      <w:tabs>
        <w:tab w:val="center" w:pos="4680"/>
      </w:tabs>
    </w:pPr>
    <w:r>
      <w:tab/>
      <w:t xml:space="preserve">- </w:t>
    </w:r>
    <w:fldSimple w:instr=" PAGE   \* MERGEFORMAT ">
      <w:r>
        <w:rPr>
          <w:noProof/>
        </w:rPr>
        <w:t>1125</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pPr>
      <w:pStyle w:val="Footer"/>
      <w:rPr>
        <w:lang w:val="fr-CA"/>
      </w:rPr>
    </w:pPr>
    <w:r w:rsidRPr="001557DD">
      <w:rPr>
        <w:lang w:val="fr-CA"/>
      </w:rPr>
      <w:pict>
        <v:rect id="_x0000_i1048" style="width:480.95pt;height:1pt" o:hralign="center" o:hrstd="t" o:hrnoshade="t" o:hr="t" fillcolor="black [3213]" stroked="f"/>
      </w:pict>
    </w:r>
  </w:p>
  <w:p w:rsidR="000349B2" w:rsidRDefault="000349B2" w:rsidP="00096BD9">
    <w:pPr>
      <w:tabs>
        <w:tab w:val="center" w:pos="4680"/>
      </w:tabs>
    </w:pPr>
    <w:r>
      <w:tab/>
      <w:t xml:space="preserve">- </w:t>
    </w:r>
    <w:fldSimple w:instr=" PAGE   \* MERGEFORMAT ">
      <w:r w:rsidR="00854D3F">
        <w:rPr>
          <w:noProof/>
        </w:rPr>
        <w:t>1111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49B2" w:rsidRDefault="000349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49B2" w:rsidRDefault="000349B2">
    <w:pPr>
      <w:widowControl w:val="0"/>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57DD">
      <w:rPr>
        <w:lang w:val="fr-CA"/>
      </w:rPr>
      <w:pict>
        <v:rect id="_x0000_i1050" style="width:480.95pt;height:1pt" o:hralign="center" o:hrstd="t" o:hrnoshade="t" o:hr="t" fillcolor="black [3213]" stroked="f"/>
      </w:pict>
    </w:r>
  </w:p>
  <w:p w:rsidR="000349B2" w:rsidRDefault="000349B2" w:rsidP="00697C62">
    <w:pPr>
      <w:tabs>
        <w:tab w:val="center" w:pos="4680"/>
      </w:tabs>
    </w:pPr>
    <w:r>
      <w:tab/>
      <w:t xml:space="preserve">- </w:t>
    </w:r>
    <w:r w:rsidR="001557DD" w:rsidRPr="00B74FED">
      <w:rPr>
        <w:szCs w:val="24"/>
      </w:rPr>
      <w:fldChar w:fldCharType="begin"/>
    </w:r>
    <w:r w:rsidRPr="00B74FED">
      <w:rPr>
        <w:szCs w:val="24"/>
      </w:rPr>
      <w:instrText xml:space="preserve"> PAGE   \* MERGEFORMAT </w:instrText>
    </w:r>
    <w:r w:rsidR="001557DD" w:rsidRPr="00B74FED">
      <w:rPr>
        <w:szCs w:val="24"/>
      </w:rPr>
      <w:fldChar w:fldCharType="separate"/>
    </w:r>
    <w:r>
      <w:rPr>
        <w:noProof/>
        <w:szCs w:val="24"/>
      </w:rPr>
      <w:t>1129</w:t>
    </w:r>
    <w:r w:rsidR="001557DD" w:rsidRPr="00B74FED">
      <w:rPr>
        <w:szCs w:val="24"/>
      </w:rPr>
      <w:fldChar w:fldCharType="end"/>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rsidP="00802863">
    <w:pPr>
      <w:widowControl w:val="0"/>
      <w:tabs>
        <w:tab w:val="left" w:pos="-1440"/>
        <w:tab w:val="left" w:pos="-720"/>
      </w:tabs>
    </w:pPr>
    <w:r w:rsidRPr="001557DD">
      <w:rPr>
        <w:lang w:val="fr-CA"/>
      </w:rPr>
      <w:pict>
        <v:rect id="_x0000_i1051" style="width:480.95pt;height:1pt" o:hralign="center" o:hrstd="t" o:hrnoshade="t" o:hr="t" fillcolor="black [3213]" stroked="f"/>
      </w:pict>
    </w:r>
  </w:p>
  <w:p w:rsidR="000349B2" w:rsidRPr="00180897" w:rsidRDefault="000349B2" w:rsidP="00697C62">
    <w:pPr>
      <w:tabs>
        <w:tab w:val="center" w:pos="4680"/>
      </w:tabs>
    </w:pPr>
    <w:r>
      <w:tab/>
      <w:t xml:space="preserve">- </w:t>
    </w:r>
    <w:r w:rsidR="001557DD" w:rsidRPr="00B74FED">
      <w:rPr>
        <w:szCs w:val="24"/>
      </w:rPr>
      <w:fldChar w:fldCharType="begin"/>
    </w:r>
    <w:r w:rsidRPr="00B74FED">
      <w:rPr>
        <w:szCs w:val="24"/>
      </w:rPr>
      <w:instrText xml:space="preserve"> PAGE   \* MERGEFORMAT </w:instrText>
    </w:r>
    <w:r w:rsidR="001557DD" w:rsidRPr="00B74FED">
      <w:rPr>
        <w:szCs w:val="24"/>
      </w:rPr>
      <w:fldChar w:fldCharType="separate"/>
    </w:r>
    <w:r w:rsidR="00854D3F">
      <w:rPr>
        <w:noProof/>
        <w:szCs w:val="24"/>
      </w:rPr>
      <w:t>1112</w:t>
    </w:r>
    <w:r w:rsidR="001557DD" w:rsidRPr="00B74FED">
      <w:rPr>
        <w:szCs w:val="24"/>
      </w:rPr>
      <w:fldChar w:fldCharType="end"/>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49B2" w:rsidRDefault="000349B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rsidP="00732DB7">
    <w:r>
      <w:pict>
        <v:rect id="_x0000_i1055" style="width:480.95pt;height:1pt" o:hralign="center" o:hrstd="t" o:hrnoshade="t" o:hr="t" fillcolor="black" stroked="f"/>
      </w:pict>
    </w:r>
  </w:p>
  <w:p w:rsidR="000349B2" w:rsidRDefault="000349B2">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pPr>
      <w:pStyle w:val="Footer"/>
    </w:pPr>
    <w:r>
      <w:pict>
        <v:rect id="_x0000_i1056" style="width:480.95pt;height:1pt" o:hralign="center" o:hrstd="t" o:hrnoshade="t" o:hr="t" fillcolor="black [3213]" stroked="f"/>
      </w:pict>
    </w:r>
  </w:p>
  <w:p w:rsidR="000349B2" w:rsidRPr="003C2C0F" w:rsidRDefault="000349B2" w:rsidP="00697C62">
    <w:pPr>
      <w:tabs>
        <w:tab w:val="center" w:pos="4680"/>
      </w:tabs>
    </w:pPr>
    <w:r>
      <w:tab/>
      <w:t xml:space="preserve">- </w:t>
    </w:r>
    <w:fldSimple w:instr=" PAGE   \* MERGEFORMAT ">
      <w:r w:rsidR="00854D3F">
        <w:rPr>
          <w:noProof/>
        </w:rPr>
        <w:t>1113</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20" w:rsidRDefault="00A27520">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49B2" w:rsidRDefault="000349B2">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49B2" w:rsidRDefault="001557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0349B2" w:rsidRDefault="000349B2" w:rsidP="00782AE4">
    <w:pPr>
      <w:tabs>
        <w:tab w:val="center" w:pos="4680"/>
      </w:tabs>
    </w:pPr>
    <w:r>
      <w:tab/>
      <w:t xml:space="preserve">- </w:t>
    </w:r>
    <w:r w:rsidR="001557DD" w:rsidRPr="001775C1">
      <w:rPr>
        <w:szCs w:val="24"/>
      </w:rPr>
      <w:fldChar w:fldCharType="begin"/>
    </w:r>
    <w:r w:rsidRPr="001775C1">
      <w:rPr>
        <w:szCs w:val="24"/>
      </w:rPr>
      <w:instrText xml:space="preserve"> PAGE   \* MERGEFORMAT </w:instrText>
    </w:r>
    <w:r w:rsidR="001557DD" w:rsidRPr="001775C1">
      <w:rPr>
        <w:szCs w:val="24"/>
      </w:rPr>
      <w:fldChar w:fldCharType="separate"/>
    </w:r>
    <w:r w:rsidR="00854D3F">
      <w:rPr>
        <w:noProof/>
        <w:szCs w:val="24"/>
      </w:rPr>
      <w:t>1120</w:t>
    </w:r>
    <w:r w:rsidR="001557DD"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rsidP="00782AE4">
    <w:pPr>
      <w:tabs>
        <w:tab w:val="center" w:pos="4680"/>
      </w:tabs>
    </w:pPr>
    <w:r>
      <w:pict>
        <v:rect id="_x0000_i1064" style="width:480.95pt;height:1pt" o:hralign="center" o:hrstd="t" o:hrnoshade="t" o:hr="t" fillcolor="black [3213]" stroked="f"/>
      </w:pict>
    </w:r>
  </w:p>
  <w:p w:rsidR="000349B2" w:rsidRDefault="000349B2" w:rsidP="00782AE4">
    <w:pPr>
      <w:tabs>
        <w:tab w:val="center" w:pos="4680"/>
      </w:tabs>
    </w:pPr>
    <w:r>
      <w:tab/>
      <w:t xml:space="preserve">- </w:t>
    </w:r>
    <w:r w:rsidR="001557DD" w:rsidRPr="001775C1">
      <w:rPr>
        <w:szCs w:val="24"/>
      </w:rPr>
      <w:fldChar w:fldCharType="begin"/>
    </w:r>
    <w:r w:rsidRPr="001775C1">
      <w:rPr>
        <w:szCs w:val="24"/>
      </w:rPr>
      <w:instrText xml:space="preserve"> PAGE   \* MERGEFORMAT </w:instrText>
    </w:r>
    <w:r w:rsidR="001557DD" w:rsidRPr="001775C1">
      <w:rPr>
        <w:szCs w:val="24"/>
      </w:rPr>
      <w:fldChar w:fldCharType="separate"/>
    </w:r>
    <w:r w:rsidR="00854D3F">
      <w:rPr>
        <w:noProof/>
        <w:szCs w:val="24"/>
      </w:rPr>
      <w:t>1116</w:t>
    </w:r>
    <w:r w:rsidR="001557DD"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Pr="00924065" w:rsidRDefault="000349B2"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20" w:rsidRDefault="00A275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rsidP="00A87207">
    <w:pPr>
      <w:pStyle w:val="Footer"/>
    </w:pPr>
    <w:r>
      <w:pict>
        <v:rect id="_x0000_i1035" style="width:480.95pt;height:1pt" o:hralign="center" o:hrstd="t" o:hrnoshade="t" o:hr="t" fillcolor="black [3213]" stroked="f"/>
      </w:pict>
    </w:r>
  </w:p>
  <w:p w:rsidR="000349B2" w:rsidRPr="00B7374B" w:rsidRDefault="000349B2" w:rsidP="00B7374B">
    <w:pPr>
      <w:tabs>
        <w:tab w:val="center" w:pos="4680"/>
      </w:tabs>
      <w:rPr>
        <w:szCs w:val="24"/>
      </w:rPr>
    </w:pPr>
    <w:r w:rsidRPr="00954D22">
      <w:rPr>
        <w:szCs w:val="24"/>
      </w:rPr>
      <w:tab/>
      <w:t xml:space="preserve">- </w:t>
    </w:r>
    <w:r w:rsidR="001557DD" w:rsidRPr="00954D22">
      <w:rPr>
        <w:szCs w:val="24"/>
      </w:rPr>
      <w:fldChar w:fldCharType="begin"/>
    </w:r>
    <w:r w:rsidRPr="00954D22">
      <w:rPr>
        <w:szCs w:val="24"/>
      </w:rPr>
      <w:instrText xml:space="preserve"> PAGE   \* MERGEFORMAT </w:instrText>
    </w:r>
    <w:r w:rsidR="001557DD" w:rsidRPr="00954D22">
      <w:rPr>
        <w:szCs w:val="24"/>
      </w:rPr>
      <w:fldChar w:fldCharType="separate"/>
    </w:r>
    <w:r w:rsidR="00854D3F">
      <w:rPr>
        <w:noProof/>
        <w:szCs w:val="24"/>
      </w:rPr>
      <w:t>1106</w:t>
    </w:r>
    <w:r w:rsidR="001557DD"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rsidP="00755F22">
    <w:pPr>
      <w:tabs>
        <w:tab w:val="left" w:pos="-1440"/>
        <w:tab w:val="left" w:pos="-720"/>
      </w:tabs>
    </w:pPr>
    <w:r>
      <w:pict>
        <v:rect id="_x0000_i1036" style="width:480.95pt;height:1pt" o:hralign="center" o:hrstd="t" o:hrnoshade="t" o:hr="t" fillcolor="black [3213]" stroked="f"/>
      </w:pict>
    </w:r>
  </w:p>
  <w:p w:rsidR="000349B2" w:rsidRPr="00954D22" w:rsidRDefault="000349B2" w:rsidP="00B7374B">
    <w:pPr>
      <w:tabs>
        <w:tab w:val="center" w:pos="4680"/>
      </w:tabs>
      <w:rPr>
        <w:szCs w:val="24"/>
      </w:rPr>
    </w:pPr>
    <w:r w:rsidRPr="00954D22">
      <w:rPr>
        <w:szCs w:val="24"/>
      </w:rPr>
      <w:tab/>
      <w:t xml:space="preserve">- </w:t>
    </w:r>
    <w:r w:rsidR="001557DD">
      <w:rPr>
        <w:szCs w:val="24"/>
      </w:rPr>
      <w:fldChar w:fldCharType="begin"/>
    </w:r>
    <w:r>
      <w:rPr>
        <w:szCs w:val="24"/>
      </w:rPr>
      <w:instrText xml:space="preserve"> PAGE   \* MERGEFORMAT </w:instrText>
    </w:r>
    <w:r w:rsidR="001557DD">
      <w:rPr>
        <w:szCs w:val="24"/>
      </w:rPr>
      <w:fldChar w:fldCharType="separate"/>
    </w:r>
    <w:r w:rsidR="00854D3F">
      <w:rPr>
        <w:noProof/>
        <w:szCs w:val="24"/>
      </w:rPr>
      <w:t>1105</w:t>
    </w:r>
    <w:r w:rsidR="001557DD">
      <w:rPr>
        <w:szCs w:val="24"/>
      </w:rPr>
      <w:fldChar w:fldCharType="end"/>
    </w:r>
    <w:r w:rsidRPr="00954D22">
      <w:rPr>
        <w:szCs w:val="24"/>
      </w:rPr>
      <w:t xml:space="preserve"> -</w:t>
    </w:r>
  </w:p>
  <w:p w:rsidR="000349B2" w:rsidRDefault="000349B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rsidP="00A87207">
    <w:pPr>
      <w:pStyle w:val="Footer"/>
    </w:pPr>
    <w:r>
      <w:pict>
        <v:rect id="_x0000_i1038" style="width:480.95pt;height:1pt" o:hralign="center" o:hrstd="t" o:hrnoshade="t" o:hr="t" fillcolor="black [3213]" stroked="f"/>
      </w:pict>
    </w:r>
  </w:p>
  <w:p w:rsidR="000349B2" w:rsidRPr="00B7374B" w:rsidRDefault="000349B2" w:rsidP="00B7374B">
    <w:pPr>
      <w:tabs>
        <w:tab w:val="center" w:pos="4680"/>
      </w:tabs>
      <w:rPr>
        <w:szCs w:val="24"/>
      </w:rPr>
    </w:pPr>
    <w:r w:rsidRPr="00954D22">
      <w:rPr>
        <w:szCs w:val="24"/>
      </w:rPr>
      <w:tab/>
      <w:t xml:space="preserve">- </w:t>
    </w:r>
    <w:r w:rsidR="001557DD" w:rsidRPr="00954D22">
      <w:rPr>
        <w:szCs w:val="24"/>
      </w:rPr>
      <w:fldChar w:fldCharType="begin"/>
    </w:r>
    <w:r w:rsidRPr="00954D22">
      <w:rPr>
        <w:szCs w:val="24"/>
      </w:rPr>
      <w:instrText xml:space="preserve"> PAGE   \* MERGEFORMAT </w:instrText>
    </w:r>
    <w:r w:rsidR="001557DD" w:rsidRPr="00954D22">
      <w:rPr>
        <w:szCs w:val="24"/>
      </w:rPr>
      <w:fldChar w:fldCharType="separate"/>
    </w:r>
    <w:r>
      <w:rPr>
        <w:noProof/>
        <w:szCs w:val="24"/>
      </w:rPr>
      <w:t>1108</w:t>
    </w:r>
    <w:r w:rsidR="001557DD"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0349B2" w:rsidRPr="00954D22" w:rsidRDefault="000349B2" w:rsidP="00B7374B">
    <w:pPr>
      <w:tabs>
        <w:tab w:val="center" w:pos="4680"/>
      </w:tabs>
      <w:rPr>
        <w:szCs w:val="24"/>
      </w:rPr>
    </w:pPr>
    <w:r w:rsidRPr="00954D22">
      <w:rPr>
        <w:szCs w:val="24"/>
      </w:rPr>
      <w:tab/>
      <w:t xml:space="preserve">- </w:t>
    </w:r>
    <w:r w:rsidR="001557DD" w:rsidRPr="00954D22">
      <w:rPr>
        <w:szCs w:val="24"/>
      </w:rPr>
      <w:fldChar w:fldCharType="begin"/>
    </w:r>
    <w:r w:rsidRPr="00954D22">
      <w:rPr>
        <w:szCs w:val="24"/>
      </w:rPr>
      <w:instrText xml:space="preserve"> PAGE   \* MERGEFORMAT </w:instrText>
    </w:r>
    <w:r w:rsidR="001557DD" w:rsidRPr="00954D22">
      <w:rPr>
        <w:szCs w:val="24"/>
      </w:rPr>
      <w:fldChar w:fldCharType="separate"/>
    </w:r>
    <w:r w:rsidR="00854D3F">
      <w:rPr>
        <w:noProof/>
        <w:szCs w:val="24"/>
      </w:rPr>
      <w:t>1107</w:t>
    </w:r>
    <w:r w:rsidR="001557DD"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49B2" w:rsidRDefault="000349B2">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1557DD" w:rsidP="00755F22">
    <w:pPr>
      <w:tabs>
        <w:tab w:val="left" w:pos="-1440"/>
        <w:tab w:val="left" w:pos="-720"/>
      </w:tabs>
    </w:pPr>
    <w:r>
      <w:pict>
        <v:rect id="_x0000_i1044" style="width:480.95pt;height:1pt" o:hralign="center" o:hrstd="t" o:hrnoshade="t" o:hr="t" fillcolor="black [3213]" stroked="f"/>
      </w:pict>
    </w:r>
  </w:p>
  <w:p w:rsidR="000349B2" w:rsidRDefault="000349B2" w:rsidP="00EB2B90">
    <w:pPr>
      <w:tabs>
        <w:tab w:val="center" w:pos="4680"/>
      </w:tabs>
    </w:pPr>
    <w:r>
      <w:tab/>
      <w:t xml:space="preserve">- </w:t>
    </w:r>
    <w:fldSimple w:instr=" PAGE   \* MERGEFORMAT ">
      <w:r w:rsidR="00854D3F">
        <w:rPr>
          <w:noProof/>
        </w:rPr>
        <w:t>1110</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9B2" w:rsidRDefault="000349B2" w:rsidP="00A87207">
      <w:r>
        <w:separator/>
      </w:r>
    </w:p>
  </w:footnote>
  <w:footnote w:type="continuationSeparator" w:id="0">
    <w:p w:rsidR="000349B2" w:rsidRDefault="000349B2"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20" w:rsidRDefault="00A2752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349B2" w:rsidRPr="00D66BAA">
      <w:tc>
        <w:tcPr>
          <w:tcW w:w="4200" w:type="dxa"/>
          <w:tcMar>
            <w:left w:w="0" w:type="dxa"/>
            <w:right w:w="0" w:type="dxa"/>
          </w:tcMar>
        </w:tcPr>
        <w:p w:rsidR="000349B2"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0349B2"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0349B2" w:rsidRPr="004D47AC" w:rsidRDefault="000349B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D47AC">
            <w:rPr>
              <w:b/>
              <w:lang w:val="fr-CA"/>
            </w:rPr>
            <w:t>AVIS DE RETRAIT DE L’INTERVENTION  DÉPOSÉ DEPUIS LA DERNIÈRE PARUTION</w:t>
          </w:r>
        </w:p>
        <w:p w:rsidR="000349B2" w:rsidRPr="004D47AC"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349B2" w:rsidRPr="004D47AC"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349B2" w:rsidRPr="00D66BAA" w:rsidTr="00245129">
      <w:tc>
        <w:tcPr>
          <w:tcW w:w="4200" w:type="dxa"/>
          <w:tcMar>
            <w:left w:w="0" w:type="dxa"/>
            <w:right w:w="0" w:type="dxa"/>
          </w:tcMar>
        </w:tcPr>
        <w:p w:rsidR="000349B2" w:rsidRPr="00B4740D" w:rsidRDefault="000349B2" w:rsidP="00096BD9">
          <w:pPr>
            <w:rPr>
              <w:sz w:val="20"/>
              <w:szCs w:val="20"/>
            </w:rPr>
          </w:pPr>
          <w:r w:rsidRPr="00B4740D">
            <w:rPr>
              <w:sz w:val="20"/>
              <w:szCs w:val="20"/>
            </w:rPr>
            <w:t>NOTICES OF INTERVENTION FILED SINCE LAST ISSUE</w:t>
          </w:r>
        </w:p>
      </w:tc>
      <w:tc>
        <w:tcPr>
          <w:tcW w:w="1200" w:type="dxa"/>
          <w:tcMar>
            <w:left w:w="0" w:type="dxa"/>
            <w:right w:w="0" w:type="dxa"/>
          </w:tcMar>
        </w:tcPr>
        <w:p w:rsidR="000349B2" w:rsidRPr="00B4740D" w:rsidRDefault="000349B2" w:rsidP="00096BD9">
          <w:pPr>
            <w:jc w:val="center"/>
            <w:rPr>
              <w:sz w:val="20"/>
              <w:szCs w:val="20"/>
            </w:rPr>
          </w:pPr>
        </w:p>
        <w:p w:rsidR="000349B2" w:rsidRPr="00B4740D" w:rsidRDefault="000349B2" w:rsidP="00096BD9">
          <w:pPr>
            <w:jc w:val="center"/>
            <w:rPr>
              <w:sz w:val="20"/>
              <w:szCs w:val="20"/>
            </w:rPr>
          </w:pPr>
        </w:p>
        <w:p w:rsidR="000349B2" w:rsidRPr="00B4740D" w:rsidRDefault="000349B2" w:rsidP="00096BD9">
          <w:pPr>
            <w:jc w:val="center"/>
            <w:rPr>
              <w:sz w:val="20"/>
              <w:szCs w:val="20"/>
            </w:rPr>
          </w:pPr>
        </w:p>
      </w:tc>
      <w:tc>
        <w:tcPr>
          <w:tcW w:w="4080" w:type="dxa"/>
          <w:tcMar>
            <w:left w:w="0" w:type="dxa"/>
            <w:right w:w="0" w:type="dxa"/>
          </w:tcMar>
        </w:tcPr>
        <w:p w:rsidR="000349B2" w:rsidRPr="00B4740D" w:rsidRDefault="000349B2" w:rsidP="00096BD9">
          <w:pPr>
            <w:rPr>
              <w:sz w:val="20"/>
              <w:szCs w:val="20"/>
              <w:lang w:val="fr-CA"/>
            </w:rPr>
          </w:pPr>
          <w:r w:rsidRPr="00B4740D">
            <w:rPr>
              <w:sz w:val="20"/>
              <w:szCs w:val="20"/>
              <w:lang w:val="fr-CA"/>
            </w:rPr>
            <w:t>AVIS D’INTERVENTION DÉPOSÉS DEPUIS LA DERNIÈRE PARUTION</w:t>
          </w:r>
        </w:p>
      </w:tc>
    </w:tr>
  </w:tbl>
  <w:p w:rsidR="000349B2" w:rsidRPr="004D47AC" w:rsidRDefault="000349B2" w:rsidP="0009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349B2" w:rsidRPr="00D66BAA">
      <w:tc>
        <w:tcPr>
          <w:tcW w:w="4200" w:type="dxa"/>
          <w:tcMar>
            <w:left w:w="0" w:type="dxa"/>
            <w:right w:w="0" w:type="dxa"/>
          </w:tcMar>
        </w:tcPr>
        <w:p w:rsidR="000349B2" w:rsidRDefault="000349B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0349B2" w:rsidRDefault="000349B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0349B2" w:rsidRDefault="000349B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349B2" w:rsidRPr="009256DC" w:rsidRDefault="000349B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0349B2" w:rsidRPr="009256DC" w:rsidRDefault="000349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349B2" w:rsidRPr="009256DC" w:rsidRDefault="000349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349B2" w:rsidRPr="00D66BAA" w:rsidTr="00245129">
      <w:tc>
        <w:tcPr>
          <w:tcW w:w="4200" w:type="dxa"/>
          <w:tcMar>
            <w:left w:w="0" w:type="dxa"/>
            <w:right w:w="0" w:type="dxa"/>
          </w:tcMar>
        </w:tcPr>
        <w:p w:rsidR="000349B2" w:rsidRPr="00802863" w:rsidRDefault="000349B2"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0349B2" w:rsidRPr="00802863" w:rsidRDefault="000349B2" w:rsidP="00802863">
          <w:pPr>
            <w:keepNext/>
            <w:keepLines/>
            <w:widowControl w:val="0"/>
            <w:tabs>
              <w:tab w:val="left" w:pos="-1440"/>
              <w:tab w:val="left" w:pos="-720"/>
            </w:tabs>
            <w:jc w:val="center"/>
            <w:rPr>
              <w:sz w:val="20"/>
              <w:szCs w:val="20"/>
            </w:rPr>
          </w:pPr>
        </w:p>
        <w:p w:rsidR="000349B2" w:rsidRPr="00802863" w:rsidRDefault="000349B2" w:rsidP="00802863">
          <w:pPr>
            <w:keepNext/>
            <w:keepLines/>
            <w:widowControl w:val="0"/>
            <w:tabs>
              <w:tab w:val="left" w:pos="-1440"/>
              <w:tab w:val="left" w:pos="-720"/>
            </w:tabs>
            <w:jc w:val="center"/>
            <w:rPr>
              <w:sz w:val="20"/>
              <w:szCs w:val="20"/>
            </w:rPr>
          </w:pPr>
        </w:p>
        <w:p w:rsidR="000349B2" w:rsidRPr="00802863" w:rsidRDefault="000349B2"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0349B2" w:rsidRPr="00802863" w:rsidRDefault="000349B2"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0349B2" w:rsidRPr="009256DC" w:rsidRDefault="000349B2"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349B2" w:rsidRPr="00D66BAA">
      <w:tc>
        <w:tcPr>
          <w:tcW w:w="4200" w:type="dxa"/>
          <w:tcMar>
            <w:left w:w="0" w:type="dxa"/>
            <w:right w:w="0" w:type="dxa"/>
          </w:tcMar>
        </w:tcPr>
        <w:p w:rsidR="000349B2"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349B2"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349B2"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349B2" w:rsidRPr="003C2C0F" w:rsidRDefault="000349B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349B2" w:rsidRPr="003C2C0F"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349B2" w:rsidRPr="003C2C0F"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349B2" w:rsidRPr="00D66BAA" w:rsidTr="00245129">
      <w:tc>
        <w:tcPr>
          <w:tcW w:w="4200" w:type="dxa"/>
          <w:tcMar>
            <w:left w:w="0" w:type="dxa"/>
            <w:right w:w="0" w:type="dxa"/>
          </w:tcMar>
        </w:tcPr>
        <w:p w:rsidR="000349B2" w:rsidRPr="00FF6EEC" w:rsidRDefault="000349B2" w:rsidP="00FF6EEC">
          <w:pPr>
            <w:rPr>
              <w:sz w:val="20"/>
              <w:szCs w:val="20"/>
            </w:rPr>
          </w:pPr>
          <w:r w:rsidRPr="00FF6EEC">
            <w:rPr>
              <w:sz w:val="20"/>
              <w:szCs w:val="20"/>
            </w:rPr>
            <w:t>PRONOUNCEMENTS OF APPEALS RESERVED</w:t>
          </w:r>
        </w:p>
      </w:tc>
      <w:tc>
        <w:tcPr>
          <w:tcW w:w="1200" w:type="dxa"/>
          <w:tcMar>
            <w:left w:w="0" w:type="dxa"/>
            <w:right w:w="0" w:type="dxa"/>
          </w:tcMar>
        </w:tcPr>
        <w:p w:rsidR="000349B2" w:rsidRPr="00FF6EEC" w:rsidRDefault="000349B2" w:rsidP="00FF6EEC">
          <w:pPr>
            <w:jc w:val="center"/>
            <w:rPr>
              <w:sz w:val="20"/>
              <w:szCs w:val="20"/>
            </w:rPr>
          </w:pPr>
        </w:p>
        <w:p w:rsidR="000349B2" w:rsidRPr="00FF6EEC" w:rsidRDefault="000349B2" w:rsidP="00FF6EEC">
          <w:pPr>
            <w:jc w:val="center"/>
            <w:rPr>
              <w:sz w:val="20"/>
              <w:szCs w:val="20"/>
            </w:rPr>
          </w:pPr>
        </w:p>
        <w:p w:rsidR="000349B2" w:rsidRPr="00FF6EEC" w:rsidRDefault="000349B2" w:rsidP="00FF6EEC">
          <w:pPr>
            <w:jc w:val="center"/>
            <w:rPr>
              <w:sz w:val="20"/>
              <w:szCs w:val="20"/>
            </w:rPr>
          </w:pPr>
        </w:p>
      </w:tc>
      <w:tc>
        <w:tcPr>
          <w:tcW w:w="4080" w:type="dxa"/>
          <w:tcMar>
            <w:left w:w="0" w:type="dxa"/>
            <w:right w:w="0" w:type="dxa"/>
          </w:tcMar>
        </w:tcPr>
        <w:p w:rsidR="000349B2" w:rsidRPr="00FF6EEC" w:rsidRDefault="000349B2" w:rsidP="00FF6EEC">
          <w:pPr>
            <w:rPr>
              <w:sz w:val="20"/>
              <w:szCs w:val="20"/>
              <w:lang w:val="fr-CA"/>
            </w:rPr>
          </w:pPr>
          <w:r w:rsidRPr="00FF6EEC">
            <w:rPr>
              <w:sz w:val="20"/>
              <w:szCs w:val="20"/>
              <w:lang w:val="fr-CA"/>
            </w:rPr>
            <w:t>JUGEMENTS RENDUS SUR LES APPELS EN DÉLIBÉRÉ</w:t>
          </w:r>
        </w:p>
      </w:tc>
    </w:tr>
  </w:tbl>
  <w:p w:rsidR="000349B2" w:rsidRPr="003C2C0F" w:rsidRDefault="000349B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20" w:rsidRDefault="00A2752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349B2">
      <w:tc>
        <w:tcPr>
          <w:tcW w:w="4230" w:type="dxa"/>
          <w:tcMar>
            <w:left w:w="0" w:type="dxa"/>
            <w:right w:w="0" w:type="dxa"/>
          </w:tcMar>
        </w:tcPr>
        <w:p w:rsidR="000349B2"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349B2"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349B2"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349B2"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349B2"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349B2" w:rsidRDefault="000349B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349B2" w:rsidRPr="00782AE4" w:rsidTr="00245129">
      <w:tc>
        <w:tcPr>
          <w:tcW w:w="4230" w:type="dxa"/>
          <w:tcMar>
            <w:left w:w="0" w:type="dxa"/>
            <w:right w:w="0" w:type="dxa"/>
          </w:tcMar>
        </w:tcPr>
        <w:p w:rsidR="000349B2" w:rsidRPr="00782AE4" w:rsidRDefault="000349B2" w:rsidP="00102926">
          <w:pPr>
            <w:keepNext/>
            <w:keepLines/>
            <w:tabs>
              <w:tab w:val="left" w:pos="-1440"/>
              <w:tab w:val="left" w:pos="-720"/>
            </w:tabs>
            <w:rPr>
              <w:sz w:val="20"/>
              <w:szCs w:val="20"/>
            </w:rPr>
          </w:pPr>
          <w:r w:rsidRPr="00782AE4">
            <w:rPr>
              <w:sz w:val="20"/>
              <w:szCs w:val="20"/>
            </w:rPr>
            <w:t xml:space="preserve">HEADNOTES OF RECENT </w:t>
          </w:r>
        </w:p>
        <w:p w:rsidR="000349B2" w:rsidRPr="00782AE4"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349B2" w:rsidRDefault="000349B2" w:rsidP="00102926">
          <w:pPr>
            <w:keepNext/>
            <w:keepLines/>
            <w:tabs>
              <w:tab w:val="left" w:pos="-1440"/>
              <w:tab w:val="left" w:pos="-720"/>
            </w:tabs>
            <w:jc w:val="center"/>
            <w:rPr>
              <w:sz w:val="20"/>
              <w:szCs w:val="20"/>
            </w:rPr>
          </w:pPr>
        </w:p>
        <w:p w:rsidR="000349B2" w:rsidRDefault="000349B2" w:rsidP="00102926">
          <w:pPr>
            <w:keepNext/>
            <w:keepLines/>
            <w:tabs>
              <w:tab w:val="left" w:pos="-1440"/>
              <w:tab w:val="left" w:pos="-720"/>
            </w:tabs>
            <w:jc w:val="center"/>
            <w:rPr>
              <w:sz w:val="20"/>
              <w:szCs w:val="20"/>
            </w:rPr>
          </w:pPr>
        </w:p>
        <w:p w:rsidR="000349B2" w:rsidRPr="00782AE4" w:rsidRDefault="000349B2" w:rsidP="00102926">
          <w:pPr>
            <w:keepNext/>
            <w:keepLines/>
            <w:tabs>
              <w:tab w:val="left" w:pos="-1440"/>
              <w:tab w:val="left" w:pos="-720"/>
            </w:tabs>
            <w:jc w:val="center"/>
            <w:rPr>
              <w:sz w:val="20"/>
              <w:szCs w:val="20"/>
            </w:rPr>
          </w:pPr>
        </w:p>
      </w:tc>
      <w:tc>
        <w:tcPr>
          <w:tcW w:w="4080" w:type="dxa"/>
          <w:tcMar>
            <w:left w:w="0" w:type="dxa"/>
            <w:right w:w="0" w:type="dxa"/>
          </w:tcMar>
        </w:tcPr>
        <w:p w:rsidR="000349B2" w:rsidRPr="00102926"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349B2" w:rsidRPr="00782AE4" w:rsidRDefault="000349B2" w:rsidP="00102926">
          <w:pPr>
            <w:keepLines/>
            <w:tabs>
              <w:tab w:val="left" w:pos="-1440"/>
              <w:tab w:val="left" w:pos="-720"/>
            </w:tabs>
            <w:rPr>
              <w:sz w:val="20"/>
              <w:szCs w:val="20"/>
            </w:rPr>
          </w:pPr>
          <w:r w:rsidRPr="00102926">
            <w:rPr>
              <w:sz w:val="20"/>
              <w:szCs w:val="20"/>
              <w:lang w:val="fr-CA"/>
            </w:rPr>
            <w:t>RÉCENTS</w:t>
          </w:r>
        </w:p>
      </w:tc>
    </w:tr>
  </w:tbl>
  <w:p w:rsidR="000349B2" w:rsidRDefault="000349B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20" w:rsidRDefault="00A2752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0349B2" w:rsidRPr="0044776A" w:rsidTr="00245129">
      <w:tc>
        <w:tcPr>
          <w:tcW w:w="4290" w:type="dxa"/>
          <w:tcMar>
            <w:left w:w="0" w:type="dxa"/>
            <w:right w:w="0" w:type="dxa"/>
          </w:tcMar>
        </w:tcPr>
        <w:p w:rsidR="000349B2" w:rsidRPr="0044776A" w:rsidRDefault="000349B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349B2" w:rsidRPr="0044776A" w:rsidRDefault="000349B2" w:rsidP="002E2327">
          <w:pPr>
            <w:keepNext/>
            <w:keepLines/>
            <w:tabs>
              <w:tab w:val="left" w:pos="-1440"/>
              <w:tab w:val="left" w:pos="-720"/>
            </w:tabs>
            <w:jc w:val="center"/>
            <w:rPr>
              <w:sz w:val="20"/>
              <w:szCs w:val="20"/>
            </w:rPr>
          </w:pPr>
        </w:p>
        <w:p w:rsidR="000349B2" w:rsidRPr="0044776A" w:rsidRDefault="000349B2" w:rsidP="002E2327">
          <w:pPr>
            <w:keepNext/>
            <w:keepLines/>
            <w:tabs>
              <w:tab w:val="left" w:pos="-1440"/>
              <w:tab w:val="left" w:pos="-720"/>
            </w:tabs>
            <w:jc w:val="center"/>
            <w:rPr>
              <w:sz w:val="20"/>
              <w:szCs w:val="20"/>
            </w:rPr>
          </w:pPr>
        </w:p>
        <w:p w:rsidR="000349B2" w:rsidRPr="0044776A" w:rsidRDefault="000349B2" w:rsidP="002E2327">
          <w:pPr>
            <w:keepNext/>
            <w:keepLines/>
            <w:tabs>
              <w:tab w:val="left" w:pos="-1440"/>
              <w:tab w:val="left" w:pos="-720"/>
            </w:tabs>
            <w:jc w:val="center"/>
            <w:rPr>
              <w:sz w:val="20"/>
              <w:szCs w:val="20"/>
            </w:rPr>
          </w:pPr>
        </w:p>
      </w:tc>
      <w:tc>
        <w:tcPr>
          <w:tcW w:w="4320" w:type="dxa"/>
          <w:tcMar>
            <w:left w:w="0" w:type="dxa"/>
            <w:right w:w="0" w:type="dxa"/>
          </w:tcMar>
        </w:tcPr>
        <w:p w:rsidR="000349B2" w:rsidRPr="0044776A" w:rsidRDefault="000349B2" w:rsidP="002E2327">
          <w:pPr>
            <w:keepLines/>
            <w:rPr>
              <w:sz w:val="20"/>
              <w:szCs w:val="20"/>
              <w:lang w:val="fr-CA"/>
            </w:rPr>
          </w:pPr>
          <w:r w:rsidRPr="0044776A">
            <w:rPr>
              <w:sz w:val="20"/>
              <w:szCs w:val="20"/>
              <w:lang w:val="fr-CA"/>
            </w:rPr>
            <w:t>DEMANDES D'AUTORISATION D'APPEL DÉPOSÉES</w:t>
          </w:r>
        </w:p>
      </w:tc>
    </w:tr>
  </w:tbl>
  <w:p w:rsidR="000349B2" w:rsidRDefault="000349B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349B2" w:rsidRPr="00D66BAA" w:rsidTr="00245129">
      <w:tc>
        <w:tcPr>
          <w:tcW w:w="4200" w:type="dxa"/>
          <w:tcMar>
            <w:left w:w="0" w:type="dxa"/>
            <w:right w:w="0" w:type="dxa"/>
          </w:tcMar>
        </w:tcPr>
        <w:p w:rsidR="000349B2" w:rsidRPr="0044776A" w:rsidRDefault="000349B2" w:rsidP="0044776A">
          <w:pPr>
            <w:keepNext/>
            <w:keepLines/>
            <w:widowControl w:val="0"/>
            <w:rPr>
              <w:sz w:val="20"/>
              <w:szCs w:val="20"/>
            </w:rPr>
          </w:pPr>
          <w:r>
            <w:rPr>
              <w:sz w:val="20"/>
              <w:szCs w:val="20"/>
            </w:rPr>
            <w:t>APPLICATIONS FOR LEAVE</w:t>
          </w:r>
        </w:p>
        <w:p w:rsidR="000349B2" w:rsidRPr="0044776A" w:rsidRDefault="000349B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349B2" w:rsidRPr="0044776A" w:rsidRDefault="000349B2" w:rsidP="0044776A">
          <w:pPr>
            <w:keepNext/>
            <w:keepLines/>
            <w:widowControl w:val="0"/>
            <w:jc w:val="center"/>
            <w:rPr>
              <w:sz w:val="20"/>
              <w:szCs w:val="20"/>
            </w:rPr>
          </w:pPr>
        </w:p>
        <w:p w:rsidR="000349B2" w:rsidRPr="0044776A" w:rsidRDefault="000349B2" w:rsidP="0044776A">
          <w:pPr>
            <w:keepNext/>
            <w:keepLines/>
            <w:widowControl w:val="0"/>
            <w:jc w:val="center"/>
            <w:rPr>
              <w:sz w:val="20"/>
              <w:szCs w:val="20"/>
            </w:rPr>
          </w:pPr>
        </w:p>
        <w:p w:rsidR="000349B2" w:rsidRPr="0044776A" w:rsidRDefault="000349B2" w:rsidP="0044776A">
          <w:pPr>
            <w:keepNext/>
            <w:keepLines/>
            <w:widowControl w:val="0"/>
            <w:jc w:val="center"/>
            <w:rPr>
              <w:sz w:val="20"/>
              <w:szCs w:val="20"/>
            </w:rPr>
          </w:pPr>
        </w:p>
      </w:tc>
      <w:tc>
        <w:tcPr>
          <w:tcW w:w="4080" w:type="dxa"/>
          <w:tcMar>
            <w:left w:w="0" w:type="dxa"/>
            <w:right w:w="0" w:type="dxa"/>
          </w:tcMar>
        </w:tcPr>
        <w:p w:rsidR="000349B2" w:rsidRPr="0044776A" w:rsidRDefault="000349B2" w:rsidP="0044776A">
          <w:pPr>
            <w:keepLines/>
            <w:widowControl w:val="0"/>
            <w:rPr>
              <w:sz w:val="20"/>
              <w:szCs w:val="20"/>
              <w:lang w:val="fr-CA"/>
            </w:rPr>
          </w:pPr>
          <w:r w:rsidRPr="0044776A">
            <w:rPr>
              <w:sz w:val="20"/>
              <w:szCs w:val="20"/>
              <w:lang w:val="fr-CA"/>
            </w:rPr>
            <w:t>DEMANDES SOUMISES À LA COUR DEPUIS LA DERNIÈRE PARUTION</w:t>
          </w:r>
        </w:p>
        <w:p w:rsidR="000349B2" w:rsidRPr="0044776A" w:rsidRDefault="000349B2" w:rsidP="0044776A">
          <w:pPr>
            <w:widowControl w:val="0"/>
            <w:rPr>
              <w:sz w:val="20"/>
              <w:szCs w:val="20"/>
              <w:lang w:val="fr-CA"/>
            </w:rPr>
          </w:pPr>
        </w:p>
      </w:tc>
    </w:tr>
  </w:tbl>
  <w:p w:rsidR="000349B2" w:rsidRPr="002E2327" w:rsidRDefault="000349B2">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2" w:rsidRDefault="000349B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349B2">
      <w:tc>
        <w:tcPr>
          <w:tcW w:w="4230" w:type="dxa"/>
          <w:tcMar>
            <w:left w:w="0" w:type="dxa"/>
            <w:right w:w="0" w:type="dxa"/>
          </w:tcMar>
        </w:tcPr>
        <w:p w:rsidR="000349B2" w:rsidRDefault="000349B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349B2" w:rsidRDefault="000349B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349B2" w:rsidRDefault="000349B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349B2">
      <w:trPr>
        <w:gridAfter w:val="2"/>
        <w:wAfter w:w="5250" w:type="dxa"/>
      </w:trPr>
      <w:tc>
        <w:tcPr>
          <w:tcW w:w="4230" w:type="dxa"/>
          <w:tcMar>
            <w:left w:w="0" w:type="dxa"/>
            <w:right w:w="0" w:type="dxa"/>
          </w:tcMar>
        </w:tcPr>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349B2" w:rsidRDefault="00034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349B2" w:rsidRPr="00755F22" w:rsidTr="00245129">
      <w:tc>
        <w:tcPr>
          <w:tcW w:w="4230" w:type="dxa"/>
          <w:tcMar>
            <w:left w:w="0" w:type="dxa"/>
            <w:right w:w="0" w:type="dxa"/>
          </w:tcMar>
        </w:tcPr>
        <w:p w:rsidR="000349B2" w:rsidRPr="00755F22" w:rsidRDefault="000349B2" w:rsidP="00831CA9">
          <w:pPr>
            <w:keepNext/>
            <w:keepLines/>
            <w:rPr>
              <w:sz w:val="20"/>
              <w:szCs w:val="20"/>
            </w:rPr>
          </w:pPr>
          <w:r w:rsidRPr="00755F22">
            <w:rPr>
              <w:sz w:val="20"/>
              <w:szCs w:val="20"/>
            </w:rPr>
            <w:t>MOTIONS</w:t>
          </w:r>
        </w:p>
      </w:tc>
      <w:tc>
        <w:tcPr>
          <w:tcW w:w="1170" w:type="dxa"/>
          <w:tcMar>
            <w:left w:w="0" w:type="dxa"/>
            <w:right w:w="0" w:type="dxa"/>
          </w:tcMar>
        </w:tcPr>
        <w:p w:rsidR="000349B2" w:rsidRPr="00755F22" w:rsidRDefault="000349B2" w:rsidP="00831CA9">
          <w:pPr>
            <w:keepLines/>
            <w:jc w:val="center"/>
            <w:rPr>
              <w:sz w:val="20"/>
              <w:szCs w:val="20"/>
            </w:rPr>
          </w:pPr>
        </w:p>
        <w:p w:rsidR="000349B2" w:rsidRPr="00755F22" w:rsidRDefault="000349B2" w:rsidP="00831CA9">
          <w:pPr>
            <w:keepLines/>
            <w:tabs>
              <w:tab w:val="left" w:pos="-1440"/>
              <w:tab w:val="left" w:pos="-720"/>
            </w:tabs>
            <w:jc w:val="center"/>
            <w:rPr>
              <w:sz w:val="20"/>
              <w:szCs w:val="20"/>
            </w:rPr>
          </w:pPr>
        </w:p>
      </w:tc>
      <w:tc>
        <w:tcPr>
          <w:tcW w:w="4080" w:type="dxa"/>
          <w:tcMar>
            <w:left w:w="0" w:type="dxa"/>
            <w:right w:w="0" w:type="dxa"/>
          </w:tcMar>
        </w:tcPr>
        <w:p w:rsidR="000349B2" w:rsidRPr="00BA6468" w:rsidRDefault="000349B2" w:rsidP="00BA6468">
          <w:pPr>
            <w:keepLines/>
            <w:rPr>
              <w:sz w:val="20"/>
              <w:szCs w:val="20"/>
              <w:lang w:val="fr-CA"/>
            </w:rPr>
          </w:pPr>
          <w:r w:rsidRPr="00BA6468">
            <w:rPr>
              <w:sz w:val="20"/>
              <w:szCs w:val="20"/>
              <w:lang w:val="fr-CA"/>
            </w:rPr>
            <w:t>REQUÊTES</w:t>
          </w:r>
        </w:p>
      </w:tc>
    </w:tr>
  </w:tbl>
  <w:p w:rsidR="000349B2" w:rsidRDefault="000349B2"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5EEC"/>
    <w:multiLevelType w:val="hybridMultilevel"/>
    <w:tmpl w:val="2F8A0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5937867"/>
    <w:multiLevelType w:val="hybridMultilevel"/>
    <w:tmpl w:val="2F8A0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7663"/>
  </w:hdrShapeDefaults>
  <w:footnotePr>
    <w:footnote w:id="-1"/>
    <w:footnote w:id="0"/>
  </w:footnotePr>
  <w:endnotePr>
    <w:endnote w:id="-1"/>
    <w:endnote w:id="0"/>
  </w:endnotePr>
  <w:compat/>
  <w:rsids>
    <w:rsidRoot w:val="00C767C0"/>
    <w:rsid w:val="0003223B"/>
    <w:rsid w:val="000327B2"/>
    <w:rsid w:val="000349B2"/>
    <w:rsid w:val="00096BD9"/>
    <w:rsid w:val="000B3A54"/>
    <w:rsid w:val="000B3C9A"/>
    <w:rsid w:val="000B40A2"/>
    <w:rsid w:val="000C0ACD"/>
    <w:rsid w:val="00102926"/>
    <w:rsid w:val="0010587F"/>
    <w:rsid w:val="00111C6B"/>
    <w:rsid w:val="00122B3B"/>
    <w:rsid w:val="0013369E"/>
    <w:rsid w:val="001557DD"/>
    <w:rsid w:val="00164E6D"/>
    <w:rsid w:val="001B5C23"/>
    <w:rsid w:val="001D0D5F"/>
    <w:rsid w:val="001D6B8C"/>
    <w:rsid w:val="001F1F83"/>
    <w:rsid w:val="002021A9"/>
    <w:rsid w:val="002139A7"/>
    <w:rsid w:val="00215F7C"/>
    <w:rsid w:val="0022323B"/>
    <w:rsid w:val="00233B71"/>
    <w:rsid w:val="002410B8"/>
    <w:rsid w:val="00242AEE"/>
    <w:rsid w:val="00245129"/>
    <w:rsid w:val="00245879"/>
    <w:rsid w:val="00267FD5"/>
    <w:rsid w:val="002868D0"/>
    <w:rsid w:val="00286FB4"/>
    <w:rsid w:val="002B1AA7"/>
    <w:rsid w:val="002B516C"/>
    <w:rsid w:val="002D2060"/>
    <w:rsid w:val="002D599C"/>
    <w:rsid w:val="002D72EB"/>
    <w:rsid w:val="002E2327"/>
    <w:rsid w:val="002E3583"/>
    <w:rsid w:val="002E5576"/>
    <w:rsid w:val="00331B52"/>
    <w:rsid w:val="003359D3"/>
    <w:rsid w:val="00337A1B"/>
    <w:rsid w:val="00337E90"/>
    <w:rsid w:val="0034079E"/>
    <w:rsid w:val="00355967"/>
    <w:rsid w:val="003668A9"/>
    <w:rsid w:val="00366942"/>
    <w:rsid w:val="00382C47"/>
    <w:rsid w:val="00384384"/>
    <w:rsid w:val="003B1DA6"/>
    <w:rsid w:val="003B3977"/>
    <w:rsid w:val="003B5CC3"/>
    <w:rsid w:val="00432989"/>
    <w:rsid w:val="00440E24"/>
    <w:rsid w:val="0044776A"/>
    <w:rsid w:val="00460AFC"/>
    <w:rsid w:val="0047471F"/>
    <w:rsid w:val="0048342F"/>
    <w:rsid w:val="004A3A0F"/>
    <w:rsid w:val="004B66B4"/>
    <w:rsid w:val="004C1AAC"/>
    <w:rsid w:val="004C3920"/>
    <w:rsid w:val="004E6236"/>
    <w:rsid w:val="004F090E"/>
    <w:rsid w:val="004F7AAA"/>
    <w:rsid w:val="00524063"/>
    <w:rsid w:val="00527CC7"/>
    <w:rsid w:val="005417AE"/>
    <w:rsid w:val="00545CD2"/>
    <w:rsid w:val="005605D7"/>
    <w:rsid w:val="00571CA4"/>
    <w:rsid w:val="00582136"/>
    <w:rsid w:val="00595E27"/>
    <w:rsid w:val="005B0F40"/>
    <w:rsid w:val="005C033C"/>
    <w:rsid w:val="005C6840"/>
    <w:rsid w:val="005F263E"/>
    <w:rsid w:val="00600252"/>
    <w:rsid w:val="00612A40"/>
    <w:rsid w:val="00675479"/>
    <w:rsid w:val="00697C62"/>
    <w:rsid w:val="006A000C"/>
    <w:rsid w:val="006A329B"/>
    <w:rsid w:val="006A7EB8"/>
    <w:rsid w:val="006B6926"/>
    <w:rsid w:val="006C3F47"/>
    <w:rsid w:val="006C5F7A"/>
    <w:rsid w:val="006D5B9A"/>
    <w:rsid w:val="006E06AF"/>
    <w:rsid w:val="006F350F"/>
    <w:rsid w:val="007164BB"/>
    <w:rsid w:val="00732DB7"/>
    <w:rsid w:val="00755F22"/>
    <w:rsid w:val="00766E4A"/>
    <w:rsid w:val="007673D1"/>
    <w:rsid w:val="007820CE"/>
    <w:rsid w:val="00782AE4"/>
    <w:rsid w:val="007863CC"/>
    <w:rsid w:val="0079724F"/>
    <w:rsid w:val="007A3EAE"/>
    <w:rsid w:val="007C04FC"/>
    <w:rsid w:val="007D3E0F"/>
    <w:rsid w:val="007F387B"/>
    <w:rsid w:val="00802863"/>
    <w:rsid w:val="00803D70"/>
    <w:rsid w:val="00815B3C"/>
    <w:rsid w:val="0082783A"/>
    <w:rsid w:val="00831CA9"/>
    <w:rsid w:val="00846F37"/>
    <w:rsid w:val="00850E1F"/>
    <w:rsid w:val="0085476B"/>
    <w:rsid w:val="00854D3F"/>
    <w:rsid w:val="00890FEB"/>
    <w:rsid w:val="008A5EB9"/>
    <w:rsid w:val="008D292F"/>
    <w:rsid w:val="008E03DC"/>
    <w:rsid w:val="008E136B"/>
    <w:rsid w:val="00924065"/>
    <w:rsid w:val="00930D68"/>
    <w:rsid w:val="00932DB4"/>
    <w:rsid w:val="00946242"/>
    <w:rsid w:val="0095096B"/>
    <w:rsid w:val="00970CD3"/>
    <w:rsid w:val="009723FA"/>
    <w:rsid w:val="00984546"/>
    <w:rsid w:val="00996510"/>
    <w:rsid w:val="009D1F15"/>
    <w:rsid w:val="009D555E"/>
    <w:rsid w:val="009F7497"/>
    <w:rsid w:val="00A0355E"/>
    <w:rsid w:val="00A27520"/>
    <w:rsid w:val="00A375D1"/>
    <w:rsid w:val="00A51D10"/>
    <w:rsid w:val="00A52A83"/>
    <w:rsid w:val="00A87207"/>
    <w:rsid w:val="00A935AA"/>
    <w:rsid w:val="00A969E2"/>
    <w:rsid w:val="00AA1D2E"/>
    <w:rsid w:val="00AA7FE0"/>
    <w:rsid w:val="00AB2201"/>
    <w:rsid w:val="00AF1715"/>
    <w:rsid w:val="00AF3904"/>
    <w:rsid w:val="00B010C0"/>
    <w:rsid w:val="00B275EA"/>
    <w:rsid w:val="00B4740D"/>
    <w:rsid w:val="00B60050"/>
    <w:rsid w:val="00B61629"/>
    <w:rsid w:val="00B7374B"/>
    <w:rsid w:val="00B825AC"/>
    <w:rsid w:val="00B90DC0"/>
    <w:rsid w:val="00BA116A"/>
    <w:rsid w:val="00BA5582"/>
    <w:rsid w:val="00BA6468"/>
    <w:rsid w:val="00BD06DA"/>
    <w:rsid w:val="00BD243E"/>
    <w:rsid w:val="00BD4217"/>
    <w:rsid w:val="00BE36BA"/>
    <w:rsid w:val="00BF25F3"/>
    <w:rsid w:val="00C05012"/>
    <w:rsid w:val="00C1697B"/>
    <w:rsid w:val="00C50A5C"/>
    <w:rsid w:val="00C50FDF"/>
    <w:rsid w:val="00C73E1B"/>
    <w:rsid w:val="00C759B4"/>
    <w:rsid w:val="00C767C0"/>
    <w:rsid w:val="00C77713"/>
    <w:rsid w:val="00CB43D5"/>
    <w:rsid w:val="00CC4D84"/>
    <w:rsid w:val="00D12AD6"/>
    <w:rsid w:val="00D54753"/>
    <w:rsid w:val="00D62461"/>
    <w:rsid w:val="00D64901"/>
    <w:rsid w:val="00D66BAA"/>
    <w:rsid w:val="00D76BDF"/>
    <w:rsid w:val="00D862C1"/>
    <w:rsid w:val="00D93B50"/>
    <w:rsid w:val="00D94670"/>
    <w:rsid w:val="00DA46F6"/>
    <w:rsid w:val="00DA7E8E"/>
    <w:rsid w:val="00DD0B49"/>
    <w:rsid w:val="00DF503A"/>
    <w:rsid w:val="00E06DFA"/>
    <w:rsid w:val="00E32C99"/>
    <w:rsid w:val="00E356C7"/>
    <w:rsid w:val="00E479F0"/>
    <w:rsid w:val="00E64FA7"/>
    <w:rsid w:val="00E770CB"/>
    <w:rsid w:val="00E77C39"/>
    <w:rsid w:val="00E940EB"/>
    <w:rsid w:val="00EB2B90"/>
    <w:rsid w:val="00EC117D"/>
    <w:rsid w:val="00ED318D"/>
    <w:rsid w:val="00ED71E0"/>
    <w:rsid w:val="00ED7E83"/>
    <w:rsid w:val="00EF00E9"/>
    <w:rsid w:val="00EF4B63"/>
    <w:rsid w:val="00F0068D"/>
    <w:rsid w:val="00F0576D"/>
    <w:rsid w:val="00F15EA8"/>
    <w:rsid w:val="00F16C8D"/>
    <w:rsid w:val="00F26C61"/>
    <w:rsid w:val="00F30E75"/>
    <w:rsid w:val="00F33CCE"/>
    <w:rsid w:val="00F36F99"/>
    <w:rsid w:val="00F40249"/>
    <w:rsid w:val="00F526C8"/>
    <w:rsid w:val="00F9518C"/>
    <w:rsid w:val="00FA316E"/>
    <w:rsid w:val="00FA59EF"/>
    <w:rsid w:val="00FB19A2"/>
    <w:rsid w:val="00FC0259"/>
    <w:rsid w:val="00FF09F4"/>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table" w:customStyle="1" w:styleId="TableGrid1">
    <w:name w:val="Table Grid1"/>
    <w:basedOn w:val="TableNormal"/>
    <w:next w:val="TableGrid"/>
    <w:uiPriority w:val="59"/>
    <w:rsid w:val="005B0F40"/>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6A000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6A000C"/>
    <w:rPr>
      <w:rFonts w:eastAsia="Times New Roman" w:cs="Times New Roman"/>
      <w:i/>
      <w:iCs/>
      <w:color w:val="000000" w:themeColor="text1"/>
      <w:szCs w:val="20"/>
      <w:lang w:val="en-CA" w:eastAsia="en-CA"/>
    </w:rPr>
  </w:style>
  <w:style w:type="paragraph" w:customStyle="1" w:styleId="SCCLowerCourtNameLowercase">
    <w:name w:val="SCC.LowerCourtNameLowercase"/>
    <w:basedOn w:val="SCCNormalDoubleSpacing"/>
    <w:next w:val="SCCNormalDoubleSpacing"/>
    <w:rsid w:val="006A000C"/>
    <w:pPr>
      <w:tabs>
        <w:tab w:val="left" w:pos="1168"/>
      </w:tabs>
    </w:pPr>
    <w:rPr>
      <w:smallCaps/>
    </w:rPr>
  </w:style>
  <w:style w:type="character" w:customStyle="1" w:styleId="reference">
    <w:name w:val="reference"/>
    <w:basedOn w:val="DefaultParagraphFont"/>
    <w:uiPriority w:val="99"/>
    <w:rsid w:val="006A000C"/>
  </w:style>
  <w:style w:type="paragraph" w:customStyle="1" w:styleId="SCCLsocParty">
    <w:name w:val="SCC.Lsoc.Party"/>
    <w:basedOn w:val="Normal"/>
    <w:next w:val="Normal"/>
    <w:link w:val="SCCLsocPartyChar"/>
    <w:rsid w:val="006A000C"/>
    <w:pPr>
      <w:jc w:val="both"/>
    </w:pPr>
    <w:rPr>
      <w:rFonts w:eastAsia="Times New Roman" w:cs="Times New Roman"/>
      <w:b/>
      <w:szCs w:val="20"/>
      <w:lang w:val="fr-CA" w:eastAsia="en-CA"/>
    </w:rPr>
  </w:style>
  <w:style w:type="character" w:customStyle="1" w:styleId="SCCLsocPartyChar">
    <w:name w:val="SCC.Lsoc.Party Char"/>
    <w:basedOn w:val="DefaultParagraphFont"/>
    <w:link w:val="SCCLsocParty"/>
    <w:rsid w:val="006A000C"/>
    <w:rPr>
      <w:rFonts w:eastAsia="Times New Roman" w:cs="Times New Roman"/>
      <w:b/>
      <w:szCs w:val="20"/>
      <w:lang w:val="fr-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B1C4-DBA4-47E4-B139-9080040C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12453</Words>
  <Characters>70984</Characters>
  <Application>Microsoft Office Word</Application>
  <DocSecurity>0</DocSecurity>
  <Lines>591</Lines>
  <Paragraphs>166</Paragraphs>
  <ScaleCrop>false</ScaleCrop>
  <Company/>
  <LinksUpToDate>false</LinksUpToDate>
  <CharactersWithSpaces>83271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2011-07-25T13:30:00Z</dcterms:created>
  <dcterms:modified xsi:type="dcterms:W3CDTF">2011-07-25T13:30:00Z</dcterms:modified>
</cp:coreProperties>
</file>