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Default Extension="wmf" ContentType="image/x-wmf"/>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F3" w:rsidRPr="002E2327" w:rsidRDefault="00382C47">
      <w:r w:rsidRPr="002E2327">
        <w:rPr>
          <w:noProof/>
          <w:lang w:eastAsia="en-CA"/>
        </w:rPr>
        <w:drawing>
          <wp:anchor distT="57150" distB="57150" distL="57150" distR="57150" simplePos="0" relativeHeight="251659264" behindDoc="0" locked="0" layoutInCell="0" allowOverlap="1">
            <wp:simplePos x="0" y="0"/>
            <wp:positionH relativeFrom="margin">
              <wp:align>center</wp:align>
            </wp:positionH>
            <wp:positionV relativeFrom="margin">
              <wp:posOffset>133350</wp:posOffset>
            </wp:positionV>
            <wp:extent cx="1276350" cy="16668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76350" cy="1666875"/>
                    </a:xfrm>
                    <a:prstGeom prst="rect">
                      <a:avLst/>
                    </a:prstGeom>
                    <a:noFill/>
                    <a:ln w="9525">
                      <a:noFill/>
                      <a:miter lim="800000"/>
                      <a:headEnd/>
                      <a:tailEnd/>
                    </a:ln>
                  </pic:spPr>
                </pic:pic>
              </a:graphicData>
            </a:graphic>
          </wp:anchor>
        </w:drawing>
      </w:r>
    </w:p>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BF25F3" w:rsidRPr="002E2327" w:rsidRDefault="00BF25F3" w:rsidP="00BF25F3"/>
    <w:p w:rsidR="00384384" w:rsidRPr="002E2327" w:rsidRDefault="00BF25F3" w:rsidP="00BF25F3">
      <w:pPr>
        <w:tabs>
          <w:tab w:val="left" w:pos="6075"/>
        </w:tabs>
      </w:pPr>
      <w:r w:rsidRPr="002E2327">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8"/>
        <w:gridCol w:w="630"/>
        <w:gridCol w:w="4428"/>
      </w:tblGrid>
      <w:tr w:rsidR="00BF25F3" w:rsidRPr="002E2327" w:rsidTr="002E5576">
        <w:tc>
          <w:tcPr>
            <w:tcW w:w="4518" w:type="dxa"/>
          </w:tcPr>
          <w:p w:rsidR="00BF25F3" w:rsidRPr="002E2327" w:rsidRDefault="00BF25F3" w:rsidP="00BF25F3">
            <w:pPr>
              <w:tabs>
                <w:tab w:val="left" w:pos="6075"/>
              </w:tabs>
              <w:jc w:val="center"/>
              <w:rPr>
                <w:b/>
                <w:sz w:val="32"/>
                <w:szCs w:val="32"/>
              </w:rPr>
            </w:pPr>
            <w:r w:rsidRPr="002E2327">
              <w:rPr>
                <w:b/>
                <w:sz w:val="32"/>
                <w:szCs w:val="32"/>
              </w:rPr>
              <w:t>SUPREME COURT OF CANADA</w:t>
            </w:r>
          </w:p>
        </w:tc>
        <w:tc>
          <w:tcPr>
            <w:tcW w:w="630" w:type="dxa"/>
          </w:tcPr>
          <w:p w:rsidR="00BF25F3" w:rsidRPr="002E2327" w:rsidRDefault="00BF25F3" w:rsidP="00BF25F3">
            <w:pPr>
              <w:tabs>
                <w:tab w:val="left" w:pos="6075"/>
              </w:tabs>
              <w:jc w:val="center"/>
              <w:rPr>
                <w:sz w:val="32"/>
                <w:szCs w:val="32"/>
              </w:rPr>
            </w:pPr>
          </w:p>
        </w:tc>
        <w:tc>
          <w:tcPr>
            <w:tcW w:w="4428" w:type="dxa"/>
          </w:tcPr>
          <w:p w:rsidR="00BF25F3" w:rsidRPr="002E2327" w:rsidRDefault="00BF25F3" w:rsidP="00BF25F3">
            <w:pPr>
              <w:tabs>
                <w:tab w:val="left" w:pos="6075"/>
              </w:tabs>
              <w:jc w:val="center"/>
              <w:rPr>
                <w:b/>
                <w:sz w:val="32"/>
                <w:szCs w:val="32"/>
                <w:lang w:val="fr-CA"/>
              </w:rPr>
            </w:pPr>
            <w:r w:rsidRPr="002E2327">
              <w:rPr>
                <w:b/>
                <w:sz w:val="32"/>
                <w:szCs w:val="32"/>
                <w:lang w:val="fr-CA"/>
              </w:rPr>
              <w:t>COUR SUPRÊME DU CANADA</w:t>
            </w:r>
          </w:p>
        </w:tc>
      </w:tr>
      <w:tr w:rsidR="00BF25F3" w:rsidRPr="002E2327" w:rsidTr="002E5576">
        <w:tc>
          <w:tcPr>
            <w:tcW w:w="4518" w:type="dxa"/>
          </w:tcPr>
          <w:p w:rsidR="00BF25F3" w:rsidRPr="002E2327" w:rsidRDefault="00BF25F3" w:rsidP="00BF25F3">
            <w:pPr>
              <w:tabs>
                <w:tab w:val="left" w:pos="6075"/>
              </w:tabs>
            </w:pPr>
          </w:p>
          <w:p w:rsidR="001B5C23" w:rsidRPr="002E2327" w:rsidRDefault="001B5C23" w:rsidP="00BF25F3">
            <w:pPr>
              <w:tabs>
                <w:tab w:val="left" w:pos="6075"/>
              </w:tabs>
            </w:pPr>
          </w:p>
          <w:p w:rsidR="001B5C23" w:rsidRPr="002E2327" w:rsidRDefault="001B5C23" w:rsidP="00BF25F3">
            <w:pPr>
              <w:tabs>
                <w:tab w:val="left" w:pos="6075"/>
              </w:tabs>
            </w:pPr>
          </w:p>
        </w:tc>
        <w:tc>
          <w:tcPr>
            <w:tcW w:w="630" w:type="dxa"/>
          </w:tcPr>
          <w:p w:rsidR="00BF25F3" w:rsidRPr="002E2327" w:rsidRDefault="00BF25F3" w:rsidP="00BF25F3">
            <w:pPr>
              <w:tabs>
                <w:tab w:val="left" w:pos="6075"/>
              </w:tabs>
            </w:pPr>
          </w:p>
        </w:tc>
        <w:tc>
          <w:tcPr>
            <w:tcW w:w="4428" w:type="dxa"/>
          </w:tcPr>
          <w:p w:rsidR="00BF25F3" w:rsidRPr="002E2327" w:rsidRDefault="00BF25F3" w:rsidP="00BF25F3">
            <w:pPr>
              <w:tabs>
                <w:tab w:val="left" w:pos="6075"/>
              </w:tabs>
              <w:rPr>
                <w:lang w:val="fr-CA"/>
              </w:rPr>
            </w:pPr>
          </w:p>
        </w:tc>
      </w:tr>
      <w:tr w:rsidR="00BF25F3" w:rsidRPr="002E2327" w:rsidTr="002E5576">
        <w:tc>
          <w:tcPr>
            <w:tcW w:w="4518" w:type="dxa"/>
          </w:tcPr>
          <w:p w:rsidR="001B5C23" w:rsidRPr="002E2327" w:rsidRDefault="00BF25F3" w:rsidP="00BF25F3">
            <w:pPr>
              <w:tabs>
                <w:tab w:val="left" w:pos="6075"/>
              </w:tabs>
              <w:jc w:val="center"/>
              <w:rPr>
                <w:sz w:val="28"/>
                <w:szCs w:val="28"/>
              </w:rPr>
            </w:pPr>
            <w:r w:rsidRPr="002E2327">
              <w:rPr>
                <w:sz w:val="28"/>
                <w:szCs w:val="28"/>
              </w:rPr>
              <w:t>BULLETIN OF</w:t>
            </w:r>
          </w:p>
          <w:p w:rsidR="00BF25F3" w:rsidRPr="002E2327" w:rsidRDefault="00BF25F3" w:rsidP="00BF25F3">
            <w:pPr>
              <w:tabs>
                <w:tab w:val="left" w:pos="6075"/>
              </w:tabs>
              <w:jc w:val="center"/>
              <w:rPr>
                <w:sz w:val="28"/>
                <w:szCs w:val="28"/>
              </w:rPr>
            </w:pPr>
            <w:r w:rsidRPr="002E2327">
              <w:rPr>
                <w:sz w:val="28"/>
                <w:szCs w:val="28"/>
              </w:rPr>
              <w:t xml:space="preserve"> PROCEEDINGS</w:t>
            </w:r>
          </w:p>
        </w:tc>
        <w:tc>
          <w:tcPr>
            <w:tcW w:w="630" w:type="dxa"/>
          </w:tcPr>
          <w:p w:rsidR="00BF25F3" w:rsidRPr="002E2327" w:rsidRDefault="00BF25F3" w:rsidP="00BF25F3">
            <w:pPr>
              <w:tabs>
                <w:tab w:val="left" w:pos="6075"/>
              </w:tabs>
            </w:pPr>
          </w:p>
        </w:tc>
        <w:tc>
          <w:tcPr>
            <w:tcW w:w="4428" w:type="dxa"/>
          </w:tcPr>
          <w:p w:rsidR="001B5C23" w:rsidRPr="002E2327" w:rsidRDefault="00BF25F3" w:rsidP="00BF25F3">
            <w:pPr>
              <w:tabs>
                <w:tab w:val="left" w:pos="6075"/>
              </w:tabs>
              <w:jc w:val="center"/>
              <w:rPr>
                <w:sz w:val="28"/>
                <w:szCs w:val="28"/>
                <w:lang w:val="fr-CA"/>
              </w:rPr>
            </w:pPr>
            <w:r w:rsidRPr="002E2327">
              <w:rPr>
                <w:sz w:val="28"/>
                <w:szCs w:val="28"/>
                <w:lang w:val="fr-CA"/>
              </w:rPr>
              <w:t>BULLETIN DES</w:t>
            </w:r>
          </w:p>
          <w:p w:rsidR="00BF25F3" w:rsidRPr="002E2327" w:rsidRDefault="00BF25F3" w:rsidP="00BF25F3">
            <w:pPr>
              <w:tabs>
                <w:tab w:val="left" w:pos="6075"/>
              </w:tabs>
              <w:jc w:val="center"/>
              <w:rPr>
                <w:sz w:val="28"/>
                <w:szCs w:val="28"/>
                <w:lang w:val="fr-CA"/>
              </w:rPr>
            </w:pPr>
            <w:r w:rsidRPr="002E2327">
              <w:rPr>
                <w:sz w:val="28"/>
                <w:szCs w:val="28"/>
                <w:lang w:val="fr-CA"/>
              </w:rPr>
              <w:t xml:space="preserve"> PROCÉDURES</w:t>
            </w:r>
          </w:p>
        </w:tc>
      </w:tr>
      <w:tr w:rsidR="00BF25F3" w:rsidRPr="002E2327" w:rsidTr="002E5576">
        <w:tc>
          <w:tcPr>
            <w:tcW w:w="4518" w:type="dxa"/>
          </w:tcPr>
          <w:p w:rsidR="00BF25F3" w:rsidRPr="002E2327" w:rsidRDefault="00BF25F3" w:rsidP="00BF25F3">
            <w:pPr>
              <w:tabs>
                <w:tab w:val="left" w:pos="6075"/>
              </w:tabs>
            </w:pPr>
          </w:p>
          <w:p w:rsidR="001B5C23" w:rsidRPr="002E2327" w:rsidRDefault="001B5C23" w:rsidP="00BF25F3">
            <w:pPr>
              <w:tabs>
                <w:tab w:val="left" w:pos="6075"/>
              </w:tabs>
            </w:pPr>
          </w:p>
        </w:tc>
        <w:tc>
          <w:tcPr>
            <w:tcW w:w="630" w:type="dxa"/>
          </w:tcPr>
          <w:p w:rsidR="00BF25F3" w:rsidRPr="002E2327" w:rsidRDefault="00BF25F3" w:rsidP="00BF25F3">
            <w:pPr>
              <w:tabs>
                <w:tab w:val="left" w:pos="6075"/>
              </w:tabs>
            </w:pPr>
          </w:p>
        </w:tc>
        <w:tc>
          <w:tcPr>
            <w:tcW w:w="4428" w:type="dxa"/>
          </w:tcPr>
          <w:p w:rsidR="00BF25F3" w:rsidRPr="002E2327" w:rsidRDefault="00BF25F3" w:rsidP="00BF25F3">
            <w:pPr>
              <w:tabs>
                <w:tab w:val="left" w:pos="6075"/>
              </w:tabs>
              <w:rPr>
                <w:lang w:val="fr-CA"/>
              </w:rPr>
            </w:pPr>
          </w:p>
        </w:tc>
      </w:tr>
      <w:tr w:rsidR="00BF25F3" w:rsidRPr="00743C89" w:rsidTr="002E5576">
        <w:tc>
          <w:tcPr>
            <w:tcW w:w="4518" w:type="dxa"/>
          </w:tcPr>
          <w:p w:rsidR="00BF25F3" w:rsidRPr="002E2327" w:rsidRDefault="00BF25F3" w:rsidP="00BF25F3">
            <w:pPr>
              <w:tabs>
                <w:tab w:val="left" w:pos="6075"/>
              </w:tabs>
              <w:jc w:val="both"/>
              <w:rPr>
                <w:rFonts w:ascii="Arial" w:hAnsi="Arial" w:cs="Arial"/>
                <w:i/>
                <w:sz w:val="20"/>
                <w:szCs w:val="20"/>
              </w:rPr>
            </w:pPr>
            <w:r w:rsidRPr="002E2327">
              <w:rPr>
                <w:rFonts w:ascii="Arial" w:hAnsi="Arial" w:cs="Arial"/>
                <w:i/>
                <w:sz w:val="20"/>
                <w:szCs w:val="20"/>
              </w:rPr>
              <w:t>This Bulletin is published at the direction of the Registrar and is for general information only.  It is not to be used as evidence of its content, which, if required, should be proved by Certificate of the Registrar under the Seal of the Court.  While every effort is made to ensure accuracy, no responsibility is assumed for errors or omissions.</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BF25F3"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t>Ce Bulletin, publié sous l'autorité du registraire, ne vise qu'à fournir des renseignements d'ordre général.  Il ne peut servir de preuve de son contenu.  Celle-ci s'établit par un certificat du registraire donné sous le sceau de la Cour.  Rien n'est négligé pour assurer l'exactitude du contenu, mais la Cour décline toute responsabilité pour les erreurs ou omissions.</w:t>
            </w:r>
          </w:p>
        </w:tc>
      </w:tr>
      <w:tr w:rsidR="00BF25F3" w:rsidRPr="00743C89" w:rsidTr="002E5576">
        <w:tc>
          <w:tcPr>
            <w:tcW w:w="4518" w:type="dxa"/>
          </w:tcPr>
          <w:p w:rsidR="00BF25F3" w:rsidRPr="00675479" w:rsidRDefault="00BF25F3" w:rsidP="00BF25F3">
            <w:pPr>
              <w:tabs>
                <w:tab w:val="left" w:pos="6075"/>
              </w:tabs>
              <w:rPr>
                <w:lang w:val="fr-CA"/>
              </w:rPr>
            </w:pPr>
          </w:p>
          <w:p w:rsidR="00D862C1" w:rsidRPr="00675479" w:rsidRDefault="00D862C1" w:rsidP="00BF25F3">
            <w:pPr>
              <w:tabs>
                <w:tab w:val="left" w:pos="6075"/>
              </w:tabs>
              <w:rPr>
                <w:lang w:val="fr-CA"/>
              </w:rPr>
            </w:pPr>
          </w:p>
        </w:tc>
        <w:tc>
          <w:tcPr>
            <w:tcW w:w="630" w:type="dxa"/>
          </w:tcPr>
          <w:p w:rsidR="00BF25F3" w:rsidRPr="00675479" w:rsidRDefault="00BF25F3" w:rsidP="00BF25F3">
            <w:pPr>
              <w:tabs>
                <w:tab w:val="left" w:pos="6075"/>
              </w:tabs>
              <w:rPr>
                <w:lang w:val="fr-CA"/>
              </w:rPr>
            </w:pPr>
          </w:p>
        </w:tc>
        <w:tc>
          <w:tcPr>
            <w:tcW w:w="4428" w:type="dxa"/>
          </w:tcPr>
          <w:p w:rsidR="00BF25F3" w:rsidRPr="002E2327" w:rsidRDefault="00BF25F3" w:rsidP="00BF25F3">
            <w:pPr>
              <w:tabs>
                <w:tab w:val="left" w:pos="6075"/>
              </w:tabs>
              <w:rPr>
                <w:lang w:val="fr-CA"/>
              </w:rPr>
            </w:pPr>
          </w:p>
        </w:tc>
      </w:tr>
      <w:tr w:rsidR="00BF25F3" w:rsidRPr="00743C89" w:rsidTr="002E5576">
        <w:tc>
          <w:tcPr>
            <w:tcW w:w="4518" w:type="dxa"/>
          </w:tcPr>
          <w:p w:rsidR="00BF25F3" w:rsidRPr="002E2327" w:rsidRDefault="00BF25F3" w:rsidP="00BF25F3">
            <w:pPr>
              <w:tabs>
                <w:tab w:val="left" w:pos="6075"/>
              </w:tabs>
              <w:jc w:val="both"/>
              <w:rPr>
                <w:rFonts w:ascii="Arial" w:hAnsi="Arial" w:cs="Arial"/>
                <w:i/>
                <w:sz w:val="20"/>
                <w:szCs w:val="20"/>
              </w:rPr>
            </w:pPr>
            <w:r w:rsidRPr="002E2327">
              <w:rPr>
                <w:rFonts w:ascii="Arial" w:hAnsi="Arial" w:cs="Arial"/>
                <w:i/>
                <w:sz w:val="20"/>
                <w:szCs w:val="20"/>
              </w:rPr>
              <w:t>Subscriptions may be had at $300 per year, payable in advance, in accordance with the Court tariff.  During Court sessions it is usually issued weekly.</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BF25F3"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t>Le prix de l'abonnement, fixé dans le tarif de la Cour, est de 300 $ l'an, payable d'avance.  Le Bulletin paraît en principe toutes les semaines pendant les sessions de la Cour.</w:t>
            </w:r>
          </w:p>
        </w:tc>
      </w:tr>
      <w:tr w:rsidR="00BF25F3" w:rsidRPr="00743C89" w:rsidTr="002E5576">
        <w:tc>
          <w:tcPr>
            <w:tcW w:w="4518" w:type="dxa"/>
          </w:tcPr>
          <w:p w:rsidR="00BF25F3" w:rsidRPr="00675479" w:rsidRDefault="00BF25F3" w:rsidP="00BF25F3">
            <w:pPr>
              <w:tabs>
                <w:tab w:val="left" w:pos="6075"/>
              </w:tabs>
              <w:rPr>
                <w:lang w:val="fr-CA"/>
              </w:rPr>
            </w:pPr>
          </w:p>
          <w:p w:rsidR="00D862C1" w:rsidRPr="00675479" w:rsidRDefault="00D862C1" w:rsidP="00BF25F3">
            <w:pPr>
              <w:tabs>
                <w:tab w:val="left" w:pos="6075"/>
              </w:tabs>
              <w:rPr>
                <w:lang w:val="fr-CA"/>
              </w:rPr>
            </w:pPr>
          </w:p>
        </w:tc>
        <w:tc>
          <w:tcPr>
            <w:tcW w:w="630" w:type="dxa"/>
          </w:tcPr>
          <w:p w:rsidR="00BF25F3" w:rsidRPr="00675479" w:rsidRDefault="00BF25F3" w:rsidP="00BF25F3">
            <w:pPr>
              <w:tabs>
                <w:tab w:val="left" w:pos="6075"/>
              </w:tabs>
              <w:rPr>
                <w:lang w:val="fr-CA"/>
              </w:rPr>
            </w:pPr>
          </w:p>
        </w:tc>
        <w:tc>
          <w:tcPr>
            <w:tcW w:w="4428" w:type="dxa"/>
          </w:tcPr>
          <w:p w:rsidR="00BF25F3" w:rsidRPr="002E2327" w:rsidRDefault="00BF25F3" w:rsidP="00BF25F3">
            <w:pPr>
              <w:tabs>
                <w:tab w:val="left" w:pos="6075"/>
              </w:tabs>
              <w:rPr>
                <w:lang w:val="fr-CA"/>
              </w:rPr>
            </w:pPr>
          </w:p>
        </w:tc>
      </w:tr>
      <w:tr w:rsidR="00BF25F3" w:rsidRPr="00743C89" w:rsidTr="002E5576">
        <w:tc>
          <w:tcPr>
            <w:tcW w:w="4518" w:type="dxa"/>
          </w:tcPr>
          <w:p w:rsidR="00BF25F3" w:rsidRPr="002E2327" w:rsidRDefault="00460701" w:rsidP="00BF25F3">
            <w:pPr>
              <w:tabs>
                <w:tab w:val="left" w:pos="6075"/>
              </w:tabs>
              <w:jc w:val="both"/>
              <w:rPr>
                <w:rFonts w:ascii="Arial" w:hAnsi="Arial" w:cs="Arial"/>
                <w:i/>
                <w:sz w:val="20"/>
                <w:szCs w:val="20"/>
              </w:rPr>
            </w:pPr>
            <w:r w:rsidRPr="002E2327">
              <w:rPr>
                <w:rFonts w:ascii="Arial" w:hAnsi="Arial" w:cs="Arial"/>
                <w:i/>
                <w:sz w:val="20"/>
                <w:szCs w:val="20"/>
              </w:rPr>
              <w:fldChar w:fldCharType="begin"/>
            </w:r>
            <w:r w:rsidR="00BF25F3" w:rsidRPr="002E2327">
              <w:rPr>
                <w:rFonts w:ascii="Arial" w:hAnsi="Arial" w:cs="Arial"/>
                <w:i/>
                <w:sz w:val="20"/>
                <w:szCs w:val="20"/>
              </w:rPr>
              <w:instrText xml:space="preserve"> SEQ CHAPTER \h \r 1</w:instrText>
            </w:r>
            <w:r w:rsidRPr="002E2327">
              <w:rPr>
                <w:rFonts w:ascii="Arial" w:hAnsi="Arial" w:cs="Arial"/>
                <w:i/>
                <w:sz w:val="20"/>
                <w:szCs w:val="20"/>
              </w:rPr>
              <w:fldChar w:fldCharType="end"/>
            </w:r>
            <w:r w:rsidR="00BF25F3" w:rsidRPr="002E2327">
              <w:rPr>
                <w:rFonts w:ascii="Arial" w:hAnsi="Arial" w:cs="Arial"/>
                <w:i/>
                <w:iCs/>
                <w:sz w:val="20"/>
                <w:szCs w:val="20"/>
              </w:rPr>
              <w:t>Where a judgment has been rendered, requests for copies should be made to the Registrar, with a remittance of $15 for each set of reasons.  All remittances should be made payable to the Receiver General for Canada.</w:t>
            </w:r>
          </w:p>
        </w:tc>
        <w:tc>
          <w:tcPr>
            <w:tcW w:w="630" w:type="dxa"/>
          </w:tcPr>
          <w:p w:rsidR="00BF25F3" w:rsidRPr="002E2327" w:rsidRDefault="00BF25F3" w:rsidP="00BF25F3">
            <w:pPr>
              <w:tabs>
                <w:tab w:val="left" w:pos="6075"/>
              </w:tabs>
              <w:jc w:val="both"/>
              <w:rPr>
                <w:rFonts w:ascii="Arial" w:hAnsi="Arial" w:cs="Arial"/>
                <w:i/>
                <w:sz w:val="20"/>
                <w:szCs w:val="20"/>
              </w:rPr>
            </w:pPr>
          </w:p>
        </w:tc>
        <w:tc>
          <w:tcPr>
            <w:tcW w:w="4428" w:type="dxa"/>
          </w:tcPr>
          <w:p w:rsidR="00BF25F3" w:rsidRPr="002E2327" w:rsidRDefault="00460701" w:rsidP="00BF25F3">
            <w:pPr>
              <w:tabs>
                <w:tab w:val="left" w:pos="6075"/>
              </w:tabs>
              <w:jc w:val="both"/>
              <w:rPr>
                <w:rFonts w:ascii="Arial" w:hAnsi="Arial" w:cs="Arial"/>
                <w:i/>
                <w:sz w:val="20"/>
                <w:szCs w:val="20"/>
                <w:lang w:val="fr-CA"/>
              </w:rPr>
            </w:pPr>
            <w:r w:rsidRPr="002E2327">
              <w:rPr>
                <w:rFonts w:ascii="Arial" w:hAnsi="Arial" w:cs="Arial"/>
                <w:i/>
                <w:sz w:val="20"/>
                <w:szCs w:val="20"/>
                <w:lang w:val="fr-CA"/>
              </w:rPr>
              <w:fldChar w:fldCharType="begin"/>
            </w:r>
            <w:r w:rsidR="00BF25F3" w:rsidRPr="002E2327">
              <w:rPr>
                <w:rFonts w:ascii="Arial" w:hAnsi="Arial" w:cs="Arial"/>
                <w:i/>
                <w:sz w:val="20"/>
                <w:szCs w:val="20"/>
                <w:lang w:val="fr-CA"/>
              </w:rPr>
              <w:instrText xml:space="preserve"> SEQ CHAPTER \h \r 1</w:instrText>
            </w:r>
            <w:r w:rsidRPr="002E2327">
              <w:rPr>
                <w:rFonts w:ascii="Arial" w:hAnsi="Arial" w:cs="Arial"/>
                <w:i/>
                <w:sz w:val="20"/>
                <w:szCs w:val="20"/>
                <w:lang w:val="fr-CA"/>
              </w:rPr>
              <w:fldChar w:fldCharType="end"/>
            </w:r>
            <w:r w:rsidR="00BF25F3" w:rsidRPr="002E2327">
              <w:rPr>
                <w:rFonts w:ascii="Arial" w:hAnsi="Arial" w:cs="Arial"/>
                <w:i/>
                <w:iCs/>
                <w:sz w:val="20"/>
                <w:szCs w:val="20"/>
                <w:lang w:val="fr-CA"/>
              </w:rPr>
              <w:t>Quand un arrêt est rendu, on peut se procurer les motifs de jugement en adressant sa demande au registraire, accompagnée de 15 $ par exemplaire.  Le paiement doit être fait à l'ordre du Receveur général du Canada.</w:t>
            </w:r>
          </w:p>
        </w:tc>
      </w:tr>
    </w:tbl>
    <w:p w:rsidR="00BF25F3" w:rsidRPr="00675479" w:rsidRDefault="00BF25F3" w:rsidP="00BF25F3">
      <w:pPr>
        <w:tabs>
          <w:tab w:val="left" w:pos="6075"/>
        </w:tabs>
        <w:rPr>
          <w:lang w:val="fr-CA"/>
        </w:rPr>
      </w:pPr>
    </w:p>
    <w:p w:rsidR="00600252" w:rsidRPr="00675479" w:rsidRDefault="00600252" w:rsidP="00BF25F3">
      <w:pPr>
        <w:pBdr>
          <w:bottom w:val="single" w:sz="6" w:space="1" w:color="auto"/>
        </w:pBdr>
        <w:tabs>
          <w:tab w:val="left" w:pos="6075"/>
        </w:tabs>
        <w:rPr>
          <w:lang w:val="fr-CA"/>
        </w:rPr>
      </w:pPr>
    </w:p>
    <w:p w:rsidR="00440E24" w:rsidRPr="00675479" w:rsidRDefault="00440E24" w:rsidP="00440E24">
      <w:pPr>
        <w:pBdr>
          <w:bottom w:val="single" w:sz="6" w:space="1" w:color="auto"/>
        </w:pBdr>
        <w:tabs>
          <w:tab w:val="left" w:pos="6075"/>
        </w:tabs>
        <w:rPr>
          <w:lang w:val="fr-CA"/>
        </w:rPr>
      </w:pPr>
    </w:p>
    <w:p w:rsidR="00440E24" w:rsidRPr="00675479" w:rsidRDefault="00440E24" w:rsidP="00440E24">
      <w:pPr>
        <w:rPr>
          <w:lang w:val="fr-CA"/>
        </w:rPr>
      </w:pPr>
    </w:p>
    <w:p w:rsidR="00600252" w:rsidRPr="00675479" w:rsidRDefault="00390161" w:rsidP="00F0068D">
      <w:pPr>
        <w:pBdr>
          <w:bottom w:val="single" w:sz="6" w:space="1" w:color="auto"/>
        </w:pBdr>
        <w:tabs>
          <w:tab w:val="center" w:pos="4680"/>
          <w:tab w:val="right" w:pos="9360"/>
        </w:tabs>
        <w:rPr>
          <w:lang w:val="fr-CA"/>
        </w:rPr>
      </w:pPr>
      <w:proofErr w:type="spellStart"/>
      <w:r>
        <w:rPr>
          <w:lang w:val="fr-CA"/>
        </w:rPr>
        <w:t>October</w:t>
      </w:r>
      <w:proofErr w:type="spellEnd"/>
      <w:r w:rsidR="00440E24" w:rsidRPr="00675479">
        <w:rPr>
          <w:lang w:val="fr-CA"/>
        </w:rPr>
        <w:t xml:space="preserve"> 2</w:t>
      </w:r>
      <w:r>
        <w:rPr>
          <w:lang w:val="fr-CA"/>
        </w:rPr>
        <w:t>8</w:t>
      </w:r>
      <w:r w:rsidR="00440E24" w:rsidRPr="00675479">
        <w:rPr>
          <w:lang w:val="fr-CA"/>
        </w:rPr>
        <w:t>, 201</w:t>
      </w:r>
      <w:r w:rsidR="003359D3">
        <w:rPr>
          <w:lang w:val="fr-CA"/>
        </w:rPr>
        <w:t>1</w:t>
      </w:r>
      <w:r w:rsidR="00F0068D" w:rsidRPr="00675479">
        <w:rPr>
          <w:lang w:val="fr-CA"/>
        </w:rPr>
        <w:tab/>
        <w:t>1</w:t>
      </w:r>
      <w:r>
        <w:rPr>
          <w:lang w:val="fr-CA"/>
        </w:rPr>
        <w:t>546</w:t>
      </w:r>
      <w:r w:rsidR="00F0068D" w:rsidRPr="00675479">
        <w:rPr>
          <w:lang w:val="fr-CA"/>
        </w:rPr>
        <w:t xml:space="preserve"> - </w:t>
      </w:r>
      <w:r>
        <w:rPr>
          <w:lang w:val="fr-CA"/>
        </w:rPr>
        <w:t>1</w:t>
      </w:r>
      <w:r w:rsidR="000A0B3F">
        <w:rPr>
          <w:lang w:val="fr-CA"/>
        </w:rPr>
        <w:t>611</w:t>
      </w:r>
      <w:r w:rsidR="00440E24" w:rsidRPr="00675479">
        <w:rPr>
          <w:lang w:val="fr-CA"/>
        </w:rPr>
        <w:tab/>
      </w:r>
      <w:r w:rsidR="00440E24" w:rsidRPr="002E2327">
        <w:rPr>
          <w:lang w:val="fr-CA"/>
        </w:rPr>
        <w:t>Le 2</w:t>
      </w:r>
      <w:r>
        <w:rPr>
          <w:lang w:val="fr-CA"/>
        </w:rPr>
        <w:t>8</w:t>
      </w:r>
      <w:r w:rsidR="00440E24" w:rsidRPr="002E2327">
        <w:rPr>
          <w:lang w:val="fr-CA"/>
        </w:rPr>
        <w:t xml:space="preserve"> </w:t>
      </w:r>
      <w:r>
        <w:rPr>
          <w:lang w:val="fr-CA"/>
        </w:rPr>
        <w:t>octobre</w:t>
      </w:r>
      <w:r w:rsidR="00440E24" w:rsidRPr="002E2327">
        <w:rPr>
          <w:lang w:val="fr-CA"/>
        </w:rPr>
        <w:t xml:space="preserve"> 201</w:t>
      </w:r>
      <w:r w:rsidR="003359D3">
        <w:rPr>
          <w:lang w:val="fr-CA"/>
        </w:rPr>
        <w:t>1</w:t>
      </w:r>
    </w:p>
    <w:p w:rsidR="00440E24" w:rsidRPr="00675479" w:rsidRDefault="00440E24" w:rsidP="00440E24">
      <w:pPr>
        <w:pBdr>
          <w:bottom w:val="single" w:sz="6" w:space="1" w:color="auto"/>
        </w:pBdr>
        <w:tabs>
          <w:tab w:val="right" w:pos="9360"/>
        </w:tabs>
        <w:rPr>
          <w:lang w:val="fr-CA"/>
        </w:rPr>
      </w:pPr>
    </w:p>
    <w:p w:rsidR="00440E24" w:rsidRPr="007F387B" w:rsidRDefault="00440E24" w:rsidP="00440E24">
      <w:pPr>
        <w:pBdr>
          <w:bottom w:val="single" w:sz="6" w:space="1" w:color="auto"/>
        </w:pBdr>
        <w:tabs>
          <w:tab w:val="right" w:pos="9360"/>
        </w:tabs>
        <w:rPr>
          <w:sz w:val="18"/>
          <w:szCs w:val="18"/>
          <w:lang w:val="fr-CA"/>
        </w:rPr>
      </w:pPr>
      <w:r w:rsidRPr="007F387B">
        <w:rPr>
          <w:sz w:val="18"/>
          <w:szCs w:val="18"/>
          <w:lang w:val="fr-CA"/>
        </w:rPr>
        <w:t xml:space="preserve">© </w:t>
      </w:r>
      <w:proofErr w:type="spellStart"/>
      <w:r w:rsidRPr="007F387B">
        <w:rPr>
          <w:sz w:val="18"/>
          <w:szCs w:val="18"/>
          <w:lang w:val="fr-CA"/>
        </w:rPr>
        <w:t>Supreme</w:t>
      </w:r>
      <w:proofErr w:type="spellEnd"/>
      <w:r w:rsidRPr="007F387B">
        <w:rPr>
          <w:sz w:val="18"/>
          <w:szCs w:val="18"/>
          <w:lang w:val="fr-CA"/>
        </w:rPr>
        <w:t xml:space="preserve"> Court of Canada (201</w:t>
      </w:r>
      <w:r w:rsidR="00D94670" w:rsidRPr="007F387B">
        <w:rPr>
          <w:sz w:val="18"/>
          <w:szCs w:val="18"/>
          <w:lang w:val="fr-CA"/>
        </w:rPr>
        <w:t>1</w:t>
      </w:r>
      <w:r w:rsidRPr="007F387B">
        <w:rPr>
          <w:sz w:val="18"/>
          <w:szCs w:val="18"/>
          <w:lang w:val="fr-CA"/>
        </w:rPr>
        <w:t>)</w:t>
      </w:r>
      <w:r w:rsidRPr="007F387B">
        <w:rPr>
          <w:sz w:val="18"/>
          <w:szCs w:val="18"/>
          <w:lang w:val="fr-CA"/>
        </w:rPr>
        <w:tab/>
        <w:t>© Cour suprême du Canada (201</w:t>
      </w:r>
      <w:r w:rsidR="00D94670" w:rsidRPr="007F387B">
        <w:rPr>
          <w:sz w:val="18"/>
          <w:szCs w:val="18"/>
          <w:lang w:val="fr-CA"/>
        </w:rPr>
        <w:t>1</w:t>
      </w:r>
      <w:r w:rsidRPr="007F387B">
        <w:rPr>
          <w:sz w:val="18"/>
          <w:szCs w:val="18"/>
          <w:lang w:val="fr-CA"/>
        </w:rPr>
        <w:t>)</w:t>
      </w:r>
    </w:p>
    <w:p w:rsidR="00440E24" w:rsidRPr="00675479" w:rsidRDefault="00440E24" w:rsidP="00440E24">
      <w:pPr>
        <w:pBdr>
          <w:bottom w:val="single" w:sz="6" w:space="1" w:color="auto"/>
        </w:pBdr>
        <w:tabs>
          <w:tab w:val="right" w:pos="9360"/>
        </w:tabs>
        <w:rPr>
          <w:sz w:val="18"/>
          <w:szCs w:val="18"/>
          <w:lang w:val="fr-CA"/>
        </w:rPr>
      </w:pPr>
      <w:r w:rsidRPr="00675479">
        <w:rPr>
          <w:sz w:val="18"/>
          <w:szCs w:val="18"/>
          <w:lang w:val="fr-CA"/>
        </w:rPr>
        <w:t>ISSN 1193-8536 (</w:t>
      </w:r>
      <w:proofErr w:type="spellStart"/>
      <w:r w:rsidRPr="00675479">
        <w:rPr>
          <w:sz w:val="18"/>
          <w:szCs w:val="18"/>
          <w:lang w:val="fr-CA"/>
        </w:rPr>
        <w:t>Print</w:t>
      </w:r>
      <w:proofErr w:type="spellEnd"/>
      <w:r w:rsidRPr="00675479">
        <w:rPr>
          <w:sz w:val="18"/>
          <w:szCs w:val="18"/>
          <w:lang w:val="fr-CA"/>
        </w:rPr>
        <w:t>)</w:t>
      </w:r>
      <w:r w:rsidRPr="00675479">
        <w:rPr>
          <w:sz w:val="18"/>
          <w:szCs w:val="18"/>
          <w:lang w:val="fr-CA"/>
        </w:rPr>
        <w:tab/>
        <w:t>ISSN 1193-8536 (</w:t>
      </w:r>
      <w:r w:rsidRPr="002E2327">
        <w:rPr>
          <w:sz w:val="18"/>
          <w:szCs w:val="18"/>
          <w:lang w:val="fr-CA"/>
        </w:rPr>
        <w:t>Imprimé</w:t>
      </w:r>
      <w:r w:rsidRPr="00675479">
        <w:rPr>
          <w:sz w:val="18"/>
          <w:szCs w:val="18"/>
          <w:lang w:val="fr-CA"/>
        </w:rPr>
        <w:t>)</w:t>
      </w:r>
    </w:p>
    <w:p w:rsidR="00440E24" w:rsidRPr="00675479" w:rsidRDefault="00440E24" w:rsidP="00440E24">
      <w:pPr>
        <w:pBdr>
          <w:bottom w:val="single" w:sz="6" w:space="1" w:color="auto"/>
        </w:pBdr>
        <w:tabs>
          <w:tab w:val="right" w:pos="9360"/>
        </w:tabs>
        <w:rPr>
          <w:sz w:val="18"/>
          <w:szCs w:val="18"/>
          <w:lang w:val="fr-CA"/>
        </w:rPr>
      </w:pPr>
      <w:r w:rsidRPr="00675479">
        <w:rPr>
          <w:sz w:val="18"/>
          <w:szCs w:val="18"/>
          <w:lang w:val="fr-CA"/>
        </w:rPr>
        <w:t>ISSN 1918-8358 (Online)</w:t>
      </w:r>
      <w:r w:rsidRPr="00675479">
        <w:rPr>
          <w:sz w:val="18"/>
          <w:szCs w:val="18"/>
          <w:lang w:val="fr-CA"/>
        </w:rPr>
        <w:tab/>
        <w:t xml:space="preserve">ISSN 1918-8358 (En </w:t>
      </w:r>
      <w:r w:rsidRPr="002E2327">
        <w:rPr>
          <w:sz w:val="18"/>
          <w:szCs w:val="18"/>
          <w:lang w:val="fr-CA"/>
        </w:rPr>
        <w:t>ligne</w:t>
      </w:r>
      <w:r w:rsidRPr="00675479">
        <w:rPr>
          <w:sz w:val="18"/>
          <w:szCs w:val="18"/>
          <w:lang w:val="fr-CA"/>
        </w:rPr>
        <w:t>)</w:t>
      </w:r>
    </w:p>
    <w:p w:rsidR="00600252" w:rsidRPr="00675479" w:rsidRDefault="00600252" w:rsidP="00BF25F3">
      <w:pPr>
        <w:pBdr>
          <w:bottom w:val="single" w:sz="6" w:space="1" w:color="auto"/>
        </w:pBdr>
        <w:tabs>
          <w:tab w:val="left" w:pos="6075"/>
        </w:tabs>
        <w:rPr>
          <w:lang w:val="fr-CA"/>
        </w:rPr>
      </w:pPr>
    </w:p>
    <w:p w:rsidR="00600252" w:rsidRPr="00675479" w:rsidRDefault="00600252">
      <w:pPr>
        <w:rPr>
          <w:lang w:val="fr-CA"/>
        </w:rPr>
      </w:pPr>
      <w:r w:rsidRPr="00675479">
        <w:rPr>
          <w:lang w:val="fr-CA"/>
        </w:rPr>
        <w:br w:type="page"/>
      </w:r>
    </w:p>
    <w:tbl>
      <w:tblPr>
        <w:tblW w:w="9540" w:type="dxa"/>
        <w:tblInd w:w="-90" w:type="dxa"/>
        <w:tblBorders>
          <w:bottom w:val="single" w:sz="8" w:space="0" w:color="auto"/>
        </w:tblBorders>
        <w:tblLayout w:type="fixed"/>
        <w:tblCellMar>
          <w:left w:w="0" w:type="dxa"/>
          <w:right w:w="0" w:type="dxa"/>
        </w:tblCellMar>
        <w:tblLook w:val="0000"/>
      </w:tblPr>
      <w:tblGrid>
        <w:gridCol w:w="4290"/>
        <w:gridCol w:w="1200"/>
        <w:gridCol w:w="4050"/>
      </w:tblGrid>
      <w:tr w:rsidR="00245129" w:rsidRPr="002E2327" w:rsidTr="00245129">
        <w:tc>
          <w:tcPr>
            <w:tcW w:w="4290" w:type="dxa"/>
            <w:shd w:val="clear" w:color="auto" w:fill="auto"/>
            <w:tcMar>
              <w:left w:w="0" w:type="dxa"/>
              <w:right w:w="0" w:type="dxa"/>
            </w:tcMar>
          </w:tcPr>
          <w:p w:rsidR="00245129" w:rsidRPr="002E2327" w:rsidRDefault="00245129" w:rsidP="00245129">
            <w:pPr>
              <w:jc w:val="both"/>
              <w:rPr>
                <w:rFonts w:eastAsia="Times New Roman" w:cs="Times New Roman"/>
                <w:b/>
                <w:sz w:val="20"/>
                <w:szCs w:val="20"/>
                <w:lang w:eastAsia="en-CA"/>
              </w:rPr>
            </w:pPr>
            <w:r w:rsidRPr="002E2327">
              <w:rPr>
                <w:b/>
              </w:rPr>
              <w:lastRenderedPageBreak/>
              <w:t>CONTENTS</w:t>
            </w:r>
          </w:p>
        </w:tc>
        <w:tc>
          <w:tcPr>
            <w:tcW w:w="1200" w:type="dxa"/>
            <w:shd w:val="clear" w:color="auto" w:fill="auto"/>
            <w:tcMar>
              <w:left w:w="0" w:type="dxa"/>
              <w:right w:w="0" w:type="dxa"/>
            </w:tcMar>
          </w:tcPr>
          <w:p w:rsidR="00245129" w:rsidRPr="002E2327" w:rsidRDefault="00245129" w:rsidP="00245129">
            <w:pPr>
              <w:jc w:val="center"/>
              <w:rPr>
                <w:rFonts w:eastAsia="Times New Roman" w:cs="Times New Roman"/>
                <w:b/>
                <w:sz w:val="20"/>
                <w:szCs w:val="20"/>
                <w:lang w:eastAsia="en-CA"/>
              </w:rPr>
            </w:pPr>
          </w:p>
          <w:p w:rsidR="00245129" w:rsidRPr="002E2327" w:rsidRDefault="00245129" w:rsidP="00245129">
            <w:pPr>
              <w:rPr>
                <w:rFonts w:eastAsia="Times New Roman" w:cs="Times New Roman"/>
                <w:b/>
                <w:sz w:val="20"/>
                <w:szCs w:val="20"/>
                <w:lang w:eastAsia="en-CA"/>
              </w:rPr>
            </w:pPr>
          </w:p>
        </w:tc>
        <w:tc>
          <w:tcPr>
            <w:tcW w:w="4050" w:type="dxa"/>
            <w:shd w:val="clear" w:color="auto" w:fill="auto"/>
            <w:tcMar>
              <w:left w:w="0" w:type="dxa"/>
              <w:right w:w="0" w:type="dxa"/>
            </w:tcMar>
          </w:tcPr>
          <w:p w:rsidR="00245129" w:rsidRPr="002E2327" w:rsidRDefault="00245129" w:rsidP="00245129">
            <w:pPr>
              <w:rPr>
                <w:rFonts w:eastAsia="Times New Roman" w:cs="Times New Roman"/>
                <w:b/>
                <w:sz w:val="20"/>
                <w:szCs w:val="20"/>
                <w:lang w:val="fr-CA" w:eastAsia="en-CA"/>
              </w:rPr>
            </w:pPr>
            <w:r w:rsidRPr="002E2327">
              <w:rPr>
                <w:b/>
                <w:lang w:val="fr-CA"/>
              </w:rPr>
              <w:t>TABLE DES MATIÈRES</w:t>
            </w:r>
          </w:p>
        </w:tc>
      </w:tr>
    </w:tbl>
    <w:p w:rsidR="0095096B" w:rsidRPr="002E2327" w:rsidRDefault="0095096B" w:rsidP="00245129">
      <w:pPr>
        <w:tabs>
          <w:tab w:val="right" w:pos="936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08"/>
        <w:gridCol w:w="1980"/>
        <w:gridCol w:w="3888"/>
      </w:tblGrid>
      <w:tr w:rsidR="0095096B" w:rsidRPr="002E2327" w:rsidTr="00164E6D">
        <w:tc>
          <w:tcPr>
            <w:tcW w:w="3708" w:type="dxa"/>
          </w:tcPr>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Applications for leave to appeal </w:t>
            </w:r>
          </w:p>
          <w:p w:rsidR="0095096B" w:rsidRPr="002E2327" w:rsidRDefault="0095096B" w:rsidP="0095096B">
            <w:pPr>
              <w:tabs>
                <w:tab w:val="right" w:pos="9360"/>
              </w:tabs>
              <w:rPr>
                <w:rFonts w:cs="Times New Roman"/>
                <w:sz w:val="20"/>
                <w:szCs w:val="20"/>
              </w:rPr>
            </w:pPr>
            <w:r w:rsidRPr="002E2327">
              <w:rPr>
                <w:rFonts w:cs="Times New Roman"/>
                <w:sz w:val="20"/>
                <w:szCs w:val="20"/>
              </w:rPr>
              <w:t>filed</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Applications for leave submitted </w:t>
            </w:r>
          </w:p>
          <w:p w:rsidR="0095096B" w:rsidRPr="002E2327" w:rsidRDefault="0095096B" w:rsidP="0095096B">
            <w:pPr>
              <w:tabs>
                <w:tab w:val="right" w:pos="9360"/>
              </w:tabs>
              <w:rPr>
                <w:rFonts w:cs="Times New Roman"/>
                <w:sz w:val="20"/>
                <w:szCs w:val="20"/>
              </w:rPr>
            </w:pPr>
            <w:r w:rsidRPr="002E2327">
              <w:rPr>
                <w:rFonts w:cs="Times New Roman"/>
                <w:sz w:val="20"/>
                <w:szCs w:val="20"/>
              </w:rPr>
              <w:t>to Court since last issue</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Judgments on applications for </w:t>
            </w:r>
          </w:p>
          <w:p w:rsidR="0095096B" w:rsidRPr="002E2327" w:rsidRDefault="0095096B" w:rsidP="0095096B">
            <w:pPr>
              <w:tabs>
                <w:tab w:val="right" w:pos="9360"/>
              </w:tabs>
              <w:rPr>
                <w:rFonts w:cs="Times New Roman"/>
                <w:sz w:val="20"/>
                <w:szCs w:val="20"/>
              </w:rPr>
            </w:pPr>
            <w:r w:rsidRPr="002E2327">
              <w:rPr>
                <w:rFonts w:cs="Times New Roman"/>
                <w:sz w:val="20"/>
                <w:szCs w:val="20"/>
              </w:rPr>
              <w:t>leave</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Motions</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Appeals heard since last issue and disposition</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Pronouncements of appeals reserved</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proofErr w:type="spellStart"/>
            <w:r w:rsidRPr="002E2327">
              <w:rPr>
                <w:rFonts w:cs="Times New Roman"/>
                <w:sz w:val="20"/>
                <w:szCs w:val="20"/>
              </w:rPr>
              <w:t>Headnotes</w:t>
            </w:r>
            <w:proofErr w:type="spellEnd"/>
            <w:r w:rsidRPr="002E2327">
              <w:rPr>
                <w:rFonts w:cs="Times New Roman"/>
                <w:sz w:val="20"/>
                <w:szCs w:val="20"/>
              </w:rPr>
              <w:t xml:space="preserve"> of recent judgments</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 xml:space="preserve">Agenda </w:t>
            </w:r>
          </w:p>
          <w:p w:rsidR="0095096B" w:rsidRPr="002E2327" w:rsidRDefault="0095096B" w:rsidP="0095096B">
            <w:pPr>
              <w:tabs>
                <w:tab w:val="right" w:pos="9360"/>
              </w:tabs>
              <w:rPr>
                <w:rFonts w:cs="Times New Roman"/>
                <w:sz w:val="20"/>
                <w:szCs w:val="20"/>
              </w:rPr>
            </w:pPr>
          </w:p>
          <w:p w:rsidR="0095096B" w:rsidRPr="002E2327" w:rsidRDefault="0095096B" w:rsidP="0095096B">
            <w:pPr>
              <w:tabs>
                <w:tab w:val="right" w:pos="9360"/>
              </w:tabs>
              <w:rPr>
                <w:rFonts w:cs="Times New Roman"/>
                <w:sz w:val="20"/>
                <w:szCs w:val="20"/>
              </w:rPr>
            </w:pPr>
            <w:r w:rsidRPr="002E2327">
              <w:rPr>
                <w:rFonts w:cs="Times New Roman"/>
                <w:sz w:val="20"/>
                <w:szCs w:val="20"/>
              </w:rPr>
              <w:t>Summaries of the cases</w:t>
            </w:r>
          </w:p>
          <w:p w:rsidR="00A87207" w:rsidRPr="002E2327" w:rsidRDefault="00A87207" w:rsidP="00390161">
            <w:pPr>
              <w:tabs>
                <w:tab w:val="right" w:pos="9360"/>
              </w:tabs>
              <w:rPr>
                <w:rFonts w:cs="Times New Roman"/>
                <w:sz w:val="20"/>
                <w:szCs w:val="20"/>
              </w:rPr>
            </w:pPr>
          </w:p>
        </w:tc>
        <w:tc>
          <w:tcPr>
            <w:tcW w:w="1980" w:type="dxa"/>
          </w:tcPr>
          <w:p w:rsidR="0095096B" w:rsidRPr="002E2327" w:rsidRDefault="00390161" w:rsidP="0095096B">
            <w:pPr>
              <w:jc w:val="center"/>
              <w:rPr>
                <w:rFonts w:cs="Times New Roman"/>
                <w:sz w:val="20"/>
                <w:szCs w:val="20"/>
              </w:rPr>
            </w:pPr>
            <w:r>
              <w:rPr>
                <w:rFonts w:cs="Times New Roman"/>
                <w:sz w:val="20"/>
                <w:szCs w:val="20"/>
              </w:rPr>
              <w:t xml:space="preserve">1546 </w:t>
            </w:r>
            <w:r w:rsidR="00460701" w:rsidRPr="002E2327">
              <w:rPr>
                <w:rFonts w:cs="Times New Roman"/>
                <w:sz w:val="20"/>
                <w:szCs w:val="20"/>
              </w:rPr>
              <w:fldChar w:fldCharType="begin"/>
            </w:r>
            <w:r w:rsidR="0095096B" w:rsidRPr="002E2327">
              <w:rPr>
                <w:rFonts w:cs="Times New Roman"/>
                <w:sz w:val="20"/>
                <w:szCs w:val="20"/>
              </w:rPr>
              <w:instrText xml:space="preserve"> SEQ CHAPTER \h \r 1</w:instrText>
            </w:r>
            <w:r w:rsidR="00460701" w:rsidRPr="002E2327">
              <w:rPr>
                <w:rFonts w:cs="Times New Roman"/>
                <w:sz w:val="20"/>
                <w:szCs w:val="20"/>
              </w:rPr>
              <w:fldChar w:fldCharType="end"/>
            </w:r>
            <w:r w:rsidR="0095096B" w:rsidRPr="002E2327">
              <w:rPr>
                <w:rFonts w:cs="Times New Roman"/>
                <w:sz w:val="20"/>
                <w:szCs w:val="20"/>
              </w:rPr>
              <w:t>-</w:t>
            </w:r>
            <w:r>
              <w:rPr>
                <w:rFonts w:cs="Times New Roman"/>
                <w:sz w:val="20"/>
                <w:szCs w:val="20"/>
              </w:rPr>
              <w:t xml:space="preserve"> 1547</w:t>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95096B" w:rsidRPr="002E2327" w:rsidRDefault="00390161" w:rsidP="0095096B">
            <w:pPr>
              <w:jc w:val="center"/>
              <w:rPr>
                <w:rFonts w:cs="Times New Roman"/>
                <w:sz w:val="20"/>
                <w:szCs w:val="20"/>
              </w:rPr>
            </w:pPr>
            <w:r>
              <w:rPr>
                <w:rFonts w:cs="Times New Roman"/>
                <w:sz w:val="20"/>
                <w:szCs w:val="20"/>
              </w:rPr>
              <w:t>1548</w:t>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95096B" w:rsidRPr="002E2327" w:rsidRDefault="00390161" w:rsidP="0095096B">
            <w:pPr>
              <w:jc w:val="center"/>
              <w:rPr>
                <w:rFonts w:cs="Times New Roman"/>
                <w:sz w:val="20"/>
                <w:szCs w:val="20"/>
              </w:rPr>
            </w:pPr>
            <w:r>
              <w:rPr>
                <w:rFonts w:cs="Times New Roman"/>
                <w:sz w:val="20"/>
                <w:szCs w:val="20"/>
              </w:rPr>
              <w:t xml:space="preserve">1549 </w:t>
            </w:r>
            <w:r w:rsidR="0095096B" w:rsidRPr="002E2327">
              <w:rPr>
                <w:rFonts w:cs="Times New Roman"/>
                <w:sz w:val="20"/>
                <w:szCs w:val="20"/>
              </w:rPr>
              <w:t>-</w:t>
            </w:r>
            <w:r>
              <w:rPr>
                <w:rFonts w:cs="Times New Roman"/>
                <w:sz w:val="20"/>
                <w:szCs w:val="20"/>
              </w:rPr>
              <w:t xml:space="preserve"> 1562</w:t>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95096B" w:rsidRPr="002E2327" w:rsidRDefault="00390161" w:rsidP="0095096B">
            <w:pPr>
              <w:jc w:val="center"/>
              <w:rPr>
                <w:rFonts w:cs="Times New Roman"/>
                <w:sz w:val="20"/>
                <w:szCs w:val="20"/>
              </w:rPr>
            </w:pPr>
            <w:r>
              <w:rPr>
                <w:rFonts w:cs="Times New Roman"/>
                <w:sz w:val="20"/>
                <w:szCs w:val="20"/>
              </w:rPr>
              <w:t>1563 – 1568</w:t>
            </w:r>
          </w:p>
          <w:p w:rsidR="0095096B" w:rsidRPr="002E2327" w:rsidRDefault="0095096B" w:rsidP="0095096B">
            <w:pPr>
              <w:jc w:val="center"/>
              <w:rPr>
                <w:rFonts w:cs="Times New Roman"/>
                <w:sz w:val="20"/>
                <w:szCs w:val="20"/>
              </w:rPr>
            </w:pPr>
          </w:p>
          <w:p w:rsidR="0095096B" w:rsidRPr="002E2327" w:rsidRDefault="00390161" w:rsidP="0095096B">
            <w:pPr>
              <w:jc w:val="center"/>
              <w:rPr>
                <w:rFonts w:cs="Times New Roman"/>
                <w:sz w:val="20"/>
                <w:szCs w:val="20"/>
              </w:rPr>
            </w:pPr>
            <w:r>
              <w:rPr>
                <w:rFonts w:cs="Times New Roman"/>
                <w:sz w:val="20"/>
                <w:szCs w:val="20"/>
              </w:rPr>
              <w:t xml:space="preserve">1569 </w:t>
            </w:r>
            <w:r w:rsidR="0095096B" w:rsidRPr="002E2327">
              <w:rPr>
                <w:rFonts w:cs="Times New Roman"/>
                <w:sz w:val="20"/>
                <w:szCs w:val="20"/>
              </w:rPr>
              <w:t>-</w:t>
            </w:r>
            <w:r>
              <w:rPr>
                <w:rFonts w:cs="Times New Roman"/>
                <w:sz w:val="20"/>
                <w:szCs w:val="20"/>
              </w:rPr>
              <w:t xml:space="preserve"> 1571</w:t>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95096B" w:rsidRPr="002E2327" w:rsidRDefault="00390161" w:rsidP="0095096B">
            <w:pPr>
              <w:jc w:val="center"/>
              <w:rPr>
                <w:rFonts w:cs="Times New Roman"/>
                <w:sz w:val="20"/>
                <w:szCs w:val="20"/>
              </w:rPr>
            </w:pPr>
            <w:r>
              <w:rPr>
                <w:rFonts w:cs="Times New Roman"/>
                <w:sz w:val="20"/>
                <w:szCs w:val="20"/>
              </w:rPr>
              <w:t xml:space="preserve">1572 </w:t>
            </w:r>
            <w:r w:rsidR="0095096B" w:rsidRPr="002E2327">
              <w:rPr>
                <w:rFonts w:cs="Times New Roman"/>
                <w:sz w:val="20"/>
                <w:szCs w:val="20"/>
              </w:rPr>
              <w:t>-</w:t>
            </w:r>
            <w:r>
              <w:rPr>
                <w:rFonts w:cs="Times New Roman"/>
                <w:sz w:val="20"/>
                <w:szCs w:val="20"/>
              </w:rPr>
              <w:t xml:space="preserve"> 1573</w:t>
            </w:r>
          </w:p>
          <w:p w:rsidR="0095096B" w:rsidRPr="002E2327" w:rsidRDefault="0095096B" w:rsidP="0095096B">
            <w:pPr>
              <w:jc w:val="center"/>
              <w:rPr>
                <w:rFonts w:cs="Times New Roman"/>
                <w:sz w:val="20"/>
                <w:szCs w:val="20"/>
              </w:rPr>
            </w:pPr>
          </w:p>
          <w:p w:rsidR="0095096B" w:rsidRPr="002E2327" w:rsidRDefault="0095096B" w:rsidP="0095096B">
            <w:pPr>
              <w:jc w:val="center"/>
              <w:rPr>
                <w:rFonts w:cs="Times New Roman"/>
                <w:sz w:val="20"/>
                <w:szCs w:val="20"/>
              </w:rPr>
            </w:pPr>
          </w:p>
          <w:p w:rsidR="0095096B" w:rsidRPr="002E2327" w:rsidRDefault="00390161" w:rsidP="0095096B">
            <w:pPr>
              <w:jc w:val="center"/>
              <w:rPr>
                <w:rFonts w:cs="Times New Roman"/>
                <w:sz w:val="20"/>
                <w:szCs w:val="20"/>
              </w:rPr>
            </w:pPr>
            <w:r>
              <w:rPr>
                <w:rFonts w:cs="Times New Roman"/>
                <w:sz w:val="20"/>
                <w:szCs w:val="20"/>
              </w:rPr>
              <w:t xml:space="preserve">1574 </w:t>
            </w:r>
            <w:r w:rsidR="0095096B" w:rsidRPr="002E2327">
              <w:rPr>
                <w:rFonts w:cs="Times New Roman"/>
                <w:sz w:val="20"/>
                <w:szCs w:val="20"/>
              </w:rPr>
              <w:t>-</w:t>
            </w:r>
            <w:r>
              <w:rPr>
                <w:rFonts w:cs="Times New Roman"/>
                <w:sz w:val="20"/>
                <w:szCs w:val="20"/>
              </w:rPr>
              <w:t xml:space="preserve"> 1590</w:t>
            </w:r>
          </w:p>
          <w:p w:rsidR="0095096B" w:rsidRPr="002E2327" w:rsidRDefault="0095096B" w:rsidP="0095096B">
            <w:pPr>
              <w:jc w:val="center"/>
              <w:rPr>
                <w:rFonts w:cs="Times New Roman"/>
                <w:sz w:val="20"/>
                <w:szCs w:val="20"/>
              </w:rPr>
            </w:pPr>
          </w:p>
          <w:p w:rsidR="0095096B" w:rsidRPr="002E2327" w:rsidRDefault="00390161" w:rsidP="0095096B">
            <w:pPr>
              <w:jc w:val="center"/>
              <w:rPr>
                <w:rFonts w:cs="Times New Roman"/>
                <w:sz w:val="20"/>
                <w:szCs w:val="20"/>
              </w:rPr>
            </w:pPr>
            <w:r>
              <w:rPr>
                <w:rFonts w:cs="Times New Roman"/>
                <w:sz w:val="20"/>
                <w:szCs w:val="20"/>
              </w:rPr>
              <w:t>159</w:t>
            </w:r>
            <w:r w:rsidR="000A0B3F">
              <w:rPr>
                <w:rFonts w:cs="Times New Roman"/>
                <w:sz w:val="20"/>
                <w:szCs w:val="20"/>
              </w:rPr>
              <w:t>1</w:t>
            </w:r>
          </w:p>
          <w:p w:rsidR="0095096B" w:rsidRPr="002E2327" w:rsidRDefault="0095096B" w:rsidP="0095096B">
            <w:pPr>
              <w:jc w:val="center"/>
              <w:rPr>
                <w:rFonts w:cs="Times New Roman"/>
                <w:sz w:val="20"/>
                <w:szCs w:val="20"/>
              </w:rPr>
            </w:pPr>
          </w:p>
          <w:p w:rsidR="00A87207" w:rsidRPr="002E2327" w:rsidRDefault="00390161" w:rsidP="000A0B3F">
            <w:pPr>
              <w:tabs>
                <w:tab w:val="right" w:pos="9360"/>
              </w:tabs>
              <w:jc w:val="center"/>
              <w:rPr>
                <w:rFonts w:cs="Times New Roman"/>
                <w:sz w:val="20"/>
                <w:szCs w:val="20"/>
              </w:rPr>
            </w:pPr>
            <w:r>
              <w:rPr>
                <w:rFonts w:cs="Times New Roman"/>
                <w:sz w:val="20"/>
                <w:szCs w:val="20"/>
              </w:rPr>
              <w:t>159</w:t>
            </w:r>
            <w:r w:rsidR="000A0B3F">
              <w:rPr>
                <w:rFonts w:cs="Times New Roman"/>
                <w:sz w:val="20"/>
                <w:szCs w:val="20"/>
              </w:rPr>
              <w:t>2</w:t>
            </w:r>
            <w:r>
              <w:rPr>
                <w:rFonts w:cs="Times New Roman"/>
                <w:sz w:val="20"/>
                <w:szCs w:val="20"/>
              </w:rPr>
              <w:t xml:space="preserve"> - </w:t>
            </w:r>
            <w:r w:rsidR="000A0B3F">
              <w:rPr>
                <w:rFonts w:cs="Times New Roman"/>
                <w:sz w:val="20"/>
                <w:szCs w:val="20"/>
              </w:rPr>
              <w:t>1611</w:t>
            </w:r>
          </w:p>
        </w:tc>
        <w:tc>
          <w:tcPr>
            <w:tcW w:w="3888" w:type="dxa"/>
          </w:tcPr>
          <w:p w:rsidR="0095096B" w:rsidRPr="002E2327" w:rsidRDefault="00460701" w:rsidP="0095096B">
            <w:pPr>
              <w:rPr>
                <w:rFonts w:cs="Times New Roman"/>
                <w:sz w:val="20"/>
                <w:szCs w:val="20"/>
                <w:lang w:val="fr-CA"/>
              </w:rPr>
            </w:pPr>
            <w:r w:rsidRPr="002E2327">
              <w:rPr>
                <w:rFonts w:cs="Times New Roman"/>
                <w:sz w:val="20"/>
                <w:szCs w:val="20"/>
                <w:lang w:val="fr-CA"/>
              </w:rPr>
              <w:fldChar w:fldCharType="begin"/>
            </w:r>
            <w:r w:rsidR="0095096B" w:rsidRPr="002E2327">
              <w:rPr>
                <w:rFonts w:cs="Times New Roman"/>
                <w:sz w:val="20"/>
                <w:szCs w:val="20"/>
                <w:lang w:val="fr-CA"/>
              </w:rPr>
              <w:instrText xml:space="preserve"> SEQ CHAPTER \h \r 1</w:instrText>
            </w:r>
            <w:r w:rsidRPr="002E2327">
              <w:rPr>
                <w:rFonts w:cs="Times New Roman"/>
                <w:sz w:val="20"/>
                <w:szCs w:val="20"/>
                <w:lang w:val="fr-CA"/>
              </w:rPr>
              <w:fldChar w:fldCharType="end"/>
            </w:r>
            <w:r w:rsidR="0095096B" w:rsidRPr="002E2327">
              <w:rPr>
                <w:rFonts w:cs="Times New Roman"/>
                <w:sz w:val="20"/>
                <w:szCs w:val="20"/>
                <w:lang w:val="fr-CA"/>
              </w:rPr>
              <w:t xml:space="preserve">Demandes d'autorisation d'appel </w:t>
            </w:r>
          </w:p>
          <w:p w:rsidR="0095096B" w:rsidRPr="002E2327" w:rsidRDefault="0095096B" w:rsidP="0095096B">
            <w:pPr>
              <w:rPr>
                <w:rFonts w:cs="Times New Roman"/>
                <w:sz w:val="20"/>
                <w:szCs w:val="20"/>
                <w:lang w:val="fr-CA"/>
              </w:rPr>
            </w:pPr>
            <w:r w:rsidRPr="002E2327">
              <w:rPr>
                <w:rFonts w:cs="Times New Roman"/>
                <w:sz w:val="20"/>
                <w:szCs w:val="20"/>
                <w:lang w:val="fr-CA"/>
              </w:rPr>
              <w:t>déposées</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Demandes soumises à la Cour depuis la </w:t>
            </w:r>
          </w:p>
          <w:p w:rsidR="0095096B" w:rsidRPr="002E2327" w:rsidRDefault="0095096B" w:rsidP="0095096B">
            <w:pPr>
              <w:rPr>
                <w:rFonts w:cs="Times New Roman"/>
                <w:sz w:val="20"/>
                <w:szCs w:val="20"/>
                <w:lang w:val="fr-CA"/>
              </w:rPr>
            </w:pPr>
            <w:r w:rsidRPr="002E2327">
              <w:rPr>
                <w:rFonts w:cs="Times New Roman"/>
                <w:sz w:val="20"/>
                <w:szCs w:val="20"/>
                <w:lang w:val="fr-CA"/>
              </w:rPr>
              <w:t>dernière parution</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Jugements rendus sur les demandes </w:t>
            </w:r>
          </w:p>
          <w:p w:rsidR="0095096B" w:rsidRPr="002E2327" w:rsidRDefault="0095096B" w:rsidP="0095096B">
            <w:pPr>
              <w:rPr>
                <w:rFonts w:cs="Times New Roman"/>
                <w:sz w:val="20"/>
                <w:szCs w:val="20"/>
                <w:lang w:val="fr-CA"/>
              </w:rPr>
            </w:pPr>
            <w:r w:rsidRPr="002E2327">
              <w:rPr>
                <w:rFonts w:cs="Times New Roman"/>
                <w:sz w:val="20"/>
                <w:szCs w:val="20"/>
                <w:lang w:val="fr-CA"/>
              </w:rPr>
              <w:t>d'autorisation</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Requêtes</w:t>
            </w:r>
          </w:p>
          <w:p w:rsidR="00390161" w:rsidRDefault="00390161"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Appels entendus depuis la dernière </w:t>
            </w:r>
          </w:p>
          <w:p w:rsidR="0095096B" w:rsidRPr="002E2327" w:rsidRDefault="0095096B" w:rsidP="0095096B">
            <w:pPr>
              <w:rPr>
                <w:rFonts w:cs="Times New Roman"/>
                <w:sz w:val="20"/>
                <w:szCs w:val="20"/>
                <w:lang w:val="fr-CA"/>
              </w:rPr>
            </w:pPr>
            <w:r w:rsidRPr="002E2327">
              <w:rPr>
                <w:rFonts w:cs="Times New Roman"/>
                <w:sz w:val="20"/>
                <w:szCs w:val="20"/>
                <w:lang w:val="fr-CA"/>
              </w:rPr>
              <w:t>parution et résultat</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Jugements rendus sur les appels en </w:t>
            </w:r>
          </w:p>
          <w:p w:rsidR="0095096B" w:rsidRPr="002E2327" w:rsidRDefault="0095096B" w:rsidP="0095096B">
            <w:pPr>
              <w:rPr>
                <w:rFonts w:cs="Times New Roman"/>
                <w:sz w:val="20"/>
                <w:szCs w:val="20"/>
                <w:lang w:val="fr-CA"/>
              </w:rPr>
            </w:pPr>
            <w:r w:rsidRPr="002E2327">
              <w:rPr>
                <w:rFonts w:cs="Times New Roman"/>
                <w:sz w:val="20"/>
                <w:szCs w:val="20"/>
                <w:lang w:val="fr-CA"/>
              </w:rPr>
              <w:t>délibéré</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Sommaires de </w:t>
            </w:r>
            <w:r w:rsidR="00C50A5C">
              <w:rPr>
                <w:rFonts w:cs="Times New Roman"/>
                <w:sz w:val="20"/>
                <w:szCs w:val="20"/>
                <w:lang w:val="fr-CA"/>
              </w:rPr>
              <w:t xml:space="preserve">jugements </w:t>
            </w:r>
            <w:r w:rsidR="00C50A5C" w:rsidRPr="002E2327">
              <w:rPr>
                <w:rFonts w:cs="Times New Roman"/>
                <w:sz w:val="20"/>
                <w:szCs w:val="20"/>
                <w:lang w:val="fr-CA"/>
              </w:rPr>
              <w:t>récents</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 xml:space="preserve">Calendrier </w:t>
            </w:r>
          </w:p>
          <w:p w:rsidR="0095096B" w:rsidRPr="002E2327" w:rsidRDefault="0095096B" w:rsidP="0095096B">
            <w:pPr>
              <w:rPr>
                <w:rFonts w:cs="Times New Roman"/>
                <w:sz w:val="20"/>
                <w:szCs w:val="20"/>
                <w:lang w:val="fr-CA"/>
              </w:rPr>
            </w:pPr>
          </w:p>
          <w:p w:rsidR="0095096B" w:rsidRPr="002E2327" w:rsidRDefault="0095096B" w:rsidP="0095096B">
            <w:pPr>
              <w:rPr>
                <w:rFonts w:cs="Times New Roman"/>
                <w:sz w:val="20"/>
                <w:szCs w:val="20"/>
                <w:lang w:val="fr-CA"/>
              </w:rPr>
            </w:pPr>
            <w:r w:rsidRPr="002E2327">
              <w:rPr>
                <w:rFonts w:cs="Times New Roman"/>
                <w:sz w:val="20"/>
                <w:szCs w:val="20"/>
                <w:lang w:val="fr-CA"/>
              </w:rPr>
              <w:t>Résumés des affaires</w:t>
            </w:r>
          </w:p>
          <w:p w:rsidR="00A87207" w:rsidRPr="002E2327" w:rsidRDefault="00A87207" w:rsidP="00390161">
            <w:pPr>
              <w:tabs>
                <w:tab w:val="right" w:pos="9360"/>
              </w:tabs>
              <w:rPr>
                <w:rFonts w:cs="Times New Roman"/>
                <w:sz w:val="20"/>
                <w:szCs w:val="20"/>
                <w:lang w:val="fr-CA"/>
              </w:rPr>
            </w:pPr>
          </w:p>
        </w:tc>
      </w:tr>
    </w:tbl>
    <w:p w:rsidR="0095096B" w:rsidRDefault="0095096B" w:rsidP="0095096B">
      <w:pPr>
        <w:tabs>
          <w:tab w:val="right" w:pos="9360"/>
        </w:tabs>
      </w:pPr>
    </w:p>
    <w:p w:rsidR="00390161" w:rsidRDefault="00390161" w:rsidP="0095096B">
      <w:pPr>
        <w:tabs>
          <w:tab w:val="right" w:pos="9360"/>
        </w:tabs>
      </w:pPr>
    </w:p>
    <w:p w:rsidR="00390161" w:rsidRDefault="00390161" w:rsidP="0095096B">
      <w:pPr>
        <w:tabs>
          <w:tab w:val="right" w:pos="9360"/>
        </w:tabs>
      </w:pPr>
    </w:p>
    <w:p w:rsidR="00390161" w:rsidRDefault="00390161" w:rsidP="0095096B">
      <w:pPr>
        <w:tabs>
          <w:tab w:val="right" w:pos="9360"/>
        </w:tabs>
      </w:pPr>
    </w:p>
    <w:p w:rsidR="00390161" w:rsidRDefault="00390161" w:rsidP="0095096B">
      <w:pPr>
        <w:tabs>
          <w:tab w:val="right" w:pos="9360"/>
        </w:tabs>
      </w:pPr>
    </w:p>
    <w:p w:rsidR="00390161" w:rsidRPr="002E2327" w:rsidRDefault="00390161" w:rsidP="0095096B">
      <w:pPr>
        <w:tabs>
          <w:tab w:val="right" w:pos="9360"/>
        </w:tabs>
      </w:pPr>
    </w:p>
    <w:tbl>
      <w:tblPr>
        <w:tblStyle w:val="TableGrid"/>
        <w:tblW w:w="0" w:type="auto"/>
        <w:tblLook w:val="04A0"/>
      </w:tblPr>
      <w:tblGrid>
        <w:gridCol w:w="9576"/>
      </w:tblGrid>
      <w:tr w:rsidR="0079724F" w:rsidRPr="00743C89" w:rsidTr="0079724F">
        <w:tc>
          <w:tcPr>
            <w:tcW w:w="9576" w:type="dxa"/>
          </w:tcPr>
          <w:p w:rsidR="0079724F" w:rsidRPr="00245129" w:rsidRDefault="0079724F" w:rsidP="00215F7C">
            <w:pPr>
              <w:keepNext/>
              <w:tabs>
                <w:tab w:val="right" w:pos="9360"/>
              </w:tabs>
              <w:jc w:val="center"/>
              <w:rPr>
                <w:szCs w:val="24"/>
              </w:rPr>
            </w:pPr>
            <w:r w:rsidRPr="00245129">
              <w:rPr>
                <w:szCs w:val="24"/>
              </w:rPr>
              <w:t>NOTICE</w:t>
            </w: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jc w:val="both"/>
              <w:rPr>
                <w:szCs w:val="24"/>
              </w:rPr>
            </w:pPr>
            <w:r w:rsidRPr="00245129">
              <w:rPr>
                <w:szCs w:val="24"/>
              </w:rPr>
              <w:t>Case summaries included in the Bulletin are prepared by the Office of the Registrar of the Supreme Court of Canada (Law Branch) for information purposes only.</w:t>
            </w: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rPr>
                <w:szCs w:val="24"/>
              </w:rPr>
            </w:pPr>
          </w:p>
          <w:p w:rsidR="0079724F" w:rsidRPr="00245129" w:rsidRDefault="0079724F" w:rsidP="00215F7C">
            <w:pPr>
              <w:keepNext/>
              <w:tabs>
                <w:tab w:val="right" w:pos="9360"/>
              </w:tabs>
              <w:jc w:val="center"/>
              <w:rPr>
                <w:szCs w:val="24"/>
                <w:lang w:val="fr-CA"/>
              </w:rPr>
            </w:pPr>
            <w:r w:rsidRPr="00245129">
              <w:rPr>
                <w:szCs w:val="24"/>
                <w:lang w:val="fr-CA"/>
              </w:rPr>
              <w:t>AVIS</w:t>
            </w:r>
          </w:p>
          <w:p w:rsidR="0079724F" w:rsidRPr="00245129" w:rsidRDefault="0079724F" w:rsidP="00215F7C">
            <w:pPr>
              <w:keepNext/>
              <w:tabs>
                <w:tab w:val="right" w:pos="9360"/>
              </w:tabs>
              <w:rPr>
                <w:szCs w:val="24"/>
                <w:lang w:val="fr-CA"/>
              </w:rPr>
            </w:pPr>
          </w:p>
          <w:p w:rsidR="0079724F" w:rsidRPr="001D0D5F" w:rsidRDefault="0079724F" w:rsidP="00215F7C">
            <w:pPr>
              <w:keepNext/>
              <w:tabs>
                <w:tab w:val="right" w:pos="9360"/>
              </w:tabs>
              <w:jc w:val="both"/>
              <w:rPr>
                <w:sz w:val="20"/>
                <w:szCs w:val="20"/>
                <w:lang w:val="fr-CA"/>
              </w:rPr>
            </w:pPr>
            <w:r w:rsidRPr="00245129">
              <w:rPr>
                <w:szCs w:val="24"/>
                <w:lang w:val="fr-CA"/>
              </w:rPr>
              <w:t>Les résumés de dossiers publiés dans le bulletin sont préparés par le Bureau du registraire (Direction générale du droit) uniquement à titre d’information.</w:t>
            </w:r>
          </w:p>
        </w:tc>
      </w:tr>
    </w:tbl>
    <w:p w:rsidR="0095096B" w:rsidRPr="00675479" w:rsidRDefault="0095096B" w:rsidP="0095096B">
      <w:pPr>
        <w:tabs>
          <w:tab w:val="right" w:pos="9360"/>
        </w:tabs>
        <w:rPr>
          <w:lang w:val="fr-CA"/>
        </w:rPr>
      </w:pPr>
    </w:p>
    <w:p w:rsidR="00A87207" w:rsidRPr="00675479" w:rsidRDefault="00A87207" w:rsidP="0095096B">
      <w:pPr>
        <w:tabs>
          <w:tab w:val="right" w:pos="9360"/>
        </w:tabs>
        <w:rPr>
          <w:lang w:val="fr-CA"/>
        </w:rPr>
        <w:sectPr w:rsidR="00A87207" w:rsidRPr="00675479" w:rsidSect="0044776A">
          <w:headerReference w:type="even" r:id="rId8"/>
          <w:headerReference w:type="default" r:id="rId9"/>
          <w:footerReference w:type="even" r:id="rId10"/>
          <w:footerReference w:type="default" r:id="rId11"/>
          <w:headerReference w:type="first" r:id="rId12"/>
          <w:footerReference w:type="first" r:id="rId13"/>
          <w:pgSz w:w="12240" w:h="15840"/>
          <w:pgMar w:top="720" w:right="1152" w:bottom="1080" w:left="1440" w:header="706" w:footer="706" w:gutter="0"/>
          <w:cols w:space="708"/>
          <w:titlePg/>
          <w:docGrid w:linePitch="360"/>
        </w:sectPr>
      </w:pPr>
    </w:p>
    <w:tbl>
      <w:tblPr>
        <w:tblW w:w="9630" w:type="dxa"/>
        <w:tblBorders>
          <w:bottom w:val="single" w:sz="8" w:space="0" w:color="auto"/>
        </w:tblBorders>
        <w:tblLayout w:type="fixed"/>
        <w:tblCellMar>
          <w:left w:w="0" w:type="dxa"/>
          <w:right w:w="0" w:type="dxa"/>
        </w:tblCellMar>
        <w:tblLook w:val="0000"/>
      </w:tblPr>
      <w:tblGrid>
        <w:gridCol w:w="4200"/>
        <w:gridCol w:w="1200"/>
        <w:gridCol w:w="4230"/>
      </w:tblGrid>
      <w:tr w:rsidR="00A87207" w:rsidRPr="002E2327" w:rsidTr="00245129">
        <w:tc>
          <w:tcPr>
            <w:tcW w:w="4200" w:type="dxa"/>
            <w:shd w:val="clear" w:color="auto" w:fill="auto"/>
            <w:tcMar>
              <w:left w:w="0" w:type="dxa"/>
              <w:right w:w="0" w:type="dxa"/>
            </w:tcMar>
          </w:tcPr>
          <w:p w:rsidR="00A87207" w:rsidRPr="002E2327" w:rsidRDefault="00A87207" w:rsidP="00BA6468">
            <w:pPr>
              <w:rPr>
                <w:rFonts w:eastAsia="Times New Roman" w:cs="Times New Roman"/>
                <w:b/>
                <w:sz w:val="20"/>
                <w:szCs w:val="20"/>
                <w:lang w:eastAsia="en-CA"/>
              </w:rPr>
            </w:pPr>
            <w:r w:rsidRPr="002E2327">
              <w:rPr>
                <w:rFonts w:eastAsia="Times New Roman" w:cs="Times New Roman"/>
                <w:b/>
                <w:szCs w:val="20"/>
                <w:lang w:eastAsia="en-CA"/>
              </w:rPr>
              <w:lastRenderedPageBreak/>
              <w:t>APPLICATIONS FOR LEAVE TO APPEAL FILED</w:t>
            </w:r>
          </w:p>
        </w:tc>
        <w:tc>
          <w:tcPr>
            <w:tcW w:w="1200" w:type="dxa"/>
            <w:shd w:val="clear" w:color="auto" w:fill="auto"/>
            <w:tcMar>
              <w:left w:w="0" w:type="dxa"/>
              <w:right w:w="0" w:type="dxa"/>
            </w:tcMar>
          </w:tcPr>
          <w:p w:rsidR="00A87207" w:rsidRPr="002E2327" w:rsidRDefault="00A87207" w:rsidP="002E2327">
            <w:pPr>
              <w:jc w:val="center"/>
              <w:rPr>
                <w:rFonts w:eastAsia="Times New Roman" w:cs="Times New Roman"/>
                <w:b/>
                <w:sz w:val="20"/>
                <w:szCs w:val="20"/>
                <w:lang w:eastAsia="en-CA"/>
              </w:rPr>
            </w:pPr>
          </w:p>
          <w:p w:rsidR="00A87207" w:rsidRPr="002E2327" w:rsidRDefault="00A87207" w:rsidP="002E2327">
            <w:pPr>
              <w:jc w:val="center"/>
              <w:rPr>
                <w:rFonts w:eastAsia="Times New Roman" w:cs="Times New Roman"/>
                <w:b/>
                <w:sz w:val="20"/>
                <w:szCs w:val="20"/>
                <w:lang w:eastAsia="en-CA"/>
              </w:rPr>
            </w:pPr>
          </w:p>
          <w:p w:rsidR="00A87207" w:rsidRPr="002E2327" w:rsidRDefault="00A87207" w:rsidP="002E2327">
            <w:pPr>
              <w:jc w:val="center"/>
              <w:rPr>
                <w:rFonts w:eastAsia="Times New Roman" w:cs="Times New Roman"/>
                <w:b/>
                <w:sz w:val="20"/>
                <w:szCs w:val="20"/>
                <w:lang w:eastAsia="en-CA"/>
              </w:rPr>
            </w:pPr>
          </w:p>
        </w:tc>
        <w:tc>
          <w:tcPr>
            <w:tcW w:w="4230" w:type="dxa"/>
            <w:shd w:val="clear" w:color="auto" w:fill="auto"/>
            <w:tcMar>
              <w:left w:w="0" w:type="dxa"/>
              <w:right w:w="0" w:type="dxa"/>
            </w:tcMar>
          </w:tcPr>
          <w:p w:rsidR="00A87207" w:rsidRPr="002E2327" w:rsidRDefault="00A87207" w:rsidP="00A87207">
            <w:pPr>
              <w:rPr>
                <w:rFonts w:eastAsia="Times New Roman" w:cs="Times New Roman"/>
                <w:b/>
                <w:sz w:val="20"/>
                <w:szCs w:val="20"/>
                <w:lang w:val="fr-CA" w:eastAsia="en-CA"/>
              </w:rPr>
            </w:pPr>
            <w:r w:rsidRPr="002E2327">
              <w:rPr>
                <w:rFonts w:eastAsia="Times New Roman" w:cs="Times New Roman"/>
                <w:b/>
                <w:szCs w:val="20"/>
                <w:lang w:val="fr-CA" w:eastAsia="en-CA"/>
              </w:rPr>
              <w:t>DEMANDES D’AUTORISATION D’APPEL DÉPOSÉES</w:t>
            </w:r>
          </w:p>
        </w:tc>
      </w:tr>
    </w:tbl>
    <w:p w:rsidR="00A87207" w:rsidRPr="00C50A5C" w:rsidRDefault="00A87207" w:rsidP="0095096B">
      <w:pPr>
        <w:tabs>
          <w:tab w:val="right" w:pos="9360"/>
        </w:tabs>
        <w:rPr>
          <w:sz w:val="20"/>
          <w:szCs w:val="20"/>
        </w:rPr>
      </w:pPr>
    </w:p>
    <w:tbl>
      <w:tblPr>
        <w:tblStyle w:val="TableGrid"/>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0"/>
        <w:gridCol w:w="1181"/>
        <w:gridCol w:w="4320"/>
      </w:tblGrid>
      <w:tr w:rsidR="00390161" w:rsidRPr="00561C1C" w:rsidTr="00741DC5">
        <w:tc>
          <w:tcPr>
            <w:tcW w:w="4320" w:type="dxa"/>
            <w:shd w:val="clear" w:color="auto" w:fill="auto"/>
          </w:tcPr>
          <w:p w:rsidR="00390161" w:rsidRPr="00B375A6" w:rsidRDefault="00390161" w:rsidP="00741DC5">
            <w:pPr>
              <w:rPr>
                <w:b/>
                <w:sz w:val="20"/>
                <w:szCs w:val="20"/>
                <w:lang w:val="fr-CA"/>
              </w:rPr>
            </w:pPr>
            <w:r w:rsidRPr="00B375A6">
              <w:rPr>
                <w:b/>
                <w:sz w:val="20"/>
                <w:szCs w:val="20"/>
                <w:lang w:val="fr-CA"/>
              </w:rPr>
              <w:t>L. G.</w:t>
            </w:r>
          </w:p>
          <w:p w:rsidR="00390161" w:rsidRDefault="00390161" w:rsidP="00741DC5">
            <w:pPr>
              <w:tabs>
                <w:tab w:val="left" w:pos="-1440"/>
                <w:tab w:val="left" w:pos="-720"/>
              </w:tabs>
              <w:rPr>
                <w:sz w:val="20"/>
                <w:szCs w:val="20"/>
                <w:lang w:val="fr-CA"/>
              </w:rPr>
            </w:pPr>
            <w:r w:rsidRPr="00B375A6">
              <w:rPr>
                <w:sz w:val="20"/>
                <w:szCs w:val="20"/>
                <w:lang w:val="fr-CA"/>
              </w:rPr>
              <w:tab/>
              <w:t>G</w:t>
            </w:r>
            <w:r>
              <w:rPr>
                <w:sz w:val="20"/>
                <w:szCs w:val="20"/>
                <w:lang w:val="fr-CA"/>
              </w:rPr>
              <w:t>eneviève Lemay</w:t>
            </w:r>
          </w:p>
          <w:p w:rsidR="00390161" w:rsidRPr="00B375A6" w:rsidRDefault="00390161" w:rsidP="00741DC5">
            <w:pPr>
              <w:tabs>
                <w:tab w:val="left" w:pos="-1440"/>
                <w:tab w:val="left" w:pos="-720"/>
              </w:tabs>
              <w:rPr>
                <w:sz w:val="20"/>
                <w:szCs w:val="20"/>
                <w:lang w:val="fr-CA"/>
              </w:rPr>
            </w:pPr>
            <w:r>
              <w:rPr>
                <w:sz w:val="20"/>
                <w:szCs w:val="20"/>
                <w:lang w:val="fr-CA"/>
              </w:rPr>
              <w:tab/>
              <w:t>Hamel Germain Lemay Avocats</w:t>
            </w:r>
          </w:p>
          <w:p w:rsidR="00390161" w:rsidRPr="00B375A6" w:rsidRDefault="00390161" w:rsidP="00741DC5">
            <w:pPr>
              <w:tabs>
                <w:tab w:val="left" w:pos="-1440"/>
                <w:tab w:val="left" w:pos="-720"/>
              </w:tabs>
              <w:rPr>
                <w:sz w:val="20"/>
                <w:szCs w:val="20"/>
                <w:lang w:val="fr-CA"/>
              </w:rPr>
            </w:pPr>
          </w:p>
          <w:p w:rsidR="00390161" w:rsidRPr="00B375A6" w:rsidRDefault="00390161" w:rsidP="00741DC5">
            <w:pPr>
              <w:tabs>
                <w:tab w:val="left" w:pos="-1440"/>
                <w:tab w:val="left" w:pos="-720"/>
              </w:tabs>
              <w:rPr>
                <w:sz w:val="20"/>
                <w:szCs w:val="20"/>
                <w:lang w:val="fr-CA"/>
              </w:rPr>
            </w:pPr>
            <w:r w:rsidRPr="00B375A6">
              <w:rPr>
                <w:sz w:val="20"/>
                <w:szCs w:val="20"/>
                <w:lang w:val="fr-CA"/>
              </w:rPr>
              <w:tab/>
              <w:t>c. (34281)</w:t>
            </w:r>
          </w:p>
          <w:p w:rsidR="00390161" w:rsidRPr="00B375A6" w:rsidRDefault="00390161" w:rsidP="00741DC5">
            <w:pPr>
              <w:tabs>
                <w:tab w:val="left" w:pos="-1440"/>
                <w:tab w:val="left" w:pos="-720"/>
              </w:tabs>
              <w:rPr>
                <w:sz w:val="20"/>
                <w:szCs w:val="20"/>
                <w:lang w:val="fr-CA"/>
              </w:rPr>
            </w:pPr>
          </w:p>
          <w:p w:rsidR="00390161" w:rsidRPr="00561C1C" w:rsidRDefault="00390161" w:rsidP="00741DC5">
            <w:pPr>
              <w:tabs>
                <w:tab w:val="left" w:pos="-1440"/>
                <w:tab w:val="left" w:pos="-720"/>
              </w:tabs>
              <w:rPr>
                <w:b/>
                <w:sz w:val="20"/>
                <w:szCs w:val="20"/>
                <w:lang w:val="fr-CA"/>
              </w:rPr>
            </w:pPr>
            <w:r w:rsidRPr="00561C1C">
              <w:rPr>
                <w:b/>
                <w:sz w:val="20"/>
                <w:szCs w:val="20"/>
                <w:lang w:val="fr-CA"/>
              </w:rPr>
              <w:t>C.P. et autres (</w:t>
            </w:r>
            <w:proofErr w:type="spellStart"/>
            <w:r w:rsidRPr="00561C1C">
              <w:rPr>
                <w:b/>
                <w:sz w:val="20"/>
                <w:szCs w:val="20"/>
                <w:lang w:val="fr-CA"/>
              </w:rPr>
              <w:t>Qc</w:t>
            </w:r>
            <w:proofErr w:type="spellEnd"/>
            <w:r w:rsidRPr="00561C1C">
              <w:rPr>
                <w:b/>
                <w:sz w:val="20"/>
                <w:szCs w:val="20"/>
                <w:lang w:val="fr-CA"/>
              </w:rPr>
              <w:t>)</w:t>
            </w:r>
          </w:p>
          <w:p w:rsidR="00390161" w:rsidRDefault="00390161" w:rsidP="00741DC5">
            <w:pPr>
              <w:tabs>
                <w:tab w:val="left" w:pos="-1440"/>
                <w:tab w:val="left" w:pos="-720"/>
              </w:tabs>
              <w:rPr>
                <w:sz w:val="20"/>
                <w:szCs w:val="20"/>
                <w:lang w:val="fr-CA"/>
              </w:rPr>
            </w:pPr>
            <w:r w:rsidRPr="00561C1C">
              <w:rPr>
                <w:sz w:val="20"/>
                <w:szCs w:val="20"/>
                <w:lang w:val="fr-CA"/>
              </w:rPr>
              <w:tab/>
            </w:r>
            <w:r>
              <w:rPr>
                <w:sz w:val="20"/>
                <w:szCs w:val="20"/>
                <w:lang w:val="fr-CA"/>
              </w:rPr>
              <w:t xml:space="preserve">Denise </w:t>
            </w:r>
            <w:proofErr w:type="spellStart"/>
            <w:r>
              <w:rPr>
                <w:sz w:val="20"/>
                <w:szCs w:val="20"/>
                <w:lang w:val="fr-CA"/>
              </w:rPr>
              <w:t>Descôteaux</w:t>
            </w:r>
            <w:proofErr w:type="spellEnd"/>
          </w:p>
          <w:p w:rsidR="00390161" w:rsidRPr="00561C1C" w:rsidRDefault="00390161" w:rsidP="00741DC5">
            <w:pPr>
              <w:tabs>
                <w:tab w:val="left" w:pos="-1440"/>
                <w:tab w:val="left" w:pos="-720"/>
              </w:tabs>
              <w:rPr>
                <w:sz w:val="20"/>
                <w:szCs w:val="20"/>
                <w:lang w:val="fr-CA"/>
              </w:rPr>
            </w:pPr>
            <w:r>
              <w:rPr>
                <w:sz w:val="20"/>
                <w:szCs w:val="20"/>
                <w:lang w:val="fr-CA"/>
              </w:rPr>
              <w:tab/>
              <w:t xml:space="preserve">Fontaine </w:t>
            </w:r>
            <w:proofErr w:type="spellStart"/>
            <w:r>
              <w:rPr>
                <w:sz w:val="20"/>
                <w:szCs w:val="20"/>
                <w:lang w:val="fr-CA"/>
              </w:rPr>
              <w:t>Descôteaux</w:t>
            </w:r>
            <w:proofErr w:type="spellEnd"/>
          </w:p>
          <w:p w:rsidR="00390161" w:rsidRPr="00561C1C" w:rsidRDefault="00390161" w:rsidP="00741DC5">
            <w:pPr>
              <w:tabs>
                <w:tab w:val="left" w:pos="-1440"/>
                <w:tab w:val="left" w:pos="-720"/>
              </w:tabs>
              <w:rPr>
                <w:sz w:val="20"/>
                <w:szCs w:val="20"/>
                <w:lang w:val="fr-CA"/>
              </w:rPr>
            </w:pPr>
          </w:p>
          <w:p w:rsidR="00390161" w:rsidRPr="00B375A6" w:rsidRDefault="00390161" w:rsidP="00741DC5">
            <w:pPr>
              <w:rPr>
                <w:sz w:val="20"/>
                <w:szCs w:val="20"/>
                <w:lang w:val="fr-CA"/>
              </w:rPr>
            </w:pPr>
            <w:r w:rsidRPr="00B375A6">
              <w:rPr>
                <w:sz w:val="20"/>
                <w:szCs w:val="20"/>
                <w:lang w:val="fr-CA"/>
              </w:rPr>
              <w:t>DATE DE PRODUCTION : 30.05.2011</w:t>
            </w:r>
          </w:p>
          <w:p w:rsidR="00390161" w:rsidRPr="00A935AA" w:rsidRDefault="00460701" w:rsidP="00741DC5">
            <w:pPr>
              <w:rPr>
                <w:sz w:val="20"/>
                <w:szCs w:val="20"/>
              </w:rPr>
            </w:pPr>
            <w:r w:rsidRPr="00460701">
              <w:rPr>
                <w:sz w:val="20"/>
                <w:szCs w:val="20"/>
                <w:lang w:val="fr-CA"/>
              </w:rPr>
              <w:pict>
                <v:rect id="_x0000_i1025" style="width:108pt;height:1pt" o:hrpct="0" o:hralign="center" o:hrstd="t" o:hrnoshade="t" o:hr="t" fillcolor="black [3213]" stroked="f"/>
              </w:pict>
            </w:r>
          </w:p>
        </w:tc>
        <w:tc>
          <w:tcPr>
            <w:tcW w:w="1181" w:type="dxa"/>
            <w:shd w:val="clear" w:color="auto" w:fill="auto"/>
          </w:tcPr>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tc>
        <w:tc>
          <w:tcPr>
            <w:tcW w:w="4320" w:type="dxa"/>
            <w:shd w:val="clear" w:color="auto" w:fill="auto"/>
          </w:tcPr>
          <w:p w:rsidR="00390161" w:rsidRDefault="00390161" w:rsidP="00741DC5">
            <w:pPr>
              <w:keepNext/>
              <w:keepLines/>
              <w:tabs>
                <w:tab w:val="left" w:pos="-1440"/>
                <w:tab w:val="left" w:pos="-720"/>
              </w:tabs>
              <w:rPr>
                <w:b/>
                <w:sz w:val="20"/>
                <w:szCs w:val="20"/>
              </w:rPr>
            </w:pPr>
            <w:r>
              <w:rPr>
                <w:b/>
                <w:sz w:val="20"/>
                <w:szCs w:val="20"/>
              </w:rPr>
              <w:t>L.M.</w:t>
            </w:r>
          </w:p>
          <w:p w:rsidR="00390161" w:rsidRPr="00561C1C" w:rsidRDefault="00390161" w:rsidP="00741DC5">
            <w:pPr>
              <w:rPr>
                <w:b/>
                <w:sz w:val="20"/>
                <w:szCs w:val="20"/>
              </w:rPr>
            </w:pPr>
            <w:r>
              <w:rPr>
                <w:sz w:val="20"/>
                <w:szCs w:val="20"/>
              </w:rPr>
              <w:tab/>
              <w:t>Aline Quach</w:t>
            </w:r>
          </w:p>
          <w:p w:rsidR="00390161" w:rsidRPr="00A935AA" w:rsidRDefault="00390161" w:rsidP="00741DC5">
            <w:pPr>
              <w:keepNext/>
              <w:keepLines/>
              <w:tabs>
                <w:tab w:val="left" w:pos="-1440"/>
                <w:tab w:val="left" w:pos="-720"/>
              </w:tabs>
              <w:rPr>
                <w:sz w:val="20"/>
                <w:szCs w:val="20"/>
              </w:rPr>
            </w:pPr>
            <w:r w:rsidRPr="00A935AA">
              <w:rPr>
                <w:sz w:val="20"/>
                <w:szCs w:val="20"/>
              </w:rPr>
              <w:tab/>
            </w:r>
            <w:r>
              <w:rPr>
                <w:sz w:val="20"/>
                <w:szCs w:val="20"/>
              </w:rPr>
              <w:t>Blackburn &amp; associés</w:t>
            </w:r>
          </w:p>
          <w:p w:rsidR="00390161" w:rsidRPr="00A935AA" w:rsidRDefault="00390161" w:rsidP="00741DC5">
            <w:pPr>
              <w:keepNext/>
              <w:keepLines/>
              <w:tabs>
                <w:tab w:val="left" w:pos="-1440"/>
                <w:tab w:val="left" w:pos="-720"/>
              </w:tabs>
              <w:rPr>
                <w:sz w:val="20"/>
                <w:szCs w:val="20"/>
              </w:rPr>
            </w:pPr>
          </w:p>
          <w:p w:rsidR="00390161" w:rsidRPr="00AB6711" w:rsidRDefault="00390161" w:rsidP="00741DC5">
            <w:pPr>
              <w:keepNext/>
              <w:keepLines/>
              <w:tabs>
                <w:tab w:val="left" w:pos="-1440"/>
                <w:tab w:val="left" w:pos="-720"/>
              </w:tabs>
              <w:rPr>
                <w:sz w:val="20"/>
                <w:szCs w:val="20"/>
                <w:lang w:val="fr-CA"/>
              </w:rPr>
            </w:pPr>
            <w:r w:rsidRPr="00A935AA">
              <w:rPr>
                <w:sz w:val="20"/>
                <w:szCs w:val="20"/>
              </w:rPr>
              <w:tab/>
            </w:r>
            <w:r w:rsidRPr="00AB6711">
              <w:rPr>
                <w:sz w:val="20"/>
                <w:szCs w:val="20"/>
                <w:lang w:val="fr-CA"/>
              </w:rPr>
              <w:t>c. (34339)</w:t>
            </w:r>
          </w:p>
          <w:p w:rsidR="00390161" w:rsidRPr="00AB6711" w:rsidRDefault="00390161" w:rsidP="00741DC5">
            <w:pPr>
              <w:keepNext/>
              <w:keepLines/>
              <w:tabs>
                <w:tab w:val="left" w:pos="-1440"/>
                <w:tab w:val="left" w:pos="-720"/>
              </w:tabs>
              <w:rPr>
                <w:sz w:val="20"/>
                <w:szCs w:val="20"/>
                <w:lang w:val="fr-CA"/>
              </w:rPr>
            </w:pPr>
          </w:p>
          <w:p w:rsidR="00390161" w:rsidRPr="00561C1C" w:rsidRDefault="00390161" w:rsidP="00741DC5">
            <w:pPr>
              <w:keepNext/>
              <w:keepLines/>
              <w:tabs>
                <w:tab w:val="left" w:pos="-1440"/>
                <w:tab w:val="left" w:pos="-720"/>
              </w:tabs>
              <w:rPr>
                <w:b/>
                <w:sz w:val="20"/>
                <w:szCs w:val="20"/>
                <w:lang w:val="fr-CA"/>
              </w:rPr>
            </w:pPr>
            <w:r w:rsidRPr="00561C1C">
              <w:rPr>
                <w:b/>
                <w:sz w:val="20"/>
                <w:szCs w:val="20"/>
                <w:lang w:val="fr-CA"/>
              </w:rPr>
              <w:t>E.A. (Qc)</w:t>
            </w:r>
          </w:p>
          <w:p w:rsidR="00390161" w:rsidRPr="00561C1C" w:rsidRDefault="00390161" w:rsidP="00741DC5">
            <w:pPr>
              <w:keepNext/>
              <w:keepLines/>
              <w:tabs>
                <w:tab w:val="left" w:pos="-1440"/>
                <w:tab w:val="left" w:pos="-720"/>
              </w:tabs>
              <w:rPr>
                <w:sz w:val="20"/>
                <w:szCs w:val="20"/>
                <w:lang w:val="fr-CA"/>
              </w:rPr>
            </w:pPr>
            <w:r w:rsidRPr="00561C1C">
              <w:rPr>
                <w:sz w:val="20"/>
                <w:szCs w:val="20"/>
                <w:lang w:val="fr-CA"/>
              </w:rPr>
              <w:tab/>
              <w:t>Cory Verbauwhede</w:t>
            </w:r>
          </w:p>
          <w:p w:rsidR="00390161" w:rsidRPr="00561C1C" w:rsidRDefault="00390161" w:rsidP="00741DC5">
            <w:pPr>
              <w:keepNext/>
              <w:keepLines/>
              <w:tabs>
                <w:tab w:val="left" w:pos="-1440"/>
                <w:tab w:val="left" w:pos="-720"/>
              </w:tabs>
              <w:rPr>
                <w:sz w:val="20"/>
                <w:szCs w:val="20"/>
                <w:lang w:val="fr-CA"/>
              </w:rPr>
            </w:pPr>
            <w:r w:rsidRPr="00561C1C">
              <w:rPr>
                <w:sz w:val="20"/>
                <w:szCs w:val="20"/>
                <w:lang w:val="fr-CA"/>
              </w:rPr>
              <w:tab/>
              <w:t>Grenier Verbauwhede</w:t>
            </w:r>
            <w:r>
              <w:rPr>
                <w:sz w:val="20"/>
                <w:szCs w:val="20"/>
                <w:lang w:val="fr-CA"/>
              </w:rPr>
              <w:t xml:space="preserve"> Avocats inc.</w:t>
            </w:r>
          </w:p>
          <w:p w:rsidR="00390161" w:rsidRPr="00561C1C" w:rsidRDefault="00390161" w:rsidP="00741DC5">
            <w:pPr>
              <w:keepNext/>
              <w:keepLines/>
              <w:tabs>
                <w:tab w:val="left" w:pos="-1440"/>
                <w:tab w:val="left" w:pos="-720"/>
              </w:tabs>
              <w:rPr>
                <w:sz w:val="20"/>
                <w:szCs w:val="20"/>
                <w:lang w:val="fr-CA"/>
              </w:rPr>
            </w:pPr>
          </w:p>
          <w:p w:rsidR="00390161" w:rsidRPr="00561C1C" w:rsidRDefault="00390161" w:rsidP="00741DC5">
            <w:pPr>
              <w:rPr>
                <w:sz w:val="20"/>
                <w:szCs w:val="20"/>
              </w:rPr>
            </w:pPr>
            <w:r w:rsidRPr="00561C1C">
              <w:rPr>
                <w:sz w:val="20"/>
                <w:szCs w:val="20"/>
                <w:lang w:val="fr-CA"/>
              </w:rPr>
              <w:t>DATE DE PRODUCTION : 30.06.2011</w:t>
            </w:r>
            <w:r w:rsidR="00460701" w:rsidRPr="00460701">
              <w:rPr>
                <w:sz w:val="20"/>
                <w:szCs w:val="20"/>
                <w:lang w:val="fr-CA"/>
              </w:rPr>
              <w:pict>
                <v:rect id="_x0000_i1026" style="width:108pt;height:1pt" o:hrpct="0" o:hralign="center" o:hrstd="t" o:hrnoshade="t" o:hr="t" fillcolor="black [3213]" stroked="f"/>
              </w:pict>
            </w:r>
          </w:p>
        </w:tc>
      </w:tr>
      <w:tr w:rsidR="00390161" w:rsidRPr="00561C1C" w:rsidTr="00741DC5">
        <w:tc>
          <w:tcPr>
            <w:tcW w:w="4320" w:type="dxa"/>
            <w:shd w:val="clear" w:color="auto" w:fill="auto"/>
          </w:tcPr>
          <w:p w:rsidR="00390161" w:rsidRPr="00390161" w:rsidRDefault="00390161" w:rsidP="00741DC5">
            <w:pPr>
              <w:rPr>
                <w:sz w:val="20"/>
                <w:szCs w:val="20"/>
              </w:rPr>
            </w:pPr>
            <w:r w:rsidRPr="00390161">
              <w:rPr>
                <w:b/>
                <w:sz w:val="20"/>
                <w:szCs w:val="20"/>
              </w:rPr>
              <w:t>Johannes Cornelis Sturkenboom</w:t>
            </w:r>
          </w:p>
          <w:p w:rsidR="00390161" w:rsidRPr="00561C1C" w:rsidRDefault="00390161" w:rsidP="00741DC5">
            <w:pPr>
              <w:keepNext/>
              <w:keepLines/>
              <w:tabs>
                <w:tab w:val="left" w:pos="-1440"/>
                <w:tab w:val="left" w:pos="-720"/>
              </w:tabs>
              <w:rPr>
                <w:sz w:val="20"/>
                <w:szCs w:val="20"/>
              </w:rPr>
            </w:pPr>
            <w:r w:rsidRPr="00A935AA">
              <w:rPr>
                <w:sz w:val="20"/>
                <w:szCs w:val="20"/>
              </w:rPr>
              <w:tab/>
            </w:r>
            <w:r>
              <w:rPr>
                <w:sz w:val="20"/>
                <w:szCs w:val="20"/>
              </w:rPr>
              <w:t>Johannes Cornelis Sturkenboom</w:t>
            </w:r>
          </w:p>
          <w:p w:rsidR="00390161" w:rsidRPr="00B375A6" w:rsidRDefault="00390161" w:rsidP="00741DC5">
            <w:pPr>
              <w:tabs>
                <w:tab w:val="left" w:pos="-1440"/>
                <w:tab w:val="left" w:pos="-720"/>
              </w:tabs>
              <w:rPr>
                <w:sz w:val="20"/>
                <w:szCs w:val="20"/>
              </w:rPr>
            </w:pPr>
          </w:p>
          <w:p w:rsidR="00390161" w:rsidRPr="00A935AA" w:rsidRDefault="00390161" w:rsidP="00741DC5">
            <w:pPr>
              <w:tabs>
                <w:tab w:val="left" w:pos="-1440"/>
                <w:tab w:val="left" w:pos="-720"/>
              </w:tabs>
              <w:rPr>
                <w:sz w:val="20"/>
                <w:szCs w:val="20"/>
              </w:rPr>
            </w:pPr>
            <w:r w:rsidRPr="00B375A6">
              <w:rPr>
                <w:sz w:val="20"/>
                <w:szCs w:val="20"/>
              </w:rPr>
              <w:tab/>
            </w:r>
            <w:r w:rsidRPr="00A935AA">
              <w:rPr>
                <w:sz w:val="20"/>
                <w:szCs w:val="20"/>
              </w:rPr>
              <w:t>v. (3</w:t>
            </w:r>
            <w:r>
              <w:rPr>
                <w:sz w:val="20"/>
                <w:szCs w:val="20"/>
              </w:rPr>
              <w:t>4485</w:t>
            </w:r>
            <w:r w:rsidRPr="00A935AA">
              <w:rPr>
                <w:sz w:val="20"/>
                <w:szCs w:val="20"/>
              </w:rPr>
              <w:t>)</w:t>
            </w:r>
          </w:p>
          <w:p w:rsidR="00390161" w:rsidRPr="00A935AA" w:rsidRDefault="00390161" w:rsidP="00741DC5">
            <w:pPr>
              <w:tabs>
                <w:tab w:val="left" w:pos="-1440"/>
                <w:tab w:val="left" w:pos="-720"/>
              </w:tabs>
              <w:rPr>
                <w:sz w:val="20"/>
                <w:szCs w:val="20"/>
              </w:rPr>
            </w:pPr>
          </w:p>
          <w:p w:rsidR="00390161" w:rsidRPr="00A935AA" w:rsidRDefault="00390161" w:rsidP="00741DC5">
            <w:pPr>
              <w:tabs>
                <w:tab w:val="left" w:pos="-1440"/>
                <w:tab w:val="left" w:pos="-720"/>
              </w:tabs>
              <w:rPr>
                <w:b/>
                <w:sz w:val="20"/>
                <w:szCs w:val="20"/>
              </w:rPr>
            </w:pPr>
            <w:r>
              <w:rPr>
                <w:b/>
                <w:sz w:val="20"/>
                <w:szCs w:val="20"/>
              </w:rPr>
              <w:t xml:space="preserve">Her Majesty the Queen </w:t>
            </w:r>
            <w:r w:rsidRPr="00A935AA">
              <w:rPr>
                <w:b/>
                <w:sz w:val="20"/>
                <w:szCs w:val="20"/>
              </w:rPr>
              <w:t>(</w:t>
            </w:r>
            <w:r>
              <w:rPr>
                <w:b/>
                <w:sz w:val="20"/>
                <w:szCs w:val="20"/>
              </w:rPr>
              <w:t>Ont.</w:t>
            </w:r>
            <w:r w:rsidRPr="00A935AA">
              <w:rPr>
                <w:b/>
                <w:sz w:val="20"/>
                <w:szCs w:val="20"/>
              </w:rPr>
              <w:t>)</w:t>
            </w:r>
          </w:p>
          <w:p w:rsidR="00390161" w:rsidRPr="00A935AA" w:rsidRDefault="00390161" w:rsidP="00741DC5">
            <w:pPr>
              <w:tabs>
                <w:tab w:val="left" w:pos="-1440"/>
                <w:tab w:val="left" w:pos="-720"/>
              </w:tabs>
              <w:rPr>
                <w:sz w:val="20"/>
                <w:szCs w:val="20"/>
              </w:rPr>
            </w:pPr>
            <w:r w:rsidRPr="00A935AA">
              <w:rPr>
                <w:sz w:val="20"/>
                <w:szCs w:val="20"/>
              </w:rPr>
              <w:tab/>
            </w:r>
            <w:r>
              <w:rPr>
                <w:sz w:val="20"/>
                <w:szCs w:val="20"/>
              </w:rPr>
              <w:t>Amy Alyea</w:t>
            </w:r>
          </w:p>
          <w:p w:rsidR="00390161" w:rsidRPr="00A935AA" w:rsidRDefault="00390161" w:rsidP="00741DC5">
            <w:pPr>
              <w:tabs>
                <w:tab w:val="left" w:pos="-1440"/>
                <w:tab w:val="left" w:pos="-720"/>
              </w:tabs>
              <w:rPr>
                <w:sz w:val="20"/>
                <w:szCs w:val="20"/>
              </w:rPr>
            </w:pPr>
            <w:r w:rsidRPr="00A935AA">
              <w:rPr>
                <w:sz w:val="20"/>
                <w:szCs w:val="20"/>
              </w:rPr>
              <w:tab/>
            </w:r>
            <w:r>
              <w:rPr>
                <w:sz w:val="20"/>
                <w:szCs w:val="20"/>
              </w:rPr>
              <w:t>A.G. of Ontario</w:t>
            </w:r>
          </w:p>
          <w:p w:rsidR="00390161" w:rsidRPr="00A935AA" w:rsidRDefault="00390161" w:rsidP="00741DC5">
            <w:pPr>
              <w:tabs>
                <w:tab w:val="left" w:pos="-1440"/>
                <w:tab w:val="left" w:pos="-720"/>
              </w:tabs>
              <w:rPr>
                <w:sz w:val="20"/>
                <w:szCs w:val="20"/>
              </w:rPr>
            </w:pPr>
          </w:p>
          <w:p w:rsidR="00390161" w:rsidRPr="00A935AA" w:rsidRDefault="00390161" w:rsidP="00741DC5">
            <w:pPr>
              <w:rPr>
                <w:sz w:val="20"/>
                <w:szCs w:val="20"/>
              </w:rPr>
            </w:pPr>
            <w:r w:rsidRPr="00A935AA">
              <w:rPr>
                <w:sz w:val="20"/>
                <w:szCs w:val="20"/>
              </w:rPr>
              <w:t xml:space="preserve">FILING DATE: </w:t>
            </w:r>
            <w:r>
              <w:rPr>
                <w:sz w:val="20"/>
                <w:szCs w:val="20"/>
              </w:rPr>
              <w:t>30</w:t>
            </w:r>
            <w:r w:rsidRPr="00A935AA">
              <w:rPr>
                <w:sz w:val="20"/>
                <w:szCs w:val="20"/>
              </w:rPr>
              <w:t>.</w:t>
            </w:r>
            <w:r>
              <w:rPr>
                <w:sz w:val="20"/>
                <w:szCs w:val="20"/>
              </w:rPr>
              <w:t>06</w:t>
            </w:r>
            <w:r w:rsidRPr="00A935AA">
              <w:rPr>
                <w:sz w:val="20"/>
                <w:szCs w:val="20"/>
              </w:rPr>
              <w:t>.201</w:t>
            </w:r>
            <w:r>
              <w:rPr>
                <w:sz w:val="20"/>
                <w:szCs w:val="20"/>
              </w:rPr>
              <w:t>1</w:t>
            </w:r>
          </w:p>
          <w:p w:rsidR="00390161" w:rsidRPr="00AB6711" w:rsidRDefault="00460701" w:rsidP="00741DC5">
            <w:pPr>
              <w:rPr>
                <w:sz w:val="20"/>
                <w:szCs w:val="20"/>
                <w:lang w:val="fr-CA"/>
              </w:rPr>
            </w:pPr>
            <w:r w:rsidRPr="00460701">
              <w:rPr>
                <w:sz w:val="20"/>
                <w:szCs w:val="20"/>
                <w:lang w:val="fr-CA"/>
              </w:rPr>
              <w:pict>
                <v:rect id="_x0000_i1027" style="width:108pt;height:1pt" o:hrpct="0" o:hralign="center" o:hrstd="t" o:hrnoshade="t" o:hr="t" fillcolor="black [3213]" stroked="f"/>
              </w:pict>
            </w:r>
          </w:p>
        </w:tc>
        <w:tc>
          <w:tcPr>
            <w:tcW w:w="1181" w:type="dxa"/>
            <w:shd w:val="clear" w:color="auto" w:fill="auto"/>
          </w:tcPr>
          <w:p w:rsidR="00390161" w:rsidRDefault="00390161" w:rsidP="00741DC5">
            <w:pPr>
              <w:jc w:val="center"/>
              <w:rPr>
                <w:sz w:val="20"/>
                <w:szCs w:val="20"/>
              </w:rPr>
            </w:pPr>
          </w:p>
          <w:p w:rsidR="00390161" w:rsidRDefault="00390161" w:rsidP="00741DC5">
            <w:pPr>
              <w:jc w:val="center"/>
              <w:rPr>
                <w:sz w:val="20"/>
                <w:szCs w:val="20"/>
              </w:rPr>
            </w:pPr>
          </w:p>
          <w:p w:rsidR="00390161" w:rsidRDefault="00390161" w:rsidP="00741DC5">
            <w:pPr>
              <w:jc w:val="center"/>
              <w:rPr>
                <w:sz w:val="20"/>
                <w:szCs w:val="20"/>
              </w:rPr>
            </w:pPr>
          </w:p>
          <w:p w:rsidR="00390161" w:rsidRDefault="00390161" w:rsidP="00741DC5">
            <w:pPr>
              <w:jc w:val="center"/>
              <w:rPr>
                <w:sz w:val="20"/>
                <w:szCs w:val="20"/>
              </w:rPr>
            </w:pPr>
          </w:p>
          <w:p w:rsidR="00390161" w:rsidRDefault="00390161" w:rsidP="00741DC5">
            <w:pPr>
              <w:jc w:val="center"/>
              <w:rPr>
                <w:sz w:val="20"/>
                <w:szCs w:val="20"/>
              </w:rPr>
            </w:pPr>
          </w:p>
          <w:p w:rsidR="00390161" w:rsidRDefault="00390161" w:rsidP="00741DC5">
            <w:pPr>
              <w:jc w:val="center"/>
              <w:rPr>
                <w:sz w:val="20"/>
                <w:szCs w:val="20"/>
              </w:rPr>
            </w:pPr>
          </w:p>
          <w:p w:rsidR="00390161" w:rsidRDefault="00390161" w:rsidP="00741DC5">
            <w:pPr>
              <w:jc w:val="center"/>
              <w:rPr>
                <w:sz w:val="20"/>
                <w:szCs w:val="20"/>
              </w:rPr>
            </w:pPr>
          </w:p>
          <w:p w:rsidR="00390161" w:rsidRDefault="00390161" w:rsidP="00741DC5">
            <w:pPr>
              <w:jc w:val="center"/>
              <w:rPr>
                <w:sz w:val="20"/>
                <w:szCs w:val="20"/>
              </w:rPr>
            </w:pPr>
          </w:p>
          <w:p w:rsidR="00390161" w:rsidRDefault="00390161" w:rsidP="00741DC5">
            <w:pPr>
              <w:jc w:val="center"/>
              <w:rPr>
                <w:sz w:val="20"/>
                <w:szCs w:val="20"/>
              </w:rPr>
            </w:pPr>
          </w:p>
          <w:p w:rsidR="00390161" w:rsidRDefault="00390161" w:rsidP="00741DC5">
            <w:pPr>
              <w:jc w:val="center"/>
              <w:rPr>
                <w:sz w:val="20"/>
                <w:szCs w:val="20"/>
              </w:rPr>
            </w:pPr>
          </w:p>
          <w:p w:rsidR="00390161" w:rsidRDefault="00390161" w:rsidP="00741DC5">
            <w:pPr>
              <w:jc w:val="center"/>
              <w:rPr>
                <w:sz w:val="20"/>
                <w:szCs w:val="20"/>
              </w:rPr>
            </w:pPr>
          </w:p>
          <w:p w:rsidR="00390161" w:rsidRPr="00A935AA" w:rsidRDefault="00390161" w:rsidP="00741DC5">
            <w:pPr>
              <w:jc w:val="center"/>
              <w:rPr>
                <w:sz w:val="20"/>
                <w:szCs w:val="20"/>
              </w:rPr>
            </w:pPr>
          </w:p>
        </w:tc>
        <w:tc>
          <w:tcPr>
            <w:tcW w:w="4320" w:type="dxa"/>
            <w:shd w:val="clear" w:color="auto" w:fill="auto"/>
          </w:tcPr>
          <w:p w:rsidR="00390161" w:rsidRPr="00A935AA" w:rsidRDefault="00390161" w:rsidP="00741DC5">
            <w:pPr>
              <w:keepNext/>
              <w:keepLines/>
              <w:tabs>
                <w:tab w:val="left" w:pos="-1440"/>
                <w:tab w:val="left" w:pos="-720"/>
              </w:tabs>
              <w:rPr>
                <w:b/>
                <w:sz w:val="20"/>
                <w:szCs w:val="20"/>
              </w:rPr>
            </w:pPr>
            <w:r>
              <w:rPr>
                <w:b/>
                <w:sz w:val="20"/>
                <w:szCs w:val="20"/>
              </w:rPr>
              <w:t>Kelvin Kingsbury Purdy</w:t>
            </w:r>
          </w:p>
          <w:p w:rsidR="00390161" w:rsidRPr="00A935AA" w:rsidRDefault="00390161" w:rsidP="00741DC5">
            <w:pPr>
              <w:keepNext/>
              <w:keepLines/>
              <w:tabs>
                <w:tab w:val="left" w:pos="-1440"/>
                <w:tab w:val="left" w:pos="-720"/>
              </w:tabs>
              <w:rPr>
                <w:sz w:val="20"/>
                <w:szCs w:val="20"/>
              </w:rPr>
            </w:pPr>
            <w:r w:rsidRPr="00A935AA">
              <w:rPr>
                <w:sz w:val="20"/>
                <w:szCs w:val="20"/>
              </w:rPr>
              <w:tab/>
            </w:r>
            <w:r>
              <w:rPr>
                <w:sz w:val="20"/>
                <w:szCs w:val="20"/>
              </w:rPr>
              <w:t>Kelvin Kingsbury Purdy</w:t>
            </w:r>
          </w:p>
          <w:p w:rsidR="00390161" w:rsidRPr="00A935AA" w:rsidRDefault="00390161" w:rsidP="00741DC5">
            <w:pPr>
              <w:keepNext/>
              <w:keepLines/>
              <w:tabs>
                <w:tab w:val="left" w:pos="-1440"/>
                <w:tab w:val="left" w:pos="-720"/>
              </w:tabs>
              <w:rPr>
                <w:sz w:val="20"/>
                <w:szCs w:val="20"/>
              </w:rPr>
            </w:pPr>
          </w:p>
          <w:p w:rsidR="00390161" w:rsidRPr="00561C1C" w:rsidRDefault="00390161" w:rsidP="00741DC5">
            <w:pPr>
              <w:keepNext/>
              <w:keepLines/>
              <w:tabs>
                <w:tab w:val="left" w:pos="-1440"/>
                <w:tab w:val="left" w:pos="-720"/>
              </w:tabs>
              <w:rPr>
                <w:sz w:val="20"/>
                <w:szCs w:val="20"/>
              </w:rPr>
            </w:pPr>
            <w:r w:rsidRPr="00A935AA">
              <w:rPr>
                <w:sz w:val="20"/>
                <w:szCs w:val="20"/>
              </w:rPr>
              <w:tab/>
            </w:r>
            <w:r w:rsidRPr="00561C1C">
              <w:rPr>
                <w:sz w:val="20"/>
                <w:szCs w:val="20"/>
              </w:rPr>
              <w:t>v. (34</w:t>
            </w:r>
            <w:r>
              <w:rPr>
                <w:sz w:val="20"/>
                <w:szCs w:val="20"/>
              </w:rPr>
              <w:t>391</w:t>
            </w:r>
            <w:r w:rsidRPr="00561C1C">
              <w:rPr>
                <w:sz w:val="20"/>
                <w:szCs w:val="20"/>
              </w:rPr>
              <w:t>)</w:t>
            </w:r>
          </w:p>
          <w:p w:rsidR="00390161" w:rsidRPr="00561C1C" w:rsidRDefault="00390161" w:rsidP="00741DC5">
            <w:pPr>
              <w:keepNext/>
              <w:keepLines/>
              <w:tabs>
                <w:tab w:val="left" w:pos="-1440"/>
                <w:tab w:val="left" w:pos="-720"/>
              </w:tabs>
              <w:rPr>
                <w:sz w:val="20"/>
                <w:szCs w:val="20"/>
              </w:rPr>
            </w:pPr>
          </w:p>
          <w:p w:rsidR="00390161" w:rsidRPr="00561C1C" w:rsidRDefault="00390161" w:rsidP="00741DC5">
            <w:pPr>
              <w:keepNext/>
              <w:keepLines/>
              <w:tabs>
                <w:tab w:val="left" w:pos="-1440"/>
                <w:tab w:val="left" w:pos="-720"/>
              </w:tabs>
              <w:rPr>
                <w:b/>
                <w:sz w:val="20"/>
                <w:szCs w:val="20"/>
              </w:rPr>
            </w:pPr>
            <w:r>
              <w:rPr>
                <w:b/>
                <w:sz w:val="20"/>
                <w:szCs w:val="20"/>
              </w:rPr>
              <w:t xml:space="preserve">Her Majesty the Queen </w:t>
            </w:r>
            <w:r w:rsidRPr="00561C1C">
              <w:rPr>
                <w:b/>
                <w:sz w:val="20"/>
                <w:szCs w:val="20"/>
              </w:rPr>
              <w:t>(</w:t>
            </w:r>
            <w:r>
              <w:rPr>
                <w:b/>
                <w:sz w:val="20"/>
                <w:szCs w:val="20"/>
              </w:rPr>
              <w:t>B.C.</w:t>
            </w:r>
            <w:r w:rsidRPr="00561C1C">
              <w:rPr>
                <w:b/>
                <w:sz w:val="20"/>
                <w:szCs w:val="20"/>
              </w:rPr>
              <w:t>)</w:t>
            </w:r>
          </w:p>
          <w:p w:rsidR="00390161" w:rsidRPr="00561C1C" w:rsidRDefault="00390161" w:rsidP="00741DC5">
            <w:pPr>
              <w:keepNext/>
              <w:keepLines/>
              <w:tabs>
                <w:tab w:val="left" w:pos="-1440"/>
                <w:tab w:val="left" w:pos="-720"/>
              </w:tabs>
              <w:rPr>
                <w:sz w:val="20"/>
                <w:szCs w:val="20"/>
              </w:rPr>
            </w:pPr>
            <w:r w:rsidRPr="00561C1C">
              <w:rPr>
                <w:sz w:val="20"/>
                <w:szCs w:val="20"/>
              </w:rPr>
              <w:tab/>
            </w:r>
            <w:r>
              <w:rPr>
                <w:sz w:val="20"/>
                <w:szCs w:val="20"/>
              </w:rPr>
              <w:t>Kenneth D. Madsen</w:t>
            </w:r>
          </w:p>
          <w:p w:rsidR="00390161" w:rsidRPr="00561C1C" w:rsidRDefault="00390161" w:rsidP="00741DC5">
            <w:pPr>
              <w:keepNext/>
              <w:keepLines/>
              <w:tabs>
                <w:tab w:val="left" w:pos="-1440"/>
                <w:tab w:val="left" w:pos="-720"/>
              </w:tabs>
              <w:rPr>
                <w:sz w:val="20"/>
                <w:szCs w:val="20"/>
              </w:rPr>
            </w:pPr>
            <w:r w:rsidRPr="00561C1C">
              <w:rPr>
                <w:sz w:val="20"/>
                <w:szCs w:val="20"/>
              </w:rPr>
              <w:tab/>
            </w:r>
            <w:r>
              <w:rPr>
                <w:sz w:val="20"/>
                <w:szCs w:val="20"/>
              </w:rPr>
              <w:t>A.G. of British Columbia</w:t>
            </w:r>
          </w:p>
          <w:p w:rsidR="00390161" w:rsidRPr="00561C1C" w:rsidRDefault="00390161" w:rsidP="00741DC5">
            <w:pPr>
              <w:keepNext/>
              <w:keepLines/>
              <w:tabs>
                <w:tab w:val="left" w:pos="-1440"/>
                <w:tab w:val="left" w:pos="-720"/>
              </w:tabs>
              <w:rPr>
                <w:sz w:val="20"/>
                <w:szCs w:val="20"/>
              </w:rPr>
            </w:pPr>
          </w:p>
          <w:p w:rsidR="00390161" w:rsidRPr="00AB6711" w:rsidRDefault="00390161" w:rsidP="00741DC5">
            <w:pPr>
              <w:keepNext/>
              <w:keepLines/>
              <w:tabs>
                <w:tab w:val="left" w:pos="-1440"/>
                <w:tab w:val="left" w:pos="-720"/>
              </w:tabs>
              <w:rPr>
                <w:sz w:val="20"/>
                <w:szCs w:val="20"/>
              </w:rPr>
            </w:pPr>
            <w:r w:rsidRPr="00A935AA">
              <w:rPr>
                <w:sz w:val="20"/>
                <w:szCs w:val="20"/>
              </w:rPr>
              <w:t>FILING DATE: 2</w:t>
            </w:r>
            <w:r>
              <w:rPr>
                <w:sz w:val="20"/>
                <w:szCs w:val="20"/>
              </w:rPr>
              <w:t>2</w:t>
            </w:r>
            <w:r w:rsidRPr="00A935AA">
              <w:rPr>
                <w:sz w:val="20"/>
                <w:szCs w:val="20"/>
              </w:rPr>
              <w:t>.0</w:t>
            </w:r>
            <w:r>
              <w:rPr>
                <w:sz w:val="20"/>
                <w:szCs w:val="20"/>
              </w:rPr>
              <w:t>7</w:t>
            </w:r>
            <w:r w:rsidRPr="00A935AA">
              <w:rPr>
                <w:sz w:val="20"/>
                <w:szCs w:val="20"/>
              </w:rPr>
              <w:t>.201</w:t>
            </w:r>
            <w:r>
              <w:rPr>
                <w:sz w:val="20"/>
                <w:szCs w:val="20"/>
              </w:rPr>
              <w:t>1</w:t>
            </w:r>
            <w:r w:rsidR="00460701" w:rsidRPr="00460701">
              <w:rPr>
                <w:sz w:val="20"/>
                <w:szCs w:val="20"/>
                <w:lang w:val="fr-CA"/>
              </w:rPr>
              <w:pict>
                <v:rect id="_x0000_i1028" style="width:108pt;height:1pt" o:hrpct="0" o:hralign="center" o:hrstd="t" o:hrnoshade="t" o:hr="t" fillcolor="black [3213]" stroked="f"/>
              </w:pict>
            </w:r>
          </w:p>
        </w:tc>
      </w:tr>
      <w:tr w:rsidR="00390161" w:rsidRPr="00A935AA" w:rsidTr="00741DC5">
        <w:tc>
          <w:tcPr>
            <w:tcW w:w="4320" w:type="dxa"/>
            <w:shd w:val="clear" w:color="auto" w:fill="auto"/>
          </w:tcPr>
          <w:p w:rsidR="00390161" w:rsidRPr="00A935AA" w:rsidRDefault="00390161" w:rsidP="00741DC5">
            <w:pPr>
              <w:rPr>
                <w:b/>
                <w:sz w:val="20"/>
                <w:szCs w:val="20"/>
              </w:rPr>
            </w:pPr>
            <w:r>
              <w:rPr>
                <w:b/>
                <w:sz w:val="20"/>
                <w:szCs w:val="20"/>
              </w:rPr>
              <w:t>V.L.</w:t>
            </w:r>
          </w:p>
          <w:p w:rsidR="00390161" w:rsidRPr="00A935AA" w:rsidRDefault="00390161" w:rsidP="00741DC5">
            <w:pPr>
              <w:tabs>
                <w:tab w:val="left" w:pos="-1440"/>
                <w:tab w:val="left" w:pos="-720"/>
              </w:tabs>
              <w:rPr>
                <w:sz w:val="20"/>
                <w:szCs w:val="20"/>
              </w:rPr>
            </w:pPr>
            <w:r w:rsidRPr="00A935AA">
              <w:rPr>
                <w:sz w:val="20"/>
                <w:szCs w:val="20"/>
              </w:rPr>
              <w:tab/>
            </w:r>
            <w:r>
              <w:rPr>
                <w:sz w:val="20"/>
                <w:szCs w:val="20"/>
              </w:rPr>
              <w:t>V.L.</w:t>
            </w:r>
          </w:p>
          <w:p w:rsidR="00390161" w:rsidRPr="00A935AA" w:rsidRDefault="00390161" w:rsidP="00741DC5">
            <w:pPr>
              <w:tabs>
                <w:tab w:val="left" w:pos="-1440"/>
                <w:tab w:val="left" w:pos="-720"/>
              </w:tabs>
              <w:rPr>
                <w:sz w:val="20"/>
                <w:szCs w:val="20"/>
              </w:rPr>
            </w:pPr>
          </w:p>
          <w:p w:rsidR="00390161" w:rsidRPr="00A935AA" w:rsidRDefault="00390161" w:rsidP="00741DC5">
            <w:pPr>
              <w:tabs>
                <w:tab w:val="left" w:pos="-1440"/>
                <w:tab w:val="left" w:pos="-720"/>
              </w:tabs>
              <w:rPr>
                <w:sz w:val="20"/>
                <w:szCs w:val="20"/>
              </w:rPr>
            </w:pPr>
            <w:r w:rsidRPr="00A935AA">
              <w:rPr>
                <w:sz w:val="20"/>
                <w:szCs w:val="20"/>
              </w:rPr>
              <w:tab/>
              <w:t>v. (3</w:t>
            </w:r>
            <w:r>
              <w:rPr>
                <w:sz w:val="20"/>
                <w:szCs w:val="20"/>
              </w:rPr>
              <w:t>4361</w:t>
            </w:r>
            <w:r w:rsidRPr="00A935AA">
              <w:rPr>
                <w:sz w:val="20"/>
                <w:szCs w:val="20"/>
              </w:rPr>
              <w:t>)</w:t>
            </w:r>
          </w:p>
          <w:p w:rsidR="00390161" w:rsidRPr="00A935AA" w:rsidRDefault="00390161" w:rsidP="00741DC5">
            <w:pPr>
              <w:tabs>
                <w:tab w:val="left" w:pos="-1440"/>
                <w:tab w:val="left" w:pos="-720"/>
              </w:tabs>
              <w:rPr>
                <w:sz w:val="20"/>
                <w:szCs w:val="20"/>
              </w:rPr>
            </w:pPr>
          </w:p>
          <w:p w:rsidR="00390161" w:rsidRPr="00A935AA" w:rsidRDefault="00390161" w:rsidP="00741DC5">
            <w:pPr>
              <w:tabs>
                <w:tab w:val="left" w:pos="-1440"/>
                <w:tab w:val="left" w:pos="-720"/>
              </w:tabs>
              <w:rPr>
                <w:b/>
                <w:sz w:val="20"/>
                <w:szCs w:val="20"/>
              </w:rPr>
            </w:pPr>
            <w:r>
              <w:rPr>
                <w:b/>
                <w:sz w:val="20"/>
                <w:szCs w:val="20"/>
              </w:rPr>
              <w:t xml:space="preserve">B.A.J. </w:t>
            </w:r>
            <w:r w:rsidRPr="00A935AA">
              <w:rPr>
                <w:b/>
                <w:sz w:val="20"/>
                <w:szCs w:val="20"/>
              </w:rPr>
              <w:t>(B.C.)</w:t>
            </w:r>
          </w:p>
          <w:p w:rsidR="00390161" w:rsidRPr="00A935AA" w:rsidRDefault="00390161" w:rsidP="00741DC5">
            <w:pPr>
              <w:tabs>
                <w:tab w:val="left" w:pos="-1440"/>
                <w:tab w:val="left" w:pos="-720"/>
              </w:tabs>
              <w:rPr>
                <w:sz w:val="20"/>
                <w:szCs w:val="20"/>
              </w:rPr>
            </w:pPr>
            <w:r w:rsidRPr="00A935AA">
              <w:rPr>
                <w:sz w:val="20"/>
                <w:szCs w:val="20"/>
              </w:rPr>
              <w:tab/>
            </w:r>
            <w:r>
              <w:rPr>
                <w:sz w:val="20"/>
                <w:szCs w:val="20"/>
              </w:rPr>
              <w:t>B.A.J.</w:t>
            </w:r>
          </w:p>
          <w:p w:rsidR="00390161" w:rsidRPr="00A935AA" w:rsidRDefault="00390161" w:rsidP="00741DC5">
            <w:pPr>
              <w:tabs>
                <w:tab w:val="left" w:pos="-1440"/>
                <w:tab w:val="left" w:pos="-720"/>
              </w:tabs>
              <w:rPr>
                <w:sz w:val="20"/>
                <w:szCs w:val="20"/>
              </w:rPr>
            </w:pPr>
          </w:p>
          <w:p w:rsidR="00390161" w:rsidRPr="00A935AA" w:rsidRDefault="00390161" w:rsidP="00741DC5">
            <w:pPr>
              <w:rPr>
                <w:sz w:val="20"/>
                <w:szCs w:val="20"/>
              </w:rPr>
            </w:pPr>
            <w:r w:rsidRPr="00A935AA">
              <w:rPr>
                <w:sz w:val="20"/>
                <w:szCs w:val="20"/>
              </w:rPr>
              <w:t>FILING DATE: 2</w:t>
            </w:r>
            <w:r>
              <w:rPr>
                <w:sz w:val="20"/>
                <w:szCs w:val="20"/>
              </w:rPr>
              <w:t>8</w:t>
            </w:r>
            <w:r w:rsidRPr="00A935AA">
              <w:rPr>
                <w:sz w:val="20"/>
                <w:szCs w:val="20"/>
              </w:rPr>
              <w:t>.</w:t>
            </w:r>
            <w:r>
              <w:rPr>
                <w:sz w:val="20"/>
                <w:szCs w:val="20"/>
              </w:rPr>
              <w:t>07</w:t>
            </w:r>
            <w:r w:rsidRPr="00A935AA">
              <w:rPr>
                <w:sz w:val="20"/>
                <w:szCs w:val="20"/>
              </w:rPr>
              <w:t>.201</w:t>
            </w:r>
            <w:r>
              <w:rPr>
                <w:sz w:val="20"/>
                <w:szCs w:val="20"/>
              </w:rPr>
              <w:t>1</w:t>
            </w:r>
          </w:p>
          <w:p w:rsidR="00390161" w:rsidRDefault="00460701" w:rsidP="00741DC5">
            <w:pPr>
              <w:rPr>
                <w:sz w:val="20"/>
                <w:szCs w:val="20"/>
                <w:lang w:val="fr-CA"/>
              </w:rPr>
            </w:pPr>
            <w:r w:rsidRPr="00460701">
              <w:rPr>
                <w:sz w:val="20"/>
                <w:szCs w:val="20"/>
                <w:lang w:val="fr-CA"/>
              </w:rPr>
              <w:pict>
                <v:rect id="_x0000_i1029" style="width:108pt;height:1pt" o:hrpct="0" o:hralign="center" o:hrstd="t" o:hrnoshade="t" o:hr="t" fillcolor="black [3213]" stroked="f"/>
              </w:pict>
            </w:r>
          </w:p>
          <w:p w:rsidR="00390161" w:rsidRDefault="00390161" w:rsidP="00741DC5">
            <w:pPr>
              <w:rPr>
                <w:sz w:val="20"/>
                <w:szCs w:val="20"/>
                <w:lang w:val="fr-CA"/>
              </w:rPr>
            </w:pPr>
          </w:p>
          <w:p w:rsidR="00390161" w:rsidRPr="00774029" w:rsidRDefault="00390161" w:rsidP="00741DC5">
            <w:pPr>
              <w:rPr>
                <w:b/>
                <w:sz w:val="20"/>
                <w:szCs w:val="20"/>
                <w:lang w:val="fr-CA"/>
              </w:rPr>
            </w:pPr>
            <w:r>
              <w:rPr>
                <w:b/>
                <w:sz w:val="20"/>
                <w:szCs w:val="20"/>
                <w:lang w:val="fr-CA"/>
              </w:rPr>
              <w:t>Maxine Collins</w:t>
            </w:r>
          </w:p>
          <w:p w:rsidR="00390161" w:rsidRPr="00A935AA" w:rsidRDefault="00390161" w:rsidP="00741DC5">
            <w:pPr>
              <w:rPr>
                <w:sz w:val="20"/>
                <w:szCs w:val="20"/>
              </w:rPr>
            </w:pPr>
            <w:r>
              <w:rPr>
                <w:sz w:val="20"/>
                <w:szCs w:val="20"/>
              </w:rPr>
              <w:tab/>
              <w:t>Maxine Collins</w:t>
            </w:r>
          </w:p>
        </w:tc>
        <w:tc>
          <w:tcPr>
            <w:tcW w:w="1181" w:type="dxa"/>
            <w:shd w:val="clear" w:color="auto" w:fill="auto"/>
          </w:tcPr>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tc>
        <w:tc>
          <w:tcPr>
            <w:tcW w:w="4320" w:type="dxa"/>
            <w:shd w:val="clear" w:color="auto" w:fill="auto"/>
          </w:tcPr>
          <w:p w:rsidR="00390161" w:rsidRPr="00A935AA" w:rsidRDefault="00390161" w:rsidP="00741DC5">
            <w:pPr>
              <w:keepNext/>
              <w:keepLines/>
              <w:tabs>
                <w:tab w:val="left" w:pos="-1440"/>
                <w:tab w:val="left" w:pos="-720"/>
              </w:tabs>
              <w:rPr>
                <w:b/>
                <w:sz w:val="20"/>
                <w:szCs w:val="20"/>
              </w:rPr>
            </w:pPr>
            <w:r>
              <w:rPr>
                <w:b/>
                <w:sz w:val="20"/>
                <w:szCs w:val="20"/>
              </w:rPr>
              <w:t>K.L.K.</w:t>
            </w:r>
          </w:p>
          <w:p w:rsidR="00390161" w:rsidRPr="00A935AA" w:rsidRDefault="00390161" w:rsidP="00741DC5">
            <w:pPr>
              <w:keepNext/>
              <w:keepLines/>
              <w:tabs>
                <w:tab w:val="left" w:pos="-1440"/>
                <w:tab w:val="left" w:pos="-720"/>
              </w:tabs>
              <w:rPr>
                <w:sz w:val="20"/>
                <w:szCs w:val="20"/>
              </w:rPr>
            </w:pPr>
            <w:r w:rsidRPr="00A935AA">
              <w:rPr>
                <w:sz w:val="20"/>
                <w:szCs w:val="20"/>
              </w:rPr>
              <w:tab/>
            </w:r>
            <w:r>
              <w:rPr>
                <w:sz w:val="20"/>
                <w:szCs w:val="20"/>
              </w:rPr>
              <w:t>Thomas J. Johnston</w:t>
            </w:r>
          </w:p>
          <w:p w:rsidR="00390161" w:rsidRPr="00A935AA" w:rsidRDefault="00390161" w:rsidP="00741DC5">
            <w:pPr>
              <w:keepNext/>
              <w:keepLines/>
              <w:tabs>
                <w:tab w:val="left" w:pos="-1440"/>
                <w:tab w:val="left" w:pos="-720"/>
              </w:tabs>
              <w:rPr>
                <w:sz w:val="20"/>
                <w:szCs w:val="20"/>
              </w:rPr>
            </w:pPr>
            <w:r w:rsidRPr="00A935AA">
              <w:rPr>
                <w:sz w:val="20"/>
                <w:szCs w:val="20"/>
              </w:rPr>
              <w:tab/>
            </w:r>
            <w:r>
              <w:rPr>
                <w:sz w:val="20"/>
                <w:szCs w:val="20"/>
              </w:rPr>
              <w:t>Johnston, Johnson &amp; Company</w:t>
            </w:r>
          </w:p>
          <w:p w:rsidR="00390161" w:rsidRPr="00A935AA" w:rsidRDefault="00390161" w:rsidP="00741DC5">
            <w:pPr>
              <w:keepNext/>
              <w:keepLines/>
              <w:tabs>
                <w:tab w:val="left" w:pos="-1440"/>
                <w:tab w:val="left" w:pos="-720"/>
              </w:tabs>
              <w:rPr>
                <w:sz w:val="20"/>
                <w:szCs w:val="20"/>
              </w:rPr>
            </w:pPr>
          </w:p>
          <w:p w:rsidR="00390161" w:rsidRPr="00561C1C" w:rsidRDefault="00390161" w:rsidP="00741DC5">
            <w:pPr>
              <w:keepNext/>
              <w:keepLines/>
              <w:tabs>
                <w:tab w:val="left" w:pos="-1440"/>
                <w:tab w:val="left" w:pos="-720"/>
              </w:tabs>
              <w:rPr>
                <w:sz w:val="20"/>
                <w:szCs w:val="20"/>
              </w:rPr>
            </w:pPr>
            <w:r w:rsidRPr="00A935AA">
              <w:rPr>
                <w:sz w:val="20"/>
                <w:szCs w:val="20"/>
              </w:rPr>
              <w:tab/>
            </w:r>
            <w:r w:rsidRPr="00561C1C">
              <w:rPr>
                <w:sz w:val="20"/>
                <w:szCs w:val="20"/>
              </w:rPr>
              <w:t>v. (34</w:t>
            </w:r>
            <w:r>
              <w:rPr>
                <w:sz w:val="20"/>
                <w:szCs w:val="20"/>
              </w:rPr>
              <w:t>431</w:t>
            </w:r>
            <w:r w:rsidRPr="00561C1C">
              <w:rPr>
                <w:sz w:val="20"/>
                <w:szCs w:val="20"/>
              </w:rPr>
              <w:t>)</w:t>
            </w:r>
          </w:p>
          <w:p w:rsidR="00390161" w:rsidRPr="00561C1C" w:rsidRDefault="00390161" w:rsidP="00741DC5">
            <w:pPr>
              <w:keepNext/>
              <w:keepLines/>
              <w:tabs>
                <w:tab w:val="left" w:pos="-1440"/>
                <w:tab w:val="left" w:pos="-720"/>
              </w:tabs>
              <w:rPr>
                <w:sz w:val="20"/>
                <w:szCs w:val="20"/>
              </w:rPr>
            </w:pPr>
          </w:p>
          <w:p w:rsidR="00390161" w:rsidRPr="00561C1C" w:rsidRDefault="00390161" w:rsidP="00741DC5">
            <w:pPr>
              <w:keepNext/>
              <w:keepLines/>
              <w:tabs>
                <w:tab w:val="left" w:pos="-1440"/>
                <w:tab w:val="left" w:pos="-720"/>
              </w:tabs>
              <w:rPr>
                <w:b/>
                <w:sz w:val="20"/>
                <w:szCs w:val="20"/>
              </w:rPr>
            </w:pPr>
            <w:r>
              <w:rPr>
                <w:b/>
                <w:sz w:val="20"/>
                <w:szCs w:val="20"/>
              </w:rPr>
              <w:t xml:space="preserve">E.J.G.K. </w:t>
            </w:r>
            <w:r w:rsidRPr="00561C1C">
              <w:rPr>
                <w:b/>
                <w:sz w:val="20"/>
                <w:szCs w:val="20"/>
              </w:rPr>
              <w:t>(</w:t>
            </w:r>
            <w:r>
              <w:rPr>
                <w:b/>
                <w:sz w:val="20"/>
                <w:szCs w:val="20"/>
              </w:rPr>
              <w:t>B.C.</w:t>
            </w:r>
            <w:r w:rsidRPr="00561C1C">
              <w:rPr>
                <w:b/>
                <w:sz w:val="20"/>
                <w:szCs w:val="20"/>
              </w:rPr>
              <w:t>)</w:t>
            </w:r>
          </w:p>
          <w:p w:rsidR="00390161" w:rsidRPr="00561C1C" w:rsidRDefault="00390161" w:rsidP="00741DC5">
            <w:pPr>
              <w:keepNext/>
              <w:keepLines/>
              <w:tabs>
                <w:tab w:val="left" w:pos="-1440"/>
                <w:tab w:val="left" w:pos="-720"/>
              </w:tabs>
              <w:rPr>
                <w:sz w:val="20"/>
                <w:szCs w:val="20"/>
              </w:rPr>
            </w:pPr>
            <w:r w:rsidRPr="00561C1C">
              <w:rPr>
                <w:sz w:val="20"/>
                <w:szCs w:val="20"/>
              </w:rPr>
              <w:tab/>
            </w:r>
            <w:r>
              <w:rPr>
                <w:sz w:val="20"/>
                <w:szCs w:val="20"/>
              </w:rPr>
              <w:t>Valerie J. Bonga</w:t>
            </w:r>
          </w:p>
          <w:p w:rsidR="00390161" w:rsidRPr="00561C1C" w:rsidRDefault="00390161" w:rsidP="00741DC5">
            <w:pPr>
              <w:keepNext/>
              <w:keepLines/>
              <w:tabs>
                <w:tab w:val="left" w:pos="-1440"/>
                <w:tab w:val="left" w:pos="-720"/>
              </w:tabs>
              <w:rPr>
                <w:sz w:val="20"/>
                <w:szCs w:val="20"/>
              </w:rPr>
            </w:pPr>
            <w:r w:rsidRPr="00561C1C">
              <w:rPr>
                <w:sz w:val="20"/>
                <w:szCs w:val="20"/>
              </w:rPr>
              <w:tab/>
            </w:r>
            <w:r>
              <w:rPr>
                <w:sz w:val="20"/>
                <w:szCs w:val="20"/>
              </w:rPr>
              <w:t>Zaseybida, Bonga</w:t>
            </w:r>
          </w:p>
          <w:p w:rsidR="00390161" w:rsidRPr="00561C1C" w:rsidRDefault="00390161" w:rsidP="00741DC5">
            <w:pPr>
              <w:keepNext/>
              <w:keepLines/>
              <w:tabs>
                <w:tab w:val="left" w:pos="-1440"/>
                <w:tab w:val="left" w:pos="-720"/>
              </w:tabs>
              <w:rPr>
                <w:sz w:val="20"/>
                <w:szCs w:val="20"/>
              </w:rPr>
            </w:pPr>
          </w:p>
          <w:p w:rsidR="00390161" w:rsidRPr="00A935AA" w:rsidRDefault="00390161" w:rsidP="00741DC5">
            <w:pPr>
              <w:rPr>
                <w:sz w:val="20"/>
                <w:szCs w:val="20"/>
              </w:rPr>
            </w:pPr>
            <w:r w:rsidRPr="00A935AA">
              <w:rPr>
                <w:sz w:val="20"/>
                <w:szCs w:val="20"/>
              </w:rPr>
              <w:t xml:space="preserve">FILING DATE: </w:t>
            </w:r>
            <w:r>
              <w:rPr>
                <w:sz w:val="20"/>
                <w:szCs w:val="20"/>
              </w:rPr>
              <w:t>1</w:t>
            </w:r>
            <w:r w:rsidRPr="00A935AA">
              <w:rPr>
                <w:sz w:val="20"/>
                <w:szCs w:val="20"/>
              </w:rPr>
              <w:t>2.0</w:t>
            </w:r>
            <w:r>
              <w:rPr>
                <w:sz w:val="20"/>
                <w:szCs w:val="20"/>
              </w:rPr>
              <w:t>9</w:t>
            </w:r>
            <w:r w:rsidRPr="00A935AA">
              <w:rPr>
                <w:sz w:val="20"/>
                <w:szCs w:val="20"/>
              </w:rPr>
              <w:t>.201</w:t>
            </w:r>
            <w:r>
              <w:rPr>
                <w:sz w:val="20"/>
                <w:szCs w:val="20"/>
              </w:rPr>
              <w:t>1</w:t>
            </w:r>
            <w:r w:rsidR="00460701" w:rsidRPr="00460701">
              <w:rPr>
                <w:sz w:val="20"/>
                <w:szCs w:val="20"/>
                <w:lang w:val="fr-CA"/>
              </w:rPr>
              <w:pict>
                <v:rect id="_x0000_i1030" style="width:108pt;height:1pt" o:hrpct="0" o:hralign="center" o:hrstd="t" o:hrnoshade="t" o:hr="t" fillcolor="black [3213]" stroked="f"/>
              </w:pict>
            </w:r>
          </w:p>
        </w:tc>
      </w:tr>
      <w:tr w:rsidR="00390161" w:rsidRPr="00A935AA" w:rsidTr="00741DC5">
        <w:tc>
          <w:tcPr>
            <w:tcW w:w="4320" w:type="dxa"/>
            <w:shd w:val="clear" w:color="auto" w:fill="auto"/>
          </w:tcPr>
          <w:p w:rsidR="00390161" w:rsidRPr="00A935AA" w:rsidRDefault="00390161" w:rsidP="00741DC5">
            <w:pPr>
              <w:tabs>
                <w:tab w:val="left" w:pos="-1440"/>
                <w:tab w:val="left" w:pos="-720"/>
              </w:tabs>
              <w:rPr>
                <w:sz w:val="20"/>
                <w:szCs w:val="20"/>
              </w:rPr>
            </w:pPr>
            <w:r w:rsidRPr="00A935AA">
              <w:rPr>
                <w:sz w:val="20"/>
                <w:szCs w:val="20"/>
              </w:rPr>
              <w:tab/>
            </w:r>
          </w:p>
          <w:p w:rsidR="00390161" w:rsidRPr="00A935AA" w:rsidRDefault="00390161" w:rsidP="00741DC5">
            <w:pPr>
              <w:tabs>
                <w:tab w:val="left" w:pos="-1440"/>
                <w:tab w:val="left" w:pos="-720"/>
              </w:tabs>
              <w:rPr>
                <w:sz w:val="20"/>
                <w:szCs w:val="20"/>
              </w:rPr>
            </w:pPr>
            <w:r w:rsidRPr="00A935AA">
              <w:rPr>
                <w:sz w:val="20"/>
                <w:szCs w:val="20"/>
              </w:rPr>
              <w:tab/>
              <w:t>v. (3</w:t>
            </w:r>
            <w:r>
              <w:rPr>
                <w:sz w:val="20"/>
                <w:szCs w:val="20"/>
              </w:rPr>
              <w:t>4492</w:t>
            </w:r>
            <w:r w:rsidRPr="00A935AA">
              <w:rPr>
                <w:sz w:val="20"/>
                <w:szCs w:val="20"/>
              </w:rPr>
              <w:t>)</w:t>
            </w:r>
          </w:p>
          <w:p w:rsidR="00390161" w:rsidRPr="00A935AA" w:rsidRDefault="00390161" w:rsidP="00741DC5">
            <w:pPr>
              <w:tabs>
                <w:tab w:val="left" w:pos="-1440"/>
                <w:tab w:val="left" w:pos="-720"/>
              </w:tabs>
              <w:rPr>
                <w:sz w:val="20"/>
                <w:szCs w:val="20"/>
              </w:rPr>
            </w:pPr>
          </w:p>
          <w:p w:rsidR="00390161" w:rsidRPr="00A935AA" w:rsidRDefault="00390161" w:rsidP="00741DC5">
            <w:pPr>
              <w:tabs>
                <w:tab w:val="left" w:pos="-1440"/>
                <w:tab w:val="left" w:pos="-720"/>
              </w:tabs>
              <w:rPr>
                <w:b/>
                <w:sz w:val="20"/>
                <w:szCs w:val="20"/>
              </w:rPr>
            </w:pPr>
            <w:r>
              <w:rPr>
                <w:b/>
                <w:sz w:val="20"/>
                <w:szCs w:val="20"/>
              </w:rPr>
              <w:t xml:space="preserve">Her Majesty the Queen et al. </w:t>
            </w:r>
            <w:r w:rsidRPr="00A935AA">
              <w:rPr>
                <w:b/>
                <w:sz w:val="20"/>
                <w:szCs w:val="20"/>
              </w:rPr>
              <w:t>(</w:t>
            </w:r>
            <w:r>
              <w:rPr>
                <w:b/>
                <w:sz w:val="20"/>
                <w:szCs w:val="20"/>
              </w:rPr>
              <w:t>Ont</w:t>
            </w:r>
            <w:r w:rsidRPr="00A935AA">
              <w:rPr>
                <w:b/>
                <w:sz w:val="20"/>
                <w:szCs w:val="20"/>
              </w:rPr>
              <w:t>.)</w:t>
            </w:r>
          </w:p>
          <w:p w:rsidR="00390161" w:rsidRPr="00A935AA" w:rsidRDefault="00390161" w:rsidP="00741DC5">
            <w:pPr>
              <w:tabs>
                <w:tab w:val="left" w:pos="-1440"/>
                <w:tab w:val="left" w:pos="-720"/>
              </w:tabs>
              <w:rPr>
                <w:sz w:val="20"/>
                <w:szCs w:val="20"/>
              </w:rPr>
            </w:pPr>
            <w:r w:rsidRPr="00A935AA">
              <w:rPr>
                <w:sz w:val="20"/>
                <w:szCs w:val="20"/>
              </w:rPr>
              <w:tab/>
            </w:r>
            <w:r>
              <w:rPr>
                <w:sz w:val="20"/>
                <w:szCs w:val="20"/>
              </w:rPr>
              <w:t>Shelley C. Quinn</w:t>
            </w:r>
          </w:p>
          <w:p w:rsidR="00390161" w:rsidRPr="00A935AA" w:rsidRDefault="00390161" w:rsidP="00741DC5">
            <w:pPr>
              <w:tabs>
                <w:tab w:val="left" w:pos="-1440"/>
                <w:tab w:val="left" w:pos="-720"/>
              </w:tabs>
              <w:rPr>
                <w:sz w:val="20"/>
                <w:szCs w:val="20"/>
              </w:rPr>
            </w:pPr>
            <w:r w:rsidRPr="00A935AA">
              <w:rPr>
                <w:sz w:val="20"/>
                <w:szCs w:val="20"/>
              </w:rPr>
              <w:tab/>
            </w:r>
            <w:r>
              <w:rPr>
                <w:sz w:val="20"/>
                <w:szCs w:val="20"/>
              </w:rPr>
              <w:t>A.G. of Canada</w:t>
            </w:r>
          </w:p>
          <w:p w:rsidR="00390161" w:rsidRPr="00A935AA" w:rsidRDefault="00390161" w:rsidP="00741DC5">
            <w:pPr>
              <w:tabs>
                <w:tab w:val="left" w:pos="-1440"/>
                <w:tab w:val="left" w:pos="-720"/>
              </w:tabs>
              <w:rPr>
                <w:sz w:val="20"/>
                <w:szCs w:val="20"/>
              </w:rPr>
            </w:pPr>
          </w:p>
          <w:p w:rsidR="00390161" w:rsidRPr="00A935AA" w:rsidRDefault="00390161" w:rsidP="00741DC5">
            <w:pPr>
              <w:rPr>
                <w:sz w:val="20"/>
                <w:szCs w:val="20"/>
              </w:rPr>
            </w:pPr>
            <w:r w:rsidRPr="00A935AA">
              <w:rPr>
                <w:sz w:val="20"/>
                <w:szCs w:val="20"/>
              </w:rPr>
              <w:t xml:space="preserve">FILING DATE: </w:t>
            </w:r>
            <w:r>
              <w:rPr>
                <w:sz w:val="20"/>
                <w:szCs w:val="20"/>
              </w:rPr>
              <w:t>14</w:t>
            </w:r>
            <w:r w:rsidRPr="00A935AA">
              <w:rPr>
                <w:sz w:val="20"/>
                <w:szCs w:val="20"/>
              </w:rPr>
              <w:t>.</w:t>
            </w:r>
            <w:r>
              <w:rPr>
                <w:sz w:val="20"/>
                <w:szCs w:val="20"/>
              </w:rPr>
              <w:t>09</w:t>
            </w:r>
            <w:r w:rsidRPr="00A935AA">
              <w:rPr>
                <w:sz w:val="20"/>
                <w:szCs w:val="20"/>
              </w:rPr>
              <w:t>.201</w:t>
            </w:r>
            <w:r>
              <w:rPr>
                <w:sz w:val="20"/>
                <w:szCs w:val="20"/>
              </w:rPr>
              <w:t>1</w:t>
            </w:r>
          </w:p>
          <w:p w:rsidR="00390161" w:rsidRPr="00A935AA" w:rsidRDefault="00460701" w:rsidP="00741DC5">
            <w:pPr>
              <w:rPr>
                <w:sz w:val="20"/>
                <w:szCs w:val="20"/>
              </w:rPr>
            </w:pPr>
            <w:r w:rsidRPr="00460701">
              <w:rPr>
                <w:sz w:val="20"/>
                <w:szCs w:val="20"/>
                <w:lang w:val="fr-CA"/>
              </w:rPr>
              <w:pict>
                <v:rect id="_x0000_i1031" style="width:108pt;height:1pt" o:hrpct="0" o:hralign="center" o:hrstd="t" o:hrnoshade="t" o:hr="t" fillcolor="black [3213]" stroked="f"/>
              </w:pict>
            </w:r>
          </w:p>
        </w:tc>
        <w:tc>
          <w:tcPr>
            <w:tcW w:w="1181" w:type="dxa"/>
            <w:shd w:val="clear" w:color="auto" w:fill="auto"/>
          </w:tcPr>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Default="00390161" w:rsidP="00741DC5">
            <w:pPr>
              <w:jc w:val="center"/>
              <w:rPr>
                <w:sz w:val="20"/>
                <w:szCs w:val="20"/>
              </w:rPr>
            </w:pPr>
          </w:p>
          <w:p w:rsidR="00390161" w:rsidRPr="00A935AA" w:rsidRDefault="00390161" w:rsidP="00741DC5">
            <w:pPr>
              <w:jc w:val="center"/>
              <w:rPr>
                <w:sz w:val="20"/>
                <w:szCs w:val="20"/>
              </w:rPr>
            </w:pPr>
          </w:p>
        </w:tc>
        <w:tc>
          <w:tcPr>
            <w:tcW w:w="4320" w:type="dxa"/>
            <w:shd w:val="clear" w:color="auto" w:fill="auto"/>
          </w:tcPr>
          <w:p w:rsidR="00390161" w:rsidRPr="00A935AA" w:rsidRDefault="00390161" w:rsidP="00741DC5">
            <w:pPr>
              <w:keepNext/>
              <w:keepLines/>
              <w:tabs>
                <w:tab w:val="left" w:pos="-1440"/>
                <w:tab w:val="left" w:pos="-720"/>
              </w:tabs>
              <w:rPr>
                <w:b/>
                <w:sz w:val="20"/>
                <w:szCs w:val="20"/>
              </w:rPr>
            </w:pPr>
            <w:r>
              <w:rPr>
                <w:b/>
                <w:sz w:val="20"/>
                <w:szCs w:val="20"/>
              </w:rPr>
              <w:t xml:space="preserve">Jeffrey Mark Slopen et al. </w:t>
            </w:r>
          </w:p>
          <w:p w:rsidR="00390161" w:rsidRPr="00A935AA" w:rsidRDefault="00390161" w:rsidP="00741DC5">
            <w:pPr>
              <w:keepNext/>
              <w:keepLines/>
              <w:tabs>
                <w:tab w:val="left" w:pos="-1440"/>
                <w:tab w:val="left" w:pos="-720"/>
              </w:tabs>
              <w:rPr>
                <w:sz w:val="20"/>
                <w:szCs w:val="20"/>
              </w:rPr>
            </w:pPr>
            <w:r w:rsidRPr="00A935AA">
              <w:rPr>
                <w:sz w:val="20"/>
                <w:szCs w:val="20"/>
              </w:rPr>
              <w:tab/>
            </w:r>
            <w:r>
              <w:rPr>
                <w:sz w:val="20"/>
                <w:szCs w:val="20"/>
              </w:rPr>
              <w:t>W.A. Kelly, Q.C.</w:t>
            </w:r>
          </w:p>
          <w:p w:rsidR="00390161" w:rsidRPr="00A935AA" w:rsidRDefault="00390161" w:rsidP="00741DC5">
            <w:pPr>
              <w:keepNext/>
              <w:keepLines/>
              <w:tabs>
                <w:tab w:val="left" w:pos="-1440"/>
                <w:tab w:val="left" w:pos="-720"/>
              </w:tabs>
              <w:rPr>
                <w:sz w:val="20"/>
                <w:szCs w:val="20"/>
              </w:rPr>
            </w:pPr>
            <w:r w:rsidRPr="00A935AA">
              <w:rPr>
                <w:sz w:val="20"/>
                <w:szCs w:val="20"/>
              </w:rPr>
              <w:tab/>
            </w:r>
            <w:r>
              <w:rPr>
                <w:sz w:val="20"/>
                <w:szCs w:val="20"/>
              </w:rPr>
              <w:t>W.A. Kelly, Q.C., Barristers</w:t>
            </w:r>
          </w:p>
          <w:p w:rsidR="00390161" w:rsidRPr="00A935AA" w:rsidRDefault="00390161" w:rsidP="00741DC5">
            <w:pPr>
              <w:keepNext/>
              <w:keepLines/>
              <w:tabs>
                <w:tab w:val="left" w:pos="-1440"/>
                <w:tab w:val="left" w:pos="-720"/>
              </w:tabs>
              <w:rPr>
                <w:sz w:val="20"/>
                <w:szCs w:val="20"/>
              </w:rPr>
            </w:pPr>
          </w:p>
          <w:p w:rsidR="00390161" w:rsidRPr="00774029" w:rsidRDefault="00390161" w:rsidP="00741DC5">
            <w:pPr>
              <w:keepNext/>
              <w:keepLines/>
              <w:tabs>
                <w:tab w:val="left" w:pos="-1440"/>
                <w:tab w:val="left" w:pos="-720"/>
              </w:tabs>
              <w:rPr>
                <w:sz w:val="20"/>
                <w:szCs w:val="20"/>
              </w:rPr>
            </w:pPr>
            <w:r w:rsidRPr="00A935AA">
              <w:rPr>
                <w:sz w:val="20"/>
                <w:szCs w:val="20"/>
              </w:rPr>
              <w:tab/>
            </w:r>
            <w:r w:rsidRPr="00774029">
              <w:rPr>
                <w:sz w:val="20"/>
                <w:szCs w:val="20"/>
              </w:rPr>
              <w:t>v. (34</w:t>
            </w:r>
            <w:r>
              <w:rPr>
                <w:sz w:val="20"/>
                <w:szCs w:val="20"/>
              </w:rPr>
              <w:t>445</w:t>
            </w:r>
            <w:r w:rsidRPr="00774029">
              <w:rPr>
                <w:sz w:val="20"/>
                <w:szCs w:val="20"/>
              </w:rPr>
              <w:t>)</w:t>
            </w:r>
          </w:p>
          <w:p w:rsidR="00390161" w:rsidRPr="00774029" w:rsidRDefault="00390161" w:rsidP="00741DC5">
            <w:pPr>
              <w:keepNext/>
              <w:keepLines/>
              <w:tabs>
                <w:tab w:val="left" w:pos="-1440"/>
                <w:tab w:val="left" w:pos="-720"/>
              </w:tabs>
              <w:rPr>
                <w:sz w:val="20"/>
                <w:szCs w:val="20"/>
              </w:rPr>
            </w:pPr>
          </w:p>
          <w:p w:rsidR="00390161" w:rsidRPr="00B375A6" w:rsidRDefault="00390161" w:rsidP="00741DC5">
            <w:pPr>
              <w:keepNext/>
              <w:keepLines/>
              <w:tabs>
                <w:tab w:val="left" w:pos="-1440"/>
                <w:tab w:val="left" w:pos="-720"/>
              </w:tabs>
              <w:rPr>
                <w:b/>
                <w:sz w:val="20"/>
                <w:szCs w:val="20"/>
                <w:lang w:val="fr-CA"/>
              </w:rPr>
            </w:pPr>
            <w:r>
              <w:rPr>
                <w:b/>
                <w:sz w:val="20"/>
                <w:szCs w:val="20"/>
              </w:rPr>
              <w:t xml:space="preserve">Royal Bank of Canada et al. </w:t>
            </w:r>
            <w:r w:rsidRPr="00B375A6">
              <w:rPr>
                <w:b/>
                <w:sz w:val="20"/>
                <w:szCs w:val="20"/>
                <w:lang w:val="fr-CA"/>
              </w:rPr>
              <w:t>(Ont.)</w:t>
            </w:r>
          </w:p>
          <w:p w:rsidR="00390161" w:rsidRPr="00B375A6" w:rsidRDefault="00390161" w:rsidP="00741DC5">
            <w:pPr>
              <w:keepNext/>
              <w:keepLines/>
              <w:tabs>
                <w:tab w:val="left" w:pos="-1440"/>
                <w:tab w:val="left" w:pos="-720"/>
              </w:tabs>
              <w:rPr>
                <w:sz w:val="20"/>
                <w:szCs w:val="20"/>
                <w:lang w:val="fr-CA"/>
              </w:rPr>
            </w:pPr>
            <w:r w:rsidRPr="00B375A6">
              <w:rPr>
                <w:sz w:val="20"/>
                <w:szCs w:val="20"/>
                <w:lang w:val="fr-CA"/>
              </w:rPr>
              <w:tab/>
              <w:t>Milton A. Davis</w:t>
            </w:r>
          </w:p>
          <w:p w:rsidR="00390161" w:rsidRPr="00B375A6" w:rsidRDefault="00390161" w:rsidP="00741DC5">
            <w:pPr>
              <w:keepNext/>
              <w:keepLines/>
              <w:tabs>
                <w:tab w:val="left" w:pos="-1440"/>
                <w:tab w:val="left" w:pos="-720"/>
              </w:tabs>
              <w:rPr>
                <w:sz w:val="20"/>
                <w:szCs w:val="20"/>
                <w:lang w:val="fr-CA"/>
              </w:rPr>
            </w:pPr>
            <w:r w:rsidRPr="00B375A6">
              <w:rPr>
                <w:sz w:val="20"/>
                <w:szCs w:val="20"/>
                <w:lang w:val="fr-CA"/>
              </w:rPr>
              <w:tab/>
              <w:t>Davis Moldaver LLP</w:t>
            </w:r>
          </w:p>
          <w:p w:rsidR="00390161" w:rsidRPr="00B375A6" w:rsidRDefault="00390161" w:rsidP="00741DC5">
            <w:pPr>
              <w:keepNext/>
              <w:keepLines/>
              <w:tabs>
                <w:tab w:val="left" w:pos="-1440"/>
                <w:tab w:val="left" w:pos="-720"/>
              </w:tabs>
              <w:rPr>
                <w:sz w:val="20"/>
                <w:szCs w:val="20"/>
                <w:lang w:val="fr-CA"/>
              </w:rPr>
            </w:pPr>
          </w:p>
          <w:p w:rsidR="00390161" w:rsidRPr="00A935AA" w:rsidRDefault="00390161" w:rsidP="00741DC5">
            <w:pPr>
              <w:rPr>
                <w:sz w:val="20"/>
                <w:szCs w:val="20"/>
              </w:rPr>
            </w:pPr>
            <w:r w:rsidRPr="00A935AA">
              <w:rPr>
                <w:sz w:val="20"/>
                <w:szCs w:val="20"/>
              </w:rPr>
              <w:t>FILING DATE: 2</w:t>
            </w:r>
            <w:r>
              <w:rPr>
                <w:sz w:val="20"/>
                <w:szCs w:val="20"/>
              </w:rPr>
              <w:t>6</w:t>
            </w:r>
            <w:r w:rsidRPr="00A935AA">
              <w:rPr>
                <w:sz w:val="20"/>
                <w:szCs w:val="20"/>
              </w:rPr>
              <w:t>.0</w:t>
            </w:r>
            <w:r>
              <w:rPr>
                <w:sz w:val="20"/>
                <w:szCs w:val="20"/>
              </w:rPr>
              <w:t>9</w:t>
            </w:r>
            <w:r w:rsidRPr="00A935AA">
              <w:rPr>
                <w:sz w:val="20"/>
                <w:szCs w:val="20"/>
              </w:rPr>
              <w:t>.201</w:t>
            </w:r>
            <w:r>
              <w:rPr>
                <w:sz w:val="20"/>
                <w:szCs w:val="20"/>
              </w:rPr>
              <w:t>1</w:t>
            </w:r>
            <w:r w:rsidR="00460701" w:rsidRPr="00460701">
              <w:rPr>
                <w:sz w:val="20"/>
                <w:szCs w:val="20"/>
                <w:lang w:val="fr-CA"/>
              </w:rPr>
              <w:pict>
                <v:rect id="_x0000_i1032" style="width:108pt;height:1pt" o:hrpct="0" o:hralign="center" o:hrstd="t" o:hrnoshade="t" o:hr="t" fillcolor="black [3213]" stroked="f"/>
              </w:pict>
            </w:r>
          </w:p>
        </w:tc>
      </w:tr>
      <w:tr w:rsidR="00390161" w:rsidRPr="00A935AA" w:rsidTr="00741DC5">
        <w:trPr>
          <w:cantSplit/>
        </w:trPr>
        <w:tc>
          <w:tcPr>
            <w:tcW w:w="4320" w:type="dxa"/>
            <w:shd w:val="clear" w:color="auto" w:fill="auto"/>
          </w:tcPr>
          <w:p w:rsidR="00390161" w:rsidRPr="00A935AA" w:rsidRDefault="00390161" w:rsidP="00741DC5">
            <w:pPr>
              <w:rPr>
                <w:b/>
                <w:sz w:val="20"/>
                <w:szCs w:val="20"/>
              </w:rPr>
            </w:pPr>
            <w:r>
              <w:rPr>
                <w:b/>
                <w:sz w:val="20"/>
                <w:szCs w:val="20"/>
              </w:rPr>
              <w:lastRenderedPageBreak/>
              <w:t>John Mull</w:t>
            </w:r>
          </w:p>
          <w:p w:rsidR="00390161" w:rsidRPr="00A935AA" w:rsidRDefault="00390161" w:rsidP="00741DC5">
            <w:pPr>
              <w:tabs>
                <w:tab w:val="left" w:pos="-1440"/>
                <w:tab w:val="left" w:pos="-720"/>
              </w:tabs>
              <w:rPr>
                <w:sz w:val="20"/>
                <w:szCs w:val="20"/>
              </w:rPr>
            </w:pPr>
            <w:r w:rsidRPr="00A935AA">
              <w:rPr>
                <w:sz w:val="20"/>
                <w:szCs w:val="20"/>
              </w:rPr>
              <w:tab/>
            </w:r>
            <w:r>
              <w:rPr>
                <w:sz w:val="20"/>
                <w:szCs w:val="20"/>
              </w:rPr>
              <w:t>Raymond M. Slattery</w:t>
            </w:r>
          </w:p>
          <w:p w:rsidR="00390161" w:rsidRPr="00A935AA" w:rsidRDefault="00390161" w:rsidP="00741DC5">
            <w:pPr>
              <w:tabs>
                <w:tab w:val="left" w:pos="-1440"/>
                <w:tab w:val="left" w:pos="-720"/>
              </w:tabs>
              <w:rPr>
                <w:sz w:val="20"/>
                <w:szCs w:val="20"/>
              </w:rPr>
            </w:pPr>
            <w:r w:rsidRPr="00A935AA">
              <w:rPr>
                <w:sz w:val="20"/>
                <w:szCs w:val="20"/>
              </w:rPr>
              <w:tab/>
            </w:r>
            <w:r>
              <w:rPr>
                <w:sz w:val="20"/>
                <w:szCs w:val="20"/>
              </w:rPr>
              <w:t>Minden, Gross LLP</w:t>
            </w:r>
          </w:p>
          <w:p w:rsidR="00390161" w:rsidRPr="00A935AA" w:rsidRDefault="00390161" w:rsidP="00741DC5">
            <w:pPr>
              <w:tabs>
                <w:tab w:val="left" w:pos="-1440"/>
                <w:tab w:val="left" w:pos="-720"/>
              </w:tabs>
              <w:rPr>
                <w:sz w:val="20"/>
                <w:szCs w:val="20"/>
              </w:rPr>
            </w:pPr>
          </w:p>
          <w:p w:rsidR="00390161" w:rsidRPr="00A935AA" w:rsidRDefault="00390161" w:rsidP="00741DC5">
            <w:pPr>
              <w:tabs>
                <w:tab w:val="left" w:pos="-1440"/>
                <w:tab w:val="left" w:pos="-720"/>
              </w:tabs>
              <w:rPr>
                <w:sz w:val="20"/>
                <w:szCs w:val="20"/>
              </w:rPr>
            </w:pPr>
            <w:r w:rsidRPr="00A935AA">
              <w:rPr>
                <w:sz w:val="20"/>
                <w:szCs w:val="20"/>
              </w:rPr>
              <w:tab/>
              <w:t>v. (3</w:t>
            </w:r>
            <w:r>
              <w:rPr>
                <w:sz w:val="20"/>
                <w:szCs w:val="20"/>
              </w:rPr>
              <w:t>4457</w:t>
            </w:r>
            <w:r w:rsidRPr="00A935AA">
              <w:rPr>
                <w:sz w:val="20"/>
                <w:szCs w:val="20"/>
              </w:rPr>
              <w:t>)</w:t>
            </w:r>
          </w:p>
          <w:p w:rsidR="00390161" w:rsidRPr="00A935AA" w:rsidRDefault="00390161" w:rsidP="00741DC5">
            <w:pPr>
              <w:tabs>
                <w:tab w:val="left" w:pos="-1440"/>
                <w:tab w:val="left" w:pos="-720"/>
              </w:tabs>
              <w:rPr>
                <w:sz w:val="20"/>
                <w:szCs w:val="20"/>
              </w:rPr>
            </w:pPr>
          </w:p>
          <w:p w:rsidR="00390161" w:rsidRPr="00B375A6" w:rsidRDefault="00390161" w:rsidP="00741DC5">
            <w:pPr>
              <w:tabs>
                <w:tab w:val="left" w:pos="-1440"/>
                <w:tab w:val="left" w:pos="-720"/>
              </w:tabs>
              <w:rPr>
                <w:b/>
                <w:sz w:val="20"/>
                <w:szCs w:val="20"/>
                <w:lang w:val="fr-CA"/>
              </w:rPr>
            </w:pPr>
            <w:r>
              <w:rPr>
                <w:b/>
                <w:sz w:val="20"/>
                <w:szCs w:val="20"/>
              </w:rPr>
              <w:t xml:space="preserve">National Bank of Canada et al. </w:t>
            </w:r>
            <w:r w:rsidRPr="00B375A6">
              <w:rPr>
                <w:b/>
                <w:sz w:val="20"/>
                <w:szCs w:val="20"/>
                <w:lang w:val="fr-CA"/>
              </w:rPr>
              <w:t>(Ont.)</w:t>
            </w:r>
          </w:p>
          <w:p w:rsidR="00390161" w:rsidRPr="00B375A6" w:rsidRDefault="00390161" w:rsidP="00741DC5">
            <w:pPr>
              <w:tabs>
                <w:tab w:val="left" w:pos="-1440"/>
                <w:tab w:val="left" w:pos="-720"/>
              </w:tabs>
              <w:rPr>
                <w:sz w:val="20"/>
                <w:szCs w:val="20"/>
                <w:lang w:val="fr-CA"/>
              </w:rPr>
            </w:pPr>
            <w:r w:rsidRPr="00B375A6">
              <w:rPr>
                <w:sz w:val="20"/>
                <w:szCs w:val="20"/>
                <w:lang w:val="fr-CA"/>
              </w:rPr>
              <w:tab/>
              <w:t>Linda M. Plumpton</w:t>
            </w:r>
          </w:p>
          <w:p w:rsidR="00390161" w:rsidRPr="00B375A6" w:rsidRDefault="00390161" w:rsidP="00741DC5">
            <w:pPr>
              <w:tabs>
                <w:tab w:val="left" w:pos="-1440"/>
                <w:tab w:val="left" w:pos="-720"/>
              </w:tabs>
              <w:rPr>
                <w:sz w:val="20"/>
                <w:szCs w:val="20"/>
                <w:lang w:val="fr-CA"/>
              </w:rPr>
            </w:pPr>
            <w:r w:rsidRPr="00B375A6">
              <w:rPr>
                <w:sz w:val="20"/>
                <w:szCs w:val="20"/>
                <w:lang w:val="fr-CA"/>
              </w:rPr>
              <w:tab/>
              <w:t>Torys LLP</w:t>
            </w:r>
          </w:p>
          <w:p w:rsidR="00390161" w:rsidRPr="00B375A6" w:rsidRDefault="00390161" w:rsidP="00741DC5">
            <w:pPr>
              <w:tabs>
                <w:tab w:val="left" w:pos="-1440"/>
                <w:tab w:val="left" w:pos="-720"/>
              </w:tabs>
              <w:rPr>
                <w:sz w:val="20"/>
                <w:szCs w:val="20"/>
                <w:lang w:val="fr-CA"/>
              </w:rPr>
            </w:pPr>
          </w:p>
          <w:p w:rsidR="00390161" w:rsidRPr="00A935AA" w:rsidRDefault="00390161" w:rsidP="00741DC5">
            <w:pPr>
              <w:rPr>
                <w:sz w:val="20"/>
                <w:szCs w:val="20"/>
              </w:rPr>
            </w:pPr>
            <w:r w:rsidRPr="00A935AA">
              <w:rPr>
                <w:sz w:val="20"/>
                <w:szCs w:val="20"/>
              </w:rPr>
              <w:t>FILING DATE: 2</w:t>
            </w:r>
            <w:r>
              <w:rPr>
                <w:sz w:val="20"/>
                <w:szCs w:val="20"/>
              </w:rPr>
              <w:t>8</w:t>
            </w:r>
            <w:r w:rsidRPr="00A935AA">
              <w:rPr>
                <w:sz w:val="20"/>
                <w:szCs w:val="20"/>
              </w:rPr>
              <w:t>.</w:t>
            </w:r>
            <w:r>
              <w:rPr>
                <w:sz w:val="20"/>
                <w:szCs w:val="20"/>
              </w:rPr>
              <w:t>09</w:t>
            </w:r>
            <w:r w:rsidRPr="00A935AA">
              <w:rPr>
                <w:sz w:val="20"/>
                <w:szCs w:val="20"/>
              </w:rPr>
              <w:t>.201</w:t>
            </w:r>
            <w:r>
              <w:rPr>
                <w:sz w:val="20"/>
                <w:szCs w:val="20"/>
              </w:rPr>
              <w:t>1</w:t>
            </w:r>
          </w:p>
          <w:p w:rsidR="00390161" w:rsidRPr="00A935AA" w:rsidRDefault="00460701" w:rsidP="00741DC5">
            <w:pPr>
              <w:rPr>
                <w:sz w:val="20"/>
                <w:szCs w:val="20"/>
              </w:rPr>
            </w:pPr>
            <w:r w:rsidRPr="00460701">
              <w:rPr>
                <w:sz w:val="20"/>
                <w:szCs w:val="20"/>
                <w:lang w:val="fr-CA"/>
              </w:rPr>
              <w:pict>
                <v:rect id="_x0000_i1033" style="width:108pt;height:1pt" o:hrpct="0" o:hralign="center" o:hrstd="t" o:hrnoshade="t" o:hr="t" fillcolor="black [3213]" stroked="f"/>
              </w:pict>
            </w:r>
          </w:p>
        </w:tc>
        <w:tc>
          <w:tcPr>
            <w:tcW w:w="1181" w:type="dxa"/>
            <w:shd w:val="clear" w:color="auto" w:fill="auto"/>
          </w:tcPr>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tc>
        <w:tc>
          <w:tcPr>
            <w:tcW w:w="4320" w:type="dxa"/>
            <w:shd w:val="clear" w:color="auto" w:fill="auto"/>
          </w:tcPr>
          <w:p w:rsidR="00390161" w:rsidRPr="00A935AA" w:rsidRDefault="00390161" w:rsidP="00741DC5">
            <w:pPr>
              <w:keepNext/>
              <w:keepLines/>
              <w:tabs>
                <w:tab w:val="left" w:pos="-1440"/>
                <w:tab w:val="left" w:pos="-720"/>
              </w:tabs>
              <w:rPr>
                <w:b/>
                <w:sz w:val="20"/>
                <w:szCs w:val="20"/>
              </w:rPr>
            </w:pPr>
            <w:r>
              <w:rPr>
                <w:b/>
                <w:sz w:val="20"/>
                <w:szCs w:val="20"/>
              </w:rPr>
              <w:t>Ratiopharm Inc.</w:t>
            </w:r>
          </w:p>
          <w:p w:rsidR="00390161" w:rsidRPr="00A935AA" w:rsidRDefault="00390161" w:rsidP="00741DC5">
            <w:pPr>
              <w:keepNext/>
              <w:keepLines/>
              <w:tabs>
                <w:tab w:val="left" w:pos="-1440"/>
                <w:tab w:val="left" w:pos="-720"/>
              </w:tabs>
              <w:rPr>
                <w:sz w:val="20"/>
                <w:szCs w:val="20"/>
              </w:rPr>
            </w:pPr>
            <w:r w:rsidRPr="00A935AA">
              <w:rPr>
                <w:sz w:val="20"/>
                <w:szCs w:val="20"/>
              </w:rPr>
              <w:tab/>
            </w:r>
            <w:r>
              <w:rPr>
                <w:sz w:val="20"/>
                <w:szCs w:val="20"/>
              </w:rPr>
              <w:t>David W. Aitken</w:t>
            </w:r>
          </w:p>
          <w:p w:rsidR="00390161" w:rsidRPr="00A935AA" w:rsidRDefault="00390161" w:rsidP="00741DC5">
            <w:pPr>
              <w:keepNext/>
              <w:keepLines/>
              <w:tabs>
                <w:tab w:val="left" w:pos="-1440"/>
                <w:tab w:val="left" w:pos="-720"/>
              </w:tabs>
              <w:rPr>
                <w:sz w:val="20"/>
                <w:szCs w:val="20"/>
              </w:rPr>
            </w:pPr>
            <w:r w:rsidRPr="00A935AA">
              <w:rPr>
                <w:sz w:val="20"/>
                <w:szCs w:val="20"/>
              </w:rPr>
              <w:tab/>
            </w:r>
            <w:r>
              <w:rPr>
                <w:sz w:val="20"/>
                <w:szCs w:val="20"/>
              </w:rPr>
              <w:t>Osler, Hoskin &amp; Harcourt LLP</w:t>
            </w:r>
          </w:p>
          <w:p w:rsidR="00390161" w:rsidRPr="00A935AA" w:rsidRDefault="00390161" w:rsidP="00741DC5">
            <w:pPr>
              <w:keepNext/>
              <w:keepLines/>
              <w:tabs>
                <w:tab w:val="left" w:pos="-1440"/>
                <w:tab w:val="left" w:pos="-720"/>
              </w:tabs>
              <w:rPr>
                <w:sz w:val="20"/>
                <w:szCs w:val="20"/>
              </w:rPr>
            </w:pPr>
          </w:p>
          <w:p w:rsidR="00390161" w:rsidRPr="00B375A6" w:rsidRDefault="00390161" w:rsidP="00741DC5">
            <w:pPr>
              <w:keepNext/>
              <w:keepLines/>
              <w:tabs>
                <w:tab w:val="left" w:pos="-1440"/>
                <w:tab w:val="left" w:pos="-720"/>
              </w:tabs>
              <w:rPr>
                <w:sz w:val="20"/>
                <w:szCs w:val="20"/>
                <w:lang w:val="fr-CA"/>
              </w:rPr>
            </w:pPr>
            <w:r w:rsidRPr="00A935AA">
              <w:rPr>
                <w:sz w:val="20"/>
                <w:szCs w:val="20"/>
              </w:rPr>
              <w:tab/>
            </w:r>
            <w:r w:rsidRPr="00B375A6">
              <w:rPr>
                <w:sz w:val="20"/>
                <w:szCs w:val="20"/>
                <w:lang w:val="fr-CA"/>
              </w:rPr>
              <w:t>v. (34464)</w:t>
            </w:r>
          </w:p>
          <w:p w:rsidR="00390161" w:rsidRPr="00B375A6" w:rsidRDefault="00390161" w:rsidP="00741DC5">
            <w:pPr>
              <w:keepNext/>
              <w:keepLines/>
              <w:tabs>
                <w:tab w:val="left" w:pos="-1440"/>
                <w:tab w:val="left" w:pos="-720"/>
              </w:tabs>
              <w:rPr>
                <w:sz w:val="20"/>
                <w:szCs w:val="20"/>
                <w:lang w:val="fr-CA"/>
              </w:rPr>
            </w:pPr>
          </w:p>
          <w:p w:rsidR="00390161" w:rsidRPr="00774029" w:rsidRDefault="00390161" w:rsidP="00741DC5">
            <w:pPr>
              <w:keepNext/>
              <w:keepLines/>
              <w:tabs>
                <w:tab w:val="left" w:pos="-1440"/>
                <w:tab w:val="left" w:pos="-720"/>
              </w:tabs>
              <w:rPr>
                <w:b/>
                <w:sz w:val="20"/>
                <w:szCs w:val="20"/>
              </w:rPr>
            </w:pPr>
            <w:r w:rsidRPr="000D3240">
              <w:rPr>
                <w:b/>
                <w:sz w:val="20"/>
                <w:szCs w:val="20"/>
                <w:lang w:val="fr-CA"/>
              </w:rPr>
              <w:t xml:space="preserve">Pfizer Canada Inc. et al. </w:t>
            </w:r>
            <w:r w:rsidRPr="00774029">
              <w:rPr>
                <w:b/>
                <w:sz w:val="20"/>
                <w:szCs w:val="20"/>
              </w:rPr>
              <w:t>(</w:t>
            </w:r>
            <w:r>
              <w:rPr>
                <w:b/>
                <w:sz w:val="20"/>
                <w:szCs w:val="20"/>
              </w:rPr>
              <w:t>F.C</w:t>
            </w:r>
            <w:r w:rsidRPr="00774029">
              <w:rPr>
                <w:b/>
                <w:sz w:val="20"/>
                <w:szCs w:val="20"/>
              </w:rPr>
              <w:t>.)</w:t>
            </w:r>
          </w:p>
          <w:p w:rsidR="00390161" w:rsidRPr="00774029" w:rsidRDefault="00390161" w:rsidP="00741DC5">
            <w:pPr>
              <w:keepNext/>
              <w:keepLines/>
              <w:tabs>
                <w:tab w:val="left" w:pos="-1440"/>
                <w:tab w:val="left" w:pos="-720"/>
              </w:tabs>
              <w:rPr>
                <w:sz w:val="20"/>
                <w:szCs w:val="20"/>
              </w:rPr>
            </w:pPr>
            <w:r w:rsidRPr="00774029">
              <w:rPr>
                <w:sz w:val="20"/>
                <w:szCs w:val="20"/>
              </w:rPr>
              <w:tab/>
            </w:r>
            <w:r>
              <w:rPr>
                <w:sz w:val="20"/>
                <w:szCs w:val="20"/>
              </w:rPr>
              <w:t>John B. Laskin</w:t>
            </w:r>
          </w:p>
          <w:p w:rsidR="00390161" w:rsidRPr="00774029" w:rsidRDefault="00390161" w:rsidP="00741DC5">
            <w:pPr>
              <w:keepNext/>
              <w:keepLines/>
              <w:tabs>
                <w:tab w:val="left" w:pos="-1440"/>
                <w:tab w:val="left" w:pos="-720"/>
              </w:tabs>
              <w:rPr>
                <w:sz w:val="20"/>
                <w:szCs w:val="20"/>
              </w:rPr>
            </w:pPr>
            <w:r w:rsidRPr="00774029">
              <w:rPr>
                <w:sz w:val="20"/>
                <w:szCs w:val="20"/>
              </w:rPr>
              <w:tab/>
            </w:r>
            <w:r>
              <w:rPr>
                <w:sz w:val="20"/>
                <w:szCs w:val="20"/>
              </w:rPr>
              <w:t>Torys LLP</w:t>
            </w:r>
          </w:p>
          <w:p w:rsidR="00390161" w:rsidRPr="00774029" w:rsidRDefault="00390161" w:rsidP="00741DC5">
            <w:pPr>
              <w:keepNext/>
              <w:keepLines/>
              <w:tabs>
                <w:tab w:val="left" w:pos="-1440"/>
                <w:tab w:val="left" w:pos="-720"/>
              </w:tabs>
              <w:rPr>
                <w:sz w:val="20"/>
                <w:szCs w:val="20"/>
              </w:rPr>
            </w:pPr>
          </w:p>
          <w:p w:rsidR="00390161" w:rsidRPr="00A935AA" w:rsidRDefault="00390161" w:rsidP="00741DC5">
            <w:pPr>
              <w:rPr>
                <w:sz w:val="20"/>
                <w:szCs w:val="20"/>
              </w:rPr>
            </w:pPr>
            <w:r w:rsidRPr="00A935AA">
              <w:rPr>
                <w:sz w:val="20"/>
                <w:szCs w:val="20"/>
              </w:rPr>
              <w:t>FILING DATE: 2</w:t>
            </w:r>
            <w:r>
              <w:rPr>
                <w:sz w:val="20"/>
                <w:szCs w:val="20"/>
              </w:rPr>
              <w:t>7</w:t>
            </w:r>
            <w:r w:rsidRPr="00A935AA">
              <w:rPr>
                <w:sz w:val="20"/>
                <w:szCs w:val="20"/>
              </w:rPr>
              <w:t>.0</w:t>
            </w:r>
            <w:r>
              <w:rPr>
                <w:sz w:val="20"/>
                <w:szCs w:val="20"/>
              </w:rPr>
              <w:t>9</w:t>
            </w:r>
            <w:r w:rsidRPr="00A935AA">
              <w:rPr>
                <w:sz w:val="20"/>
                <w:szCs w:val="20"/>
              </w:rPr>
              <w:t>.201</w:t>
            </w:r>
            <w:r>
              <w:rPr>
                <w:sz w:val="20"/>
                <w:szCs w:val="20"/>
              </w:rPr>
              <w:t>1</w:t>
            </w:r>
            <w:r w:rsidR="00460701" w:rsidRPr="00460701">
              <w:rPr>
                <w:sz w:val="20"/>
                <w:szCs w:val="20"/>
                <w:lang w:val="fr-CA"/>
              </w:rPr>
              <w:pict>
                <v:rect id="_x0000_i1034" style="width:108pt;height:1pt" o:hrpct="0" o:hralign="center" o:hrstd="t" o:hrnoshade="t" o:hr="t" fillcolor="black [3213]" stroked="f"/>
              </w:pict>
            </w:r>
          </w:p>
        </w:tc>
      </w:tr>
      <w:tr w:rsidR="00390161" w:rsidRPr="00A935AA" w:rsidTr="00741DC5">
        <w:trPr>
          <w:cantSplit/>
        </w:trPr>
        <w:tc>
          <w:tcPr>
            <w:tcW w:w="4320" w:type="dxa"/>
            <w:shd w:val="clear" w:color="auto" w:fill="auto"/>
          </w:tcPr>
          <w:p w:rsidR="00390161" w:rsidRPr="000D3240" w:rsidRDefault="00390161" w:rsidP="00741DC5">
            <w:pPr>
              <w:rPr>
                <w:b/>
                <w:sz w:val="20"/>
                <w:szCs w:val="20"/>
                <w:lang w:val="fr-CA"/>
              </w:rPr>
            </w:pPr>
            <w:r w:rsidRPr="000D3240">
              <w:rPr>
                <w:b/>
                <w:sz w:val="20"/>
                <w:szCs w:val="20"/>
                <w:lang w:val="fr-CA"/>
              </w:rPr>
              <w:t xml:space="preserve">Michael A. Desanti et al. </w:t>
            </w:r>
          </w:p>
          <w:p w:rsidR="00390161" w:rsidRPr="000D3240" w:rsidRDefault="00390161" w:rsidP="00741DC5">
            <w:pPr>
              <w:tabs>
                <w:tab w:val="left" w:pos="-1440"/>
                <w:tab w:val="left" w:pos="-720"/>
              </w:tabs>
              <w:rPr>
                <w:sz w:val="20"/>
                <w:szCs w:val="20"/>
              </w:rPr>
            </w:pPr>
            <w:r w:rsidRPr="000D3240">
              <w:rPr>
                <w:sz w:val="20"/>
                <w:szCs w:val="20"/>
                <w:lang w:val="fr-CA"/>
              </w:rPr>
              <w:tab/>
            </w:r>
            <w:r w:rsidRPr="000D3240">
              <w:rPr>
                <w:sz w:val="20"/>
                <w:szCs w:val="20"/>
              </w:rPr>
              <w:t>Michael Bates</w:t>
            </w:r>
          </w:p>
          <w:p w:rsidR="00390161" w:rsidRPr="000D3240" w:rsidRDefault="00390161" w:rsidP="00741DC5">
            <w:pPr>
              <w:tabs>
                <w:tab w:val="left" w:pos="-1440"/>
                <w:tab w:val="left" w:pos="-720"/>
              </w:tabs>
              <w:rPr>
                <w:sz w:val="20"/>
                <w:szCs w:val="20"/>
              </w:rPr>
            </w:pPr>
            <w:r w:rsidRPr="000D3240">
              <w:rPr>
                <w:sz w:val="20"/>
                <w:szCs w:val="20"/>
              </w:rPr>
              <w:tab/>
              <w:t>Ruttan Bates</w:t>
            </w:r>
          </w:p>
          <w:p w:rsidR="00390161" w:rsidRPr="000D3240" w:rsidRDefault="00390161" w:rsidP="00741DC5">
            <w:pPr>
              <w:tabs>
                <w:tab w:val="left" w:pos="-1440"/>
                <w:tab w:val="left" w:pos="-720"/>
              </w:tabs>
              <w:rPr>
                <w:sz w:val="20"/>
                <w:szCs w:val="20"/>
              </w:rPr>
            </w:pPr>
          </w:p>
          <w:p w:rsidR="00390161" w:rsidRPr="00A935AA" w:rsidRDefault="00390161" w:rsidP="00741DC5">
            <w:pPr>
              <w:tabs>
                <w:tab w:val="left" w:pos="-1440"/>
                <w:tab w:val="left" w:pos="-720"/>
              </w:tabs>
              <w:rPr>
                <w:sz w:val="20"/>
                <w:szCs w:val="20"/>
              </w:rPr>
            </w:pPr>
            <w:r w:rsidRPr="000D3240">
              <w:rPr>
                <w:sz w:val="20"/>
                <w:szCs w:val="20"/>
              </w:rPr>
              <w:tab/>
            </w:r>
            <w:r w:rsidRPr="00A935AA">
              <w:rPr>
                <w:sz w:val="20"/>
                <w:szCs w:val="20"/>
              </w:rPr>
              <w:t>v. (3</w:t>
            </w:r>
            <w:r>
              <w:rPr>
                <w:sz w:val="20"/>
                <w:szCs w:val="20"/>
              </w:rPr>
              <w:t>4458</w:t>
            </w:r>
            <w:r w:rsidRPr="00A935AA">
              <w:rPr>
                <w:sz w:val="20"/>
                <w:szCs w:val="20"/>
              </w:rPr>
              <w:t>)</w:t>
            </w:r>
          </w:p>
          <w:p w:rsidR="00390161" w:rsidRPr="00A935AA" w:rsidRDefault="00390161" w:rsidP="00741DC5">
            <w:pPr>
              <w:tabs>
                <w:tab w:val="left" w:pos="-1440"/>
                <w:tab w:val="left" w:pos="-720"/>
              </w:tabs>
              <w:rPr>
                <w:sz w:val="20"/>
                <w:szCs w:val="20"/>
              </w:rPr>
            </w:pPr>
          </w:p>
          <w:p w:rsidR="00390161" w:rsidRPr="00B375A6" w:rsidRDefault="00390161" w:rsidP="00741DC5">
            <w:pPr>
              <w:tabs>
                <w:tab w:val="left" w:pos="-1440"/>
                <w:tab w:val="left" w:pos="-720"/>
              </w:tabs>
              <w:rPr>
                <w:b/>
                <w:sz w:val="20"/>
                <w:szCs w:val="20"/>
              </w:rPr>
            </w:pPr>
            <w:r w:rsidRPr="00B375A6">
              <w:rPr>
                <w:b/>
                <w:sz w:val="20"/>
                <w:szCs w:val="20"/>
              </w:rPr>
              <w:t>Robert Gray et al. (Alta.)</w:t>
            </w:r>
          </w:p>
          <w:p w:rsidR="00390161" w:rsidRPr="00A935AA" w:rsidRDefault="00390161" w:rsidP="00741DC5">
            <w:pPr>
              <w:tabs>
                <w:tab w:val="left" w:pos="-1440"/>
                <w:tab w:val="left" w:pos="-720"/>
              </w:tabs>
              <w:rPr>
                <w:sz w:val="20"/>
                <w:szCs w:val="20"/>
              </w:rPr>
            </w:pPr>
            <w:r w:rsidRPr="00B375A6">
              <w:rPr>
                <w:sz w:val="20"/>
                <w:szCs w:val="20"/>
              </w:rPr>
              <w:tab/>
            </w:r>
            <w:r>
              <w:rPr>
                <w:sz w:val="20"/>
                <w:szCs w:val="20"/>
              </w:rPr>
              <w:t>David M. Pick</w:t>
            </w:r>
          </w:p>
          <w:p w:rsidR="00390161" w:rsidRPr="00A935AA" w:rsidRDefault="00390161" w:rsidP="00741DC5">
            <w:pPr>
              <w:tabs>
                <w:tab w:val="left" w:pos="-1440"/>
                <w:tab w:val="left" w:pos="-720"/>
              </w:tabs>
              <w:rPr>
                <w:sz w:val="20"/>
                <w:szCs w:val="20"/>
              </w:rPr>
            </w:pPr>
            <w:r w:rsidRPr="00A935AA">
              <w:rPr>
                <w:sz w:val="20"/>
                <w:szCs w:val="20"/>
              </w:rPr>
              <w:tab/>
            </w:r>
            <w:r>
              <w:rPr>
                <w:sz w:val="20"/>
                <w:szCs w:val="20"/>
              </w:rPr>
              <w:t>Scott Venturo LLP</w:t>
            </w:r>
          </w:p>
          <w:p w:rsidR="00390161" w:rsidRPr="00A935AA" w:rsidRDefault="00390161" w:rsidP="00741DC5">
            <w:pPr>
              <w:tabs>
                <w:tab w:val="left" w:pos="-1440"/>
                <w:tab w:val="left" w:pos="-720"/>
              </w:tabs>
              <w:rPr>
                <w:sz w:val="20"/>
                <w:szCs w:val="20"/>
              </w:rPr>
            </w:pPr>
          </w:p>
          <w:p w:rsidR="00390161" w:rsidRPr="00A935AA" w:rsidRDefault="00390161" w:rsidP="00741DC5">
            <w:pPr>
              <w:rPr>
                <w:sz w:val="20"/>
                <w:szCs w:val="20"/>
              </w:rPr>
            </w:pPr>
            <w:r w:rsidRPr="00A935AA">
              <w:rPr>
                <w:sz w:val="20"/>
                <w:szCs w:val="20"/>
              </w:rPr>
              <w:t>FILING DATE: 2</w:t>
            </w:r>
            <w:r>
              <w:rPr>
                <w:sz w:val="20"/>
                <w:szCs w:val="20"/>
              </w:rPr>
              <w:t>8</w:t>
            </w:r>
            <w:r w:rsidRPr="00A935AA">
              <w:rPr>
                <w:sz w:val="20"/>
                <w:szCs w:val="20"/>
              </w:rPr>
              <w:t>.</w:t>
            </w:r>
            <w:r>
              <w:rPr>
                <w:sz w:val="20"/>
                <w:szCs w:val="20"/>
              </w:rPr>
              <w:t>09</w:t>
            </w:r>
            <w:r w:rsidRPr="00A935AA">
              <w:rPr>
                <w:sz w:val="20"/>
                <w:szCs w:val="20"/>
              </w:rPr>
              <w:t>.201</w:t>
            </w:r>
            <w:r>
              <w:rPr>
                <w:sz w:val="20"/>
                <w:szCs w:val="20"/>
              </w:rPr>
              <w:t>1</w:t>
            </w:r>
          </w:p>
          <w:p w:rsidR="00390161" w:rsidRPr="00A935AA" w:rsidRDefault="00460701" w:rsidP="00741DC5">
            <w:pPr>
              <w:rPr>
                <w:sz w:val="20"/>
                <w:szCs w:val="20"/>
              </w:rPr>
            </w:pPr>
            <w:r w:rsidRPr="00460701">
              <w:rPr>
                <w:sz w:val="20"/>
                <w:szCs w:val="20"/>
                <w:lang w:val="fr-CA"/>
              </w:rPr>
              <w:pict>
                <v:rect id="_x0000_i1035" style="width:108pt;height:1pt" o:hrpct="0" o:hralign="center" o:hrstd="t" o:hrnoshade="t" o:hr="t" fillcolor="black [3213]" stroked="f"/>
              </w:pict>
            </w:r>
          </w:p>
        </w:tc>
        <w:tc>
          <w:tcPr>
            <w:tcW w:w="1181" w:type="dxa"/>
            <w:shd w:val="clear" w:color="auto" w:fill="auto"/>
          </w:tcPr>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tc>
        <w:tc>
          <w:tcPr>
            <w:tcW w:w="4320" w:type="dxa"/>
            <w:shd w:val="clear" w:color="auto" w:fill="auto"/>
          </w:tcPr>
          <w:p w:rsidR="00390161" w:rsidRPr="00A935AA" w:rsidRDefault="00390161" w:rsidP="00741DC5">
            <w:pPr>
              <w:keepNext/>
              <w:keepLines/>
              <w:tabs>
                <w:tab w:val="left" w:pos="-1440"/>
                <w:tab w:val="left" w:pos="-720"/>
              </w:tabs>
              <w:rPr>
                <w:b/>
                <w:sz w:val="20"/>
                <w:szCs w:val="20"/>
              </w:rPr>
            </w:pPr>
            <w:r>
              <w:rPr>
                <w:b/>
                <w:sz w:val="20"/>
                <w:szCs w:val="20"/>
              </w:rPr>
              <w:t>Milos Peric</w:t>
            </w:r>
          </w:p>
          <w:p w:rsidR="00390161" w:rsidRPr="00A935AA" w:rsidRDefault="00390161" w:rsidP="00741DC5">
            <w:pPr>
              <w:keepNext/>
              <w:keepLines/>
              <w:tabs>
                <w:tab w:val="left" w:pos="-1440"/>
                <w:tab w:val="left" w:pos="-720"/>
              </w:tabs>
              <w:rPr>
                <w:sz w:val="20"/>
                <w:szCs w:val="20"/>
              </w:rPr>
            </w:pPr>
            <w:r w:rsidRPr="00A935AA">
              <w:rPr>
                <w:sz w:val="20"/>
                <w:szCs w:val="20"/>
              </w:rPr>
              <w:tab/>
            </w:r>
            <w:r>
              <w:rPr>
                <w:sz w:val="20"/>
                <w:szCs w:val="20"/>
              </w:rPr>
              <w:t>Milos Peric</w:t>
            </w:r>
          </w:p>
          <w:p w:rsidR="00390161" w:rsidRPr="00A935AA" w:rsidRDefault="00390161" w:rsidP="00741DC5">
            <w:pPr>
              <w:keepNext/>
              <w:keepLines/>
              <w:tabs>
                <w:tab w:val="left" w:pos="-1440"/>
                <w:tab w:val="left" w:pos="-720"/>
              </w:tabs>
              <w:rPr>
                <w:sz w:val="20"/>
                <w:szCs w:val="20"/>
              </w:rPr>
            </w:pPr>
          </w:p>
          <w:p w:rsidR="00390161" w:rsidRPr="000D3240" w:rsidRDefault="00390161" w:rsidP="00741DC5">
            <w:pPr>
              <w:keepNext/>
              <w:keepLines/>
              <w:tabs>
                <w:tab w:val="left" w:pos="-1440"/>
                <w:tab w:val="left" w:pos="-720"/>
              </w:tabs>
              <w:rPr>
                <w:sz w:val="20"/>
                <w:szCs w:val="20"/>
              </w:rPr>
            </w:pPr>
            <w:r w:rsidRPr="00A935AA">
              <w:rPr>
                <w:sz w:val="20"/>
                <w:szCs w:val="20"/>
              </w:rPr>
              <w:tab/>
            </w:r>
            <w:r w:rsidRPr="000D3240">
              <w:rPr>
                <w:sz w:val="20"/>
                <w:szCs w:val="20"/>
              </w:rPr>
              <w:t>v. (34</w:t>
            </w:r>
            <w:r>
              <w:rPr>
                <w:sz w:val="20"/>
                <w:szCs w:val="20"/>
              </w:rPr>
              <w:t>480</w:t>
            </w:r>
            <w:r w:rsidRPr="000D3240">
              <w:rPr>
                <w:sz w:val="20"/>
                <w:szCs w:val="20"/>
              </w:rPr>
              <w:t>)</w:t>
            </w:r>
          </w:p>
          <w:p w:rsidR="00390161" w:rsidRPr="000D3240" w:rsidRDefault="00390161" w:rsidP="00741DC5">
            <w:pPr>
              <w:keepNext/>
              <w:keepLines/>
              <w:tabs>
                <w:tab w:val="left" w:pos="-1440"/>
                <w:tab w:val="left" w:pos="-720"/>
              </w:tabs>
              <w:rPr>
                <w:sz w:val="20"/>
                <w:szCs w:val="20"/>
              </w:rPr>
            </w:pPr>
          </w:p>
          <w:p w:rsidR="00390161" w:rsidRPr="000D3240" w:rsidRDefault="00390161" w:rsidP="00741DC5">
            <w:pPr>
              <w:keepNext/>
              <w:keepLines/>
              <w:tabs>
                <w:tab w:val="left" w:pos="-1440"/>
                <w:tab w:val="left" w:pos="-720"/>
              </w:tabs>
              <w:rPr>
                <w:b/>
                <w:sz w:val="20"/>
                <w:szCs w:val="20"/>
              </w:rPr>
            </w:pPr>
            <w:r>
              <w:rPr>
                <w:b/>
                <w:sz w:val="20"/>
                <w:szCs w:val="20"/>
              </w:rPr>
              <w:t xml:space="preserve">Her Majesty the Queen </w:t>
            </w:r>
            <w:r w:rsidRPr="000D3240">
              <w:rPr>
                <w:b/>
                <w:sz w:val="20"/>
                <w:szCs w:val="20"/>
              </w:rPr>
              <w:t>(Ont.)</w:t>
            </w:r>
          </w:p>
          <w:p w:rsidR="00390161" w:rsidRPr="000D3240" w:rsidRDefault="00390161" w:rsidP="00741DC5">
            <w:pPr>
              <w:keepNext/>
              <w:keepLines/>
              <w:tabs>
                <w:tab w:val="left" w:pos="-1440"/>
                <w:tab w:val="left" w:pos="-720"/>
              </w:tabs>
              <w:rPr>
                <w:sz w:val="20"/>
                <w:szCs w:val="20"/>
              </w:rPr>
            </w:pPr>
            <w:r w:rsidRPr="000D3240">
              <w:rPr>
                <w:sz w:val="20"/>
                <w:szCs w:val="20"/>
              </w:rPr>
              <w:tab/>
            </w:r>
            <w:r>
              <w:rPr>
                <w:sz w:val="20"/>
                <w:szCs w:val="20"/>
              </w:rPr>
              <w:t>John S. McInnes</w:t>
            </w:r>
          </w:p>
          <w:p w:rsidR="00390161" w:rsidRPr="000D3240" w:rsidRDefault="00390161" w:rsidP="00741DC5">
            <w:pPr>
              <w:keepNext/>
              <w:keepLines/>
              <w:tabs>
                <w:tab w:val="left" w:pos="-1440"/>
                <w:tab w:val="left" w:pos="-720"/>
              </w:tabs>
              <w:rPr>
                <w:sz w:val="20"/>
                <w:szCs w:val="20"/>
              </w:rPr>
            </w:pPr>
            <w:r w:rsidRPr="000D3240">
              <w:rPr>
                <w:sz w:val="20"/>
                <w:szCs w:val="20"/>
              </w:rPr>
              <w:tab/>
            </w:r>
            <w:r>
              <w:rPr>
                <w:sz w:val="20"/>
                <w:szCs w:val="20"/>
              </w:rPr>
              <w:t>A.G. of Ontario</w:t>
            </w:r>
          </w:p>
          <w:p w:rsidR="00390161" w:rsidRPr="000D3240" w:rsidRDefault="00390161" w:rsidP="00741DC5">
            <w:pPr>
              <w:keepNext/>
              <w:keepLines/>
              <w:tabs>
                <w:tab w:val="left" w:pos="-1440"/>
                <w:tab w:val="left" w:pos="-720"/>
              </w:tabs>
              <w:rPr>
                <w:sz w:val="20"/>
                <w:szCs w:val="20"/>
              </w:rPr>
            </w:pPr>
          </w:p>
          <w:p w:rsidR="00390161" w:rsidRPr="00A935AA" w:rsidRDefault="00390161" w:rsidP="00741DC5">
            <w:pPr>
              <w:rPr>
                <w:sz w:val="20"/>
                <w:szCs w:val="20"/>
              </w:rPr>
            </w:pPr>
            <w:r w:rsidRPr="00A935AA">
              <w:rPr>
                <w:sz w:val="20"/>
                <w:szCs w:val="20"/>
              </w:rPr>
              <w:t>FILING DATE: 28.0</w:t>
            </w:r>
            <w:r>
              <w:rPr>
                <w:sz w:val="20"/>
                <w:szCs w:val="20"/>
              </w:rPr>
              <w:t>9</w:t>
            </w:r>
            <w:r w:rsidRPr="00A935AA">
              <w:rPr>
                <w:sz w:val="20"/>
                <w:szCs w:val="20"/>
              </w:rPr>
              <w:t>.201</w:t>
            </w:r>
            <w:r>
              <w:rPr>
                <w:sz w:val="20"/>
                <w:szCs w:val="20"/>
              </w:rPr>
              <w:t>1</w:t>
            </w:r>
            <w:r w:rsidR="00460701" w:rsidRPr="00460701">
              <w:rPr>
                <w:sz w:val="20"/>
                <w:szCs w:val="20"/>
                <w:lang w:val="fr-CA"/>
              </w:rPr>
              <w:pict>
                <v:rect id="_x0000_i1036" style="width:108pt;height:1pt" o:hrpct="0" o:hralign="center" o:hrstd="t" o:hrnoshade="t" o:hr="t" fillcolor="black [3213]" stroked="f"/>
              </w:pict>
            </w:r>
          </w:p>
        </w:tc>
      </w:tr>
      <w:tr w:rsidR="00390161" w:rsidRPr="00A935AA" w:rsidTr="00741DC5">
        <w:trPr>
          <w:cantSplit/>
        </w:trPr>
        <w:tc>
          <w:tcPr>
            <w:tcW w:w="4320" w:type="dxa"/>
            <w:shd w:val="clear" w:color="auto" w:fill="auto"/>
          </w:tcPr>
          <w:p w:rsidR="00390161" w:rsidRPr="00B375A6" w:rsidRDefault="00390161" w:rsidP="00741DC5">
            <w:pPr>
              <w:rPr>
                <w:b/>
                <w:sz w:val="20"/>
                <w:szCs w:val="20"/>
                <w:lang w:val="fr-CA"/>
              </w:rPr>
            </w:pPr>
          </w:p>
          <w:p w:rsidR="00390161" w:rsidRPr="000D3240" w:rsidRDefault="00390161" w:rsidP="00741DC5">
            <w:pPr>
              <w:rPr>
                <w:b/>
                <w:sz w:val="20"/>
                <w:szCs w:val="20"/>
                <w:lang w:val="fr-CA"/>
              </w:rPr>
            </w:pPr>
            <w:r w:rsidRPr="000D3240">
              <w:rPr>
                <w:b/>
                <w:sz w:val="20"/>
                <w:szCs w:val="20"/>
                <w:lang w:val="fr-CA"/>
              </w:rPr>
              <w:t>Ronald A. Weinberg et autre</w:t>
            </w:r>
          </w:p>
          <w:p w:rsidR="00390161" w:rsidRPr="000D3240" w:rsidRDefault="00390161" w:rsidP="00741DC5">
            <w:pPr>
              <w:tabs>
                <w:tab w:val="left" w:pos="-1440"/>
                <w:tab w:val="left" w:pos="-720"/>
              </w:tabs>
              <w:rPr>
                <w:sz w:val="20"/>
                <w:szCs w:val="20"/>
                <w:lang w:val="fr-CA"/>
              </w:rPr>
            </w:pPr>
            <w:r w:rsidRPr="000D3240">
              <w:rPr>
                <w:sz w:val="20"/>
                <w:szCs w:val="20"/>
                <w:lang w:val="fr-CA"/>
              </w:rPr>
              <w:tab/>
              <w:t>Raynold Langlois, c.r.</w:t>
            </w:r>
          </w:p>
          <w:p w:rsidR="00390161" w:rsidRPr="000D3240" w:rsidRDefault="00390161" w:rsidP="00741DC5">
            <w:pPr>
              <w:tabs>
                <w:tab w:val="left" w:pos="-1440"/>
                <w:tab w:val="left" w:pos="-720"/>
              </w:tabs>
              <w:rPr>
                <w:sz w:val="20"/>
                <w:szCs w:val="20"/>
                <w:lang w:val="fr-CA"/>
              </w:rPr>
            </w:pPr>
            <w:r w:rsidRPr="000D3240">
              <w:rPr>
                <w:sz w:val="20"/>
                <w:szCs w:val="20"/>
                <w:lang w:val="fr-CA"/>
              </w:rPr>
              <w:tab/>
            </w:r>
            <w:r>
              <w:rPr>
                <w:sz w:val="20"/>
                <w:szCs w:val="20"/>
                <w:lang w:val="fr-CA"/>
              </w:rPr>
              <w:t>Langlois Kronström Desjardins</w:t>
            </w:r>
          </w:p>
          <w:p w:rsidR="00390161" w:rsidRPr="000D3240" w:rsidRDefault="00390161" w:rsidP="00741DC5">
            <w:pPr>
              <w:tabs>
                <w:tab w:val="left" w:pos="-1440"/>
                <w:tab w:val="left" w:pos="-720"/>
              </w:tabs>
              <w:rPr>
                <w:sz w:val="20"/>
                <w:szCs w:val="20"/>
                <w:lang w:val="fr-CA"/>
              </w:rPr>
            </w:pPr>
          </w:p>
          <w:p w:rsidR="00390161" w:rsidRPr="00B375A6" w:rsidRDefault="00390161" w:rsidP="00741DC5">
            <w:pPr>
              <w:tabs>
                <w:tab w:val="left" w:pos="-1440"/>
                <w:tab w:val="left" w:pos="-720"/>
              </w:tabs>
              <w:rPr>
                <w:sz w:val="20"/>
                <w:szCs w:val="20"/>
                <w:lang w:val="fr-CA"/>
              </w:rPr>
            </w:pPr>
            <w:r w:rsidRPr="000D3240">
              <w:rPr>
                <w:sz w:val="20"/>
                <w:szCs w:val="20"/>
                <w:lang w:val="fr-CA"/>
              </w:rPr>
              <w:tab/>
            </w:r>
            <w:r w:rsidRPr="00B375A6">
              <w:rPr>
                <w:sz w:val="20"/>
                <w:szCs w:val="20"/>
                <w:lang w:val="fr-CA"/>
              </w:rPr>
              <w:t>c. (34467)</w:t>
            </w:r>
          </w:p>
          <w:p w:rsidR="00390161" w:rsidRPr="00B375A6" w:rsidRDefault="00390161" w:rsidP="00741DC5">
            <w:pPr>
              <w:tabs>
                <w:tab w:val="left" w:pos="-1440"/>
                <w:tab w:val="left" w:pos="-720"/>
              </w:tabs>
              <w:rPr>
                <w:sz w:val="20"/>
                <w:szCs w:val="20"/>
                <w:lang w:val="fr-CA"/>
              </w:rPr>
            </w:pPr>
          </w:p>
          <w:p w:rsidR="00390161" w:rsidRPr="000D3240" w:rsidRDefault="00390161" w:rsidP="00741DC5">
            <w:pPr>
              <w:tabs>
                <w:tab w:val="left" w:pos="-1440"/>
                <w:tab w:val="left" w:pos="-720"/>
              </w:tabs>
              <w:rPr>
                <w:b/>
                <w:sz w:val="20"/>
                <w:szCs w:val="20"/>
                <w:lang w:val="fr-CA"/>
              </w:rPr>
            </w:pPr>
            <w:r w:rsidRPr="000D3240">
              <w:rPr>
                <w:b/>
                <w:sz w:val="20"/>
                <w:szCs w:val="20"/>
                <w:lang w:val="fr-CA"/>
              </w:rPr>
              <w:t>Les Productions Nilem Inc. e</w:t>
            </w:r>
            <w:r>
              <w:rPr>
                <w:b/>
                <w:sz w:val="20"/>
                <w:szCs w:val="20"/>
                <w:lang w:val="fr-CA"/>
              </w:rPr>
              <w:t xml:space="preserve">t autre </w:t>
            </w:r>
            <w:r w:rsidRPr="000D3240">
              <w:rPr>
                <w:b/>
                <w:sz w:val="20"/>
                <w:szCs w:val="20"/>
                <w:lang w:val="fr-CA"/>
              </w:rPr>
              <w:t>(</w:t>
            </w:r>
            <w:r>
              <w:rPr>
                <w:b/>
                <w:sz w:val="20"/>
                <w:szCs w:val="20"/>
                <w:lang w:val="fr-CA"/>
              </w:rPr>
              <w:t>Qc</w:t>
            </w:r>
            <w:r w:rsidRPr="000D3240">
              <w:rPr>
                <w:b/>
                <w:sz w:val="20"/>
                <w:szCs w:val="20"/>
                <w:lang w:val="fr-CA"/>
              </w:rPr>
              <w:t>)</w:t>
            </w:r>
          </w:p>
          <w:p w:rsidR="00390161" w:rsidRPr="00B375A6" w:rsidRDefault="00390161" w:rsidP="00741DC5">
            <w:pPr>
              <w:tabs>
                <w:tab w:val="left" w:pos="-1440"/>
                <w:tab w:val="left" w:pos="-720"/>
              </w:tabs>
              <w:rPr>
                <w:sz w:val="20"/>
                <w:szCs w:val="20"/>
                <w:lang w:val="fr-CA"/>
              </w:rPr>
            </w:pPr>
            <w:r w:rsidRPr="000D3240">
              <w:rPr>
                <w:sz w:val="20"/>
                <w:szCs w:val="20"/>
                <w:lang w:val="fr-CA"/>
              </w:rPr>
              <w:tab/>
            </w:r>
            <w:r w:rsidRPr="00B375A6">
              <w:rPr>
                <w:sz w:val="20"/>
                <w:szCs w:val="20"/>
                <w:lang w:val="fr-CA"/>
              </w:rPr>
              <w:t>Florence Lucas</w:t>
            </w:r>
          </w:p>
          <w:p w:rsidR="00390161" w:rsidRPr="00B375A6" w:rsidRDefault="00390161" w:rsidP="00741DC5">
            <w:pPr>
              <w:tabs>
                <w:tab w:val="left" w:pos="-1440"/>
                <w:tab w:val="left" w:pos="-720"/>
              </w:tabs>
              <w:rPr>
                <w:sz w:val="20"/>
                <w:szCs w:val="20"/>
                <w:lang w:val="fr-CA"/>
              </w:rPr>
            </w:pPr>
            <w:r w:rsidRPr="00B375A6">
              <w:rPr>
                <w:sz w:val="20"/>
                <w:szCs w:val="20"/>
                <w:lang w:val="fr-CA"/>
              </w:rPr>
              <w:tab/>
              <w:t>Gowling Lafleur Henderson, s.e.n.c.r.l.</w:t>
            </w:r>
          </w:p>
          <w:p w:rsidR="00390161" w:rsidRPr="00B375A6" w:rsidRDefault="00390161" w:rsidP="00741DC5">
            <w:pPr>
              <w:tabs>
                <w:tab w:val="left" w:pos="-1440"/>
                <w:tab w:val="left" w:pos="-720"/>
              </w:tabs>
              <w:rPr>
                <w:sz w:val="20"/>
                <w:szCs w:val="20"/>
                <w:lang w:val="fr-CA"/>
              </w:rPr>
            </w:pPr>
          </w:p>
          <w:p w:rsidR="00390161" w:rsidRPr="00B375A6" w:rsidRDefault="00390161" w:rsidP="00741DC5">
            <w:pPr>
              <w:rPr>
                <w:sz w:val="20"/>
                <w:szCs w:val="20"/>
                <w:lang w:val="fr-CA"/>
              </w:rPr>
            </w:pPr>
            <w:r w:rsidRPr="00B375A6">
              <w:rPr>
                <w:sz w:val="20"/>
                <w:szCs w:val="20"/>
                <w:lang w:val="fr-CA"/>
              </w:rPr>
              <w:t>DATE DE PRODUCTION : 29.09.2011</w:t>
            </w:r>
          </w:p>
          <w:p w:rsidR="00390161" w:rsidRPr="00A935AA" w:rsidRDefault="00460701" w:rsidP="00741DC5">
            <w:pPr>
              <w:rPr>
                <w:sz w:val="20"/>
                <w:szCs w:val="20"/>
              </w:rPr>
            </w:pPr>
            <w:r w:rsidRPr="00460701">
              <w:rPr>
                <w:sz w:val="20"/>
                <w:szCs w:val="20"/>
                <w:lang w:val="fr-CA"/>
              </w:rPr>
              <w:pict>
                <v:rect id="_x0000_i1037" style="width:108pt;height:1pt" o:hrpct="0" o:hralign="center" o:hrstd="t" o:hrnoshade="t" o:hr="t" fillcolor="black [3213]" stroked="f"/>
              </w:pict>
            </w:r>
          </w:p>
        </w:tc>
        <w:tc>
          <w:tcPr>
            <w:tcW w:w="1181" w:type="dxa"/>
            <w:shd w:val="clear" w:color="auto" w:fill="auto"/>
          </w:tcPr>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p w:rsidR="00390161" w:rsidRDefault="00390161" w:rsidP="00741DC5">
            <w:pPr>
              <w:jc w:val="center"/>
              <w:rPr>
                <w:sz w:val="20"/>
                <w:szCs w:val="20"/>
              </w:rPr>
            </w:pPr>
          </w:p>
          <w:p w:rsidR="00390161" w:rsidRPr="00A935AA" w:rsidRDefault="00390161" w:rsidP="00741DC5">
            <w:pPr>
              <w:jc w:val="center"/>
              <w:rPr>
                <w:sz w:val="20"/>
                <w:szCs w:val="20"/>
              </w:rPr>
            </w:pPr>
          </w:p>
          <w:p w:rsidR="00390161" w:rsidRPr="00A935AA" w:rsidRDefault="00390161" w:rsidP="00741DC5">
            <w:pPr>
              <w:jc w:val="center"/>
              <w:rPr>
                <w:sz w:val="20"/>
                <w:szCs w:val="20"/>
              </w:rPr>
            </w:pPr>
          </w:p>
        </w:tc>
        <w:tc>
          <w:tcPr>
            <w:tcW w:w="4320" w:type="dxa"/>
            <w:shd w:val="clear" w:color="auto" w:fill="auto"/>
          </w:tcPr>
          <w:p w:rsidR="00390161" w:rsidRPr="00A935AA" w:rsidRDefault="00390161" w:rsidP="00741DC5">
            <w:pPr>
              <w:keepNext/>
              <w:keepLines/>
              <w:tabs>
                <w:tab w:val="left" w:pos="-1440"/>
                <w:tab w:val="left" w:pos="-720"/>
              </w:tabs>
              <w:rPr>
                <w:b/>
                <w:sz w:val="20"/>
                <w:szCs w:val="20"/>
              </w:rPr>
            </w:pPr>
            <w:r>
              <w:rPr>
                <w:b/>
                <w:sz w:val="20"/>
                <w:szCs w:val="20"/>
              </w:rPr>
              <w:t>Communications, Energy and Paperworkers Union of Canada, Local 30</w:t>
            </w:r>
          </w:p>
          <w:p w:rsidR="00390161" w:rsidRPr="00A935AA" w:rsidRDefault="00390161" w:rsidP="00741DC5">
            <w:pPr>
              <w:keepNext/>
              <w:keepLines/>
              <w:tabs>
                <w:tab w:val="left" w:pos="-1440"/>
                <w:tab w:val="left" w:pos="-720"/>
              </w:tabs>
              <w:rPr>
                <w:sz w:val="20"/>
                <w:szCs w:val="20"/>
              </w:rPr>
            </w:pPr>
            <w:r w:rsidRPr="00A935AA">
              <w:rPr>
                <w:sz w:val="20"/>
                <w:szCs w:val="20"/>
              </w:rPr>
              <w:tab/>
            </w:r>
            <w:r>
              <w:rPr>
                <w:sz w:val="20"/>
                <w:szCs w:val="20"/>
              </w:rPr>
              <w:t>Joël Michaud</w:t>
            </w:r>
          </w:p>
          <w:p w:rsidR="00390161" w:rsidRPr="00A935AA" w:rsidRDefault="00390161" w:rsidP="00741DC5">
            <w:pPr>
              <w:keepNext/>
              <w:keepLines/>
              <w:tabs>
                <w:tab w:val="left" w:pos="-1440"/>
                <w:tab w:val="left" w:pos="-720"/>
              </w:tabs>
              <w:rPr>
                <w:sz w:val="20"/>
                <w:szCs w:val="20"/>
              </w:rPr>
            </w:pPr>
            <w:r w:rsidRPr="00A935AA">
              <w:rPr>
                <w:sz w:val="20"/>
                <w:szCs w:val="20"/>
              </w:rPr>
              <w:tab/>
            </w:r>
            <w:r>
              <w:rPr>
                <w:sz w:val="20"/>
                <w:szCs w:val="20"/>
              </w:rPr>
              <w:t>Pink, Larkin</w:t>
            </w:r>
          </w:p>
          <w:p w:rsidR="00390161" w:rsidRPr="00A935AA" w:rsidRDefault="00390161" w:rsidP="00741DC5">
            <w:pPr>
              <w:keepNext/>
              <w:keepLines/>
              <w:tabs>
                <w:tab w:val="left" w:pos="-1440"/>
                <w:tab w:val="left" w:pos="-720"/>
              </w:tabs>
              <w:rPr>
                <w:sz w:val="20"/>
                <w:szCs w:val="20"/>
              </w:rPr>
            </w:pPr>
          </w:p>
          <w:p w:rsidR="00390161" w:rsidRPr="000D3240" w:rsidRDefault="00390161" w:rsidP="00741DC5">
            <w:pPr>
              <w:keepNext/>
              <w:keepLines/>
              <w:tabs>
                <w:tab w:val="left" w:pos="-1440"/>
                <w:tab w:val="left" w:pos="-720"/>
              </w:tabs>
              <w:rPr>
                <w:sz w:val="20"/>
                <w:szCs w:val="20"/>
              </w:rPr>
            </w:pPr>
            <w:r w:rsidRPr="00A935AA">
              <w:rPr>
                <w:sz w:val="20"/>
                <w:szCs w:val="20"/>
              </w:rPr>
              <w:tab/>
            </w:r>
            <w:r w:rsidRPr="000D3240">
              <w:rPr>
                <w:sz w:val="20"/>
                <w:szCs w:val="20"/>
              </w:rPr>
              <w:t>v. (34</w:t>
            </w:r>
            <w:r>
              <w:rPr>
                <w:sz w:val="20"/>
                <w:szCs w:val="20"/>
              </w:rPr>
              <w:t>473</w:t>
            </w:r>
            <w:r w:rsidRPr="000D3240">
              <w:rPr>
                <w:sz w:val="20"/>
                <w:szCs w:val="20"/>
              </w:rPr>
              <w:t>)</w:t>
            </w:r>
          </w:p>
          <w:p w:rsidR="00390161" w:rsidRPr="000D3240" w:rsidRDefault="00390161" w:rsidP="00741DC5">
            <w:pPr>
              <w:keepNext/>
              <w:keepLines/>
              <w:tabs>
                <w:tab w:val="left" w:pos="-1440"/>
                <w:tab w:val="left" w:pos="-720"/>
              </w:tabs>
              <w:rPr>
                <w:sz w:val="20"/>
                <w:szCs w:val="20"/>
              </w:rPr>
            </w:pPr>
          </w:p>
          <w:p w:rsidR="00390161" w:rsidRPr="000D3240" w:rsidRDefault="00390161" w:rsidP="00741DC5">
            <w:pPr>
              <w:keepNext/>
              <w:keepLines/>
              <w:tabs>
                <w:tab w:val="left" w:pos="-1440"/>
                <w:tab w:val="left" w:pos="-720"/>
              </w:tabs>
              <w:rPr>
                <w:b/>
                <w:sz w:val="20"/>
                <w:szCs w:val="20"/>
              </w:rPr>
            </w:pPr>
            <w:r>
              <w:rPr>
                <w:b/>
                <w:sz w:val="20"/>
                <w:szCs w:val="20"/>
              </w:rPr>
              <w:t xml:space="preserve">Irving Pulp &amp; Paper, Limited </w:t>
            </w:r>
            <w:r w:rsidRPr="000D3240">
              <w:rPr>
                <w:b/>
                <w:sz w:val="20"/>
                <w:szCs w:val="20"/>
              </w:rPr>
              <w:t>(</w:t>
            </w:r>
            <w:r>
              <w:rPr>
                <w:b/>
                <w:sz w:val="20"/>
                <w:szCs w:val="20"/>
              </w:rPr>
              <w:t>N.B.</w:t>
            </w:r>
            <w:r w:rsidRPr="000D3240">
              <w:rPr>
                <w:b/>
                <w:sz w:val="20"/>
                <w:szCs w:val="20"/>
              </w:rPr>
              <w:t>)</w:t>
            </w:r>
          </w:p>
          <w:p w:rsidR="00390161" w:rsidRPr="000D3240" w:rsidRDefault="00390161" w:rsidP="00741DC5">
            <w:pPr>
              <w:keepNext/>
              <w:keepLines/>
              <w:tabs>
                <w:tab w:val="left" w:pos="-1440"/>
                <w:tab w:val="left" w:pos="-720"/>
              </w:tabs>
              <w:rPr>
                <w:sz w:val="20"/>
                <w:szCs w:val="20"/>
              </w:rPr>
            </w:pPr>
            <w:r w:rsidRPr="000D3240">
              <w:rPr>
                <w:sz w:val="20"/>
                <w:szCs w:val="20"/>
              </w:rPr>
              <w:tab/>
            </w:r>
            <w:r>
              <w:rPr>
                <w:sz w:val="20"/>
                <w:szCs w:val="20"/>
              </w:rPr>
              <w:t>William B. Goss, Q.C.</w:t>
            </w:r>
          </w:p>
          <w:p w:rsidR="00390161" w:rsidRPr="000D3240" w:rsidRDefault="00390161" w:rsidP="00741DC5">
            <w:pPr>
              <w:keepNext/>
              <w:keepLines/>
              <w:tabs>
                <w:tab w:val="left" w:pos="-1440"/>
                <w:tab w:val="left" w:pos="-720"/>
              </w:tabs>
              <w:rPr>
                <w:sz w:val="20"/>
                <w:szCs w:val="20"/>
              </w:rPr>
            </w:pPr>
            <w:r w:rsidRPr="000D3240">
              <w:rPr>
                <w:sz w:val="20"/>
                <w:szCs w:val="20"/>
              </w:rPr>
              <w:tab/>
            </w:r>
            <w:r>
              <w:rPr>
                <w:sz w:val="20"/>
                <w:szCs w:val="20"/>
              </w:rPr>
              <w:t>Stewart McKelvey</w:t>
            </w:r>
          </w:p>
          <w:p w:rsidR="00390161" w:rsidRPr="000D3240" w:rsidRDefault="00390161" w:rsidP="00741DC5">
            <w:pPr>
              <w:keepNext/>
              <w:keepLines/>
              <w:tabs>
                <w:tab w:val="left" w:pos="-1440"/>
                <w:tab w:val="left" w:pos="-720"/>
              </w:tabs>
              <w:rPr>
                <w:sz w:val="20"/>
                <w:szCs w:val="20"/>
              </w:rPr>
            </w:pPr>
          </w:p>
          <w:p w:rsidR="00390161" w:rsidRPr="00A935AA" w:rsidRDefault="00390161" w:rsidP="00741DC5">
            <w:pPr>
              <w:rPr>
                <w:sz w:val="20"/>
                <w:szCs w:val="20"/>
              </w:rPr>
            </w:pPr>
            <w:r w:rsidRPr="00A935AA">
              <w:rPr>
                <w:sz w:val="20"/>
                <w:szCs w:val="20"/>
              </w:rPr>
              <w:t>FILING DATE: 28.</w:t>
            </w:r>
            <w:r>
              <w:rPr>
                <w:sz w:val="20"/>
                <w:szCs w:val="20"/>
              </w:rPr>
              <w:t>1</w:t>
            </w:r>
            <w:r w:rsidRPr="00A935AA">
              <w:rPr>
                <w:sz w:val="20"/>
                <w:szCs w:val="20"/>
              </w:rPr>
              <w:t>0.201</w:t>
            </w:r>
            <w:r>
              <w:rPr>
                <w:sz w:val="20"/>
                <w:szCs w:val="20"/>
              </w:rPr>
              <w:t>1</w:t>
            </w:r>
            <w:r w:rsidR="00460701" w:rsidRPr="00460701">
              <w:rPr>
                <w:sz w:val="20"/>
                <w:szCs w:val="20"/>
                <w:lang w:val="fr-CA"/>
              </w:rPr>
              <w:pict>
                <v:rect id="_x0000_i1038" style="width:108pt;height:1pt" o:hrpct="0" o:hralign="center" o:hrstd="t" o:hrnoshade="t" o:hr="t" fillcolor="black [3213]" stroked="f"/>
              </w:pict>
            </w:r>
          </w:p>
        </w:tc>
      </w:tr>
      <w:tr w:rsidR="00390161" w:rsidRPr="00A935AA" w:rsidTr="00741DC5">
        <w:trPr>
          <w:cantSplit/>
        </w:trPr>
        <w:tc>
          <w:tcPr>
            <w:tcW w:w="4320" w:type="dxa"/>
            <w:shd w:val="clear" w:color="auto" w:fill="auto"/>
          </w:tcPr>
          <w:p w:rsidR="00390161" w:rsidRPr="00B53DD5" w:rsidRDefault="00390161" w:rsidP="00741DC5">
            <w:pPr>
              <w:rPr>
                <w:b/>
                <w:sz w:val="20"/>
                <w:szCs w:val="20"/>
                <w:lang w:val="fr-CA"/>
              </w:rPr>
            </w:pPr>
            <w:r w:rsidRPr="00B53DD5">
              <w:rPr>
                <w:b/>
                <w:sz w:val="20"/>
                <w:szCs w:val="20"/>
                <w:lang w:val="fr-CA"/>
              </w:rPr>
              <w:t xml:space="preserve">Nancy-Gay Rotstein et al. </w:t>
            </w:r>
          </w:p>
          <w:p w:rsidR="00390161" w:rsidRPr="00B53DD5" w:rsidRDefault="00390161" w:rsidP="00741DC5">
            <w:pPr>
              <w:tabs>
                <w:tab w:val="left" w:pos="-1440"/>
                <w:tab w:val="left" w:pos="-720"/>
              </w:tabs>
              <w:rPr>
                <w:sz w:val="20"/>
                <w:szCs w:val="20"/>
              </w:rPr>
            </w:pPr>
            <w:r w:rsidRPr="00B53DD5">
              <w:rPr>
                <w:sz w:val="20"/>
                <w:szCs w:val="20"/>
                <w:lang w:val="fr-CA"/>
              </w:rPr>
              <w:tab/>
            </w:r>
            <w:r w:rsidRPr="00B53DD5">
              <w:rPr>
                <w:sz w:val="20"/>
                <w:szCs w:val="20"/>
              </w:rPr>
              <w:t>Earl A. Cherniak, Q.C.</w:t>
            </w:r>
          </w:p>
          <w:p w:rsidR="00390161" w:rsidRPr="00B53DD5" w:rsidRDefault="00390161" w:rsidP="00741DC5">
            <w:pPr>
              <w:tabs>
                <w:tab w:val="left" w:pos="-1440"/>
                <w:tab w:val="left" w:pos="-720"/>
              </w:tabs>
              <w:rPr>
                <w:sz w:val="20"/>
                <w:szCs w:val="20"/>
              </w:rPr>
            </w:pPr>
            <w:r w:rsidRPr="00B53DD5">
              <w:rPr>
                <w:sz w:val="20"/>
                <w:szCs w:val="20"/>
              </w:rPr>
              <w:tab/>
            </w:r>
            <w:r>
              <w:rPr>
                <w:sz w:val="20"/>
                <w:szCs w:val="20"/>
              </w:rPr>
              <w:t>Lerners LLP</w:t>
            </w:r>
          </w:p>
          <w:p w:rsidR="00390161" w:rsidRPr="00B53DD5" w:rsidRDefault="00390161" w:rsidP="00741DC5">
            <w:pPr>
              <w:tabs>
                <w:tab w:val="left" w:pos="-1440"/>
                <w:tab w:val="left" w:pos="-720"/>
              </w:tabs>
              <w:rPr>
                <w:sz w:val="20"/>
                <w:szCs w:val="20"/>
              </w:rPr>
            </w:pPr>
          </w:p>
          <w:p w:rsidR="00390161" w:rsidRPr="00A935AA" w:rsidRDefault="00390161" w:rsidP="00741DC5">
            <w:pPr>
              <w:tabs>
                <w:tab w:val="left" w:pos="-1440"/>
                <w:tab w:val="left" w:pos="-720"/>
              </w:tabs>
              <w:rPr>
                <w:sz w:val="20"/>
                <w:szCs w:val="20"/>
              </w:rPr>
            </w:pPr>
            <w:r w:rsidRPr="00B53DD5">
              <w:rPr>
                <w:sz w:val="20"/>
                <w:szCs w:val="20"/>
              </w:rPr>
              <w:tab/>
            </w:r>
            <w:r w:rsidRPr="00A935AA">
              <w:rPr>
                <w:sz w:val="20"/>
                <w:szCs w:val="20"/>
              </w:rPr>
              <w:t>v. (3</w:t>
            </w:r>
            <w:r>
              <w:rPr>
                <w:sz w:val="20"/>
                <w:szCs w:val="20"/>
              </w:rPr>
              <w:t>4476</w:t>
            </w:r>
            <w:r w:rsidRPr="00A935AA">
              <w:rPr>
                <w:sz w:val="20"/>
                <w:szCs w:val="20"/>
              </w:rPr>
              <w:t>)</w:t>
            </w:r>
          </w:p>
          <w:p w:rsidR="00390161" w:rsidRPr="00A935AA" w:rsidRDefault="00390161" w:rsidP="00741DC5">
            <w:pPr>
              <w:tabs>
                <w:tab w:val="left" w:pos="-1440"/>
                <w:tab w:val="left" w:pos="-720"/>
              </w:tabs>
              <w:rPr>
                <w:sz w:val="20"/>
                <w:szCs w:val="20"/>
              </w:rPr>
            </w:pPr>
          </w:p>
          <w:p w:rsidR="00390161" w:rsidRPr="00A935AA" w:rsidRDefault="00390161" w:rsidP="00741DC5">
            <w:pPr>
              <w:tabs>
                <w:tab w:val="left" w:pos="-1440"/>
                <w:tab w:val="left" w:pos="-720"/>
              </w:tabs>
              <w:rPr>
                <w:b/>
                <w:sz w:val="20"/>
                <w:szCs w:val="20"/>
              </w:rPr>
            </w:pPr>
            <w:r>
              <w:rPr>
                <w:b/>
                <w:sz w:val="20"/>
                <w:szCs w:val="20"/>
              </w:rPr>
              <w:t xml:space="preserve">Lawrence Jerome Berk Smith, Executor and Trustee of the Estate of Ruth Dorothea Smith </w:t>
            </w:r>
            <w:r w:rsidRPr="00A935AA">
              <w:rPr>
                <w:b/>
                <w:sz w:val="20"/>
                <w:szCs w:val="20"/>
              </w:rPr>
              <w:t>(</w:t>
            </w:r>
            <w:r>
              <w:rPr>
                <w:b/>
                <w:sz w:val="20"/>
                <w:szCs w:val="20"/>
              </w:rPr>
              <w:t>Ont</w:t>
            </w:r>
            <w:r w:rsidRPr="00A935AA">
              <w:rPr>
                <w:b/>
                <w:sz w:val="20"/>
                <w:szCs w:val="20"/>
              </w:rPr>
              <w:t>.)</w:t>
            </w:r>
          </w:p>
          <w:p w:rsidR="00390161" w:rsidRPr="00A935AA" w:rsidRDefault="00390161" w:rsidP="00741DC5">
            <w:pPr>
              <w:tabs>
                <w:tab w:val="left" w:pos="-1440"/>
                <w:tab w:val="left" w:pos="-720"/>
              </w:tabs>
              <w:rPr>
                <w:sz w:val="20"/>
                <w:szCs w:val="20"/>
              </w:rPr>
            </w:pPr>
            <w:r w:rsidRPr="00A935AA">
              <w:rPr>
                <w:sz w:val="20"/>
                <w:szCs w:val="20"/>
              </w:rPr>
              <w:tab/>
            </w:r>
            <w:r>
              <w:rPr>
                <w:sz w:val="20"/>
                <w:szCs w:val="20"/>
              </w:rPr>
              <w:t>Richard Shekter</w:t>
            </w:r>
          </w:p>
          <w:p w:rsidR="00390161" w:rsidRPr="00A935AA" w:rsidRDefault="00390161" w:rsidP="00741DC5">
            <w:pPr>
              <w:tabs>
                <w:tab w:val="left" w:pos="-1440"/>
                <w:tab w:val="left" w:pos="-720"/>
              </w:tabs>
              <w:rPr>
                <w:sz w:val="20"/>
                <w:szCs w:val="20"/>
              </w:rPr>
            </w:pPr>
            <w:r w:rsidRPr="00A935AA">
              <w:rPr>
                <w:sz w:val="20"/>
                <w:szCs w:val="20"/>
              </w:rPr>
              <w:tab/>
            </w:r>
            <w:r>
              <w:rPr>
                <w:sz w:val="20"/>
                <w:szCs w:val="20"/>
              </w:rPr>
              <w:t>Shekter, Dychtenberg LLP</w:t>
            </w:r>
          </w:p>
          <w:p w:rsidR="00390161" w:rsidRPr="00A935AA" w:rsidRDefault="00390161" w:rsidP="00741DC5">
            <w:pPr>
              <w:tabs>
                <w:tab w:val="left" w:pos="-1440"/>
                <w:tab w:val="left" w:pos="-720"/>
              </w:tabs>
              <w:rPr>
                <w:sz w:val="20"/>
                <w:szCs w:val="20"/>
              </w:rPr>
            </w:pPr>
          </w:p>
          <w:p w:rsidR="00390161" w:rsidRPr="00A935AA" w:rsidRDefault="00390161" w:rsidP="00741DC5">
            <w:pPr>
              <w:rPr>
                <w:sz w:val="20"/>
                <w:szCs w:val="20"/>
              </w:rPr>
            </w:pPr>
            <w:r w:rsidRPr="00A935AA">
              <w:rPr>
                <w:sz w:val="20"/>
                <w:szCs w:val="20"/>
              </w:rPr>
              <w:t>FILING DATE: 2</w:t>
            </w:r>
            <w:r>
              <w:rPr>
                <w:sz w:val="20"/>
                <w:szCs w:val="20"/>
              </w:rPr>
              <w:t>9</w:t>
            </w:r>
            <w:r w:rsidRPr="00A935AA">
              <w:rPr>
                <w:sz w:val="20"/>
                <w:szCs w:val="20"/>
              </w:rPr>
              <w:t>.</w:t>
            </w:r>
            <w:r>
              <w:rPr>
                <w:sz w:val="20"/>
                <w:szCs w:val="20"/>
              </w:rPr>
              <w:t>09</w:t>
            </w:r>
            <w:r w:rsidRPr="00A935AA">
              <w:rPr>
                <w:sz w:val="20"/>
                <w:szCs w:val="20"/>
              </w:rPr>
              <w:t>.201</w:t>
            </w:r>
            <w:r>
              <w:rPr>
                <w:sz w:val="20"/>
                <w:szCs w:val="20"/>
              </w:rPr>
              <w:t>1</w:t>
            </w:r>
          </w:p>
          <w:p w:rsidR="00390161" w:rsidRPr="00A935AA" w:rsidRDefault="00460701" w:rsidP="00741DC5">
            <w:pPr>
              <w:rPr>
                <w:sz w:val="20"/>
                <w:szCs w:val="20"/>
              </w:rPr>
            </w:pPr>
            <w:r w:rsidRPr="00460701">
              <w:rPr>
                <w:sz w:val="20"/>
                <w:szCs w:val="20"/>
                <w:lang w:val="fr-CA"/>
              </w:rPr>
              <w:pict>
                <v:rect id="_x0000_i1039" style="width:108pt;height:1pt" o:hrpct="0" o:hralign="center" o:hrstd="t" o:hrnoshade="t" o:hr="t" fillcolor="black [3213]" stroked="f"/>
              </w:pict>
            </w:r>
          </w:p>
        </w:tc>
        <w:tc>
          <w:tcPr>
            <w:tcW w:w="1181" w:type="dxa"/>
            <w:shd w:val="clear" w:color="auto" w:fill="auto"/>
          </w:tcPr>
          <w:p w:rsidR="00390161" w:rsidRDefault="00390161" w:rsidP="00741DC5">
            <w:pPr>
              <w:jc w:val="center"/>
              <w:rPr>
                <w:sz w:val="20"/>
                <w:szCs w:val="20"/>
              </w:rPr>
            </w:pPr>
          </w:p>
          <w:p w:rsidR="00390161" w:rsidRDefault="00390161" w:rsidP="00741DC5">
            <w:pPr>
              <w:jc w:val="center"/>
              <w:rPr>
                <w:sz w:val="20"/>
                <w:szCs w:val="20"/>
              </w:rPr>
            </w:pPr>
          </w:p>
          <w:p w:rsidR="00390161" w:rsidRDefault="00390161" w:rsidP="00741DC5">
            <w:pPr>
              <w:jc w:val="center"/>
              <w:rPr>
                <w:sz w:val="20"/>
                <w:szCs w:val="20"/>
              </w:rPr>
            </w:pPr>
          </w:p>
          <w:p w:rsidR="00390161" w:rsidRDefault="00390161" w:rsidP="00741DC5">
            <w:pPr>
              <w:jc w:val="center"/>
              <w:rPr>
                <w:sz w:val="20"/>
                <w:szCs w:val="20"/>
              </w:rPr>
            </w:pPr>
          </w:p>
          <w:p w:rsidR="00390161" w:rsidRDefault="00390161" w:rsidP="00741DC5">
            <w:pPr>
              <w:jc w:val="center"/>
              <w:rPr>
                <w:sz w:val="20"/>
                <w:szCs w:val="20"/>
              </w:rPr>
            </w:pPr>
          </w:p>
          <w:p w:rsidR="00390161" w:rsidRDefault="00390161" w:rsidP="00741DC5">
            <w:pPr>
              <w:jc w:val="center"/>
              <w:rPr>
                <w:sz w:val="20"/>
                <w:szCs w:val="20"/>
              </w:rPr>
            </w:pPr>
          </w:p>
          <w:p w:rsidR="00390161" w:rsidRDefault="00390161" w:rsidP="00741DC5">
            <w:pPr>
              <w:jc w:val="center"/>
              <w:rPr>
                <w:sz w:val="20"/>
                <w:szCs w:val="20"/>
              </w:rPr>
            </w:pPr>
          </w:p>
          <w:p w:rsidR="00390161" w:rsidRDefault="00390161" w:rsidP="00741DC5">
            <w:pPr>
              <w:jc w:val="center"/>
              <w:rPr>
                <w:sz w:val="20"/>
                <w:szCs w:val="20"/>
              </w:rPr>
            </w:pPr>
          </w:p>
          <w:p w:rsidR="00390161" w:rsidRDefault="00390161" w:rsidP="00741DC5">
            <w:pPr>
              <w:jc w:val="center"/>
              <w:rPr>
                <w:sz w:val="20"/>
                <w:szCs w:val="20"/>
              </w:rPr>
            </w:pPr>
          </w:p>
          <w:p w:rsidR="00390161" w:rsidRDefault="00390161" w:rsidP="00741DC5">
            <w:pPr>
              <w:jc w:val="center"/>
              <w:rPr>
                <w:sz w:val="20"/>
                <w:szCs w:val="20"/>
              </w:rPr>
            </w:pPr>
          </w:p>
          <w:p w:rsidR="00390161" w:rsidRDefault="00390161" w:rsidP="00741DC5">
            <w:pPr>
              <w:jc w:val="center"/>
              <w:rPr>
                <w:sz w:val="20"/>
                <w:szCs w:val="20"/>
              </w:rPr>
            </w:pPr>
          </w:p>
          <w:p w:rsidR="00390161" w:rsidRDefault="00390161" w:rsidP="00741DC5">
            <w:pPr>
              <w:jc w:val="center"/>
              <w:rPr>
                <w:sz w:val="20"/>
                <w:szCs w:val="20"/>
              </w:rPr>
            </w:pPr>
          </w:p>
          <w:p w:rsidR="00390161" w:rsidRPr="00A935AA" w:rsidRDefault="00390161" w:rsidP="00741DC5">
            <w:pPr>
              <w:jc w:val="center"/>
              <w:rPr>
                <w:sz w:val="20"/>
                <w:szCs w:val="20"/>
              </w:rPr>
            </w:pPr>
          </w:p>
        </w:tc>
        <w:tc>
          <w:tcPr>
            <w:tcW w:w="4320" w:type="dxa"/>
            <w:shd w:val="clear" w:color="auto" w:fill="auto"/>
          </w:tcPr>
          <w:p w:rsidR="00390161" w:rsidRPr="00B375A6" w:rsidRDefault="00390161" w:rsidP="00741DC5">
            <w:pPr>
              <w:keepNext/>
              <w:keepLines/>
              <w:tabs>
                <w:tab w:val="left" w:pos="-1440"/>
                <w:tab w:val="left" w:pos="-720"/>
              </w:tabs>
              <w:rPr>
                <w:b/>
                <w:sz w:val="20"/>
                <w:szCs w:val="20"/>
                <w:lang w:val="fr-CA"/>
              </w:rPr>
            </w:pPr>
            <w:r w:rsidRPr="00B375A6">
              <w:rPr>
                <w:b/>
                <w:sz w:val="20"/>
                <w:szCs w:val="20"/>
                <w:lang w:val="fr-CA"/>
              </w:rPr>
              <w:t xml:space="preserve">Andrew Louie et al. </w:t>
            </w:r>
          </w:p>
          <w:p w:rsidR="00390161" w:rsidRPr="00B375A6" w:rsidRDefault="00390161" w:rsidP="00741DC5">
            <w:pPr>
              <w:keepNext/>
              <w:keepLines/>
              <w:tabs>
                <w:tab w:val="left" w:pos="-1440"/>
                <w:tab w:val="left" w:pos="-720"/>
              </w:tabs>
              <w:rPr>
                <w:sz w:val="20"/>
                <w:szCs w:val="20"/>
                <w:lang w:val="fr-CA"/>
              </w:rPr>
            </w:pPr>
            <w:r w:rsidRPr="00B375A6">
              <w:rPr>
                <w:sz w:val="20"/>
                <w:szCs w:val="20"/>
                <w:lang w:val="fr-CA"/>
              </w:rPr>
              <w:tab/>
              <w:t>Andrew Louie</w:t>
            </w:r>
          </w:p>
          <w:p w:rsidR="00390161" w:rsidRPr="00B375A6" w:rsidRDefault="00390161" w:rsidP="00741DC5">
            <w:pPr>
              <w:keepNext/>
              <w:keepLines/>
              <w:tabs>
                <w:tab w:val="left" w:pos="-1440"/>
                <w:tab w:val="left" w:pos="-720"/>
              </w:tabs>
              <w:rPr>
                <w:sz w:val="20"/>
                <w:szCs w:val="20"/>
                <w:lang w:val="fr-CA"/>
              </w:rPr>
            </w:pPr>
          </w:p>
          <w:p w:rsidR="00390161" w:rsidRPr="00A935AA" w:rsidRDefault="00390161" w:rsidP="00741DC5">
            <w:pPr>
              <w:keepNext/>
              <w:keepLines/>
              <w:tabs>
                <w:tab w:val="left" w:pos="-1440"/>
                <w:tab w:val="left" w:pos="-720"/>
              </w:tabs>
              <w:rPr>
                <w:sz w:val="20"/>
                <w:szCs w:val="20"/>
                <w:lang w:val="fr-CA"/>
              </w:rPr>
            </w:pPr>
            <w:r w:rsidRPr="00B375A6">
              <w:rPr>
                <w:sz w:val="20"/>
                <w:szCs w:val="20"/>
                <w:lang w:val="fr-CA"/>
              </w:rPr>
              <w:tab/>
            </w:r>
            <w:r w:rsidRPr="00A935AA">
              <w:rPr>
                <w:sz w:val="20"/>
                <w:szCs w:val="20"/>
                <w:lang w:val="fr-CA"/>
              </w:rPr>
              <w:t>v. (3</w:t>
            </w:r>
            <w:r>
              <w:rPr>
                <w:sz w:val="20"/>
                <w:szCs w:val="20"/>
                <w:lang w:val="fr-CA"/>
              </w:rPr>
              <w:t>4486</w:t>
            </w:r>
            <w:r w:rsidRPr="00A935AA">
              <w:rPr>
                <w:sz w:val="20"/>
                <w:szCs w:val="20"/>
                <w:lang w:val="fr-CA"/>
              </w:rPr>
              <w:t>)</w:t>
            </w:r>
          </w:p>
          <w:p w:rsidR="00390161" w:rsidRPr="00A935AA" w:rsidRDefault="00390161" w:rsidP="00741DC5">
            <w:pPr>
              <w:keepNext/>
              <w:keepLines/>
              <w:tabs>
                <w:tab w:val="left" w:pos="-1440"/>
                <w:tab w:val="left" w:pos="-720"/>
              </w:tabs>
              <w:rPr>
                <w:sz w:val="20"/>
                <w:szCs w:val="20"/>
                <w:lang w:val="fr-CA"/>
              </w:rPr>
            </w:pPr>
          </w:p>
          <w:p w:rsidR="00390161" w:rsidRPr="00B53DD5" w:rsidRDefault="00390161" w:rsidP="00741DC5">
            <w:pPr>
              <w:keepNext/>
              <w:keepLines/>
              <w:tabs>
                <w:tab w:val="left" w:pos="-1440"/>
                <w:tab w:val="left" w:pos="-720"/>
              </w:tabs>
              <w:rPr>
                <w:b/>
                <w:sz w:val="20"/>
                <w:szCs w:val="20"/>
              </w:rPr>
            </w:pPr>
            <w:r>
              <w:rPr>
                <w:b/>
                <w:sz w:val="20"/>
                <w:szCs w:val="20"/>
                <w:lang w:val="fr-CA"/>
              </w:rPr>
              <w:t xml:space="preserve">Le Soleil Hospitality Inc. et al. </w:t>
            </w:r>
            <w:r w:rsidRPr="00B53DD5">
              <w:rPr>
                <w:b/>
                <w:sz w:val="20"/>
                <w:szCs w:val="20"/>
              </w:rPr>
              <w:t>(B.C.)</w:t>
            </w:r>
          </w:p>
          <w:p w:rsidR="00390161" w:rsidRPr="00B53DD5" w:rsidRDefault="00390161" w:rsidP="00741DC5">
            <w:pPr>
              <w:keepNext/>
              <w:keepLines/>
              <w:tabs>
                <w:tab w:val="left" w:pos="-1440"/>
                <w:tab w:val="left" w:pos="-720"/>
              </w:tabs>
              <w:rPr>
                <w:sz w:val="20"/>
                <w:szCs w:val="20"/>
              </w:rPr>
            </w:pPr>
            <w:r w:rsidRPr="00B53DD5">
              <w:rPr>
                <w:sz w:val="20"/>
                <w:szCs w:val="20"/>
              </w:rPr>
              <w:tab/>
              <w:t>Scott Griffin</w:t>
            </w:r>
          </w:p>
          <w:p w:rsidR="00390161" w:rsidRPr="00B53DD5" w:rsidRDefault="00390161" w:rsidP="00741DC5">
            <w:pPr>
              <w:keepNext/>
              <w:keepLines/>
              <w:tabs>
                <w:tab w:val="left" w:pos="-1440"/>
                <w:tab w:val="left" w:pos="-720"/>
              </w:tabs>
              <w:rPr>
                <w:sz w:val="20"/>
                <w:szCs w:val="20"/>
              </w:rPr>
            </w:pPr>
            <w:r w:rsidRPr="00B53DD5">
              <w:rPr>
                <w:sz w:val="20"/>
                <w:szCs w:val="20"/>
              </w:rPr>
              <w:tab/>
              <w:t>McCarthy Tétrault LLP</w:t>
            </w:r>
          </w:p>
          <w:p w:rsidR="00390161" w:rsidRPr="00B53DD5" w:rsidRDefault="00390161" w:rsidP="00741DC5">
            <w:pPr>
              <w:keepNext/>
              <w:keepLines/>
              <w:tabs>
                <w:tab w:val="left" w:pos="-1440"/>
                <w:tab w:val="left" w:pos="-720"/>
              </w:tabs>
              <w:rPr>
                <w:sz w:val="20"/>
                <w:szCs w:val="20"/>
              </w:rPr>
            </w:pPr>
          </w:p>
          <w:p w:rsidR="00390161" w:rsidRPr="00A935AA" w:rsidRDefault="00390161" w:rsidP="00741DC5">
            <w:pPr>
              <w:rPr>
                <w:sz w:val="20"/>
                <w:szCs w:val="20"/>
              </w:rPr>
            </w:pPr>
            <w:r w:rsidRPr="00A935AA">
              <w:rPr>
                <w:sz w:val="20"/>
                <w:szCs w:val="20"/>
              </w:rPr>
              <w:t>FILING DATE: 2</w:t>
            </w:r>
            <w:r>
              <w:rPr>
                <w:sz w:val="20"/>
                <w:szCs w:val="20"/>
              </w:rPr>
              <w:t>9</w:t>
            </w:r>
            <w:r w:rsidRPr="00A935AA">
              <w:rPr>
                <w:sz w:val="20"/>
                <w:szCs w:val="20"/>
              </w:rPr>
              <w:t>.0</w:t>
            </w:r>
            <w:r>
              <w:rPr>
                <w:sz w:val="20"/>
                <w:szCs w:val="20"/>
              </w:rPr>
              <w:t>9</w:t>
            </w:r>
            <w:r w:rsidRPr="00A935AA">
              <w:rPr>
                <w:sz w:val="20"/>
                <w:szCs w:val="20"/>
              </w:rPr>
              <w:t>.201</w:t>
            </w:r>
            <w:r>
              <w:rPr>
                <w:sz w:val="20"/>
                <w:szCs w:val="20"/>
              </w:rPr>
              <w:t>1</w:t>
            </w:r>
            <w:r w:rsidR="00460701" w:rsidRPr="00460701">
              <w:rPr>
                <w:sz w:val="20"/>
                <w:szCs w:val="20"/>
                <w:lang w:val="fr-CA"/>
              </w:rPr>
              <w:pict>
                <v:rect id="_x0000_i1040" style="width:108pt;height:1pt" o:hrpct="0" o:hralign="center" o:hrstd="t" o:hrnoshade="t" o:hr="t" fillcolor="black [3213]" stroked="f"/>
              </w:pict>
            </w:r>
          </w:p>
        </w:tc>
      </w:tr>
    </w:tbl>
    <w:p w:rsidR="006C3F47" w:rsidRDefault="006C3F47" w:rsidP="0095096B">
      <w:pPr>
        <w:tabs>
          <w:tab w:val="right" w:pos="9360"/>
        </w:tabs>
        <w:rPr>
          <w:sz w:val="20"/>
          <w:szCs w:val="20"/>
        </w:rPr>
      </w:pPr>
    </w:p>
    <w:p w:rsidR="00242AEE" w:rsidRDefault="00242AEE" w:rsidP="0095096B">
      <w:pPr>
        <w:tabs>
          <w:tab w:val="right" w:pos="9360"/>
        </w:tabs>
        <w:rPr>
          <w:sz w:val="20"/>
          <w:szCs w:val="20"/>
        </w:rPr>
      </w:pPr>
    </w:p>
    <w:p w:rsidR="00242AEE" w:rsidRPr="00C50A5C" w:rsidRDefault="00242AEE" w:rsidP="0095096B">
      <w:pPr>
        <w:tabs>
          <w:tab w:val="right" w:pos="9360"/>
        </w:tabs>
        <w:rPr>
          <w:sz w:val="20"/>
          <w:szCs w:val="20"/>
        </w:rPr>
        <w:sectPr w:rsidR="00242AEE" w:rsidRPr="00C50A5C" w:rsidSect="00390161">
          <w:headerReference w:type="default" r:id="rId14"/>
          <w:footerReference w:type="default" r:id="rId15"/>
          <w:headerReference w:type="first" r:id="rId16"/>
          <w:footerReference w:type="first" r:id="rId17"/>
          <w:pgSz w:w="12240" w:h="15840"/>
          <w:pgMar w:top="720" w:right="965" w:bottom="1080" w:left="1656" w:header="706" w:footer="706" w:gutter="0"/>
          <w:pgNumType w:start="1546"/>
          <w:cols w:space="708"/>
          <w:titlePg/>
          <w:docGrid w:linePitch="360"/>
        </w:sectPr>
      </w:pPr>
    </w:p>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2E2327" w:rsidRPr="00390161" w:rsidTr="00BA6468">
        <w:trPr>
          <w:trHeight w:val="900"/>
        </w:trPr>
        <w:tc>
          <w:tcPr>
            <w:tcW w:w="4200" w:type="dxa"/>
            <w:tcMar>
              <w:left w:w="0" w:type="dxa"/>
              <w:right w:w="0" w:type="dxa"/>
            </w:tcMar>
          </w:tcPr>
          <w:p w:rsidR="002E2327" w:rsidRPr="001D0D5F" w:rsidRDefault="002E2327" w:rsidP="002E2327">
            <w:pPr>
              <w:keepNext/>
              <w:keepLines/>
              <w:widowControl w:val="0"/>
              <w:rPr>
                <w:b/>
                <w:szCs w:val="24"/>
              </w:rPr>
            </w:pPr>
            <w:r w:rsidRPr="001D0D5F">
              <w:rPr>
                <w:b/>
                <w:szCs w:val="24"/>
              </w:rPr>
              <w:lastRenderedPageBreak/>
              <w:t>APPLICATIONS FOR LEAVE SUBMITTED TO COURT SINCE LAST ISSUE</w:t>
            </w:r>
          </w:p>
        </w:tc>
        <w:tc>
          <w:tcPr>
            <w:tcW w:w="1200" w:type="dxa"/>
            <w:tcMar>
              <w:left w:w="0" w:type="dxa"/>
              <w:right w:w="0" w:type="dxa"/>
            </w:tcMar>
          </w:tcPr>
          <w:p w:rsidR="002E2327" w:rsidRDefault="002E2327" w:rsidP="002E2327">
            <w:pPr>
              <w:keepNext/>
              <w:keepLines/>
              <w:widowControl w:val="0"/>
              <w:jc w:val="center"/>
              <w:rPr>
                <w:b/>
                <w:szCs w:val="24"/>
              </w:rPr>
            </w:pPr>
          </w:p>
          <w:p w:rsidR="001D0D5F" w:rsidRDefault="001D0D5F" w:rsidP="002E2327">
            <w:pPr>
              <w:keepNext/>
              <w:keepLines/>
              <w:widowControl w:val="0"/>
              <w:jc w:val="center"/>
              <w:rPr>
                <w:b/>
                <w:szCs w:val="24"/>
              </w:rPr>
            </w:pPr>
          </w:p>
          <w:p w:rsidR="001D0D5F" w:rsidRDefault="001D0D5F" w:rsidP="002E2327">
            <w:pPr>
              <w:keepNext/>
              <w:keepLines/>
              <w:widowControl w:val="0"/>
              <w:jc w:val="center"/>
              <w:rPr>
                <w:b/>
                <w:szCs w:val="24"/>
              </w:rPr>
            </w:pPr>
          </w:p>
          <w:p w:rsidR="001D0D5F" w:rsidRPr="001D0D5F" w:rsidRDefault="001D0D5F" w:rsidP="002E2327">
            <w:pPr>
              <w:keepNext/>
              <w:keepLines/>
              <w:widowControl w:val="0"/>
              <w:jc w:val="center"/>
              <w:rPr>
                <w:b/>
                <w:szCs w:val="24"/>
              </w:rPr>
            </w:pPr>
          </w:p>
        </w:tc>
        <w:tc>
          <w:tcPr>
            <w:tcW w:w="4080" w:type="dxa"/>
            <w:tcMar>
              <w:left w:w="0" w:type="dxa"/>
              <w:right w:w="0" w:type="dxa"/>
            </w:tcMar>
          </w:tcPr>
          <w:p w:rsidR="002E2327" w:rsidRPr="001D0D5F" w:rsidRDefault="002E2327" w:rsidP="002E2327">
            <w:pPr>
              <w:keepLines/>
              <w:widowControl w:val="0"/>
              <w:rPr>
                <w:szCs w:val="24"/>
                <w:lang w:val="fr-CA"/>
              </w:rPr>
            </w:pPr>
            <w:r w:rsidRPr="001D0D5F">
              <w:rPr>
                <w:b/>
                <w:szCs w:val="24"/>
                <w:lang w:val="fr-CA"/>
              </w:rPr>
              <w:t>DEMANDES SOUMISES À LA COUR DEPUIS LA DERNIÈRE PARUTION</w:t>
            </w:r>
          </w:p>
          <w:p w:rsidR="002E2327" w:rsidRPr="001D0D5F" w:rsidRDefault="002E2327" w:rsidP="002E2327">
            <w:pPr>
              <w:keepNext/>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p>
        </w:tc>
      </w:tr>
    </w:tbl>
    <w:p w:rsidR="002E2327" w:rsidRPr="00C50A5C" w:rsidRDefault="002E2327" w:rsidP="002E2327">
      <w:pPr>
        <w:widowControl w:val="0"/>
        <w:rPr>
          <w:b/>
          <w:sz w:val="20"/>
          <w:szCs w:val="20"/>
          <w:lang w:val="fr-CA"/>
        </w:rPr>
      </w:pPr>
    </w:p>
    <w:p w:rsidR="00390161" w:rsidRPr="00C50A5C" w:rsidRDefault="00390161" w:rsidP="00390161">
      <w:pPr>
        <w:widowControl w:val="0"/>
        <w:rPr>
          <w:b/>
          <w:sz w:val="20"/>
          <w:szCs w:val="20"/>
        </w:rPr>
      </w:pPr>
      <w:r>
        <w:rPr>
          <w:b/>
          <w:sz w:val="20"/>
          <w:szCs w:val="20"/>
        </w:rPr>
        <w:t>OCTOBER</w:t>
      </w:r>
      <w:r w:rsidRPr="00C50A5C">
        <w:rPr>
          <w:b/>
          <w:sz w:val="20"/>
          <w:szCs w:val="20"/>
        </w:rPr>
        <w:t xml:space="preserve"> </w:t>
      </w:r>
      <w:r>
        <w:rPr>
          <w:b/>
          <w:sz w:val="20"/>
          <w:szCs w:val="20"/>
        </w:rPr>
        <w:t>24</w:t>
      </w:r>
      <w:r w:rsidRPr="00C50A5C">
        <w:rPr>
          <w:b/>
          <w:sz w:val="20"/>
          <w:szCs w:val="20"/>
        </w:rPr>
        <w:t>, 201</w:t>
      </w:r>
      <w:r>
        <w:rPr>
          <w:b/>
          <w:sz w:val="20"/>
          <w:szCs w:val="20"/>
        </w:rPr>
        <w:t>1</w:t>
      </w:r>
      <w:r w:rsidRPr="00C50A5C">
        <w:rPr>
          <w:b/>
          <w:sz w:val="20"/>
          <w:szCs w:val="20"/>
        </w:rPr>
        <w:t xml:space="preserve"> / LE </w:t>
      </w:r>
      <w:r>
        <w:rPr>
          <w:b/>
          <w:sz w:val="20"/>
          <w:szCs w:val="20"/>
        </w:rPr>
        <w:t>24</w:t>
      </w:r>
      <w:r w:rsidRPr="00C50A5C">
        <w:rPr>
          <w:b/>
          <w:sz w:val="20"/>
          <w:szCs w:val="20"/>
        </w:rPr>
        <w:t xml:space="preserve"> </w:t>
      </w:r>
      <w:r>
        <w:rPr>
          <w:b/>
          <w:sz w:val="20"/>
          <w:szCs w:val="20"/>
        </w:rPr>
        <w:t>OCTOBRE</w:t>
      </w:r>
      <w:r w:rsidRPr="00C50A5C">
        <w:rPr>
          <w:b/>
          <w:sz w:val="20"/>
          <w:szCs w:val="20"/>
        </w:rPr>
        <w:t xml:space="preserve"> 201</w:t>
      </w:r>
      <w:r>
        <w:rPr>
          <w:b/>
          <w:sz w:val="20"/>
          <w:szCs w:val="20"/>
        </w:rPr>
        <w:t>1</w:t>
      </w:r>
    </w:p>
    <w:p w:rsidR="00390161" w:rsidRPr="00C50A5C" w:rsidRDefault="00390161" w:rsidP="00390161">
      <w:pPr>
        <w:widowControl w:val="0"/>
        <w:rPr>
          <w:b/>
          <w:sz w:val="20"/>
          <w:szCs w:val="20"/>
        </w:rPr>
      </w:pPr>
    </w:p>
    <w:p w:rsidR="00390161" w:rsidRPr="00C50A5C" w:rsidRDefault="00390161" w:rsidP="00390161">
      <w:pPr>
        <w:widowControl w:val="0"/>
        <w:jc w:val="center"/>
        <w:rPr>
          <w:b/>
          <w:sz w:val="20"/>
          <w:szCs w:val="20"/>
        </w:rPr>
      </w:pPr>
      <w:r w:rsidRPr="00C50A5C">
        <w:rPr>
          <w:b/>
          <w:sz w:val="20"/>
          <w:szCs w:val="20"/>
        </w:rPr>
        <w:t xml:space="preserve">CORAM:  Chief Justice McLachlin and </w:t>
      </w:r>
      <w:r>
        <w:rPr>
          <w:b/>
          <w:sz w:val="20"/>
          <w:szCs w:val="20"/>
        </w:rPr>
        <w:t>Deschamps</w:t>
      </w:r>
      <w:r w:rsidRPr="00C50A5C">
        <w:rPr>
          <w:b/>
          <w:sz w:val="20"/>
          <w:szCs w:val="20"/>
        </w:rPr>
        <w:t xml:space="preserve"> and </w:t>
      </w:r>
      <w:r>
        <w:rPr>
          <w:b/>
          <w:sz w:val="20"/>
          <w:szCs w:val="20"/>
        </w:rPr>
        <w:t>Fish</w:t>
      </w:r>
      <w:r w:rsidRPr="00C50A5C">
        <w:rPr>
          <w:b/>
          <w:sz w:val="20"/>
          <w:szCs w:val="20"/>
        </w:rPr>
        <w:t xml:space="preserve"> JJ.</w:t>
      </w:r>
    </w:p>
    <w:p w:rsidR="00390161" w:rsidRPr="00C50A5C" w:rsidRDefault="00390161" w:rsidP="00390161">
      <w:pPr>
        <w:widowControl w:val="0"/>
        <w:jc w:val="center"/>
        <w:rPr>
          <w:sz w:val="20"/>
          <w:szCs w:val="20"/>
          <w:lang w:val="fr-CA"/>
        </w:rPr>
      </w:pPr>
      <w:r w:rsidRPr="00C50A5C">
        <w:rPr>
          <w:b/>
          <w:sz w:val="20"/>
          <w:szCs w:val="20"/>
          <w:lang w:val="fr-CA"/>
        </w:rPr>
        <w:t xml:space="preserve">La juge en chef McLachlin et les juges </w:t>
      </w:r>
      <w:r>
        <w:rPr>
          <w:b/>
          <w:sz w:val="20"/>
          <w:szCs w:val="20"/>
          <w:lang w:val="fr-CA"/>
        </w:rPr>
        <w:t>Deschamps</w:t>
      </w:r>
      <w:r w:rsidRPr="00C50A5C">
        <w:rPr>
          <w:b/>
          <w:sz w:val="20"/>
          <w:szCs w:val="20"/>
          <w:lang w:val="fr-CA"/>
        </w:rPr>
        <w:t xml:space="preserve"> et </w:t>
      </w:r>
      <w:r>
        <w:rPr>
          <w:b/>
          <w:sz w:val="20"/>
          <w:szCs w:val="20"/>
          <w:lang w:val="fr-CA"/>
        </w:rPr>
        <w:t>Fish</w:t>
      </w:r>
    </w:p>
    <w:p w:rsidR="00390161" w:rsidRPr="00C50A5C" w:rsidRDefault="00390161" w:rsidP="00390161">
      <w:pPr>
        <w:widowControl w:val="0"/>
        <w:rPr>
          <w:sz w:val="20"/>
          <w:szCs w:val="20"/>
          <w:lang w:val="fr-CA"/>
        </w:rPr>
      </w:pPr>
    </w:p>
    <w:p w:rsidR="00390161" w:rsidRPr="00C50A5C" w:rsidRDefault="00390161" w:rsidP="00390161">
      <w:pPr>
        <w:pStyle w:val="ListParagraph"/>
        <w:widowControl w:val="0"/>
        <w:numPr>
          <w:ilvl w:val="0"/>
          <w:numId w:val="1"/>
        </w:numPr>
        <w:ind w:hanging="720"/>
        <w:jc w:val="both"/>
        <w:rPr>
          <w:sz w:val="20"/>
          <w:szCs w:val="20"/>
        </w:rPr>
      </w:pPr>
      <w:r w:rsidRPr="00750F48">
        <w:rPr>
          <w:i/>
          <w:sz w:val="20"/>
          <w:szCs w:val="20"/>
        </w:rPr>
        <w:t>Daniel John Elgert v. Home Hardware Stores Limited et al.</w:t>
      </w:r>
      <w:r w:rsidRPr="00750F48">
        <w:rPr>
          <w:sz w:val="20"/>
          <w:szCs w:val="20"/>
        </w:rPr>
        <w:t xml:space="preserve"> (Alta.) (Civil) (By Leave)</w:t>
      </w:r>
      <w:r w:rsidRPr="00C50A5C">
        <w:rPr>
          <w:sz w:val="20"/>
          <w:szCs w:val="20"/>
        </w:rPr>
        <w:t xml:space="preserve"> (3</w:t>
      </w:r>
      <w:r>
        <w:rPr>
          <w:sz w:val="20"/>
          <w:szCs w:val="20"/>
        </w:rPr>
        <w:t>4335</w:t>
      </w:r>
      <w:r w:rsidRPr="00C50A5C">
        <w:rPr>
          <w:sz w:val="20"/>
          <w:szCs w:val="20"/>
        </w:rPr>
        <w:t>)</w:t>
      </w:r>
    </w:p>
    <w:p w:rsidR="00390161" w:rsidRPr="00C50A5C" w:rsidRDefault="00390161" w:rsidP="00390161">
      <w:pPr>
        <w:widowControl w:val="0"/>
        <w:jc w:val="both"/>
        <w:rPr>
          <w:sz w:val="20"/>
          <w:szCs w:val="20"/>
        </w:rPr>
      </w:pPr>
    </w:p>
    <w:p w:rsidR="00390161" w:rsidRPr="00750F48" w:rsidRDefault="00390161" w:rsidP="00390161">
      <w:pPr>
        <w:pStyle w:val="ListParagraph"/>
        <w:widowControl w:val="0"/>
        <w:numPr>
          <w:ilvl w:val="0"/>
          <w:numId w:val="1"/>
        </w:numPr>
        <w:ind w:hanging="720"/>
        <w:jc w:val="both"/>
        <w:rPr>
          <w:sz w:val="20"/>
          <w:szCs w:val="20"/>
        </w:rPr>
      </w:pPr>
      <w:r w:rsidRPr="00750F48">
        <w:rPr>
          <w:i/>
          <w:sz w:val="20"/>
          <w:szCs w:val="20"/>
        </w:rPr>
        <w:t>United States Steel Corporation et al. v. Attorney General of Canada</w:t>
      </w:r>
      <w:r w:rsidRPr="00750F48">
        <w:rPr>
          <w:sz w:val="20"/>
          <w:szCs w:val="20"/>
        </w:rPr>
        <w:t xml:space="preserve"> (F</w:t>
      </w:r>
      <w:r>
        <w:rPr>
          <w:sz w:val="20"/>
          <w:szCs w:val="20"/>
        </w:rPr>
        <w:t>.</w:t>
      </w:r>
      <w:r w:rsidRPr="00750F48">
        <w:rPr>
          <w:sz w:val="20"/>
          <w:szCs w:val="20"/>
        </w:rPr>
        <w:t>C</w:t>
      </w:r>
      <w:r>
        <w:rPr>
          <w:sz w:val="20"/>
          <w:szCs w:val="20"/>
        </w:rPr>
        <w:t>.</w:t>
      </w:r>
      <w:r w:rsidRPr="00750F48">
        <w:rPr>
          <w:sz w:val="20"/>
          <w:szCs w:val="20"/>
        </w:rPr>
        <w:t>) (Civil) (By Leave)</w:t>
      </w:r>
      <w:r>
        <w:rPr>
          <w:sz w:val="20"/>
          <w:szCs w:val="20"/>
        </w:rPr>
        <w:t xml:space="preserve"> </w:t>
      </w:r>
      <w:r w:rsidRPr="00750F48">
        <w:rPr>
          <w:sz w:val="20"/>
          <w:szCs w:val="20"/>
        </w:rPr>
        <w:t>(34389)</w:t>
      </w:r>
    </w:p>
    <w:p w:rsidR="00390161" w:rsidRPr="00750F48" w:rsidRDefault="00390161" w:rsidP="00390161">
      <w:pPr>
        <w:widowControl w:val="0"/>
        <w:jc w:val="both"/>
        <w:rPr>
          <w:sz w:val="20"/>
          <w:szCs w:val="20"/>
        </w:rPr>
      </w:pPr>
    </w:p>
    <w:p w:rsidR="00390161" w:rsidRPr="00C50A5C" w:rsidRDefault="00390161" w:rsidP="00390161">
      <w:pPr>
        <w:pStyle w:val="ListParagraph"/>
        <w:widowControl w:val="0"/>
        <w:numPr>
          <w:ilvl w:val="0"/>
          <w:numId w:val="1"/>
        </w:numPr>
        <w:ind w:hanging="720"/>
        <w:jc w:val="both"/>
        <w:rPr>
          <w:sz w:val="20"/>
          <w:szCs w:val="20"/>
        </w:rPr>
      </w:pPr>
      <w:r w:rsidRPr="00750F48">
        <w:rPr>
          <w:i/>
          <w:sz w:val="20"/>
          <w:szCs w:val="20"/>
        </w:rPr>
        <w:t>Nick Minardi v. Her Majesty the Queen</w:t>
      </w:r>
      <w:r w:rsidRPr="00750F48">
        <w:rPr>
          <w:sz w:val="20"/>
          <w:szCs w:val="20"/>
        </w:rPr>
        <w:t xml:space="preserve"> (F</w:t>
      </w:r>
      <w:r>
        <w:rPr>
          <w:sz w:val="20"/>
          <w:szCs w:val="20"/>
        </w:rPr>
        <w:t>.</w:t>
      </w:r>
      <w:r w:rsidRPr="00750F48">
        <w:rPr>
          <w:sz w:val="20"/>
          <w:szCs w:val="20"/>
        </w:rPr>
        <w:t>C</w:t>
      </w:r>
      <w:r>
        <w:rPr>
          <w:sz w:val="20"/>
          <w:szCs w:val="20"/>
        </w:rPr>
        <w:t>.</w:t>
      </w:r>
      <w:r w:rsidRPr="00750F48">
        <w:rPr>
          <w:sz w:val="20"/>
          <w:szCs w:val="20"/>
        </w:rPr>
        <w:t>) (Civil) (By Leave)</w:t>
      </w:r>
      <w:r w:rsidRPr="00C50A5C">
        <w:rPr>
          <w:sz w:val="20"/>
          <w:szCs w:val="20"/>
        </w:rPr>
        <w:t xml:space="preserve"> (3</w:t>
      </w:r>
      <w:r>
        <w:rPr>
          <w:sz w:val="20"/>
          <w:szCs w:val="20"/>
        </w:rPr>
        <w:t>4399</w:t>
      </w:r>
      <w:r w:rsidRPr="00C50A5C">
        <w:rPr>
          <w:sz w:val="20"/>
          <w:szCs w:val="20"/>
        </w:rPr>
        <w:t>)</w:t>
      </w:r>
    </w:p>
    <w:p w:rsidR="00390161" w:rsidRDefault="00390161" w:rsidP="00390161">
      <w:pPr>
        <w:widowControl w:val="0"/>
        <w:rPr>
          <w:sz w:val="20"/>
          <w:szCs w:val="20"/>
        </w:rPr>
      </w:pPr>
    </w:p>
    <w:p w:rsidR="00390161" w:rsidRDefault="00390161" w:rsidP="00390161">
      <w:pPr>
        <w:widowControl w:val="0"/>
        <w:rPr>
          <w:sz w:val="20"/>
          <w:szCs w:val="20"/>
        </w:rPr>
      </w:pPr>
    </w:p>
    <w:p w:rsidR="00390161" w:rsidRPr="00C50A5C" w:rsidRDefault="00390161" w:rsidP="00390161">
      <w:pPr>
        <w:widowControl w:val="0"/>
        <w:jc w:val="center"/>
        <w:rPr>
          <w:b/>
          <w:sz w:val="20"/>
          <w:szCs w:val="20"/>
        </w:rPr>
      </w:pPr>
      <w:r w:rsidRPr="00C50A5C">
        <w:rPr>
          <w:b/>
          <w:sz w:val="20"/>
          <w:szCs w:val="20"/>
        </w:rPr>
        <w:t xml:space="preserve">CORAM: LeBel, </w:t>
      </w:r>
      <w:r>
        <w:rPr>
          <w:b/>
          <w:sz w:val="20"/>
          <w:szCs w:val="20"/>
        </w:rPr>
        <w:t>Fish</w:t>
      </w:r>
      <w:r w:rsidRPr="00C50A5C">
        <w:rPr>
          <w:b/>
          <w:sz w:val="20"/>
          <w:szCs w:val="20"/>
        </w:rPr>
        <w:t xml:space="preserve"> and Cro</w:t>
      </w:r>
      <w:r>
        <w:rPr>
          <w:b/>
          <w:sz w:val="20"/>
          <w:szCs w:val="20"/>
        </w:rPr>
        <w:t>mwell</w:t>
      </w:r>
      <w:r w:rsidRPr="00C50A5C">
        <w:rPr>
          <w:b/>
          <w:sz w:val="20"/>
          <w:szCs w:val="20"/>
        </w:rPr>
        <w:t xml:space="preserve"> JJ.</w:t>
      </w:r>
    </w:p>
    <w:p w:rsidR="00390161" w:rsidRPr="00C50A5C" w:rsidRDefault="00390161" w:rsidP="00390161">
      <w:pPr>
        <w:widowControl w:val="0"/>
        <w:jc w:val="center"/>
        <w:rPr>
          <w:b/>
          <w:sz w:val="20"/>
          <w:szCs w:val="20"/>
          <w:lang w:val="fr-CA"/>
        </w:rPr>
      </w:pPr>
      <w:r w:rsidRPr="00C50A5C">
        <w:rPr>
          <w:b/>
          <w:sz w:val="20"/>
          <w:szCs w:val="20"/>
          <w:lang w:val="fr-CA"/>
        </w:rPr>
        <w:t xml:space="preserve">Les juges LeBel, </w:t>
      </w:r>
      <w:r>
        <w:rPr>
          <w:b/>
          <w:sz w:val="20"/>
          <w:szCs w:val="20"/>
          <w:lang w:val="fr-CA"/>
        </w:rPr>
        <w:t>Fish</w:t>
      </w:r>
      <w:r w:rsidRPr="00C50A5C">
        <w:rPr>
          <w:b/>
          <w:sz w:val="20"/>
          <w:szCs w:val="20"/>
          <w:lang w:val="fr-CA"/>
        </w:rPr>
        <w:t xml:space="preserve"> et Cro</w:t>
      </w:r>
      <w:r>
        <w:rPr>
          <w:b/>
          <w:sz w:val="20"/>
          <w:szCs w:val="20"/>
          <w:lang w:val="fr-CA"/>
        </w:rPr>
        <w:t>mwell</w:t>
      </w:r>
    </w:p>
    <w:p w:rsidR="00390161" w:rsidRPr="007137AA" w:rsidRDefault="00390161" w:rsidP="00390161">
      <w:pPr>
        <w:widowControl w:val="0"/>
        <w:rPr>
          <w:sz w:val="20"/>
          <w:szCs w:val="20"/>
          <w:lang w:val="fr-CA"/>
        </w:rPr>
      </w:pPr>
    </w:p>
    <w:p w:rsidR="00390161" w:rsidRPr="00C50A5C" w:rsidRDefault="00390161" w:rsidP="00390161">
      <w:pPr>
        <w:pStyle w:val="ListParagraph"/>
        <w:widowControl w:val="0"/>
        <w:numPr>
          <w:ilvl w:val="0"/>
          <w:numId w:val="1"/>
        </w:numPr>
        <w:ind w:hanging="720"/>
        <w:jc w:val="both"/>
        <w:rPr>
          <w:sz w:val="20"/>
          <w:szCs w:val="20"/>
        </w:rPr>
      </w:pPr>
      <w:r w:rsidRPr="00750F48">
        <w:rPr>
          <w:i/>
          <w:sz w:val="20"/>
          <w:szCs w:val="20"/>
        </w:rPr>
        <w:t xml:space="preserve">Pétroles Dupont Inc. v. Her Majesty the Queen </w:t>
      </w:r>
      <w:r w:rsidRPr="00750F48">
        <w:rPr>
          <w:sz w:val="20"/>
          <w:szCs w:val="20"/>
        </w:rPr>
        <w:t>(F</w:t>
      </w:r>
      <w:r>
        <w:rPr>
          <w:sz w:val="20"/>
          <w:szCs w:val="20"/>
        </w:rPr>
        <w:t>.</w:t>
      </w:r>
      <w:r w:rsidRPr="00750F48">
        <w:rPr>
          <w:sz w:val="20"/>
          <w:szCs w:val="20"/>
        </w:rPr>
        <w:t>C</w:t>
      </w:r>
      <w:r>
        <w:rPr>
          <w:sz w:val="20"/>
          <w:szCs w:val="20"/>
        </w:rPr>
        <w:t>.</w:t>
      </w:r>
      <w:r w:rsidRPr="00750F48">
        <w:rPr>
          <w:sz w:val="20"/>
          <w:szCs w:val="20"/>
        </w:rPr>
        <w:t>) (Civil) (By Leave)</w:t>
      </w:r>
      <w:r w:rsidRPr="00C50A5C">
        <w:rPr>
          <w:sz w:val="20"/>
          <w:szCs w:val="20"/>
        </w:rPr>
        <w:t xml:space="preserve"> (3</w:t>
      </w:r>
      <w:r>
        <w:rPr>
          <w:sz w:val="20"/>
          <w:szCs w:val="20"/>
        </w:rPr>
        <w:t>4215</w:t>
      </w:r>
      <w:r w:rsidRPr="00C50A5C">
        <w:rPr>
          <w:sz w:val="20"/>
          <w:szCs w:val="20"/>
        </w:rPr>
        <w:t>)</w:t>
      </w:r>
    </w:p>
    <w:p w:rsidR="00390161" w:rsidRDefault="00390161" w:rsidP="00390161">
      <w:pPr>
        <w:widowControl w:val="0"/>
        <w:jc w:val="both"/>
        <w:rPr>
          <w:sz w:val="20"/>
          <w:szCs w:val="20"/>
        </w:rPr>
      </w:pPr>
    </w:p>
    <w:p w:rsidR="00390161" w:rsidRPr="00C50A5C" w:rsidRDefault="00390161" w:rsidP="00390161">
      <w:pPr>
        <w:pStyle w:val="ListParagraph"/>
        <w:widowControl w:val="0"/>
        <w:numPr>
          <w:ilvl w:val="0"/>
          <w:numId w:val="1"/>
        </w:numPr>
        <w:ind w:hanging="720"/>
        <w:jc w:val="both"/>
        <w:rPr>
          <w:sz w:val="20"/>
          <w:szCs w:val="20"/>
        </w:rPr>
      </w:pPr>
      <w:r w:rsidRPr="00FD56DC">
        <w:rPr>
          <w:i/>
          <w:sz w:val="20"/>
          <w:szCs w:val="20"/>
        </w:rPr>
        <w:t>Sun Indalex Finance, LLC et al. v. United Steelworkers et al.</w:t>
      </w:r>
      <w:r w:rsidRPr="00750F48">
        <w:rPr>
          <w:sz w:val="20"/>
          <w:szCs w:val="20"/>
        </w:rPr>
        <w:t xml:space="preserve"> (Ont.) (Civil) (By Leave)</w:t>
      </w:r>
      <w:r w:rsidRPr="00C50A5C">
        <w:rPr>
          <w:sz w:val="20"/>
          <w:szCs w:val="20"/>
        </w:rPr>
        <w:t xml:space="preserve"> (34</w:t>
      </w:r>
      <w:r>
        <w:rPr>
          <w:sz w:val="20"/>
          <w:szCs w:val="20"/>
        </w:rPr>
        <w:t>308</w:t>
      </w:r>
      <w:r w:rsidRPr="00C50A5C">
        <w:rPr>
          <w:sz w:val="20"/>
          <w:szCs w:val="20"/>
        </w:rPr>
        <w:t>)</w:t>
      </w:r>
    </w:p>
    <w:p w:rsidR="00390161" w:rsidRPr="00C50A5C" w:rsidRDefault="00390161" w:rsidP="00390161">
      <w:pPr>
        <w:widowControl w:val="0"/>
        <w:rPr>
          <w:sz w:val="20"/>
          <w:szCs w:val="20"/>
        </w:rPr>
      </w:pPr>
    </w:p>
    <w:p w:rsidR="00390161" w:rsidRPr="00FD56DC" w:rsidRDefault="00390161" w:rsidP="00390161">
      <w:pPr>
        <w:pStyle w:val="ListParagraph"/>
        <w:widowControl w:val="0"/>
        <w:numPr>
          <w:ilvl w:val="0"/>
          <w:numId w:val="1"/>
        </w:numPr>
        <w:ind w:hanging="720"/>
        <w:jc w:val="both"/>
        <w:rPr>
          <w:sz w:val="20"/>
          <w:szCs w:val="20"/>
          <w:lang w:val="fr-CA"/>
        </w:rPr>
      </w:pPr>
      <w:r w:rsidRPr="00FD56DC">
        <w:rPr>
          <w:i/>
          <w:sz w:val="20"/>
          <w:szCs w:val="20"/>
          <w:lang w:val="fr-CA"/>
        </w:rPr>
        <w:t>Manoir Richelieu Ltée c. Travailleurs et travailleuses unis de l'alimentation et du commerce, section locale 503</w:t>
      </w:r>
      <w:r w:rsidRPr="00750F48">
        <w:rPr>
          <w:sz w:val="20"/>
          <w:szCs w:val="20"/>
          <w:lang w:val="fr-CA"/>
        </w:rPr>
        <w:t xml:space="preserve"> (Qc) (Civile) (Autorisation)</w:t>
      </w:r>
      <w:r>
        <w:rPr>
          <w:sz w:val="20"/>
          <w:szCs w:val="20"/>
          <w:lang w:val="fr-CA"/>
        </w:rPr>
        <w:t xml:space="preserve"> </w:t>
      </w:r>
      <w:r w:rsidRPr="00FD56DC">
        <w:rPr>
          <w:sz w:val="20"/>
          <w:szCs w:val="20"/>
          <w:lang w:val="fr-CA"/>
        </w:rPr>
        <w:t>(34370)</w:t>
      </w:r>
    </w:p>
    <w:p w:rsidR="00390161" w:rsidRDefault="00390161" w:rsidP="00390161">
      <w:pPr>
        <w:widowControl w:val="0"/>
        <w:rPr>
          <w:sz w:val="20"/>
          <w:szCs w:val="20"/>
          <w:lang w:val="fr-CA"/>
        </w:rPr>
      </w:pPr>
    </w:p>
    <w:p w:rsidR="00390161" w:rsidRDefault="00460701" w:rsidP="00390161">
      <w:pPr>
        <w:widowControl w:val="0"/>
        <w:rPr>
          <w:sz w:val="20"/>
          <w:szCs w:val="20"/>
        </w:rPr>
      </w:pPr>
      <w:r w:rsidRPr="00460701">
        <w:rPr>
          <w:sz w:val="20"/>
          <w:szCs w:val="20"/>
        </w:rPr>
        <w:pict>
          <v:rect id="_x0000_i1043" style="width:2in;height:1pt" o:hrpct="0" o:hralign="center" o:hrstd="t" o:hrnoshade="t" o:hr="t" fillcolor="black [3213]" stroked="f"/>
        </w:pict>
      </w:r>
    </w:p>
    <w:p w:rsidR="00390161" w:rsidRDefault="00390161" w:rsidP="00390161">
      <w:pPr>
        <w:widowControl w:val="0"/>
        <w:rPr>
          <w:sz w:val="20"/>
          <w:szCs w:val="20"/>
        </w:rPr>
      </w:pPr>
    </w:p>
    <w:p w:rsidR="00390161" w:rsidRDefault="00390161" w:rsidP="00390161">
      <w:pPr>
        <w:widowControl w:val="0"/>
        <w:rPr>
          <w:sz w:val="20"/>
          <w:szCs w:val="20"/>
        </w:rPr>
      </w:pPr>
    </w:p>
    <w:p w:rsidR="00390161" w:rsidRPr="00C50A5C" w:rsidRDefault="00390161" w:rsidP="00390161">
      <w:pPr>
        <w:widowControl w:val="0"/>
        <w:rPr>
          <w:sz w:val="20"/>
          <w:szCs w:val="20"/>
        </w:rPr>
      </w:pPr>
    </w:p>
    <w:p w:rsidR="00390161" w:rsidRPr="00C50A5C" w:rsidRDefault="00390161" w:rsidP="00390161">
      <w:pPr>
        <w:widowControl w:val="0"/>
        <w:spacing w:line="0" w:lineRule="atLeast"/>
        <w:rPr>
          <w:sz w:val="20"/>
          <w:szCs w:val="20"/>
        </w:rPr>
        <w:sectPr w:rsidR="00390161" w:rsidRPr="00C50A5C" w:rsidSect="0044776A">
          <w:headerReference w:type="default" r:id="rId18"/>
          <w:footerReference w:type="default" r:id="rId19"/>
          <w:headerReference w:type="first" r:id="rId20"/>
          <w:footerReference w:type="first" r:id="rId21"/>
          <w:pgSz w:w="12240" w:h="15840"/>
          <w:pgMar w:top="720" w:right="965" w:bottom="1080" w:left="1656" w:header="706" w:footer="706" w:gutter="0"/>
          <w:cols w:space="708"/>
          <w:titlePg/>
          <w:docGrid w:linePitch="360"/>
        </w:sectPr>
      </w:pPr>
    </w:p>
    <w:tbl>
      <w:tblPr>
        <w:tblW w:w="0" w:type="auto"/>
        <w:tblBorders>
          <w:bottom w:val="single" w:sz="12" w:space="0" w:color="auto"/>
        </w:tblBorders>
        <w:tblLayout w:type="fixed"/>
        <w:tblCellMar>
          <w:left w:w="0" w:type="dxa"/>
          <w:right w:w="0" w:type="dxa"/>
        </w:tblCellMar>
        <w:tblLook w:val="0000"/>
      </w:tblPr>
      <w:tblGrid>
        <w:gridCol w:w="4200"/>
        <w:gridCol w:w="1200"/>
        <w:gridCol w:w="4080"/>
      </w:tblGrid>
      <w:tr w:rsidR="008D292F" w:rsidRPr="00390161" w:rsidTr="00ED7E83">
        <w:tc>
          <w:tcPr>
            <w:tcW w:w="4200" w:type="dxa"/>
            <w:tcMar>
              <w:left w:w="0" w:type="dxa"/>
              <w:right w:w="0" w:type="dxa"/>
            </w:tcMar>
          </w:tcPr>
          <w:p w:rsidR="008D292F" w:rsidRPr="001D0D5F" w:rsidRDefault="008D292F" w:rsidP="00ED7E83">
            <w:pPr>
              <w:keepNext/>
              <w:keepLines/>
              <w:jc w:val="both"/>
              <w:rPr>
                <w:b/>
                <w:szCs w:val="24"/>
              </w:rPr>
            </w:pPr>
            <w:bookmarkStart w:id="0" w:name="QuickMark_1"/>
            <w:bookmarkEnd w:id="0"/>
            <w:r w:rsidRPr="001D0D5F">
              <w:rPr>
                <w:b/>
                <w:szCs w:val="24"/>
              </w:rPr>
              <w:lastRenderedPageBreak/>
              <w:t>JUDGMENTS ON APPLICATIONS</w:t>
            </w:r>
          </w:p>
          <w:p w:rsidR="008D292F" w:rsidRPr="001D0D5F" w:rsidRDefault="008D292F" w:rsidP="00ED7E83">
            <w:pPr>
              <w:keepNext/>
              <w:keepLines/>
              <w:jc w:val="both"/>
              <w:rPr>
                <w:b/>
                <w:szCs w:val="24"/>
              </w:rPr>
            </w:pPr>
            <w:r w:rsidRPr="001D0D5F">
              <w:rPr>
                <w:b/>
                <w:szCs w:val="24"/>
              </w:rPr>
              <w:t>FOR LEAVE</w:t>
            </w:r>
          </w:p>
        </w:tc>
        <w:tc>
          <w:tcPr>
            <w:tcW w:w="1200" w:type="dxa"/>
            <w:tcMar>
              <w:left w:w="0" w:type="dxa"/>
              <w:right w:w="0" w:type="dxa"/>
            </w:tcMar>
          </w:tcPr>
          <w:p w:rsidR="008D292F" w:rsidRPr="001D0D5F" w:rsidRDefault="008D292F" w:rsidP="008D292F">
            <w:pPr>
              <w:keepNext/>
              <w:keepLines/>
              <w:jc w:val="center"/>
              <w:rPr>
                <w:b/>
                <w:szCs w:val="24"/>
              </w:rPr>
            </w:pPr>
          </w:p>
          <w:p w:rsidR="008D292F" w:rsidRPr="001D0D5F" w:rsidRDefault="008D292F" w:rsidP="008D292F">
            <w:pPr>
              <w:keepNext/>
              <w:keepLines/>
              <w:jc w:val="center"/>
              <w:rPr>
                <w:b/>
                <w:szCs w:val="24"/>
              </w:rPr>
            </w:pPr>
          </w:p>
          <w:p w:rsidR="008D292F" w:rsidRPr="001D0D5F" w:rsidRDefault="008D292F" w:rsidP="008D292F">
            <w:pPr>
              <w:keepNext/>
              <w:keepLines/>
              <w:jc w:val="center"/>
              <w:rPr>
                <w:b/>
                <w:szCs w:val="24"/>
              </w:rPr>
            </w:pPr>
          </w:p>
        </w:tc>
        <w:tc>
          <w:tcPr>
            <w:tcW w:w="4080" w:type="dxa"/>
            <w:tcMar>
              <w:left w:w="0" w:type="dxa"/>
              <w:right w:w="0" w:type="dxa"/>
            </w:tcMar>
          </w:tcPr>
          <w:p w:rsidR="008D292F" w:rsidRPr="001D0D5F" w:rsidRDefault="008D292F" w:rsidP="00ED7E83">
            <w:pPr>
              <w:keepNext/>
              <w:keepLines/>
              <w:jc w:val="both"/>
              <w:rPr>
                <w:b/>
                <w:szCs w:val="24"/>
                <w:lang w:val="fr-CA"/>
              </w:rPr>
            </w:pPr>
            <w:r w:rsidRPr="001D0D5F">
              <w:rPr>
                <w:b/>
                <w:szCs w:val="24"/>
                <w:lang w:val="fr-CA"/>
              </w:rPr>
              <w:t>JUGEMENTS RENDUS SUR LES DEMANDES D’AUTORISATION</w:t>
            </w:r>
          </w:p>
        </w:tc>
      </w:tr>
    </w:tbl>
    <w:p w:rsidR="008D292F" w:rsidRPr="00C50A5C" w:rsidRDefault="008D292F" w:rsidP="008D292F">
      <w:pPr>
        <w:rPr>
          <w:sz w:val="20"/>
          <w:szCs w:val="20"/>
          <w:lang w:val="fr-CA"/>
        </w:rPr>
      </w:pPr>
    </w:p>
    <w:p w:rsidR="00BA18A2" w:rsidRPr="00C50A5C" w:rsidRDefault="00BA18A2" w:rsidP="00BA18A2">
      <w:pPr>
        <w:rPr>
          <w:b/>
          <w:sz w:val="20"/>
          <w:szCs w:val="20"/>
        </w:rPr>
      </w:pPr>
      <w:r>
        <w:rPr>
          <w:b/>
          <w:sz w:val="20"/>
          <w:szCs w:val="20"/>
        </w:rPr>
        <w:t>OCTOBE</w:t>
      </w:r>
      <w:r w:rsidRPr="00C50A5C">
        <w:rPr>
          <w:b/>
          <w:sz w:val="20"/>
          <w:szCs w:val="20"/>
        </w:rPr>
        <w:t>R 2</w:t>
      </w:r>
      <w:r>
        <w:rPr>
          <w:b/>
          <w:sz w:val="20"/>
          <w:szCs w:val="20"/>
        </w:rPr>
        <w:t>7</w:t>
      </w:r>
      <w:r w:rsidRPr="00C50A5C">
        <w:rPr>
          <w:b/>
          <w:sz w:val="20"/>
          <w:szCs w:val="20"/>
        </w:rPr>
        <w:t>, 201</w:t>
      </w:r>
      <w:r>
        <w:rPr>
          <w:b/>
          <w:sz w:val="20"/>
          <w:szCs w:val="20"/>
        </w:rPr>
        <w:t>1</w:t>
      </w:r>
      <w:r w:rsidRPr="00C50A5C">
        <w:rPr>
          <w:b/>
          <w:sz w:val="20"/>
          <w:szCs w:val="20"/>
        </w:rPr>
        <w:t xml:space="preserve"> / LE 2</w:t>
      </w:r>
      <w:r>
        <w:rPr>
          <w:b/>
          <w:sz w:val="20"/>
          <w:szCs w:val="20"/>
        </w:rPr>
        <w:t>7 OCTOB</w:t>
      </w:r>
      <w:r w:rsidRPr="00C50A5C">
        <w:rPr>
          <w:b/>
          <w:sz w:val="20"/>
          <w:szCs w:val="20"/>
        </w:rPr>
        <w:t>R</w:t>
      </w:r>
      <w:r>
        <w:rPr>
          <w:b/>
          <w:sz w:val="20"/>
          <w:szCs w:val="20"/>
        </w:rPr>
        <w:t>E</w:t>
      </w:r>
      <w:r w:rsidRPr="00C50A5C">
        <w:rPr>
          <w:b/>
          <w:sz w:val="20"/>
          <w:szCs w:val="20"/>
        </w:rPr>
        <w:t xml:space="preserve"> 201</w:t>
      </w:r>
      <w:r>
        <w:rPr>
          <w:b/>
          <w:sz w:val="20"/>
          <w:szCs w:val="20"/>
        </w:rPr>
        <w:t>1</w:t>
      </w:r>
    </w:p>
    <w:p w:rsidR="00BA18A2" w:rsidRDefault="00BA18A2" w:rsidP="00BA18A2">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BA18A2" w:rsidRPr="00585202" w:rsidTr="00741DC5">
        <w:trPr>
          <w:cantSplit/>
        </w:trPr>
        <w:tc>
          <w:tcPr>
            <w:tcW w:w="1458" w:type="dxa"/>
          </w:tcPr>
          <w:p w:rsidR="00BA18A2" w:rsidRPr="00585202" w:rsidRDefault="00BA18A2" w:rsidP="00741DC5">
            <w:pPr>
              <w:rPr>
                <w:sz w:val="20"/>
                <w:szCs w:val="20"/>
              </w:rPr>
            </w:pPr>
            <w:r w:rsidRPr="00585202">
              <w:rPr>
                <w:rStyle w:val="SCCFileNumberChar"/>
                <w:sz w:val="20"/>
                <w:szCs w:val="20"/>
              </w:rPr>
              <w:t>34178</w:t>
            </w:r>
          </w:p>
          <w:p w:rsidR="00BA18A2" w:rsidRPr="00585202" w:rsidRDefault="00BA18A2" w:rsidP="00741DC5">
            <w:pPr>
              <w:rPr>
                <w:b/>
                <w:sz w:val="20"/>
                <w:szCs w:val="20"/>
                <w:lang w:val="fr-CA"/>
              </w:rPr>
            </w:pPr>
          </w:p>
        </w:tc>
        <w:tc>
          <w:tcPr>
            <w:tcW w:w="8118" w:type="dxa"/>
          </w:tcPr>
          <w:p w:rsidR="00BA18A2" w:rsidRPr="00585202" w:rsidRDefault="00BA18A2" w:rsidP="00741DC5">
            <w:pPr>
              <w:jc w:val="both"/>
              <w:rPr>
                <w:sz w:val="20"/>
                <w:szCs w:val="20"/>
              </w:rPr>
            </w:pPr>
            <w:r w:rsidRPr="00BA18A2">
              <w:rPr>
                <w:rStyle w:val="SCCLsocChar"/>
                <w:sz w:val="20"/>
                <w:szCs w:val="20"/>
                <w:lang w:val="en-CA"/>
              </w:rPr>
              <w:t>Osprey Marine Ltd. v. Workers' Compensation Board and Attorney General of British Columbia</w:t>
            </w:r>
            <w:r w:rsidRPr="00585202">
              <w:rPr>
                <w:sz w:val="20"/>
                <w:szCs w:val="20"/>
              </w:rPr>
              <w:t xml:space="preserve"> (B.C.) (Civil) (By Leave)</w:t>
            </w:r>
          </w:p>
          <w:p w:rsidR="00BA18A2" w:rsidRPr="00585202" w:rsidRDefault="00BA18A2" w:rsidP="00741DC5">
            <w:pPr>
              <w:rPr>
                <w:sz w:val="20"/>
                <w:szCs w:val="20"/>
              </w:rPr>
            </w:pPr>
          </w:p>
        </w:tc>
      </w:tr>
      <w:tr w:rsidR="00BA18A2" w:rsidRPr="00585202" w:rsidTr="00741DC5">
        <w:trPr>
          <w:cantSplit/>
        </w:trPr>
        <w:tc>
          <w:tcPr>
            <w:tcW w:w="1458" w:type="dxa"/>
          </w:tcPr>
          <w:p w:rsidR="00BA18A2" w:rsidRPr="00585202" w:rsidRDefault="00BA18A2" w:rsidP="00741DC5">
            <w:pPr>
              <w:rPr>
                <w:sz w:val="20"/>
                <w:szCs w:val="20"/>
              </w:rPr>
            </w:pPr>
            <w:r w:rsidRPr="00585202">
              <w:rPr>
                <w:sz w:val="20"/>
                <w:szCs w:val="20"/>
              </w:rPr>
              <w:t>Coram :</w:t>
            </w:r>
          </w:p>
        </w:tc>
        <w:tc>
          <w:tcPr>
            <w:tcW w:w="8118" w:type="dxa"/>
          </w:tcPr>
          <w:p w:rsidR="00BA18A2" w:rsidRPr="00585202" w:rsidRDefault="00BA18A2" w:rsidP="00741DC5">
            <w:pPr>
              <w:rPr>
                <w:sz w:val="20"/>
                <w:szCs w:val="20"/>
              </w:rPr>
            </w:pPr>
            <w:r w:rsidRPr="00BA18A2">
              <w:rPr>
                <w:rStyle w:val="SCCCoramChar"/>
                <w:sz w:val="20"/>
                <w:lang w:val="en-CA"/>
              </w:rPr>
              <w:t>Binnie, Abella and Rothstein JJ.</w:t>
            </w:r>
          </w:p>
          <w:p w:rsidR="00BA18A2" w:rsidRPr="00585202" w:rsidRDefault="00BA18A2" w:rsidP="00741DC5">
            <w:pPr>
              <w:rPr>
                <w:sz w:val="20"/>
                <w:szCs w:val="20"/>
                <w:u w:val="single"/>
              </w:rPr>
            </w:pPr>
          </w:p>
        </w:tc>
      </w:tr>
      <w:tr w:rsidR="00BA18A2" w:rsidRPr="00BA18A2" w:rsidTr="00741DC5">
        <w:trPr>
          <w:cantSplit/>
        </w:trPr>
        <w:tc>
          <w:tcPr>
            <w:tcW w:w="9576" w:type="dxa"/>
            <w:gridSpan w:val="2"/>
          </w:tcPr>
          <w:p w:rsidR="00BA18A2" w:rsidRPr="00585202" w:rsidRDefault="00BA18A2" w:rsidP="00741DC5">
            <w:pPr>
              <w:pStyle w:val="SCCShortJudgment"/>
              <w:rPr>
                <w:szCs w:val="20"/>
              </w:rPr>
            </w:pPr>
            <w:r w:rsidRPr="00585202">
              <w:rPr>
                <w:szCs w:val="20"/>
              </w:rPr>
              <w:t>The application for leave to appeal from the judgment of the Court of Appeal for British Columbia (Vancouver), Number CA036885, 2011 BCCA 35, dated February 2, 2011, is dismissed with costs to the respondent Workers’ Compensation Board.</w:t>
            </w:r>
          </w:p>
          <w:p w:rsidR="00BA18A2" w:rsidRPr="00585202" w:rsidRDefault="00BA18A2" w:rsidP="00741DC5">
            <w:pPr>
              <w:pStyle w:val="SCCShortJudgment"/>
              <w:ind w:firstLine="0"/>
              <w:rPr>
                <w:szCs w:val="20"/>
              </w:rPr>
            </w:pPr>
          </w:p>
          <w:p w:rsidR="00BA18A2" w:rsidRPr="00585202" w:rsidRDefault="00BA18A2" w:rsidP="00741DC5">
            <w:pPr>
              <w:pStyle w:val="SCCShortJudgment"/>
              <w:rPr>
                <w:szCs w:val="20"/>
                <w:lang w:val="fr-CA"/>
              </w:rPr>
            </w:pPr>
            <w:r w:rsidRPr="00585202">
              <w:rPr>
                <w:szCs w:val="20"/>
                <w:lang w:val="fr-CA"/>
              </w:rPr>
              <w:t>La demande d’autorisation d’appel de l’arrêt de la Cour d’appel de la Colombie-Britannique (Vancouver), numéro CA036885, 2011 BCCA 35, daté du 2 février 2011, est rejetée avec dépens en faveur de l’intimée Workers’ Compensation Board.</w:t>
            </w:r>
          </w:p>
        </w:tc>
      </w:tr>
    </w:tbl>
    <w:p w:rsidR="00BA18A2" w:rsidRPr="00B85071" w:rsidRDefault="00BA18A2" w:rsidP="00BA18A2">
      <w:pPr>
        <w:rPr>
          <w:sz w:val="20"/>
          <w:szCs w:val="20"/>
          <w:lang w:val="fr-CA"/>
        </w:rPr>
      </w:pPr>
    </w:p>
    <w:p w:rsidR="00BA18A2" w:rsidRDefault="00BA18A2" w:rsidP="00BA18A2">
      <w:pPr>
        <w:rPr>
          <w:sz w:val="20"/>
          <w:szCs w:val="20"/>
        </w:rPr>
      </w:pPr>
      <w:r>
        <w:rPr>
          <w:sz w:val="20"/>
          <w:szCs w:val="20"/>
          <w:u w:val="single"/>
        </w:rPr>
        <w:t>CASE SUMMARY</w:t>
      </w:r>
    </w:p>
    <w:p w:rsidR="00BA18A2" w:rsidRDefault="00BA18A2" w:rsidP="00BA18A2">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BA18A2" w:rsidRPr="00DF05B0" w:rsidTr="00741DC5">
        <w:tc>
          <w:tcPr>
            <w:tcW w:w="5000" w:type="pct"/>
            <w:gridSpan w:val="3"/>
          </w:tcPr>
          <w:p w:rsidR="00BA18A2" w:rsidRPr="00DF05B0" w:rsidRDefault="00BA18A2" w:rsidP="00741DC5">
            <w:pPr>
              <w:jc w:val="both"/>
              <w:rPr>
                <w:rFonts w:eastAsia="Calibri"/>
                <w:sz w:val="20"/>
              </w:rPr>
            </w:pPr>
            <w:r w:rsidRPr="00DF05B0">
              <w:rPr>
                <w:rFonts w:eastAsia="Calibri"/>
                <w:sz w:val="20"/>
              </w:rPr>
              <w:t xml:space="preserve">Constitutional law — Division of powers — Navigation and shipping — Property and civil rights —  Pith and substance — Paramountcy — Interjurisdictional immunity — Does s. 92(10)(a) of the </w:t>
            </w:r>
            <w:r w:rsidRPr="00DF05B0">
              <w:rPr>
                <w:rFonts w:eastAsia="Calibri"/>
                <w:i/>
                <w:sz w:val="20"/>
              </w:rPr>
              <w:t>Constitution Act, 1867</w:t>
            </w:r>
            <w:r w:rsidRPr="00DF05B0">
              <w:rPr>
                <w:rFonts w:eastAsia="Calibri"/>
                <w:sz w:val="20"/>
              </w:rPr>
              <w:t xml:space="preserve"> apply to the undertaking and or is the undertaking provincial and not federal — Is Part 24 of the </w:t>
            </w:r>
            <w:r w:rsidRPr="00DF05B0">
              <w:rPr>
                <w:rFonts w:eastAsia="Calibri"/>
                <w:i/>
                <w:sz w:val="20"/>
              </w:rPr>
              <w:t>Occupational Health and Safety Regulations</w:t>
            </w:r>
            <w:r w:rsidRPr="00DF05B0">
              <w:rPr>
                <w:rFonts w:eastAsia="Calibri"/>
                <w:sz w:val="20"/>
              </w:rPr>
              <w:t xml:space="preserve"> (</w:t>
            </w:r>
            <w:r w:rsidRPr="00DF05B0">
              <w:rPr>
                <w:rFonts w:eastAsia="Calibri"/>
                <w:i/>
                <w:sz w:val="20"/>
              </w:rPr>
              <w:t>Workers Compensation Act</w:t>
            </w:r>
            <w:r w:rsidRPr="00DF05B0">
              <w:rPr>
                <w:rFonts w:eastAsia="Calibri"/>
                <w:sz w:val="20"/>
              </w:rPr>
              <w:t xml:space="preserve">), B.C. Reg. 258/2008, in pith and substance, legislation respecting the health and safety of workers who work on fishing vessels; are the regulations validly enacted pursuant to s. 92(13) of </w:t>
            </w:r>
            <w:r w:rsidRPr="00DF05B0">
              <w:rPr>
                <w:rFonts w:eastAsia="Calibri"/>
                <w:i/>
                <w:sz w:val="20"/>
              </w:rPr>
              <w:t>Consttitution Act, 1867</w:t>
            </w:r>
            <w:r w:rsidRPr="00DF05B0">
              <w:rPr>
                <w:rFonts w:eastAsia="Calibri"/>
                <w:sz w:val="20"/>
              </w:rPr>
              <w:t xml:space="preserve"> and are they not matters that would fall within the exclusive jurisdiction of Parliament pursuant to s. 91(10) of the </w:t>
            </w:r>
            <w:r w:rsidRPr="00DF05B0">
              <w:rPr>
                <w:rFonts w:eastAsia="Calibri"/>
                <w:i/>
                <w:sz w:val="20"/>
              </w:rPr>
              <w:t>Constitution Act, 1867</w:t>
            </w:r>
            <w:r w:rsidRPr="00DF05B0">
              <w:rPr>
                <w:rFonts w:eastAsia="Calibri"/>
                <w:sz w:val="20"/>
              </w:rPr>
              <w:t xml:space="preserve"> — </w:t>
            </w:r>
            <w:r w:rsidRPr="00DF05B0">
              <w:rPr>
                <w:rFonts w:eastAsia="Calibri"/>
                <w:i/>
                <w:sz w:val="20"/>
              </w:rPr>
              <w:t>Constitution Act, 1867</w:t>
            </w:r>
            <w:r w:rsidRPr="00DF05B0">
              <w:rPr>
                <w:rFonts w:eastAsia="Calibri"/>
                <w:sz w:val="20"/>
              </w:rPr>
              <w:t>, ss. 91(10), 92(10)(a), 92(13).</w:t>
            </w:r>
          </w:p>
          <w:p w:rsidR="00BA18A2" w:rsidRPr="00DF05B0" w:rsidRDefault="00BA18A2" w:rsidP="00741DC5">
            <w:pPr>
              <w:jc w:val="both"/>
              <w:rPr>
                <w:rFonts w:eastAsia="Calibri"/>
                <w:sz w:val="20"/>
              </w:rPr>
            </w:pPr>
          </w:p>
        </w:tc>
      </w:tr>
      <w:tr w:rsidR="00BA18A2" w:rsidRPr="00DF05B0" w:rsidTr="00741DC5">
        <w:tc>
          <w:tcPr>
            <w:tcW w:w="5000" w:type="pct"/>
            <w:gridSpan w:val="3"/>
          </w:tcPr>
          <w:p w:rsidR="00BA18A2" w:rsidRPr="00DF05B0" w:rsidRDefault="00BA18A2" w:rsidP="00741DC5">
            <w:pPr>
              <w:jc w:val="both"/>
              <w:rPr>
                <w:rFonts w:eastAsia="Calibri"/>
                <w:sz w:val="20"/>
              </w:rPr>
            </w:pPr>
            <w:r w:rsidRPr="00DF05B0">
              <w:rPr>
                <w:rFonts w:eastAsia="Calibri"/>
                <w:sz w:val="20"/>
              </w:rPr>
              <w:t xml:space="preserve">Osprey Marine Ltd. is the owner of several large fishing vessels including the "Osprey No. 1". The Osprey No. 1 was purchased in 2005 and imported into Canada.  At that time, it was inspected by Transport Canada and was approved for offshore fishing.  Most of its fishing activities extend beyond the territorial limits of the province. Its crew of are certified by Transport Canada.  Transport Canada annually inspects the Osprey No. 1 and reviews the qualifications of its crew.  The master of the Osprey No. 1 is instructed by the owner to operate the vessel in accordance with the </w:t>
            </w:r>
            <w:r w:rsidRPr="00DF05B0">
              <w:rPr>
                <w:rFonts w:eastAsia="Calibri"/>
                <w:i/>
                <w:sz w:val="20"/>
              </w:rPr>
              <w:t>Canada Labour Code</w:t>
            </w:r>
            <w:r w:rsidRPr="00DF05B0">
              <w:rPr>
                <w:rFonts w:eastAsia="Calibri"/>
                <w:sz w:val="20"/>
              </w:rPr>
              <w:t>, R.S.C. 1985, c. L</w:t>
            </w:r>
            <w:r w:rsidRPr="00DF05B0">
              <w:rPr>
                <w:rFonts w:eastAsia="Calibri"/>
                <w:sz w:val="20"/>
              </w:rPr>
              <w:noBreakHyphen/>
              <w:t xml:space="preserve">2, and its corresponding regulations.  On February 27, 2007, a fatal accident occurred on board the Osprey No. 1.  A crew member was struck and killed by a trawl door. Transport Canada did not investigate the fatality; the B.C. Workers’ Compensation Board (“WCB”) did investigate the incident and inspected the vessel following which it issued a Review Order requiring vessel stability information to be developed and made available to the crew. In particular, the owner of the vessel was required to provide a health and safety program.  The owner was also required to give written notice of compliance with 30 days of the issuance of the Review Order.  The owner applied to the WCB Review Division for a stay of the order, claiming that certain sections of the </w:t>
            </w:r>
            <w:r w:rsidRPr="00DF05B0">
              <w:rPr>
                <w:rFonts w:eastAsia="Calibri"/>
                <w:i/>
                <w:sz w:val="20"/>
              </w:rPr>
              <w:t>Occupational Health and Safety Regulations</w:t>
            </w:r>
            <w:r w:rsidRPr="00DF05B0">
              <w:rPr>
                <w:rFonts w:eastAsia="Calibri"/>
                <w:sz w:val="20"/>
              </w:rPr>
              <w:t xml:space="preserve">, B.C. Regulation 296/97, enacted pursuant to the </w:t>
            </w:r>
            <w:r w:rsidRPr="00DF05B0">
              <w:rPr>
                <w:rFonts w:eastAsia="Calibri"/>
                <w:i/>
                <w:sz w:val="20"/>
              </w:rPr>
              <w:t>Workers’ Compensation Act</w:t>
            </w:r>
            <w:r w:rsidRPr="00DF05B0">
              <w:rPr>
                <w:rFonts w:eastAsia="Calibri"/>
                <w:sz w:val="20"/>
              </w:rPr>
              <w:t>, R.S.B.C. 1996, c. 492, were constitutionally invalid, or in the alternative, were inapplicable or inoperative based on the doctrines of interjurisdictional immunity and/or paramountcy.  The Review Division dismissed the application, concluding it lacked jurisdiction to determine the constitutional issues.  Osprey Marine commenced an action and filed a summary trial application.</w:t>
            </w:r>
          </w:p>
        </w:tc>
      </w:tr>
      <w:tr w:rsidR="00BA18A2" w:rsidRPr="00DF05B0" w:rsidTr="00741DC5">
        <w:tc>
          <w:tcPr>
            <w:tcW w:w="5000" w:type="pct"/>
            <w:gridSpan w:val="3"/>
          </w:tcPr>
          <w:p w:rsidR="00BA18A2" w:rsidRPr="00DF05B0" w:rsidRDefault="00BA18A2" w:rsidP="00741DC5">
            <w:pPr>
              <w:jc w:val="both"/>
              <w:rPr>
                <w:rFonts w:eastAsia="Calibri"/>
                <w:sz w:val="20"/>
              </w:rPr>
            </w:pPr>
          </w:p>
          <w:p w:rsidR="00BA18A2" w:rsidRPr="00DF05B0" w:rsidRDefault="00BA18A2" w:rsidP="00741DC5">
            <w:pPr>
              <w:jc w:val="both"/>
              <w:rPr>
                <w:rFonts w:eastAsia="Calibri"/>
                <w:sz w:val="20"/>
              </w:rPr>
            </w:pPr>
            <w:r w:rsidRPr="00DF05B0">
              <w:rPr>
                <w:rFonts w:eastAsia="Calibri"/>
                <w:sz w:val="20"/>
              </w:rPr>
              <w:t>The British Columbia Supreme Court dismissed the application for summary judgment on the basis that the operations were a provincial undertaking, the impugned provisions were constitutionally valid, and the doctrines of interjurisdictional immunity and paramountcy were not engaged.  The B.C. Court of Appeal dismissed the appeal.</w:t>
            </w:r>
          </w:p>
          <w:p w:rsidR="00BA18A2" w:rsidRPr="00DF05B0" w:rsidRDefault="00BA18A2" w:rsidP="00741DC5">
            <w:pPr>
              <w:jc w:val="both"/>
              <w:rPr>
                <w:rFonts w:eastAsia="Calibri"/>
                <w:sz w:val="20"/>
              </w:rPr>
            </w:pPr>
          </w:p>
        </w:tc>
      </w:tr>
      <w:tr w:rsidR="00BA18A2" w:rsidRPr="00DF05B0" w:rsidTr="00741DC5">
        <w:trPr>
          <w:cantSplit/>
        </w:trPr>
        <w:tc>
          <w:tcPr>
            <w:tcW w:w="2427" w:type="pct"/>
          </w:tcPr>
          <w:p w:rsidR="00BA18A2" w:rsidRPr="00DF05B0" w:rsidRDefault="00BA18A2" w:rsidP="00741DC5">
            <w:pPr>
              <w:jc w:val="both"/>
              <w:rPr>
                <w:rFonts w:eastAsia="Calibri"/>
                <w:sz w:val="20"/>
              </w:rPr>
            </w:pPr>
            <w:r w:rsidRPr="00DF05B0">
              <w:rPr>
                <w:rFonts w:eastAsia="Calibri"/>
                <w:sz w:val="20"/>
              </w:rPr>
              <w:lastRenderedPageBreak/>
              <w:t>February 2, 2009</w:t>
            </w:r>
          </w:p>
          <w:p w:rsidR="00BA18A2" w:rsidRPr="00DF05B0" w:rsidRDefault="00BA18A2" w:rsidP="00741DC5">
            <w:pPr>
              <w:jc w:val="both"/>
              <w:rPr>
                <w:rFonts w:eastAsia="Calibri"/>
                <w:sz w:val="20"/>
              </w:rPr>
            </w:pPr>
            <w:r w:rsidRPr="00DF05B0">
              <w:rPr>
                <w:rFonts w:eastAsia="Calibri"/>
                <w:sz w:val="20"/>
              </w:rPr>
              <w:t>Supreme Court of British Columbia</w:t>
            </w:r>
          </w:p>
          <w:p w:rsidR="00BA18A2" w:rsidRPr="00DF05B0" w:rsidRDefault="00BA18A2" w:rsidP="00741DC5">
            <w:pPr>
              <w:jc w:val="both"/>
              <w:rPr>
                <w:rFonts w:eastAsia="Calibri"/>
                <w:sz w:val="20"/>
              </w:rPr>
            </w:pPr>
            <w:r w:rsidRPr="00DF05B0">
              <w:rPr>
                <w:rFonts w:eastAsia="Calibri"/>
                <w:sz w:val="20"/>
              </w:rPr>
              <w:t>(Smith J.)</w:t>
            </w:r>
          </w:p>
          <w:p w:rsidR="00BA18A2" w:rsidRPr="00DF05B0" w:rsidRDefault="00BA18A2" w:rsidP="00741DC5">
            <w:pPr>
              <w:jc w:val="both"/>
              <w:rPr>
                <w:rFonts w:eastAsia="Calibri"/>
                <w:sz w:val="20"/>
              </w:rPr>
            </w:pPr>
          </w:p>
        </w:tc>
        <w:tc>
          <w:tcPr>
            <w:tcW w:w="243" w:type="pct"/>
          </w:tcPr>
          <w:p w:rsidR="00BA18A2" w:rsidRPr="00DF05B0" w:rsidRDefault="00BA18A2" w:rsidP="00741DC5">
            <w:pPr>
              <w:jc w:val="both"/>
              <w:rPr>
                <w:rFonts w:eastAsia="Calibri"/>
                <w:sz w:val="20"/>
              </w:rPr>
            </w:pPr>
          </w:p>
        </w:tc>
        <w:tc>
          <w:tcPr>
            <w:tcW w:w="2330" w:type="pct"/>
          </w:tcPr>
          <w:p w:rsidR="00BA18A2" w:rsidRPr="00DF05B0" w:rsidRDefault="00BA18A2" w:rsidP="00741DC5">
            <w:pPr>
              <w:jc w:val="both"/>
              <w:rPr>
                <w:rFonts w:eastAsia="Calibri"/>
                <w:sz w:val="20"/>
              </w:rPr>
            </w:pPr>
            <w:r w:rsidRPr="00DF05B0">
              <w:rPr>
                <w:rFonts w:eastAsia="Calibri"/>
                <w:sz w:val="20"/>
              </w:rPr>
              <w:t>Applicant’s application for summary judgment, dismissed.</w:t>
            </w:r>
          </w:p>
          <w:p w:rsidR="00BA18A2" w:rsidRPr="00DF05B0" w:rsidRDefault="00BA18A2" w:rsidP="00741DC5">
            <w:pPr>
              <w:jc w:val="both"/>
              <w:rPr>
                <w:rFonts w:eastAsia="Calibri"/>
                <w:sz w:val="20"/>
              </w:rPr>
            </w:pPr>
          </w:p>
        </w:tc>
      </w:tr>
      <w:tr w:rsidR="00BA18A2" w:rsidRPr="00DF05B0" w:rsidTr="00741DC5">
        <w:trPr>
          <w:cantSplit/>
        </w:trPr>
        <w:tc>
          <w:tcPr>
            <w:tcW w:w="2427" w:type="pct"/>
          </w:tcPr>
          <w:p w:rsidR="00BA18A2" w:rsidRPr="00DF05B0" w:rsidRDefault="00BA18A2" w:rsidP="00741DC5">
            <w:pPr>
              <w:jc w:val="both"/>
              <w:rPr>
                <w:rFonts w:eastAsia="Calibri"/>
                <w:sz w:val="20"/>
              </w:rPr>
            </w:pPr>
            <w:r w:rsidRPr="00DF05B0">
              <w:rPr>
                <w:rFonts w:eastAsia="Calibri"/>
                <w:sz w:val="20"/>
              </w:rPr>
              <w:t>February 2, 2011</w:t>
            </w:r>
          </w:p>
          <w:p w:rsidR="00BA18A2" w:rsidRPr="00DF05B0" w:rsidRDefault="00BA18A2" w:rsidP="00741DC5">
            <w:pPr>
              <w:jc w:val="both"/>
              <w:rPr>
                <w:rFonts w:eastAsia="Calibri"/>
                <w:sz w:val="20"/>
              </w:rPr>
            </w:pPr>
            <w:r w:rsidRPr="00DF05B0">
              <w:rPr>
                <w:rFonts w:eastAsia="Calibri"/>
                <w:sz w:val="20"/>
              </w:rPr>
              <w:t>Court of Appeal for British Columbia (Vancouver)</w:t>
            </w:r>
          </w:p>
          <w:p w:rsidR="00BA18A2" w:rsidRPr="00DF05B0" w:rsidRDefault="00BA18A2" w:rsidP="00741DC5">
            <w:pPr>
              <w:jc w:val="both"/>
              <w:rPr>
                <w:rFonts w:eastAsia="Calibri"/>
                <w:sz w:val="20"/>
              </w:rPr>
            </w:pPr>
            <w:r w:rsidRPr="00DF05B0">
              <w:rPr>
                <w:rFonts w:eastAsia="Calibri"/>
                <w:sz w:val="20"/>
              </w:rPr>
              <w:t>(Smith, Bennett and Garson JJ.A.)</w:t>
            </w:r>
          </w:p>
          <w:p w:rsidR="00BA18A2" w:rsidRPr="00DF05B0" w:rsidRDefault="00BA18A2" w:rsidP="00741DC5">
            <w:pPr>
              <w:jc w:val="both"/>
              <w:rPr>
                <w:rFonts w:eastAsia="Calibri"/>
                <w:sz w:val="20"/>
              </w:rPr>
            </w:pPr>
          </w:p>
        </w:tc>
        <w:tc>
          <w:tcPr>
            <w:tcW w:w="243" w:type="pct"/>
          </w:tcPr>
          <w:p w:rsidR="00BA18A2" w:rsidRPr="00DF05B0" w:rsidRDefault="00BA18A2" w:rsidP="00741DC5">
            <w:pPr>
              <w:jc w:val="both"/>
              <w:rPr>
                <w:rFonts w:eastAsia="Calibri"/>
                <w:sz w:val="20"/>
              </w:rPr>
            </w:pPr>
          </w:p>
        </w:tc>
        <w:tc>
          <w:tcPr>
            <w:tcW w:w="2330" w:type="pct"/>
          </w:tcPr>
          <w:p w:rsidR="00BA18A2" w:rsidRPr="00DF05B0" w:rsidRDefault="00BA18A2" w:rsidP="00741DC5">
            <w:pPr>
              <w:jc w:val="both"/>
              <w:rPr>
                <w:rFonts w:eastAsia="Calibri"/>
                <w:sz w:val="20"/>
              </w:rPr>
            </w:pPr>
            <w:r w:rsidRPr="00DF05B0">
              <w:rPr>
                <w:rFonts w:eastAsia="Calibri"/>
                <w:sz w:val="20"/>
              </w:rPr>
              <w:t>Applicant’s appeal, dismissed.</w:t>
            </w:r>
          </w:p>
          <w:p w:rsidR="00BA18A2" w:rsidRPr="00DF05B0" w:rsidRDefault="00BA18A2" w:rsidP="00741DC5">
            <w:pPr>
              <w:jc w:val="both"/>
              <w:rPr>
                <w:rFonts w:eastAsia="Calibri"/>
                <w:sz w:val="20"/>
              </w:rPr>
            </w:pPr>
          </w:p>
        </w:tc>
      </w:tr>
      <w:tr w:rsidR="00BA18A2" w:rsidRPr="00DF05B0" w:rsidTr="00741DC5">
        <w:trPr>
          <w:cantSplit/>
        </w:trPr>
        <w:tc>
          <w:tcPr>
            <w:tcW w:w="2427" w:type="pct"/>
          </w:tcPr>
          <w:p w:rsidR="00BA18A2" w:rsidRPr="00DF05B0" w:rsidRDefault="00BA18A2" w:rsidP="00741DC5">
            <w:pPr>
              <w:jc w:val="both"/>
              <w:rPr>
                <w:rFonts w:eastAsia="Calibri"/>
                <w:sz w:val="20"/>
              </w:rPr>
            </w:pPr>
            <w:r w:rsidRPr="00DF05B0">
              <w:rPr>
                <w:rFonts w:eastAsia="Calibri"/>
                <w:sz w:val="20"/>
              </w:rPr>
              <w:t>April 1, 2011</w:t>
            </w:r>
          </w:p>
          <w:p w:rsidR="00BA18A2" w:rsidRPr="00DF05B0" w:rsidRDefault="00BA18A2" w:rsidP="00741DC5">
            <w:pPr>
              <w:jc w:val="both"/>
              <w:rPr>
                <w:rFonts w:eastAsia="Calibri"/>
                <w:sz w:val="20"/>
              </w:rPr>
            </w:pPr>
            <w:r w:rsidRPr="00DF05B0">
              <w:rPr>
                <w:rFonts w:eastAsia="Calibri"/>
                <w:sz w:val="20"/>
              </w:rPr>
              <w:t>Supreme Court of Canada</w:t>
            </w:r>
          </w:p>
        </w:tc>
        <w:tc>
          <w:tcPr>
            <w:tcW w:w="243" w:type="pct"/>
          </w:tcPr>
          <w:p w:rsidR="00BA18A2" w:rsidRPr="00DF05B0" w:rsidRDefault="00BA18A2" w:rsidP="00741DC5">
            <w:pPr>
              <w:jc w:val="both"/>
              <w:rPr>
                <w:rFonts w:eastAsia="Calibri"/>
                <w:sz w:val="20"/>
              </w:rPr>
            </w:pPr>
          </w:p>
        </w:tc>
        <w:tc>
          <w:tcPr>
            <w:tcW w:w="2330" w:type="pct"/>
          </w:tcPr>
          <w:p w:rsidR="00BA18A2" w:rsidRPr="00DF05B0" w:rsidRDefault="00BA18A2" w:rsidP="00741DC5">
            <w:pPr>
              <w:jc w:val="both"/>
              <w:rPr>
                <w:rFonts w:eastAsia="Calibri"/>
                <w:sz w:val="20"/>
              </w:rPr>
            </w:pPr>
            <w:r w:rsidRPr="00DF05B0">
              <w:rPr>
                <w:rFonts w:eastAsia="Calibri"/>
                <w:sz w:val="20"/>
              </w:rPr>
              <w:t>Application for leave to appeal, filed</w:t>
            </w:r>
          </w:p>
          <w:p w:rsidR="00BA18A2" w:rsidRPr="00DF05B0" w:rsidRDefault="00BA18A2" w:rsidP="00741DC5">
            <w:pPr>
              <w:jc w:val="both"/>
              <w:rPr>
                <w:rFonts w:eastAsia="Calibri"/>
                <w:sz w:val="20"/>
              </w:rPr>
            </w:pPr>
          </w:p>
        </w:tc>
      </w:tr>
    </w:tbl>
    <w:p w:rsidR="00BA18A2" w:rsidRDefault="00BA18A2" w:rsidP="00BA18A2">
      <w:pPr>
        <w:rPr>
          <w:sz w:val="20"/>
          <w:szCs w:val="20"/>
        </w:rPr>
      </w:pPr>
    </w:p>
    <w:p w:rsidR="00BA18A2" w:rsidRDefault="00460701" w:rsidP="00BA18A2">
      <w:pPr>
        <w:rPr>
          <w:sz w:val="20"/>
          <w:szCs w:val="20"/>
        </w:rPr>
      </w:pPr>
      <w:r w:rsidRPr="00460701">
        <w:rPr>
          <w:sz w:val="20"/>
          <w:szCs w:val="20"/>
          <w:lang w:val="fr-CA"/>
        </w:rPr>
        <w:pict>
          <v:rect id="_x0000_i1046" style="width:2in;height:1pt" o:hrpct="0" o:hralign="center" o:hrstd="t" o:hrnoshade="t" o:hr="t" fillcolor="black [3213]" stroked="f"/>
        </w:pict>
      </w:r>
    </w:p>
    <w:p w:rsidR="00BA18A2" w:rsidRDefault="00BA18A2" w:rsidP="00BA18A2">
      <w:pPr>
        <w:rPr>
          <w:sz w:val="20"/>
          <w:szCs w:val="20"/>
        </w:rPr>
      </w:pPr>
    </w:p>
    <w:p w:rsidR="00BA18A2" w:rsidRDefault="00BA18A2" w:rsidP="00BA18A2">
      <w:pPr>
        <w:rPr>
          <w:sz w:val="20"/>
          <w:szCs w:val="20"/>
        </w:rPr>
      </w:pPr>
      <w:r>
        <w:rPr>
          <w:sz w:val="20"/>
          <w:szCs w:val="20"/>
          <w:u w:val="single"/>
        </w:rPr>
        <w:t>RÉSUMÉ DE L’AFFAIRE</w:t>
      </w:r>
    </w:p>
    <w:p w:rsidR="00BA18A2" w:rsidRDefault="00BA18A2" w:rsidP="00BA18A2">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BA18A2" w:rsidRPr="00191EFC" w:rsidTr="00741DC5">
        <w:tc>
          <w:tcPr>
            <w:tcW w:w="5000" w:type="pct"/>
            <w:gridSpan w:val="3"/>
          </w:tcPr>
          <w:p w:rsidR="00BA18A2" w:rsidRPr="00DF05B0" w:rsidRDefault="00BA18A2" w:rsidP="00741DC5">
            <w:pPr>
              <w:jc w:val="both"/>
              <w:rPr>
                <w:rFonts w:eastAsia="Calibri"/>
                <w:sz w:val="20"/>
                <w:lang w:val="fr-CA"/>
              </w:rPr>
            </w:pPr>
            <w:r w:rsidRPr="00DF05B0">
              <w:rPr>
                <w:rFonts w:eastAsia="Calibri"/>
                <w:sz w:val="20"/>
                <w:lang w:val="fr-CA"/>
              </w:rPr>
              <w:t>Droit constitutionnel — Partage des pouvoirs — Navigation et bâtiments ou navires — Propriété et droits civils — Caractère véritable — Prépondérance — Doctrine de l’exclusivité des compétences — L’al. 92(10)</w:t>
            </w:r>
            <w:r w:rsidRPr="00DF05B0">
              <w:rPr>
                <w:rFonts w:eastAsia="Calibri"/>
                <w:i/>
                <w:sz w:val="20"/>
                <w:lang w:val="fr-CA"/>
              </w:rPr>
              <w:t>(a)</w:t>
            </w:r>
            <w:r w:rsidRPr="00DF05B0">
              <w:rPr>
                <w:rFonts w:eastAsia="Calibri"/>
                <w:sz w:val="20"/>
                <w:lang w:val="fr-CA"/>
              </w:rPr>
              <w:t xml:space="preserve"> de la </w:t>
            </w:r>
            <w:r w:rsidRPr="00DF05B0">
              <w:rPr>
                <w:rFonts w:eastAsia="Calibri"/>
                <w:i/>
                <w:sz w:val="20"/>
                <w:lang w:val="fr-CA"/>
              </w:rPr>
              <w:t>Loi constitutionnelle de</w:t>
            </w:r>
            <w:r w:rsidRPr="00DF05B0">
              <w:rPr>
                <w:rFonts w:eastAsia="Calibri"/>
                <w:sz w:val="20"/>
                <w:lang w:val="fr-CA"/>
              </w:rPr>
              <w:t xml:space="preserve"> </w:t>
            </w:r>
            <w:r w:rsidRPr="00DF05B0">
              <w:rPr>
                <w:rFonts w:eastAsia="Calibri"/>
                <w:i/>
                <w:sz w:val="20"/>
                <w:lang w:val="fr-CA"/>
              </w:rPr>
              <w:t>1867</w:t>
            </w:r>
            <w:r w:rsidRPr="00DF05B0">
              <w:rPr>
                <w:rFonts w:eastAsia="Calibri"/>
                <w:sz w:val="20"/>
                <w:lang w:val="fr-CA"/>
              </w:rPr>
              <w:t xml:space="preserve"> s’applique</w:t>
            </w:r>
            <w:r w:rsidRPr="00DF05B0">
              <w:rPr>
                <w:rFonts w:eastAsia="Calibri"/>
                <w:sz w:val="20"/>
                <w:lang w:val="fr-CA"/>
              </w:rPr>
              <w:noBreakHyphen/>
              <w:t>t</w:t>
            </w:r>
            <w:r w:rsidRPr="00DF05B0">
              <w:rPr>
                <w:rFonts w:eastAsia="Calibri"/>
                <w:sz w:val="20"/>
                <w:lang w:val="fr-CA"/>
              </w:rPr>
              <w:noBreakHyphen/>
              <w:t>il à l’entreprise? L’entreprise est</w:t>
            </w:r>
            <w:r w:rsidRPr="00DF05B0">
              <w:rPr>
                <w:rFonts w:eastAsia="Calibri"/>
                <w:sz w:val="20"/>
                <w:lang w:val="fr-CA"/>
              </w:rPr>
              <w:noBreakHyphen/>
              <w:t xml:space="preserve">elle provinciale ou fédérale? — La partie 24 du </w:t>
            </w:r>
            <w:r w:rsidRPr="00DF05B0">
              <w:rPr>
                <w:rFonts w:eastAsia="Calibri"/>
                <w:i/>
                <w:sz w:val="20"/>
                <w:lang w:val="fr-CA"/>
              </w:rPr>
              <w:t>Occupational Health and Safety Regulations</w:t>
            </w:r>
            <w:r w:rsidRPr="00DF05B0">
              <w:rPr>
                <w:rFonts w:eastAsia="Calibri"/>
                <w:sz w:val="20"/>
                <w:lang w:val="fr-CA"/>
              </w:rPr>
              <w:t xml:space="preserve"> (</w:t>
            </w:r>
            <w:r w:rsidRPr="00DF05B0">
              <w:rPr>
                <w:rFonts w:eastAsia="Calibri"/>
                <w:i/>
                <w:sz w:val="20"/>
                <w:lang w:val="fr-CA"/>
              </w:rPr>
              <w:t>Workers Compensation Act</w:t>
            </w:r>
            <w:r w:rsidRPr="00DF05B0">
              <w:rPr>
                <w:rFonts w:eastAsia="Calibri"/>
                <w:sz w:val="20"/>
                <w:lang w:val="fr-CA"/>
              </w:rPr>
              <w:t>), B.C. Reg. 258/2008, de par son caractère véritable, respecte</w:t>
            </w:r>
            <w:r w:rsidRPr="00DF05B0">
              <w:rPr>
                <w:rFonts w:eastAsia="Calibri"/>
                <w:sz w:val="20"/>
                <w:lang w:val="fr-CA"/>
              </w:rPr>
              <w:noBreakHyphen/>
              <w:t>t</w:t>
            </w:r>
            <w:r w:rsidRPr="00DF05B0">
              <w:rPr>
                <w:rFonts w:eastAsia="Calibri"/>
                <w:sz w:val="20"/>
                <w:lang w:val="fr-CA"/>
              </w:rPr>
              <w:noBreakHyphen/>
              <w:t>elle la santé et la sécurité des travailleurs qui occupent un emploi sur des bateaux de pêche?  Le règlement a</w:t>
            </w:r>
            <w:r w:rsidRPr="00DF05B0">
              <w:rPr>
                <w:rFonts w:eastAsia="Calibri"/>
                <w:sz w:val="20"/>
                <w:lang w:val="fr-CA"/>
              </w:rPr>
              <w:noBreakHyphen/>
              <w:t>t</w:t>
            </w:r>
            <w:r w:rsidRPr="00DF05B0">
              <w:rPr>
                <w:rFonts w:eastAsia="Calibri"/>
                <w:sz w:val="20"/>
                <w:lang w:val="fr-CA"/>
              </w:rPr>
              <w:noBreakHyphen/>
              <w:t xml:space="preserve">il été validement adopté en vertu du par. 92(13) de la </w:t>
            </w:r>
            <w:r w:rsidRPr="00DF05B0">
              <w:rPr>
                <w:rFonts w:eastAsia="Calibri"/>
                <w:i/>
                <w:sz w:val="20"/>
                <w:lang w:val="fr-CA"/>
              </w:rPr>
              <w:t>Loi constitutionnelle de</w:t>
            </w:r>
            <w:r w:rsidRPr="00DF05B0">
              <w:rPr>
                <w:rFonts w:eastAsia="Calibri"/>
                <w:sz w:val="20"/>
                <w:lang w:val="fr-CA"/>
              </w:rPr>
              <w:t xml:space="preserve"> </w:t>
            </w:r>
            <w:r w:rsidRPr="00DF05B0">
              <w:rPr>
                <w:rFonts w:eastAsia="Calibri"/>
                <w:i/>
                <w:sz w:val="20"/>
                <w:lang w:val="fr-CA"/>
              </w:rPr>
              <w:t>1867</w:t>
            </w:r>
            <w:r w:rsidRPr="00DF05B0">
              <w:rPr>
                <w:rFonts w:eastAsia="Calibri"/>
                <w:sz w:val="20"/>
                <w:lang w:val="fr-CA"/>
              </w:rPr>
              <w:t xml:space="preserve"> et ne concerne</w:t>
            </w:r>
            <w:r w:rsidRPr="00DF05B0">
              <w:rPr>
                <w:rFonts w:eastAsia="Calibri"/>
                <w:sz w:val="20"/>
                <w:lang w:val="fr-CA"/>
              </w:rPr>
              <w:noBreakHyphen/>
              <w:t>t</w:t>
            </w:r>
            <w:r w:rsidRPr="00DF05B0">
              <w:rPr>
                <w:rFonts w:eastAsia="Calibri"/>
                <w:sz w:val="20"/>
                <w:lang w:val="fr-CA"/>
              </w:rPr>
              <w:noBreakHyphen/>
              <w:t xml:space="preserve">il pas une matière qui relève de la compétence exclusive du parlement du Canada prévue au par. 91(10) de la </w:t>
            </w:r>
            <w:r w:rsidRPr="00DF05B0">
              <w:rPr>
                <w:rFonts w:eastAsia="Calibri"/>
                <w:i/>
                <w:sz w:val="20"/>
                <w:lang w:val="fr-CA"/>
              </w:rPr>
              <w:t>Loi constitutionnelle de</w:t>
            </w:r>
            <w:r w:rsidRPr="00DF05B0">
              <w:rPr>
                <w:rFonts w:eastAsia="Calibri"/>
                <w:sz w:val="20"/>
                <w:lang w:val="fr-CA"/>
              </w:rPr>
              <w:t xml:space="preserve"> </w:t>
            </w:r>
            <w:r w:rsidRPr="00DF05B0">
              <w:rPr>
                <w:rFonts w:eastAsia="Calibri"/>
                <w:i/>
                <w:sz w:val="20"/>
                <w:lang w:val="fr-CA"/>
              </w:rPr>
              <w:t>1867</w:t>
            </w:r>
            <w:r w:rsidRPr="00DF05B0">
              <w:rPr>
                <w:rFonts w:eastAsia="Calibri"/>
                <w:sz w:val="20"/>
                <w:lang w:val="fr-CA"/>
              </w:rPr>
              <w:t xml:space="preserve">? — </w:t>
            </w:r>
            <w:r w:rsidRPr="00DF05B0">
              <w:rPr>
                <w:rFonts w:eastAsia="Calibri"/>
                <w:i/>
                <w:sz w:val="20"/>
                <w:lang w:val="fr-CA"/>
              </w:rPr>
              <w:t>Loi constitutionnelle de</w:t>
            </w:r>
            <w:r w:rsidRPr="00DF05B0">
              <w:rPr>
                <w:rFonts w:eastAsia="Calibri"/>
                <w:sz w:val="20"/>
                <w:lang w:val="fr-CA"/>
              </w:rPr>
              <w:t xml:space="preserve"> </w:t>
            </w:r>
            <w:r w:rsidRPr="00DF05B0">
              <w:rPr>
                <w:rFonts w:eastAsia="Calibri"/>
                <w:i/>
                <w:sz w:val="20"/>
                <w:lang w:val="fr-CA"/>
              </w:rPr>
              <w:t>1867</w:t>
            </w:r>
            <w:r w:rsidRPr="00DF05B0">
              <w:rPr>
                <w:rFonts w:eastAsia="Calibri"/>
                <w:sz w:val="20"/>
                <w:lang w:val="fr-CA"/>
              </w:rPr>
              <w:t>, par. 91(10), al. 92(10)</w:t>
            </w:r>
            <w:r w:rsidRPr="00DF05B0">
              <w:rPr>
                <w:rFonts w:eastAsia="Calibri"/>
                <w:i/>
                <w:sz w:val="20"/>
                <w:lang w:val="fr-CA"/>
              </w:rPr>
              <w:t>(a)</w:t>
            </w:r>
            <w:r w:rsidRPr="00DF05B0">
              <w:rPr>
                <w:rFonts w:eastAsia="Calibri"/>
                <w:sz w:val="20"/>
                <w:lang w:val="fr-CA"/>
              </w:rPr>
              <w:t>, par. 92(13).</w:t>
            </w:r>
          </w:p>
          <w:p w:rsidR="00BA18A2" w:rsidRPr="00DF05B0" w:rsidRDefault="00BA18A2" w:rsidP="00741DC5">
            <w:pPr>
              <w:jc w:val="both"/>
              <w:rPr>
                <w:rFonts w:eastAsia="Calibri"/>
                <w:sz w:val="20"/>
                <w:lang w:val="fr-CA"/>
              </w:rPr>
            </w:pPr>
          </w:p>
        </w:tc>
      </w:tr>
      <w:tr w:rsidR="00BA18A2" w:rsidRPr="00BA18A2" w:rsidTr="00741DC5">
        <w:tc>
          <w:tcPr>
            <w:tcW w:w="5000" w:type="pct"/>
            <w:gridSpan w:val="3"/>
          </w:tcPr>
          <w:p w:rsidR="00BA18A2" w:rsidRPr="00DF05B0" w:rsidRDefault="00BA18A2" w:rsidP="00741DC5">
            <w:pPr>
              <w:jc w:val="both"/>
              <w:rPr>
                <w:rFonts w:eastAsia="Calibri"/>
                <w:sz w:val="20"/>
                <w:lang w:val="fr-CA"/>
              </w:rPr>
            </w:pPr>
            <w:r w:rsidRPr="00DF05B0">
              <w:rPr>
                <w:rFonts w:eastAsia="Calibri"/>
                <w:sz w:val="20"/>
                <w:lang w:val="fr-CA"/>
              </w:rPr>
              <w:t>Osprey Marine Ltd. possède plusieurs bateaux de pêche, notamment le Osprey No. 1.  Le  Osprey No. 1 a été acheté et amené au Canada en 2005.  Il a été inspecté à cette époque par  Transports Canada et a été approuvé pour la pêche en haute mer.  La plus grande partie de ses activités de pêche se déroulent au</w:t>
            </w:r>
            <w:r w:rsidRPr="00DF05B0">
              <w:rPr>
                <w:rFonts w:eastAsia="Calibri"/>
                <w:sz w:val="20"/>
                <w:lang w:val="fr-CA"/>
              </w:rPr>
              <w:noBreakHyphen/>
              <w:t xml:space="preserve">delà des limites territoriales de la province.  Son équipage est  certifié par Transports Canada. Transports Canada inspecte à chaque année le Osprey No. 1 et examine les compétences de son équipage.  Le capitaine du Osprey No. 1 a reçu comme directive de la part du propriétaire d’exploiter le navire en conformité avec le </w:t>
            </w:r>
            <w:r w:rsidRPr="00DF05B0">
              <w:rPr>
                <w:rFonts w:eastAsia="Calibri"/>
                <w:i/>
                <w:sz w:val="20"/>
                <w:lang w:val="fr-CA"/>
              </w:rPr>
              <w:t>Code canadien du travail</w:t>
            </w:r>
            <w:r w:rsidRPr="00DF05B0">
              <w:rPr>
                <w:rFonts w:eastAsia="Calibri"/>
                <w:sz w:val="20"/>
                <w:lang w:val="fr-CA"/>
              </w:rPr>
              <w:t>, L.R.C. 1985, ch. L</w:t>
            </w:r>
            <w:r w:rsidRPr="00DF05B0">
              <w:rPr>
                <w:rFonts w:eastAsia="Calibri"/>
                <w:sz w:val="20"/>
                <w:lang w:val="fr-CA"/>
              </w:rPr>
              <w:noBreakHyphen/>
              <w:t>2, et ses règlements connexes.  Le 27 février 2007, un accident mortel s’est produit à bord du Osprey No. 1.  Un membre d’équipage a été frappé par une porte de chalut et il en est mort.  Transports Canada n’a pas fait enquête sur le décès; La Workers’ Compensation Board de la Colombie</w:t>
            </w:r>
            <w:r w:rsidRPr="00DF05B0">
              <w:rPr>
                <w:rFonts w:eastAsia="Calibri"/>
                <w:sz w:val="20"/>
                <w:lang w:val="fr-CA"/>
              </w:rPr>
              <w:noBreakHyphen/>
              <w:t xml:space="preserve">Britannique (la « WCB ») a fait enquête sur l’accident et a inspecté le navire, puis elle a ordonné que des renseignements sur la stabilité du navire soient élaborés et portés à la connaissance des membres de l’équipage.  Le propriétaire du navire devait notamment concevoir un programme de santé et de sécurité.  Le propriétaire devait également produire un avis de conformité écrit dans les 30 jours de la délivrance de l’ordonnance.  Le propriétaire a demandé à la section des contrôles de la WCB de surseoir à l’ordonnance car il prétendait que, compte tenu des doctrines de l’exclusivité des compétences et(ou) de la prépondérance, certaines dispositions du </w:t>
            </w:r>
            <w:r w:rsidRPr="00DF05B0">
              <w:rPr>
                <w:rFonts w:eastAsia="Calibri"/>
                <w:i/>
                <w:sz w:val="20"/>
                <w:lang w:val="fr-CA"/>
              </w:rPr>
              <w:t>Occupational Health and Safety Regulations</w:t>
            </w:r>
            <w:r w:rsidRPr="00DF05B0">
              <w:rPr>
                <w:rFonts w:eastAsia="Calibri"/>
                <w:sz w:val="20"/>
                <w:lang w:val="fr-CA"/>
              </w:rPr>
              <w:t xml:space="preserve">, B.C. Regulation 296/97, adopté en vertu de la </w:t>
            </w:r>
            <w:r w:rsidRPr="00DF05B0">
              <w:rPr>
                <w:rFonts w:eastAsia="Calibri"/>
                <w:i/>
                <w:sz w:val="20"/>
                <w:lang w:val="fr-CA"/>
              </w:rPr>
              <w:t>Workers’ Compensation Act</w:t>
            </w:r>
            <w:r w:rsidRPr="00DF05B0">
              <w:rPr>
                <w:rFonts w:eastAsia="Calibri"/>
                <w:sz w:val="20"/>
                <w:lang w:val="fr-CA"/>
              </w:rPr>
              <w:t>, R.S.B.C. 1996, ch. 492, étaient invalides sur le plan constitutionnel, ou, subsidiairement, étaient inapplicables ou inopérantes.  La section des contrôles a rejeté la demande en concluant qu’elle n’avait pas compétence pour trancher les questions d’ordre constitutionnel.  Osprey Marine a intenté une action et déposé une requête en jugement sommaire.</w:t>
            </w:r>
          </w:p>
        </w:tc>
      </w:tr>
      <w:tr w:rsidR="00BA18A2" w:rsidRPr="00BA18A2" w:rsidTr="00741DC5">
        <w:tc>
          <w:tcPr>
            <w:tcW w:w="5000" w:type="pct"/>
            <w:gridSpan w:val="3"/>
          </w:tcPr>
          <w:p w:rsidR="00BA18A2" w:rsidRPr="00DF05B0" w:rsidRDefault="00BA18A2" w:rsidP="00741DC5">
            <w:pPr>
              <w:jc w:val="both"/>
              <w:rPr>
                <w:rFonts w:eastAsia="Calibri"/>
                <w:sz w:val="20"/>
                <w:lang w:val="fr-CA"/>
              </w:rPr>
            </w:pPr>
          </w:p>
          <w:p w:rsidR="00BA18A2" w:rsidRPr="00DF05B0" w:rsidRDefault="00BA18A2" w:rsidP="00741DC5">
            <w:pPr>
              <w:jc w:val="both"/>
              <w:rPr>
                <w:rFonts w:eastAsia="Calibri"/>
                <w:sz w:val="20"/>
                <w:lang w:val="fr-CA"/>
              </w:rPr>
            </w:pPr>
            <w:r w:rsidRPr="00DF05B0">
              <w:rPr>
                <w:rFonts w:eastAsia="Calibri"/>
                <w:sz w:val="20"/>
                <w:lang w:val="fr-CA"/>
              </w:rPr>
              <w:t>La Cour suprême de la Colombie</w:t>
            </w:r>
            <w:r w:rsidRPr="00DF05B0">
              <w:rPr>
                <w:rFonts w:eastAsia="Calibri"/>
                <w:sz w:val="20"/>
                <w:lang w:val="fr-CA"/>
              </w:rPr>
              <w:noBreakHyphen/>
              <w:t>Britannique a rejeté la requête en jugement sommaire au motif que l’activité concernée est une entreprise provinciale, les dispositions contestées sont constitutionnellement valides et les doctrines de l’exclusivité des compétences et de la prépondérance ne s’appliquent pas.  La Cour d’appel de la Colombie</w:t>
            </w:r>
            <w:r w:rsidRPr="00DF05B0">
              <w:rPr>
                <w:rFonts w:eastAsia="Calibri"/>
                <w:sz w:val="20"/>
                <w:lang w:val="fr-CA"/>
              </w:rPr>
              <w:noBreakHyphen/>
              <w:t>Britannique a rejeté l’appel.</w:t>
            </w:r>
          </w:p>
          <w:p w:rsidR="00BA18A2" w:rsidRPr="00DF05B0" w:rsidRDefault="00BA18A2" w:rsidP="00741DC5">
            <w:pPr>
              <w:jc w:val="both"/>
              <w:rPr>
                <w:rFonts w:eastAsia="Calibri"/>
                <w:sz w:val="20"/>
                <w:lang w:val="fr-CA"/>
              </w:rPr>
            </w:pPr>
          </w:p>
        </w:tc>
      </w:tr>
      <w:tr w:rsidR="00BA18A2" w:rsidRPr="00BA18A2" w:rsidTr="00741DC5">
        <w:trPr>
          <w:cantSplit/>
        </w:trPr>
        <w:tc>
          <w:tcPr>
            <w:tcW w:w="2427" w:type="pct"/>
          </w:tcPr>
          <w:p w:rsidR="00BA18A2" w:rsidRPr="00DF05B0" w:rsidRDefault="00BA18A2" w:rsidP="00741DC5">
            <w:pPr>
              <w:jc w:val="both"/>
              <w:rPr>
                <w:rFonts w:eastAsia="Calibri"/>
                <w:sz w:val="20"/>
                <w:lang w:val="fr-CA"/>
              </w:rPr>
            </w:pPr>
            <w:r w:rsidRPr="00DF05B0">
              <w:rPr>
                <w:rFonts w:eastAsia="Calibri"/>
                <w:sz w:val="20"/>
                <w:lang w:val="fr-CA"/>
              </w:rPr>
              <w:lastRenderedPageBreak/>
              <w:t>2 février 2009</w:t>
            </w:r>
          </w:p>
          <w:p w:rsidR="00BA18A2" w:rsidRPr="00DF05B0" w:rsidRDefault="00BA18A2" w:rsidP="00741DC5">
            <w:pPr>
              <w:jc w:val="both"/>
              <w:rPr>
                <w:rFonts w:eastAsia="Calibri"/>
                <w:sz w:val="20"/>
                <w:lang w:val="fr-CA"/>
              </w:rPr>
            </w:pPr>
            <w:r w:rsidRPr="00DF05B0">
              <w:rPr>
                <w:rFonts w:eastAsia="Calibri"/>
                <w:sz w:val="20"/>
                <w:lang w:val="fr-CA"/>
              </w:rPr>
              <w:t>Cour suprême de la Colombie</w:t>
            </w:r>
            <w:r w:rsidRPr="00DF05B0">
              <w:rPr>
                <w:rFonts w:eastAsia="Calibri"/>
                <w:sz w:val="20"/>
                <w:lang w:val="fr-CA"/>
              </w:rPr>
              <w:noBreakHyphen/>
              <w:t>Britannique</w:t>
            </w:r>
          </w:p>
          <w:p w:rsidR="00BA18A2" w:rsidRPr="00DF05B0" w:rsidRDefault="00BA18A2" w:rsidP="00741DC5">
            <w:pPr>
              <w:jc w:val="both"/>
              <w:rPr>
                <w:rFonts w:eastAsia="Calibri"/>
                <w:sz w:val="20"/>
                <w:lang w:val="fr-CA"/>
              </w:rPr>
            </w:pPr>
            <w:r w:rsidRPr="00DF05B0">
              <w:rPr>
                <w:rFonts w:eastAsia="Calibri"/>
                <w:sz w:val="20"/>
                <w:lang w:val="fr-CA"/>
              </w:rPr>
              <w:t>(Juge Smith)</w:t>
            </w:r>
          </w:p>
          <w:p w:rsidR="00BA18A2" w:rsidRPr="00DF05B0" w:rsidRDefault="00BA18A2" w:rsidP="00741DC5">
            <w:pPr>
              <w:jc w:val="both"/>
              <w:rPr>
                <w:rFonts w:eastAsia="Calibri"/>
                <w:sz w:val="20"/>
                <w:lang w:val="fr-CA"/>
              </w:rPr>
            </w:pPr>
          </w:p>
        </w:tc>
        <w:tc>
          <w:tcPr>
            <w:tcW w:w="243" w:type="pct"/>
          </w:tcPr>
          <w:p w:rsidR="00BA18A2" w:rsidRPr="00DF05B0" w:rsidRDefault="00BA18A2" w:rsidP="00741DC5">
            <w:pPr>
              <w:jc w:val="both"/>
              <w:rPr>
                <w:rFonts w:eastAsia="Calibri"/>
                <w:sz w:val="20"/>
                <w:lang w:val="fr-CA"/>
              </w:rPr>
            </w:pPr>
          </w:p>
        </w:tc>
        <w:tc>
          <w:tcPr>
            <w:tcW w:w="2330" w:type="pct"/>
          </w:tcPr>
          <w:p w:rsidR="00BA18A2" w:rsidRPr="00DF05B0" w:rsidRDefault="00BA18A2" w:rsidP="00741DC5">
            <w:pPr>
              <w:jc w:val="both"/>
              <w:rPr>
                <w:rFonts w:eastAsia="Calibri"/>
                <w:sz w:val="20"/>
                <w:lang w:val="fr-CA"/>
              </w:rPr>
            </w:pPr>
            <w:r w:rsidRPr="00DF05B0">
              <w:rPr>
                <w:rFonts w:eastAsia="Calibri"/>
                <w:sz w:val="20"/>
                <w:lang w:val="fr-CA"/>
              </w:rPr>
              <w:t>Requête en jugement sommaire de la demanderesse rejetée.</w:t>
            </w:r>
          </w:p>
          <w:p w:rsidR="00BA18A2" w:rsidRPr="00DF05B0" w:rsidRDefault="00BA18A2" w:rsidP="00741DC5">
            <w:pPr>
              <w:jc w:val="both"/>
              <w:rPr>
                <w:rFonts w:eastAsia="Calibri"/>
                <w:sz w:val="20"/>
                <w:lang w:val="fr-CA"/>
              </w:rPr>
            </w:pPr>
          </w:p>
        </w:tc>
      </w:tr>
      <w:tr w:rsidR="00BA18A2" w:rsidRPr="00BA18A2" w:rsidTr="00741DC5">
        <w:trPr>
          <w:cantSplit/>
        </w:trPr>
        <w:tc>
          <w:tcPr>
            <w:tcW w:w="2427" w:type="pct"/>
          </w:tcPr>
          <w:p w:rsidR="00BA18A2" w:rsidRPr="00DF05B0" w:rsidRDefault="00BA18A2" w:rsidP="00741DC5">
            <w:pPr>
              <w:jc w:val="both"/>
              <w:rPr>
                <w:rFonts w:eastAsia="Calibri"/>
                <w:sz w:val="20"/>
                <w:lang w:val="fr-CA"/>
              </w:rPr>
            </w:pPr>
            <w:r w:rsidRPr="00DF05B0">
              <w:rPr>
                <w:rFonts w:eastAsia="Calibri"/>
                <w:sz w:val="20"/>
                <w:lang w:val="fr-CA"/>
              </w:rPr>
              <w:t>2 février 2011</w:t>
            </w:r>
          </w:p>
          <w:p w:rsidR="00BA18A2" w:rsidRPr="00DF05B0" w:rsidRDefault="00BA18A2" w:rsidP="00741DC5">
            <w:pPr>
              <w:jc w:val="both"/>
              <w:rPr>
                <w:rFonts w:eastAsia="Calibri"/>
                <w:sz w:val="20"/>
                <w:lang w:val="fr-CA"/>
              </w:rPr>
            </w:pPr>
            <w:r w:rsidRPr="00DF05B0">
              <w:rPr>
                <w:rFonts w:eastAsia="Calibri"/>
                <w:sz w:val="20"/>
                <w:lang w:val="fr-CA"/>
              </w:rPr>
              <w:t>Cour d’appel de la Colombie</w:t>
            </w:r>
            <w:r w:rsidRPr="00DF05B0">
              <w:rPr>
                <w:rFonts w:eastAsia="Calibri"/>
                <w:sz w:val="20"/>
                <w:lang w:val="fr-CA"/>
              </w:rPr>
              <w:noBreakHyphen/>
              <w:t>Britannique (Vancouver)</w:t>
            </w:r>
          </w:p>
          <w:p w:rsidR="00BA18A2" w:rsidRPr="00DF05B0" w:rsidRDefault="00BA18A2" w:rsidP="00741DC5">
            <w:pPr>
              <w:jc w:val="both"/>
              <w:rPr>
                <w:rFonts w:eastAsia="Calibri"/>
                <w:sz w:val="20"/>
                <w:lang w:val="fr-CA"/>
              </w:rPr>
            </w:pPr>
            <w:r w:rsidRPr="00DF05B0">
              <w:rPr>
                <w:rFonts w:eastAsia="Calibri"/>
                <w:sz w:val="20"/>
                <w:lang w:val="fr-CA"/>
              </w:rPr>
              <w:t>(Juges Smith, Bennett et Garson)</w:t>
            </w:r>
          </w:p>
          <w:p w:rsidR="00BA18A2" w:rsidRPr="00DF05B0" w:rsidRDefault="00BA18A2" w:rsidP="00741DC5">
            <w:pPr>
              <w:jc w:val="both"/>
              <w:rPr>
                <w:rFonts w:eastAsia="Calibri"/>
                <w:sz w:val="20"/>
                <w:lang w:val="fr-CA"/>
              </w:rPr>
            </w:pPr>
          </w:p>
        </w:tc>
        <w:tc>
          <w:tcPr>
            <w:tcW w:w="243" w:type="pct"/>
          </w:tcPr>
          <w:p w:rsidR="00BA18A2" w:rsidRPr="00DF05B0" w:rsidRDefault="00BA18A2" w:rsidP="00741DC5">
            <w:pPr>
              <w:jc w:val="both"/>
              <w:rPr>
                <w:rFonts w:eastAsia="Calibri"/>
                <w:sz w:val="20"/>
                <w:lang w:val="fr-CA"/>
              </w:rPr>
            </w:pPr>
          </w:p>
        </w:tc>
        <w:tc>
          <w:tcPr>
            <w:tcW w:w="2330" w:type="pct"/>
          </w:tcPr>
          <w:p w:rsidR="00BA18A2" w:rsidRPr="00DF05B0" w:rsidRDefault="00BA18A2" w:rsidP="00741DC5">
            <w:pPr>
              <w:jc w:val="both"/>
              <w:rPr>
                <w:rFonts w:eastAsia="Calibri"/>
                <w:sz w:val="20"/>
                <w:lang w:val="fr-CA"/>
              </w:rPr>
            </w:pPr>
            <w:r w:rsidRPr="00DF05B0">
              <w:rPr>
                <w:rFonts w:eastAsia="Calibri"/>
                <w:sz w:val="20"/>
                <w:lang w:val="fr-CA"/>
              </w:rPr>
              <w:t>Appel de la demanderesse rejetée.</w:t>
            </w:r>
          </w:p>
          <w:p w:rsidR="00BA18A2" w:rsidRPr="00DF05B0" w:rsidRDefault="00BA18A2" w:rsidP="00741DC5">
            <w:pPr>
              <w:jc w:val="both"/>
              <w:rPr>
                <w:rFonts w:eastAsia="Calibri"/>
                <w:sz w:val="20"/>
                <w:lang w:val="fr-CA"/>
              </w:rPr>
            </w:pPr>
          </w:p>
        </w:tc>
      </w:tr>
      <w:tr w:rsidR="00BA18A2" w:rsidRPr="00DF05B0" w:rsidTr="00741DC5">
        <w:trPr>
          <w:cantSplit/>
        </w:trPr>
        <w:tc>
          <w:tcPr>
            <w:tcW w:w="2427" w:type="pct"/>
          </w:tcPr>
          <w:p w:rsidR="00BA18A2" w:rsidRPr="00DF05B0" w:rsidRDefault="00BA18A2" w:rsidP="00741DC5">
            <w:pPr>
              <w:jc w:val="both"/>
              <w:rPr>
                <w:rFonts w:eastAsia="Calibri"/>
                <w:sz w:val="20"/>
                <w:lang w:val="fr-CA"/>
              </w:rPr>
            </w:pPr>
            <w:r w:rsidRPr="00DF05B0">
              <w:rPr>
                <w:rFonts w:eastAsia="Calibri"/>
                <w:sz w:val="20"/>
                <w:lang w:val="fr-CA"/>
              </w:rPr>
              <w:t>1 avril 2011</w:t>
            </w:r>
          </w:p>
          <w:p w:rsidR="00BA18A2" w:rsidRPr="00DF05B0" w:rsidRDefault="00BA18A2" w:rsidP="00741DC5">
            <w:pPr>
              <w:jc w:val="both"/>
              <w:rPr>
                <w:rFonts w:eastAsia="Calibri"/>
                <w:sz w:val="20"/>
                <w:lang w:val="fr-CA"/>
              </w:rPr>
            </w:pPr>
            <w:r w:rsidRPr="00DF05B0">
              <w:rPr>
                <w:rFonts w:eastAsia="Calibri"/>
                <w:sz w:val="20"/>
                <w:lang w:val="fr-CA"/>
              </w:rPr>
              <w:t>Cour suprême du Canada</w:t>
            </w:r>
          </w:p>
        </w:tc>
        <w:tc>
          <w:tcPr>
            <w:tcW w:w="243" w:type="pct"/>
          </w:tcPr>
          <w:p w:rsidR="00BA18A2" w:rsidRPr="00DF05B0" w:rsidRDefault="00BA18A2" w:rsidP="00741DC5">
            <w:pPr>
              <w:jc w:val="both"/>
              <w:rPr>
                <w:rFonts w:eastAsia="Calibri"/>
                <w:sz w:val="20"/>
                <w:lang w:val="fr-CA"/>
              </w:rPr>
            </w:pPr>
          </w:p>
        </w:tc>
        <w:tc>
          <w:tcPr>
            <w:tcW w:w="2330" w:type="pct"/>
          </w:tcPr>
          <w:p w:rsidR="00BA18A2" w:rsidRPr="00DF05B0" w:rsidRDefault="00BA18A2" w:rsidP="00741DC5">
            <w:pPr>
              <w:jc w:val="both"/>
              <w:rPr>
                <w:rFonts w:eastAsia="Calibri"/>
                <w:sz w:val="20"/>
                <w:lang w:val="fr-CA"/>
              </w:rPr>
            </w:pPr>
            <w:r w:rsidRPr="00DF05B0">
              <w:rPr>
                <w:rFonts w:eastAsia="Calibri"/>
                <w:sz w:val="20"/>
                <w:lang w:val="fr-CA"/>
              </w:rPr>
              <w:t>Demande d’autorisation d’appel déposée.</w:t>
            </w:r>
          </w:p>
          <w:p w:rsidR="00BA18A2" w:rsidRPr="00DF05B0" w:rsidRDefault="00BA18A2" w:rsidP="00741DC5">
            <w:pPr>
              <w:jc w:val="both"/>
              <w:rPr>
                <w:rFonts w:eastAsia="Calibri"/>
                <w:sz w:val="20"/>
                <w:lang w:val="fr-CA"/>
              </w:rPr>
            </w:pPr>
          </w:p>
        </w:tc>
      </w:tr>
    </w:tbl>
    <w:p w:rsidR="00BA18A2" w:rsidRDefault="00BA18A2" w:rsidP="00BA18A2">
      <w:pPr>
        <w:rPr>
          <w:sz w:val="20"/>
          <w:szCs w:val="20"/>
        </w:rPr>
      </w:pPr>
    </w:p>
    <w:p w:rsidR="00BA18A2" w:rsidRDefault="00460701" w:rsidP="00BA18A2">
      <w:pPr>
        <w:rPr>
          <w:sz w:val="20"/>
          <w:szCs w:val="20"/>
          <w:lang w:val="fr-CA"/>
        </w:rPr>
      </w:pPr>
      <w:r w:rsidRPr="00460701">
        <w:rPr>
          <w:sz w:val="20"/>
          <w:szCs w:val="20"/>
          <w:lang w:val="fr-CA"/>
        </w:rPr>
        <w:pict>
          <v:rect id="_x0000_i1047" style="width:2in;height:1pt" o:hrpct="0" o:hralign="center" o:hrstd="t" o:hrnoshade="t" o:hr="t" fillcolor="black [3213]" stroked="f"/>
        </w:pict>
      </w:r>
    </w:p>
    <w:p w:rsidR="00BA18A2" w:rsidRDefault="00BA18A2" w:rsidP="00BA18A2">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BA18A2" w:rsidRPr="00585202" w:rsidTr="00741DC5">
        <w:trPr>
          <w:cantSplit/>
        </w:trPr>
        <w:tc>
          <w:tcPr>
            <w:tcW w:w="1458" w:type="dxa"/>
          </w:tcPr>
          <w:p w:rsidR="00BA18A2" w:rsidRPr="00585202" w:rsidRDefault="00BA18A2" w:rsidP="00741DC5">
            <w:pPr>
              <w:rPr>
                <w:sz w:val="20"/>
                <w:szCs w:val="20"/>
              </w:rPr>
            </w:pPr>
            <w:r w:rsidRPr="00585202">
              <w:rPr>
                <w:rStyle w:val="SCCFileNumberChar"/>
                <w:sz w:val="20"/>
                <w:szCs w:val="20"/>
              </w:rPr>
              <w:t>34182</w:t>
            </w:r>
          </w:p>
          <w:p w:rsidR="00BA18A2" w:rsidRPr="00585202" w:rsidRDefault="00BA18A2" w:rsidP="00741DC5">
            <w:pPr>
              <w:rPr>
                <w:b/>
                <w:sz w:val="20"/>
                <w:szCs w:val="20"/>
                <w:lang w:val="fr-CA"/>
              </w:rPr>
            </w:pPr>
          </w:p>
        </w:tc>
        <w:tc>
          <w:tcPr>
            <w:tcW w:w="8118" w:type="dxa"/>
          </w:tcPr>
          <w:p w:rsidR="00BA18A2" w:rsidRPr="00585202" w:rsidRDefault="00BA18A2" w:rsidP="00741DC5">
            <w:pPr>
              <w:jc w:val="both"/>
              <w:rPr>
                <w:sz w:val="20"/>
                <w:szCs w:val="20"/>
              </w:rPr>
            </w:pPr>
            <w:r w:rsidRPr="00BA18A2">
              <w:rPr>
                <w:rStyle w:val="SCCLsocChar"/>
                <w:sz w:val="20"/>
                <w:szCs w:val="20"/>
                <w:lang w:val="en-CA"/>
              </w:rPr>
              <w:t>Jim Pattison Enterprises Ltd., K. Smith Fishing Ltd. and 289787 B.C. Ltd. v. Workers' Compensation Board of British Columbia and Attorney General for the Province of British Columbia</w:t>
            </w:r>
            <w:r w:rsidRPr="00585202">
              <w:rPr>
                <w:sz w:val="20"/>
                <w:szCs w:val="20"/>
              </w:rPr>
              <w:t xml:space="preserve"> (B.C.) (Civil) (By Leave)</w:t>
            </w:r>
          </w:p>
          <w:p w:rsidR="00BA18A2" w:rsidRPr="00585202" w:rsidRDefault="00BA18A2" w:rsidP="00741DC5">
            <w:pPr>
              <w:rPr>
                <w:sz w:val="20"/>
                <w:szCs w:val="20"/>
              </w:rPr>
            </w:pPr>
          </w:p>
        </w:tc>
      </w:tr>
      <w:tr w:rsidR="00BA18A2" w:rsidRPr="00585202" w:rsidTr="00741DC5">
        <w:trPr>
          <w:cantSplit/>
        </w:trPr>
        <w:tc>
          <w:tcPr>
            <w:tcW w:w="1458" w:type="dxa"/>
          </w:tcPr>
          <w:p w:rsidR="00BA18A2" w:rsidRPr="00585202" w:rsidRDefault="00BA18A2" w:rsidP="00741DC5">
            <w:pPr>
              <w:rPr>
                <w:sz w:val="20"/>
                <w:szCs w:val="20"/>
              </w:rPr>
            </w:pPr>
            <w:r w:rsidRPr="00585202">
              <w:rPr>
                <w:sz w:val="20"/>
                <w:szCs w:val="20"/>
              </w:rPr>
              <w:t>Coram :</w:t>
            </w:r>
          </w:p>
        </w:tc>
        <w:tc>
          <w:tcPr>
            <w:tcW w:w="8118" w:type="dxa"/>
          </w:tcPr>
          <w:p w:rsidR="00BA18A2" w:rsidRPr="00585202" w:rsidRDefault="00BA18A2" w:rsidP="00741DC5">
            <w:pPr>
              <w:rPr>
                <w:sz w:val="20"/>
                <w:szCs w:val="20"/>
              </w:rPr>
            </w:pPr>
            <w:r w:rsidRPr="00BA18A2">
              <w:rPr>
                <w:rStyle w:val="SCCCoramChar"/>
                <w:sz w:val="20"/>
                <w:lang w:val="en-CA"/>
              </w:rPr>
              <w:t>Binnie, Abella and Rothstein JJ.</w:t>
            </w:r>
          </w:p>
          <w:p w:rsidR="00BA18A2" w:rsidRPr="00585202" w:rsidRDefault="00BA18A2" w:rsidP="00741DC5">
            <w:pPr>
              <w:rPr>
                <w:sz w:val="20"/>
                <w:szCs w:val="20"/>
                <w:u w:val="single"/>
              </w:rPr>
            </w:pPr>
          </w:p>
        </w:tc>
      </w:tr>
      <w:tr w:rsidR="00BA18A2" w:rsidRPr="00BA18A2" w:rsidTr="00741DC5">
        <w:trPr>
          <w:cantSplit/>
        </w:trPr>
        <w:tc>
          <w:tcPr>
            <w:tcW w:w="9576" w:type="dxa"/>
            <w:gridSpan w:val="2"/>
          </w:tcPr>
          <w:p w:rsidR="00BA18A2" w:rsidRPr="00585202" w:rsidRDefault="00BA18A2" w:rsidP="00741DC5">
            <w:pPr>
              <w:pStyle w:val="SCCShortJudgment"/>
              <w:rPr>
                <w:szCs w:val="20"/>
              </w:rPr>
            </w:pPr>
            <w:r w:rsidRPr="00585202">
              <w:rPr>
                <w:szCs w:val="20"/>
              </w:rPr>
              <w:t>The application for leave to appeal from the judgment of the Court of Appeal for British Columbia (Vancouver), Number CA036883, 2011 BCCA 35, dated February 2, 2011, is dismissed with costs to the respondent Workers’ Compensation Board.</w:t>
            </w:r>
          </w:p>
          <w:p w:rsidR="00BA18A2" w:rsidRPr="00585202" w:rsidRDefault="00BA18A2" w:rsidP="00741DC5">
            <w:pPr>
              <w:pStyle w:val="SCCShortJudgment"/>
              <w:ind w:firstLine="0"/>
              <w:rPr>
                <w:szCs w:val="20"/>
              </w:rPr>
            </w:pPr>
          </w:p>
          <w:p w:rsidR="00BA18A2" w:rsidRPr="00585202" w:rsidRDefault="00BA18A2" w:rsidP="00741DC5">
            <w:pPr>
              <w:pStyle w:val="SCCShortJudgment"/>
              <w:rPr>
                <w:szCs w:val="20"/>
                <w:lang w:val="fr-CA"/>
              </w:rPr>
            </w:pPr>
            <w:r w:rsidRPr="00585202">
              <w:rPr>
                <w:szCs w:val="20"/>
                <w:lang w:val="fr-CA"/>
              </w:rPr>
              <w:t>La demande d’autorisation d’appel de l’arrêt de la Cour d’appel de la Colombie-Britannique (Vancouver), numéro CA036883, 2011 BCCA 35, daté du 2 février 2011, est rejetée avec dépens en faveur de l’intimée Workers’ Compensation Board.</w:t>
            </w:r>
          </w:p>
        </w:tc>
      </w:tr>
    </w:tbl>
    <w:p w:rsidR="00BA18A2" w:rsidRPr="00B85071" w:rsidRDefault="00BA18A2" w:rsidP="00BA18A2">
      <w:pPr>
        <w:rPr>
          <w:sz w:val="20"/>
          <w:szCs w:val="20"/>
          <w:lang w:val="fr-CA"/>
        </w:rPr>
      </w:pPr>
    </w:p>
    <w:p w:rsidR="00BA18A2" w:rsidRDefault="00BA18A2" w:rsidP="00BA18A2">
      <w:pPr>
        <w:rPr>
          <w:sz w:val="20"/>
          <w:szCs w:val="20"/>
        </w:rPr>
      </w:pPr>
      <w:r>
        <w:rPr>
          <w:sz w:val="20"/>
          <w:szCs w:val="20"/>
          <w:u w:val="single"/>
        </w:rPr>
        <w:t>CASE SUMMARY</w:t>
      </w:r>
    </w:p>
    <w:p w:rsidR="00BA18A2" w:rsidRDefault="00BA18A2" w:rsidP="00BA18A2">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BA18A2" w:rsidRPr="00DF05B0" w:rsidTr="00741DC5">
        <w:tc>
          <w:tcPr>
            <w:tcW w:w="5000" w:type="pct"/>
            <w:gridSpan w:val="3"/>
          </w:tcPr>
          <w:p w:rsidR="00BA18A2" w:rsidRPr="00DF05B0" w:rsidRDefault="00BA18A2" w:rsidP="00741DC5">
            <w:pPr>
              <w:jc w:val="both"/>
              <w:rPr>
                <w:rFonts w:eastAsia="Calibri"/>
                <w:sz w:val="20"/>
              </w:rPr>
            </w:pPr>
            <w:r w:rsidRPr="00DF05B0">
              <w:rPr>
                <w:rFonts w:eastAsia="Calibri"/>
                <w:sz w:val="20"/>
              </w:rPr>
              <w:t xml:space="preserve">Constitutional law — Division of powers — Navigation and shipping — Property and civil rights — Pith and substance — Paramountcy — Interjurisdictional immunity — Is a company regularly engaged in fishing beyond the limits of a Province a provincial or federal undertaking pursuant to s. 92(10(a) of the </w:t>
            </w:r>
            <w:r w:rsidRPr="00DF05B0">
              <w:rPr>
                <w:rFonts w:eastAsia="Calibri"/>
                <w:i/>
                <w:sz w:val="20"/>
              </w:rPr>
              <w:t>Constitution Act, 1867</w:t>
            </w:r>
            <w:r w:rsidRPr="00DF05B0">
              <w:rPr>
                <w:rFonts w:eastAsia="Calibri"/>
                <w:sz w:val="20"/>
              </w:rPr>
              <w:t xml:space="preserve"> — If a provincial shipping undertaking, to what extent is it regulated federally by s. 91(10) of the </w:t>
            </w:r>
            <w:r w:rsidRPr="00DF05B0">
              <w:rPr>
                <w:rFonts w:eastAsia="Calibri"/>
                <w:i/>
                <w:sz w:val="20"/>
              </w:rPr>
              <w:t>Constitution Act, 1867</w:t>
            </w:r>
            <w:r w:rsidRPr="00DF05B0">
              <w:rPr>
                <w:rFonts w:eastAsia="Calibri"/>
                <w:sz w:val="20"/>
              </w:rPr>
              <w:t xml:space="preserve">, the power to regulate “navigation and shipping” — Is the double aspect doctrine applicable to the regulation of crew safety — </w:t>
            </w:r>
            <w:r w:rsidRPr="00DF05B0">
              <w:rPr>
                <w:rFonts w:eastAsia="Calibri"/>
                <w:i/>
                <w:sz w:val="20"/>
              </w:rPr>
              <w:t>Constitution Act, 1867</w:t>
            </w:r>
            <w:r w:rsidRPr="00DF05B0">
              <w:rPr>
                <w:rFonts w:eastAsia="Calibri"/>
                <w:sz w:val="20"/>
              </w:rPr>
              <w:t>, ss. 91(10), 92(10)(a), 92(13).</w:t>
            </w:r>
          </w:p>
        </w:tc>
      </w:tr>
      <w:tr w:rsidR="00BA18A2" w:rsidRPr="00DF05B0" w:rsidTr="00741DC5">
        <w:tc>
          <w:tcPr>
            <w:tcW w:w="5000" w:type="pct"/>
            <w:gridSpan w:val="3"/>
          </w:tcPr>
          <w:p w:rsidR="00BA18A2" w:rsidRPr="00DF05B0" w:rsidRDefault="00BA18A2" w:rsidP="00741DC5">
            <w:pPr>
              <w:jc w:val="both"/>
              <w:rPr>
                <w:rFonts w:eastAsia="Calibri"/>
                <w:sz w:val="20"/>
              </w:rPr>
            </w:pPr>
          </w:p>
        </w:tc>
      </w:tr>
      <w:tr w:rsidR="00BA18A2" w:rsidRPr="00DF05B0" w:rsidTr="00741DC5">
        <w:tc>
          <w:tcPr>
            <w:tcW w:w="5000" w:type="pct"/>
            <w:gridSpan w:val="3"/>
          </w:tcPr>
          <w:p w:rsidR="00BA18A2" w:rsidRPr="00DF05B0" w:rsidRDefault="00BA18A2" w:rsidP="00741DC5">
            <w:pPr>
              <w:jc w:val="both"/>
              <w:rPr>
                <w:rFonts w:eastAsia="Calibri"/>
                <w:sz w:val="20"/>
              </w:rPr>
            </w:pPr>
            <w:r w:rsidRPr="00DF05B0">
              <w:rPr>
                <w:rFonts w:eastAsia="Calibri"/>
                <w:sz w:val="20"/>
              </w:rPr>
              <w:t xml:space="preserve">Jim Pattison Enterprises Ltd. and 289787 B.C. Ltd. are the owners of the federally registered "Northisle" fishing vessel.  Jim Pattison Enterprises Ltd. and K. Smith Fishing Ltd. are the owners of the federally registered "Western Investor" fishing vessel.  All are provincially incorporated companies.  Northisle and Western Investor are categorized as a small fishing vessels under the </w:t>
            </w:r>
            <w:r w:rsidRPr="00DF05B0">
              <w:rPr>
                <w:rFonts w:eastAsia="Calibri"/>
                <w:i/>
                <w:sz w:val="20"/>
              </w:rPr>
              <w:t>Small Fishing Vessel Inspection Regulations</w:t>
            </w:r>
            <w:r w:rsidRPr="00DF05B0">
              <w:rPr>
                <w:rFonts w:eastAsia="Calibri"/>
                <w:sz w:val="20"/>
              </w:rPr>
              <w:t xml:space="preserve">, C.R.C., Vol. XVII c. 1486.  Both are licensed by the Department of Fisheries and Oceans.  Canada claims 12 nautical miles beyond the shore as territorial sea; the Northisle and the Western Investor travel well beyond this boundary. Both vessels spend over 50% of their fishing time beyond the geographic limits of the province and beyond the territorial sea of Canada.  In 2006, the Northisle and the Western Investor were inspected by the B.C. Workers’ Compensation Board (“WCB”).  Following the inspections, the WCB issued several orders under the </w:t>
            </w:r>
            <w:r w:rsidRPr="00DF05B0">
              <w:rPr>
                <w:rFonts w:eastAsia="Calibri"/>
                <w:i/>
                <w:sz w:val="20"/>
              </w:rPr>
              <w:t>Occupational Health and Safety Regulations</w:t>
            </w:r>
            <w:r w:rsidRPr="00DF05B0">
              <w:rPr>
                <w:rFonts w:eastAsia="Calibri"/>
                <w:sz w:val="20"/>
              </w:rPr>
              <w:t xml:space="preserve">, B.C. Regulation 296/97 (“OHSR”), enacted pursuant to the </w:t>
            </w:r>
            <w:r w:rsidRPr="00DF05B0">
              <w:rPr>
                <w:rFonts w:eastAsia="Calibri"/>
                <w:i/>
                <w:sz w:val="20"/>
              </w:rPr>
              <w:t>Workers’ Compensation Act</w:t>
            </w:r>
            <w:r w:rsidRPr="00DF05B0">
              <w:rPr>
                <w:rFonts w:eastAsia="Calibri"/>
                <w:sz w:val="20"/>
              </w:rPr>
              <w:t xml:space="preserve">, R.S.B.C. 1996, c. 492.  The orders found that: (i) the owners had failed to provide on board stability documentation; (ii) the master had failed to establish emergency procedures for crewmembers overboard; (iii) the master had failed to establish emergency fire and flooding procedures; and (iv) the master had failed to establish emergency procedures in regard to abandoning ship or calling for help.  The owners were required to notify the WCB of their compliance with the Review Orders within 30 days.  </w:t>
            </w:r>
            <w:r w:rsidRPr="00DF05B0">
              <w:rPr>
                <w:rFonts w:eastAsia="Calibri"/>
                <w:sz w:val="20"/>
              </w:rPr>
              <w:lastRenderedPageBreak/>
              <w:t>On July 3, 2006, the owners filed compliance plans.  They also requested a review hearing based on their claims that the province lacked the constitutional authority to regulate stability and other safety matters on board their fishing vessels.  On March 30, 2007, the WCB's Review Division determined that it lacked the jurisdiction to decide the constitutional questions raised by the owners.  The applicants then commenced proceedings by way of petition and applied for judicial review of the orders made by the WCB to enforce the impugned provisions of the OHSR.</w:t>
            </w:r>
          </w:p>
          <w:p w:rsidR="00BA18A2" w:rsidRPr="00DF05B0" w:rsidRDefault="00BA18A2" w:rsidP="00741DC5">
            <w:pPr>
              <w:jc w:val="both"/>
              <w:rPr>
                <w:rFonts w:eastAsia="Calibri"/>
                <w:sz w:val="20"/>
              </w:rPr>
            </w:pPr>
          </w:p>
          <w:p w:rsidR="00BA18A2" w:rsidRPr="00DF05B0" w:rsidRDefault="00BA18A2" w:rsidP="00741DC5">
            <w:pPr>
              <w:jc w:val="both"/>
              <w:rPr>
                <w:rFonts w:eastAsia="Calibri"/>
                <w:sz w:val="20"/>
              </w:rPr>
            </w:pPr>
            <w:r w:rsidRPr="00DF05B0">
              <w:rPr>
                <w:rFonts w:eastAsia="Calibri"/>
                <w:sz w:val="20"/>
              </w:rPr>
              <w:t>The British Columbia Supreme Court dismissed the application for judicial review on the basis that the operations were a provincial undertaking, the impugned provisions were constitutionally valid, and the doctrines of interjurisdictional immunity and paramountcy were not engaged.  The B.C. Court of Appeal dismissed the appeal.</w:t>
            </w:r>
          </w:p>
          <w:p w:rsidR="00BA18A2" w:rsidRPr="00DF05B0" w:rsidRDefault="00BA18A2" w:rsidP="00741DC5">
            <w:pPr>
              <w:jc w:val="both"/>
              <w:rPr>
                <w:rFonts w:eastAsia="Calibri"/>
                <w:sz w:val="20"/>
              </w:rPr>
            </w:pPr>
          </w:p>
        </w:tc>
      </w:tr>
      <w:tr w:rsidR="00BA18A2" w:rsidRPr="00DF05B0" w:rsidTr="00741DC5">
        <w:tc>
          <w:tcPr>
            <w:tcW w:w="2427" w:type="pct"/>
          </w:tcPr>
          <w:p w:rsidR="00BA18A2" w:rsidRPr="00DF05B0" w:rsidRDefault="00BA18A2" w:rsidP="00741DC5">
            <w:pPr>
              <w:jc w:val="both"/>
              <w:rPr>
                <w:rFonts w:eastAsia="Calibri"/>
                <w:sz w:val="20"/>
              </w:rPr>
            </w:pPr>
            <w:r w:rsidRPr="00DF05B0">
              <w:rPr>
                <w:rFonts w:eastAsia="Calibri"/>
                <w:sz w:val="20"/>
              </w:rPr>
              <w:lastRenderedPageBreak/>
              <w:t>February 2, 2009</w:t>
            </w:r>
          </w:p>
          <w:p w:rsidR="00BA18A2" w:rsidRPr="00DF05B0" w:rsidRDefault="00BA18A2" w:rsidP="00741DC5">
            <w:pPr>
              <w:jc w:val="both"/>
              <w:rPr>
                <w:rFonts w:eastAsia="Calibri"/>
                <w:sz w:val="20"/>
              </w:rPr>
            </w:pPr>
            <w:r w:rsidRPr="00DF05B0">
              <w:rPr>
                <w:rFonts w:eastAsia="Calibri"/>
                <w:sz w:val="20"/>
              </w:rPr>
              <w:t>Supreme Court of British Columbia</w:t>
            </w:r>
          </w:p>
          <w:p w:rsidR="00BA18A2" w:rsidRPr="00DF05B0" w:rsidRDefault="00BA18A2" w:rsidP="00741DC5">
            <w:pPr>
              <w:jc w:val="both"/>
              <w:rPr>
                <w:rFonts w:eastAsia="Calibri"/>
                <w:sz w:val="20"/>
              </w:rPr>
            </w:pPr>
            <w:r w:rsidRPr="00DF05B0">
              <w:rPr>
                <w:rFonts w:eastAsia="Calibri"/>
                <w:sz w:val="20"/>
              </w:rPr>
              <w:t>(Smith J.)</w:t>
            </w:r>
          </w:p>
          <w:p w:rsidR="00BA18A2" w:rsidRPr="00DF05B0" w:rsidRDefault="00BA18A2" w:rsidP="00741DC5">
            <w:pPr>
              <w:jc w:val="both"/>
              <w:rPr>
                <w:rFonts w:eastAsia="Calibri"/>
                <w:sz w:val="20"/>
              </w:rPr>
            </w:pPr>
          </w:p>
        </w:tc>
        <w:tc>
          <w:tcPr>
            <w:tcW w:w="243" w:type="pct"/>
          </w:tcPr>
          <w:p w:rsidR="00BA18A2" w:rsidRPr="00DF05B0" w:rsidRDefault="00BA18A2" w:rsidP="00741DC5">
            <w:pPr>
              <w:jc w:val="both"/>
              <w:rPr>
                <w:rFonts w:eastAsia="Calibri"/>
                <w:sz w:val="20"/>
              </w:rPr>
            </w:pPr>
          </w:p>
        </w:tc>
        <w:tc>
          <w:tcPr>
            <w:tcW w:w="2330" w:type="pct"/>
          </w:tcPr>
          <w:p w:rsidR="00BA18A2" w:rsidRPr="00DF05B0" w:rsidRDefault="00BA18A2" w:rsidP="00741DC5">
            <w:pPr>
              <w:jc w:val="both"/>
              <w:rPr>
                <w:rFonts w:eastAsia="Calibri"/>
                <w:sz w:val="20"/>
              </w:rPr>
            </w:pPr>
            <w:r w:rsidRPr="00DF05B0">
              <w:rPr>
                <w:rFonts w:eastAsia="Calibri"/>
                <w:sz w:val="20"/>
              </w:rPr>
              <w:t>Applicants’ application for judicial review, dismissed.</w:t>
            </w:r>
          </w:p>
        </w:tc>
      </w:tr>
      <w:tr w:rsidR="00BA18A2" w:rsidRPr="00DF05B0" w:rsidTr="00741DC5">
        <w:tc>
          <w:tcPr>
            <w:tcW w:w="2427" w:type="pct"/>
          </w:tcPr>
          <w:p w:rsidR="00BA18A2" w:rsidRPr="00DF05B0" w:rsidRDefault="00BA18A2" w:rsidP="00741DC5">
            <w:pPr>
              <w:jc w:val="both"/>
              <w:rPr>
                <w:rFonts w:eastAsia="Calibri"/>
                <w:sz w:val="20"/>
              </w:rPr>
            </w:pPr>
            <w:r w:rsidRPr="00DF05B0">
              <w:rPr>
                <w:rFonts w:eastAsia="Calibri"/>
                <w:sz w:val="20"/>
              </w:rPr>
              <w:t>February 2, 2011</w:t>
            </w:r>
          </w:p>
          <w:p w:rsidR="00BA18A2" w:rsidRPr="00DF05B0" w:rsidRDefault="00BA18A2" w:rsidP="00741DC5">
            <w:pPr>
              <w:jc w:val="both"/>
              <w:rPr>
                <w:rFonts w:eastAsia="Calibri"/>
                <w:sz w:val="20"/>
              </w:rPr>
            </w:pPr>
            <w:r w:rsidRPr="00DF05B0">
              <w:rPr>
                <w:rFonts w:eastAsia="Calibri"/>
                <w:sz w:val="20"/>
              </w:rPr>
              <w:t>Court of Appeal for British Columbia (Vancouver)</w:t>
            </w:r>
          </w:p>
          <w:p w:rsidR="00BA18A2" w:rsidRPr="00DF05B0" w:rsidRDefault="00BA18A2" w:rsidP="00741DC5">
            <w:pPr>
              <w:jc w:val="both"/>
              <w:rPr>
                <w:rFonts w:eastAsia="Calibri"/>
                <w:sz w:val="20"/>
              </w:rPr>
            </w:pPr>
            <w:r w:rsidRPr="00DF05B0">
              <w:rPr>
                <w:rFonts w:eastAsia="Calibri"/>
                <w:sz w:val="20"/>
              </w:rPr>
              <w:t>(Smith, Bennett and Garson JJ.A.)</w:t>
            </w:r>
          </w:p>
          <w:p w:rsidR="00BA18A2" w:rsidRPr="00DF05B0" w:rsidRDefault="00BA18A2" w:rsidP="00741DC5">
            <w:pPr>
              <w:jc w:val="both"/>
              <w:rPr>
                <w:rFonts w:eastAsia="Calibri"/>
                <w:sz w:val="20"/>
              </w:rPr>
            </w:pPr>
          </w:p>
        </w:tc>
        <w:tc>
          <w:tcPr>
            <w:tcW w:w="243" w:type="pct"/>
          </w:tcPr>
          <w:p w:rsidR="00BA18A2" w:rsidRPr="00DF05B0" w:rsidRDefault="00BA18A2" w:rsidP="00741DC5">
            <w:pPr>
              <w:jc w:val="both"/>
              <w:rPr>
                <w:rFonts w:eastAsia="Calibri"/>
                <w:sz w:val="20"/>
              </w:rPr>
            </w:pPr>
          </w:p>
        </w:tc>
        <w:tc>
          <w:tcPr>
            <w:tcW w:w="2330" w:type="pct"/>
          </w:tcPr>
          <w:p w:rsidR="00BA18A2" w:rsidRPr="00DF05B0" w:rsidRDefault="00BA18A2" w:rsidP="00741DC5">
            <w:pPr>
              <w:jc w:val="both"/>
              <w:rPr>
                <w:rFonts w:eastAsia="Calibri"/>
                <w:sz w:val="20"/>
              </w:rPr>
            </w:pPr>
            <w:r w:rsidRPr="00DF05B0">
              <w:rPr>
                <w:rFonts w:eastAsia="Calibri"/>
                <w:sz w:val="20"/>
              </w:rPr>
              <w:t>Applicants’ appeal, dismissed.</w:t>
            </w:r>
          </w:p>
          <w:p w:rsidR="00BA18A2" w:rsidRPr="00DF05B0" w:rsidRDefault="00BA18A2" w:rsidP="00741DC5">
            <w:pPr>
              <w:jc w:val="both"/>
              <w:rPr>
                <w:rFonts w:eastAsia="Calibri"/>
                <w:sz w:val="20"/>
              </w:rPr>
            </w:pPr>
          </w:p>
        </w:tc>
      </w:tr>
      <w:tr w:rsidR="00BA18A2" w:rsidRPr="00DF05B0" w:rsidTr="00741DC5">
        <w:tc>
          <w:tcPr>
            <w:tcW w:w="2427" w:type="pct"/>
          </w:tcPr>
          <w:p w:rsidR="00BA18A2" w:rsidRPr="00DF05B0" w:rsidRDefault="00BA18A2" w:rsidP="00741DC5">
            <w:pPr>
              <w:jc w:val="both"/>
              <w:rPr>
                <w:rFonts w:eastAsia="Calibri"/>
                <w:sz w:val="20"/>
              </w:rPr>
            </w:pPr>
            <w:r w:rsidRPr="00DF05B0">
              <w:rPr>
                <w:rFonts w:eastAsia="Calibri"/>
                <w:sz w:val="20"/>
              </w:rPr>
              <w:t>April 4, 2011</w:t>
            </w:r>
          </w:p>
          <w:p w:rsidR="00BA18A2" w:rsidRPr="00DF05B0" w:rsidRDefault="00BA18A2" w:rsidP="00741DC5">
            <w:pPr>
              <w:jc w:val="both"/>
              <w:rPr>
                <w:rFonts w:eastAsia="Calibri"/>
                <w:sz w:val="20"/>
              </w:rPr>
            </w:pPr>
            <w:r w:rsidRPr="00DF05B0">
              <w:rPr>
                <w:rFonts w:eastAsia="Calibri"/>
                <w:sz w:val="20"/>
              </w:rPr>
              <w:t>Supreme Court of Canada</w:t>
            </w:r>
          </w:p>
        </w:tc>
        <w:tc>
          <w:tcPr>
            <w:tcW w:w="243" w:type="pct"/>
          </w:tcPr>
          <w:p w:rsidR="00BA18A2" w:rsidRPr="00DF05B0" w:rsidRDefault="00BA18A2" w:rsidP="00741DC5">
            <w:pPr>
              <w:jc w:val="both"/>
              <w:rPr>
                <w:rFonts w:eastAsia="Calibri"/>
                <w:sz w:val="20"/>
              </w:rPr>
            </w:pPr>
          </w:p>
        </w:tc>
        <w:tc>
          <w:tcPr>
            <w:tcW w:w="2330" w:type="pct"/>
          </w:tcPr>
          <w:p w:rsidR="00BA18A2" w:rsidRPr="00DF05B0" w:rsidRDefault="00BA18A2" w:rsidP="00741DC5">
            <w:pPr>
              <w:jc w:val="both"/>
              <w:rPr>
                <w:rFonts w:eastAsia="Calibri"/>
                <w:sz w:val="20"/>
              </w:rPr>
            </w:pPr>
            <w:r w:rsidRPr="00DF05B0">
              <w:rPr>
                <w:rFonts w:eastAsia="Calibri"/>
                <w:sz w:val="20"/>
              </w:rPr>
              <w:t>Application for leave to appeal, filed.</w:t>
            </w:r>
          </w:p>
          <w:p w:rsidR="00BA18A2" w:rsidRPr="00DF05B0" w:rsidRDefault="00BA18A2" w:rsidP="00741DC5">
            <w:pPr>
              <w:jc w:val="both"/>
              <w:rPr>
                <w:rFonts w:eastAsia="Calibri"/>
                <w:sz w:val="20"/>
              </w:rPr>
            </w:pPr>
          </w:p>
        </w:tc>
      </w:tr>
    </w:tbl>
    <w:p w:rsidR="00BA18A2" w:rsidRDefault="00BA18A2" w:rsidP="00BA18A2">
      <w:pPr>
        <w:rPr>
          <w:sz w:val="20"/>
          <w:szCs w:val="20"/>
        </w:rPr>
      </w:pPr>
    </w:p>
    <w:p w:rsidR="00BA18A2" w:rsidRDefault="00460701" w:rsidP="00BA18A2">
      <w:pPr>
        <w:rPr>
          <w:sz w:val="20"/>
          <w:szCs w:val="20"/>
        </w:rPr>
      </w:pPr>
      <w:r w:rsidRPr="00460701">
        <w:rPr>
          <w:sz w:val="20"/>
          <w:szCs w:val="20"/>
          <w:lang w:val="fr-CA"/>
        </w:rPr>
        <w:pict>
          <v:rect id="_x0000_i1048" style="width:2in;height:1pt" o:hrpct="0" o:hralign="center" o:hrstd="t" o:hrnoshade="t" o:hr="t" fillcolor="black [3213]" stroked="f"/>
        </w:pict>
      </w:r>
    </w:p>
    <w:p w:rsidR="00BA18A2" w:rsidRDefault="00BA18A2" w:rsidP="00BA18A2">
      <w:pPr>
        <w:rPr>
          <w:sz w:val="20"/>
          <w:szCs w:val="20"/>
        </w:rPr>
      </w:pPr>
    </w:p>
    <w:p w:rsidR="00BA18A2" w:rsidRDefault="00BA18A2" w:rsidP="00BA18A2">
      <w:pPr>
        <w:rPr>
          <w:sz w:val="20"/>
          <w:szCs w:val="20"/>
        </w:rPr>
      </w:pPr>
      <w:r>
        <w:rPr>
          <w:sz w:val="20"/>
          <w:szCs w:val="20"/>
          <w:u w:val="single"/>
        </w:rPr>
        <w:t>RÉSUMÉ DE L’AFFAIRE</w:t>
      </w:r>
    </w:p>
    <w:p w:rsidR="00BA18A2" w:rsidRDefault="00BA18A2" w:rsidP="00BA18A2">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BA18A2" w:rsidRPr="00191EFC" w:rsidTr="00741DC5">
        <w:tc>
          <w:tcPr>
            <w:tcW w:w="5000" w:type="pct"/>
            <w:gridSpan w:val="3"/>
          </w:tcPr>
          <w:p w:rsidR="00BA18A2" w:rsidRPr="00DF05B0" w:rsidRDefault="00BA18A2" w:rsidP="00741DC5">
            <w:pPr>
              <w:jc w:val="both"/>
              <w:rPr>
                <w:rFonts w:eastAsia="Calibri"/>
                <w:sz w:val="20"/>
                <w:lang w:val="fr-CA"/>
              </w:rPr>
            </w:pPr>
            <w:r w:rsidRPr="00DF05B0">
              <w:rPr>
                <w:rFonts w:eastAsia="Calibri"/>
                <w:sz w:val="20"/>
                <w:lang w:val="fr-CA"/>
              </w:rPr>
              <w:t>Droit constitutionnel — Partage des pouvoirs — Navigation et bâtiments ou navires — Propriété et droits civils — Caractère véritable — Prépondérance — Doctrine de l’exclusivité des compétences — Une société qui pratique la pêche de façon régulière au</w:t>
            </w:r>
            <w:r w:rsidRPr="00DF05B0">
              <w:rPr>
                <w:rFonts w:eastAsia="Calibri"/>
                <w:sz w:val="20"/>
                <w:lang w:val="fr-CA"/>
              </w:rPr>
              <w:noBreakHyphen/>
              <w:t>delà des limites d’une province est</w:t>
            </w:r>
            <w:r w:rsidRPr="00DF05B0">
              <w:rPr>
                <w:rFonts w:eastAsia="Calibri"/>
                <w:sz w:val="20"/>
                <w:lang w:val="fr-CA"/>
              </w:rPr>
              <w:noBreakHyphen/>
              <w:t>elle une entreprise fédérale ou provinciale au sens de l’al. 92(10)</w:t>
            </w:r>
            <w:r w:rsidRPr="00DF05B0">
              <w:rPr>
                <w:rFonts w:eastAsia="Calibri"/>
                <w:i/>
                <w:sz w:val="20"/>
                <w:lang w:val="fr-CA"/>
              </w:rPr>
              <w:t>(a)</w:t>
            </w:r>
            <w:r w:rsidRPr="00DF05B0">
              <w:rPr>
                <w:rFonts w:eastAsia="Calibri"/>
                <w:sz w:val="20"/>
                <w:lang w:val="fr-CA"/>
              </w:rPr>
              <w:t xml:space="preserve"> de la </w:t>
            </w:r>
            <w:r w:rsidRPr="00DF05B0">
              <w:rPr>
                <w:rFonts w:eastAsia="Calibri"/>
                <w:i/>
                <w:sz w:val="20"/>
                <w:lang w:val="fr-CA"/>
              </w:rPr>
              <w:t>Loi constitutionnelle de</w:t>
            </w:r>
            <w:r w:rsidRPr="00DF05B0">
              <w:rPr>
                <w:rFonts w:eastAsia="Calibri"/>
                <w:sz w:val="20"/>
                <w:lang w:val="fr-CA"/>
              </w:rPr>
              <w:t xml:space="preserve"> </w:t>
            </w:r>
            <w:r w:rsidRPr="00DF05B0">
              <w:rPr>
                <w:rFonts w:eastAsia="Calibri"/>
                <w:i/>
                <w:sz w:val="20"/>
                <w:lang w:val="fr-CA"/>
              </w:rPr>
              <w:t>1867</w:t>
            </w:r>
            <w:r w:rsidRPr="00DF05B0">
              <w:rPr>
                <w:rFonts w:eastAsia="Calibri"/>
                <w:sz w:val="20"/>
                <w:lang w:val="fr-CA"/>
              </w:rPr>
              <w:t>? — Si elle est une entreprise de transport maritime provinciale, dans quelle mesure est</w:t>
            </w:r>
            <w:r w:rsidRPr="00DF05B0">
              <w:rPr>
                <w:rFonts w:eastAsia="Calibri"/>
                <w:sz w:val="20"/>
                <w:lang w:val="fr-CA"/>
              </w:rPr>
              <w:noBreakHyphen/>
              <w:t xml:space="preserve">elle soumise au pouvoir fédéral de réglementer « la navigation et les bâtiments ou navires » prévu au par. 91(10) de la </w:t>
            </w:r>
            <w:r w:rsidRPr="00DF05B0">
              <w:rPr>
                <w:rFonts w:eastAsia="Calibri"/>
                <w:i/>
                <w:sz w:val="20"/>
                <w:lang w:val="fr-CA"/>
              </w:rPr>
              <w:t>Loi constitutionnelle de</w:t>
            </w:r>
            <w:r w:rsidRPr="00DF05B0">
              <w:rPr>
                <w:rFonts w:eastAsia="Calibri"/>
                <w:sz w:val="20"/>
                <w:lang w:val="fr-CA"/>
              </w:rPr>
              <w:t xml:space="preserve"> </w:t>
            </w:r>
            <w:r w:rsidRPr="00DF05B0">
              <w:rPr>
                <w:rFonts w:eastAsia="Calibri"/>
                <w:i/>
                <w:sz w:val="20"/>
                <w:lang w:val="fr-CA"/>
              </w:rPr>
              <w:t>1867</w:t>
            </w:r>
            <w:r w:rsidRPr="00DF05B0">
              <w:rPr>
                <w:rFonts w:eastAsia="Calibri"/>
                <w:sz w:val="20"/>
                <w:lang w:val="fr-CA"/>
              </w:rPr>
              <w:t>? — La théorie du double aspect s’applique</w:t>
            </w:r>
            <w:r w:rsidRPr="00DF05B0">
              <w:rPr>
                <w:rFonts w:eastAsia="Calibri"/>
                <w:sz w:val="20"/>
                <w:lang w:val="fr-CA"/>
              </w:rPr>
              <w:noBreakHyphen/>
              <w:t>t</w:t>
            </w:r>
            <w:r w:rsidRPr="00DF05B0">
              <w:rPr>
                <w:rFonts w:eastAsia="Calibri"/>
                <w:sz w:val="20"/>
                <w:lang w:val="fr-CA"/>
              </w:rPr>
              <w:noBreakHyphen/>
              <w:t xml:space="preserve">elle à la réglementation concernant la sécurité des équipages? — </w:t>
            </w:r>
            <w:r w:rsidRPr="00DF05B0">
              <w:rPr>
                <w:rFonts w:eastAsia="Calibri"/>
                <w:i/>
                <w:sz w:val="20"/>
                <w:lang w:val="fr-CA"/>
              </w:rPr>
              <w:t>Loi constitutionnelle de</w:t>
            </w:r>
            <w:r w:rsidRPr="00DF05B0">
              <w:rPr>
                <w:rFonts w:eastAsia="Calibri"/>
                <w:sz w:val="20"/>
                <w:lang w:val="fr-CA"/>
              </w:rPr>
              <w:t xml:space="preserve"> </w:t>
            </w:r>
            <w:r w:rsidRPr="00DF05B0">
              <w:rPr>
                <w:rFonts w:eastAsia="Calibri"/>
                <w:i/>
                <w:sz w:val="20"/>
                <w:lang w:val="fr-CA"/>
              </w:rPr>
              <w:t>1867</w:t>
            </w:r>
            <w:r w:rsidRPr="00DF05B0">
              <w:rPr>
                <w:rFonts w:eastAsia="Calibri"/>
                <w:sz w:val="20"/>
                <w:lang w:val="fr-CA"/>
              </w:rPr>
              <w:t>, par. 91(10), al. 92(10)</w:t>
            </w:r>
            <w:r w:rsidRPr="00DF05B0">
              <w:rPr>
                <w:rFonts w:eastAsia="Calibri"/>
                <w:i/>
                <w:sz w:val="20"/>
                <w:lang w:val="fr-CA"/>
              </w:rPr>
              <w:t>(a)</w:t>
            </w:r>
            <w:r w:rsidRPr="00DF05B0">
              <w:rPr>
                <w:rFonts w:eastAsia="Calibri"/>
                <w:sz w:val="20"/>
                <w:lang w:val="fr-CA"/>
              </w:rPr>
              <w:t>, par. 92(13).</w:t>
            </w:r>
          </w:p>
        </w:tc>
      </w:tr>
      <w:tr w:rsidR="00BA18A2" w:rsidRPr="00191EFC" w:rsidTr="00741DC5">
        <w:tc>
          <w:tcPr>
            <w:tcW w:w="5000" w:type="pct"/>
            <w:gridSpan w:val="3"/>
          </w:tcPr>
          <w:p w:rsidR="00BA18A2" w:rsidRPr="00DF05B0" w:rsidRDefault="00BA18A2" w:rsidP="00741DC5">
            <w:pPr>
              <w:jc w:val="both"/>
              <w:rPr>
                <w:rFonts w:eastAsia="Calibri"/>
                <w:sz w:val="20"/>
                <w:lang w:val="fr-CA"/>
              </w:rPr>
            </w:pPr>
          </w:p>
        </w:tc>
      </w:tr>
      <w:tr w:rsidR="00BA18A2" w:rsidRPr="00BA18A2" w:rsidTr="00741DC5">
        <w:tc>
          <w:tcPr>
            <w:tcW w:w="5000" w:type="pct"/>
            <w:gridSpan w:val="3"/>
          </w:tcPr>
          <w:p w:rsidR="00BA18A2" w:rsidRPr="00DF05B0" w:rsidRDefault="00BA18A2" w:rsidP="00741DC5">
            <w:pPr>
              <w:jc w:val="both"/>
              <w:rPr>
                <w:rFonts w:eastAsia="Calibri"/>
                <w:sz w:val="20"/>
                <w:lang w:val="fr-CA"/>
              </w:rPr>
            </w:pPr>
            <w:r w:rsidRPr="00DF05B0">
              <w:rPr>
                <w:rFonts w:eastAsia="Calibri"/>
                <w:sz w:val="20"/>
                <w:lang w:val="fr-CA"/>
              </w:rPr>
              <w:t xml:space="preserve">Jim Pattison Enterprises Ltd. et 289787 B.C. Ltd. sont les propriétaires du bateau de pêche Northisle, immatriculé au fédéral.  Jim Pattison Enterprises Ltd. et K. Smith Fishing Ltd. sont les propriétaires du bateau de pêche Western Investor, immatriculé au fédéral.  Ces sociétés sont constituées en vertu d’une loi provinciale.  Le Northisle et le Western Investor sont désignés comme étant des petits bateaux de pêche au sens du </w:t>
            </w:r>
            <w:r w:rsidRPr="00DF05B0">
              <w:rPr>
                <w:rFonts w:eastAsia="Calibri"/>
                <w:i/>
                <w:color w:val="000000"/>
                <w:sz w:val="20"/>
                <w:lang w:val="fr-FR"/>
              </w:rPr>
              <w:t>Règlement sur l'inspection des petits bateaux de pêche</w:t>
            </w:r>
            <w:r w:rsidRPr="00DF05B0">
              <w:rPr>
                <w:rFonts w:eastAsia="Calibri"/>
                <w:sz w:val="20"/>
                <w:lang w:val="fr-CA"/>
              </w:rPr>
              <w:t>, C.R.C., Vol. XVII ch. 1486.  Les deux bateaux sont immatriculés par le ministère des Pêches et des Océans.  Le Canada fait valoir 12 milles marins à partir du littoral à titre de mer territoriale; le Northisle et le Western Investor se rendent bien au</w:t>
            </w:r>
            <w:r w:rsidRPr="00DF05B0">
              <w:rPr>
                <w:rFonts w:eastAsia="Calibri"/>
                <w:sz w:val="20"/>
                <w:lang w:val="fr-CA"/>
              </w:rPr>
              <w:noBreakHyphen/>
              <w:t>delà de cette limite territoriale.  Les deux bateaux passent plus de la moitié de leur temps de pêche au</w:t>
            </w:r>
            <w:r w:rsidRPr="00DF05B0">
              <w:rPr>
                <w:rFonts w:eastAsia="Calibri"/>
                <w:sz w:val="20"/>
                <w:lang w:val="fr-CA"/>
              </w:rPr>
              <w:noBreakHyphen/>
              <w:t>delà des limites géographiques de la province et au</w:t>
            </w:r>
            <w:r w:rsidRPr="00DF05B0">
              <w:rPr>
                <w:rFonts w:eastAsia="Calibri"/>
                <w:sz w:val="20"/>
                <w:lang w:val="fr-CA"/>
              </w:rPr>
              <w:noBreakHyphen/>
              <w:t>delà de la mer territoriale du Canada.  En 2006, le Northisle et le Western Investor ont été inspectés par la Workers’ Compensation Board de la Colombie</w:t>
            </w:r>
            <w:r w:rsidRPr="00DF05B0">
              <w:rPr>
                <w:rFonts w:eastAsia="Calibri"/>
                <w:sz w:val="20"/>
                <w:lang w:val="fr-CA"/>
              </w:rPr>
              <w:noBreakHyphen/>
              <w:t xml:space="preserve">Britannique (la « WCB »).  À la suite des inspections, la WCB a délivré plusieurs ordonnances en vertu du </w:t>
            </w:r>
            <w:r w:rsidRPr="00DF05B0">
              <w:rPr>
                <w:rFonts w:eastAsia="Calibri"/>
                <w:i/>
                <w:sz w:val="20"/>
                <w:lang w:val="fr-CA"/>
              </w:rPr>
              <w:t>Occupational Health and Safety Regulation</w:t>
            </w:r>
            <w:r w:rsidRPr="00DF05B0">
              <w:rPr>
                <w:rFonts w:eastAsia="Calibri"/>
                <w:sz w:val="20"/>
                <w:lang w:val="fr-CA"/>
              </w:rPr>
              <w:t xml:space="preserve">, B.C. Regulation 296/97 (l’« OHSR »), adopté en vertu de la </w:t>
            </w:r>
            <w:r w:rsidRPr="00DF05B0">
              <w:rPr>
                <w:rFonts w:eastAsia="Calibri"/>
                <w:i/>
                <w:sz w:val="20"/>
                <w:lang w:val="fr-CA"/>
              </w:rPr>
              <w:t>Workers Compensation Act</w:t>
            </w:r>
            <w:r w:rsidRPr="00DF05B0">
              <w:rPr>
                <w:rFonts w:eastAsia="Calibri"/>
                <w:sz w:val="20"/>
                <w:lang w:val="fr-CA"/>
              </w:rPr>
              <w:t>, R.S.B.C. 1996, ch. 492.  Les ordonnances comprenaient les conclusions suivantes : (i) les propriétaires n’avaient pas fourni les documents relatifs à la stabilité des navires, (ii) les capitaines n’avaient établi aucune  procédure d’urgence dans l’éventualité où un ou des membres d’équipage tomberaient par</w:t>
            </w:r>
            <w:r w:rsidRPr="00DF05B0">
              <w:rPr>
                <w:rFonts w:eastAsia="Calibri"/>
                <w:sz w:val="20"/>
                <w:lang w:val="fr-CA"/>
              </w:rPr>
              <w:noBreakHyphen/>
              <w:t xml:space="preserve">dessus bord, (iii) les capitaines n’avaient établi aucune procédure d’urgence en cas d’incendie ou d’inondation, et (iv) les capitaines n’avaient établi aucune procédure d’urgence concernant les abandons des navires ou les appels à l’aide.  Les propriétaires devaient, dans les 30 jours, aviser la WCB qu’ils s’étaient conformés aux ordonnances.  Le 3 juillet 2006, les propriétaires ont déposé des plans de conformité.  Ils ont également demandé la tenue d’une audience en révision en invoquant que la province n’avait pas </w:t>
            </w:r>
            <w:r w:rsidRPr="00DF05B0">
              <w:rPr>
                <w:rFonts w:eastAsia="Calibri"/>
                <w:sz w:val="20"/>
                <w:lang w:val="fr-CA"/>
              </w:rPr>
              <w:lastRenderedPageBreak/>
              <w:t>la compétence constitutionnelle de réglementer les questions relatives à la stabilité de leurs bateaux de pêche et à la sécurité à bord de ceux</w:t>
            </w:r>
            <w:r w:rsidRPr="00DF05B0">
              <w:rPr>
                <w:rFonts w:eastAsia="Calibri"/>
                <w:sz w:val="20"/>
                <w:lang w:val="fr-CA"/>
              </w:rPr>
              <w:noBreakHyphen/>
              <w:t>ci.  Le 30 mars 2007, la section des contrôles de la WCB a conclu qu’elle n’avait pas compétence pour trancher les questions constitutionnelles soulevées par les propriétaires.  Les demanderesses ont ensuite entrepris des procédures par voie de pétition et ont demandé le contrôle judiciaire des ordonnances que la WCB a délivré afin de faire respecter les dispositions contestées de l’OHSR.</w:t>
            </w:r>
          </w:p>
          <w:p w:rsidR="00BA18A2" w:rsidRPr="00DF05B0" w:rsidRDefault="00BA18A2" w:rsidP="00741DC5">
            <w:pPr>
              <w:jc w:val="both"/>
              <w:rPr>
                <w:rFonts w:eastAsia="Calibri"/>
                <w:sz w:val="20"/>
                <w:lang w:val="fr-CA"/>
              </w:rPr>
            </w:pPr>
          </w:p>
          <w:p w:rsidR="00BA18A2" w:rsidRPr="00DF05B0" w:rsidRDefault="00BA18A2" w:rsidP="00741DC5">
            <w:pPr>
              <w:jc w:val="both"/>
              <w:rPr>
                <w:rFonts w:eastAsia="Calibri"/>
                <w:sz w:val="20"/>
                <w:lang w:val="fr-CA"/>
              </w:rPr>
            </w:pPr>
            <w:r w:rsidRPr="00DF05B0">
              <w:rPr>
                <w:rFonts w:eastAsia="Calibri"/>
                <w:sz w:val="20"/>
                <w:lang w:val="fr-CA"/>
              </w:rPr>
              <w:t>La Cour suprême de la Colombie</w:t>
            </w:r>
            <w:r w:rsidRPr="00DF05B0">
              <w:rPr>
                <w:rFonts w:eastAsia="Calibri"/>
                <w:sz w:val="20"/>
                <w:lang w:val="fr-CA"/>
              </w:rPr>
              <w:noBreakHyphen/>
              <w:t>Britannique a rejeté la demande de contrôle judiciaire au motif que l’activité concernée est une entreprise provinciale, les dispositions contestées sont constitutionnellement valides et les doctrines de l’exclusivité des compétences et de la prépondérance ne s’appliquent pas.  La Cour d’appel de la Colombie</w:t>
            </w:r>
            <w:r w:rsidRPr="00DF05B0">
              <w:rPr>
                <w:rFonts w:eastAsia="Calibri"/>
                <w:sz w:val="20"/>
                <w:lang w:val="fr-CA"/>
              </w:rPr>
              <w:noBreakHyphen/>
              <w:t>Britannique a rejeté l’appel.</w:t>
            </w:r>
          </w:p>
          <w:p w:rsidR="00BA18A2" w:rsidRPr="00DF05B0" w:rsidRDefault="00BA18A2" w:rsidP="00741DC5">
            <w:pPr>
              <w:jc w:val="both"/>
              <w:rPr>
                <w:rFonts w:eastAsia="Calibri"/>
                <w:sz w:val="20"/>
                <w:lang w:val="fr-CA"/>
              </w:rPr>
            </w:pPr>
          </w:p>
        </w:tc>
      </w:tr>
      <w:tr w:rsidR="00BA18A2" w:rsidRPr="00BA18A2" w:rsidTr="00741DC5">
        <w:tc>
          <w:tcPr>
            <w:tcW w:w="2427" w:type="pct"/>
          </w:tcPr>
          <w:p w:rsidR="00BA18A2" w:rsidRPr="00DF05B0" w:rsidRDefault="00BA18A2" w:rsidP="00741DC5">
            <w:pPr>
              <w:jc w:val="both"/>
              <w:rPr>
                <w:rFonts w:eastAsia="Calibri"/>
                <w:sz w:val="20"/>
                <w:lang w:val="fr-CA"/>
              </w:rPr>
            </w:pPr>
            <w:r w:rsidRPr="00DF05B0">
              <w:rPr>
                <w:rFonts w:eastAsia="Calibri"/>
                <w:sz w:val="20"/>
                <w:lang w:val="fr-CA"/>
              </w:rPr>
              <w:lastRenderedPageBreak/>
              <w:t>2 février 2009</w:t>
            </w:r>
          </w:p>
          <w:p w:rsidR="00BA18A2" w:rsidRPr="00DF05B0" w:rsidRDefault="00BA18A2" w:rsidP="00741DC5">
            <w:pPr>
              <w:jc w:val="both"/>
              <w:rPr>
                <w:rFonts w:eastAsia="Calibri"/>
                <w:sz w:val="20"/>
                <w:lang w:val="fr-CA"/>
              </w:rPr>
            </w:pPr>
            <w:r w:rsidRPr="00DF05B0">
              <w:rPr>
                <w:rFonts w:eastAsia="Calibri"/>
                <w:sz w:val="20"/>
                <w:lang w:val="fr-CA"/>
              </w:rPr>
              <w:t>Cour suprême de la Colombie</w:t>
            </w:r>
            <w:r w:rsidRPr="00DF05B0">
              <w:rPr>
                <w:rFonts w:eastAsia="Calibri"/>
                <w:sz w:val="20"/>
                <w:lang w:val="fr-CA"/>
              </w:rPr>
              <w:noBreakHyphen/>
              <w:t>Britannique</w:t>
            </w:r>
          </w:p>
          <w:p w:rsidR="00BA18A2" w:rsidRPr="00DF05B0" w:rsidRDefault="00BA18A2" w:rsidP="00741DC5">
            <w:pPr>
              <w:jc w:val="both"/>
              <w:rPr>
                <w:rFonts w:eastAsia="Calibri"/>
                <w:sz w:val="20"/>
                <w:lang w:val="fr-CA"/>
              </w:rPr>
            </w:pPr>
            <w:r w:rsidRPr="00DF05B0">
              <w:rPr>
                <w:rFonts w:eastAsia="Calibri"/>
                <w:sz w:val="20"/>
                <w:lang w:val="fr-CA"/>
              </w:rPr>
              <w:t>(Juge Smith)</w:t>
            </w:r>
          </w:p>
          <w:p w:rsidR="00BA18A2" w:rsidRPr="00DF05B0" w:rsidRDefault="00BA18A2" w:rsidP="00741DC5">
            <w:pPr>
              <w:jc w:val="both"/>
              <w:rPr>
                <w:rFonts w:eastAsia="Calibri"/>
                <w:sz w:val="20"/>
                <w:lang w:val="fr-CA"/>
              </w:rPr>
            </w:pPr>
          </w:p>
        </w:tc>
        <w:tc>
          <w:tcPr>
            <w:tcW w:w="243" w:type="pct"/>
          </w:tcPr>
          <w:p w:rsidR="00BA18A2" w:rsidRPr="00DF05B0" w:rsidRDefault="00BA18A2" w:rsidP="00741DC5">
            <w:pPr>
              <w:jc w:val="both"/>
              <w:rPr>
                <w:rFonts w:eastAsia="Calibri"/>
                <w:sz w:val="20"/>
                <w:lang w:val="fr-CA"/>
              </w:rPr>
            </w:pPr>
          </w:p>
        </w:tc>
        <w:tc>
          <w:tcPr>
            <w:tcW w:w="2330" w:type="pct"/>
          </w:tcPr>
          <w:p w:rsidR="00BA18A2" w:rsidRPr="00DF05B0" w:rsidRDefault="00BA18A2" w:rsidP="00741DC5">
            <w:pPr>
              <w:jc w:val="both"/>
              <w:rPr>
                <w:rFonts w:eastAsia="Calibri"/>
                <w:sz w:val="20"/>
                <w:lang w:val="fr-CA"/>
              </w:rPr>
            </w:pPr>
            <w:r w:rsidRPr="00DF05B0">
              <w:rPr>
                <w:rFonts w:eastAsia="Calibri"/>
                <w:sz w:val="20"/>
                <w:lang w:val="fr-CA"/>
              </w:rPr>
              <w:t>Demande de contrôle judiciaire des demanderesses rejetée.</w:t>
            </w:r>
          </w:p>
        </w:tc>
      </w:tr>
      <w:tr w:rsidR="00BA18A2" w:rsidRPr="00DF05B0" w:rsidTr="00741DC5">
        <w:tc>
          <w:tcPr>
            <w:tcW w:w="2427" w:type="pct"/>
          </w:tcPr>
          <w:p w:rsidR="00BA18A2" w:rsidRPr="00DF05B0" w:rsidRDefault="00BA18A2" w:rsidP="00741DC5">
            <w:pPr>
              <w:jc w:val="both"/>
              <w:rPr>
                <w:rFonts w:eastAsia="Calibri"/>
                <w:sz w:val="20"/>
                <w:lang w:val="fr-CA"/>
              </w:rPr>
            </w:pPr>
            <w:r w:rsidRPr="00DF05B0">
              <w:rPr>
                <w:rFonts w:eastAsia="Calibri"/>
                <w:sz w:val="20"/>
                <w:lang w:val="fr-CA"/>
              </w:rPr>
              <w:t>2 février 2011</w:t>
            </w:r>
          </w:p>
          <w:p w:rsidR="00BA18A2" w:rsidRPr="00DF05B0" w:rsidRDefault="00BA18A2" w:rsidP="00741DC5">
            <w:pPr>
              <w:jc w:val="both"/>
              <w:rPr>
                <w:rFonts w:eastAsia="Calibri"/>
                <w:sz w:val="20"/>
                <w:lang w:val="fr-CA"/>
              </w:rPr>
            </w:pPr>
            <w:r w:rsidRPr="00DF05B0">
              <w:rPr>
                <w:rFonts w:eastAsia="Calibri"/>
                <w:sz w:val="20"/>
                <w:lang w:val="fr-CA"/>
              </w:rPr>
              <w:t>Cour d’appel de la Colombie</w:t>
            </w:r>
            <w:r w:rsidRPr="00DF05B0">
              <w:rPr>
                <w:rFonts w:eastAsia="Calibri"/>
                <w:sz w:val="20"/>
                <w:lang w:val="fr-CA"/>
              </w:rPr>
              <w:noBreakHyphen/>
              <w:t>Britannique  (Vancouver)</w:t>
            </w:r>
          </w:p>
          <w:p w:rsidR="00BA18A2" w:rsidRPr="00DF05B0" w:rsidRDefault="00BA18A2" w:rsidP="00741DC5">
            <w:pPr>
              <w:jc w:val="both"/>
              <w:rPr>
                <w:rFonts w:eastAsia="Calibri"/>
                <w:sz w:val="20"/>
                <w:lang w:val="fr-CA"/>
              </w:rPr>
            </w:pPr>
            <w:r w:rsidRPr="00DF05B0">
              <w:rPr>
                <w:rFonts w:eastAsia="Calibri"/>
                <w:sz w:val="20"/>
                <w:lang w:val="fr-CA"/>
              </w:rPr>
              <w:t>(Juges Smith, Bennett et Garson)</w:t>
            </w:r>
          </w:p>
          <w:p w:rsidR="00BA18A2" w:rsidRPr="00DF05B0" w:rsidRDefault="00BA18A2" w:rsidP="00741DC5">
            <w:pPr>
              <w:jc w:val="both"/>
              <w:rPr>
                <w:rFonts w:eastAsia="Calibri"/>
                <w:sz w:val="20"/>
                <w:lang w:val="fr-CA"/>
              </w:rPr>
            </w:pPr>
          </w:p>
        </w:tc>
        <w:tc>
          <w:tcPr>
            <w:tcW w:w="243" w:type="pct"/>
          </w:tcPr>
          <w:p w:rsidR="00BA18A2" w:rsidRPr="00DF05B0" w:rsidRDefault="00BA18A2" w:rsidP="00741DC5">
            <w:pPr>
              <w:jc w:val="both"/>
              <w:rPr>
                <w:rFonts w:eastAsia="Calibri"/>
                <w:sz w:val="20"/>
                <w:lang w:val="fr-CA"/>
              </w:rPr>
            </w:pPr>
          </w:p>
        </w:tc>
        <w:tc>
          <w:tcPr>
            <w:tcW w:w="2330" w:type="pct"/>
          </w:tcPr>
          <w:p w:rsidR="00BA18A2" w:rsidRPr="00DF05B0" w:rsidRDefault="00BA18A2" w:rsidP="00741DC5">
            <w:pPr>
              <w:jc w:val="both"/>
              <w:rPr>
                <w:rFonts w:eastAsia="Calibri"/>
                <w:sz w:val="20"/>
                <w:lang w:val="fr-CA"/>
              </w:rPr>
            </w:pPr>
            <w:r w:rsidRPr="00DF05B0">
              <w:rPr>
                <w:rFonts w:eastAsia="Calibri"/>
                <w:sz w:val="20"/>
                <w:lang w:val="fr-CA"/>
              </w:rPr>
              <w:t>Appel des demanderesses rejeté.</w:t>
            </w:r>
          </w:p>
          <w:p w:rsidR="00BA18A2" w:rsidRPr="00DF05B0" w:rsidRDefault="00BA18A2" w:rsidP="00741DC5">
            <w:pPr>
              <w:jc w:val="both"/>
              <w:rPr>
                <w:rFonts w:eastAsia="Calibri"/>
                <w:sz w:val="20"/>
                <w:lang w:val="fr-CA"/>
              </w:rPr>
            </w:pPr>
          </w:p>
        </w:tc>
      </w:tr>
      <w:tr w:rsidR="00BA18A2" w:rsidRPr="00BA18A2" w:rsidTr="00741DC5">
        <w:tc>
          <w:tcPr>
            <w:tcW w:w="2427" w:type="pct"/>
          </w:tcPr>
          <w:p w:rsidR="00BA18A2" w:rsidRPr="00DF05B0" w:rsidRDefault="00BA18A2" w:rsidP="00741DC5">
            <w:pPr>
              <w:jc w:val="both"/>
              <w:rPr>
                <w:rFonts w:eastAsia="Calibri"/>
                <w:sz w:val="20"/>
                <w:lang w:val="fr-CA"/>
              </w:rPr>
            </w:pPr>
            <w:r w:rsidRPr="00DF05B0">
              <w:rPr>
                <w:rFonts w:eastAsia="Calibri"/>
                <w:sz w:val="20"/>
                <w:lang w:val="fr-CA"/>
              </w:rPr>
              <w:t>4 avril 2011</w:t>
            </w:r>
          </w:p>
          <w:p w:rsidR="00BA18A2" w:rsidRPr="00DF05B0" w:rsidRDefault="00BA18A2" w:rsidP="00741DC5">
            <w:pPr>
              <w:jc w:val="both"/>
              <w:rPr>
                <w:rFonts w:eastAsia="Calibri"/>
                <w:sz w:val="20"/>
                <w:lang w:val="fr-CA"/>
              </w:rPr>
            </w:pPr>
            <w:r w:rsidRPr="00DF05B0">
              <w:rPr>
                <w:rFonts w:eastAsia="Calibri"/>
                <w:sz w:val="20"/>
                <w:lang w:val="fr-CA"/>
              </w:rPr>
              <w:t>Cour suprême du Canada</w:t>
            </w:r>
          </w:p>
        </w:tc>
        <w:tc>
          <w:tcPr>
            <w:tcW w:w="243" w:type="pct"/>
          </w:tcPr>
          <w:p w:rsidR="00BA18A2" w:rsidRPr="00DF05B0" w:rsidRDefault="00BA18A2" w:rsidP="00741DC5">
            <w:pPr>
              <w:jc w:val="both"/>
              <w:rPr>
                <w:rFonts w:eastAsia="Calibri"/>
                <w:sz w:val="20"/>
                <w:lang w:val="fr-CA"/>
              </w:rPr>
            </w:pPr>
          </w:p>
        </w:tc>
        <w:tc>
          <w:tcPr>
            <w:tcW w:w="2330" w:type="pct"/>
          </w:tcPr>
          <w:p w:rsidR="00BA18A2" w:rsidRPr="00DF05B0" w:rsidRDefault="00BA18A2" w:rsidP="00741DC5">
            <w:pPr>
              <w:jc w:val="both"/>
              <w:rPr>
                <w:rFonts w:eastAsia="Calibri"/>
                <w:sz w:val="20"/>
                <w:lang w:val="fr-CA"/>
              </w:rPr>
            </w:pPr>
            <w:r w:rsidRPr="00DF05B0">
              <w:rPr>
                <w:rFonts w:eastAsia="Calibri"/>
                <w:sz w:val="20"/>
                <w:lang w:val="fr-CA"/>
              </w:rPr>
              <w:t>Demande de contrôle judiciaire déposée.</w:t>
            </w:r>
          </w:p>
          <w:p w:rsidR="00BA18A2" w:rsidRPr="00DF05B0" w:rsidRDefault="00BA18A2" w:rsidP="00741DC5">
            <w:pPr>
              <w:jc w:val="both"/>
              <w:rPr>
                <w:rFonts w:eastAsia="Calibri"/>
                <w:sz w:val="20"/>
                <w:lang w:val="fr-CA"/>
              </w:rPr>
            </w:pPr>
          </w:p>
        </w:tc>
      </w:tr>
    </w:tbl>
    <w:p w:rsidR="00BA18A2" w:rsidRPr="00AB2E42" w:rsidRDefault="00BA18A2" w:rsidP="00BA18A2">
      <w:pPr>
        <w:rPr>
          <w:sz w:val="20"/>
          <w:szCs w:val="20"/>
          <w:lang w:val="fr-CA"/>
        </w:rPr>
      </w:pPr>
    </w:p>
    <w:p w:rsidR="00BA18A2" w:rsidRDefault="00460701" w:rsidP="00BA18A2">
      <w:pPr>
        <w:rPr>
          <w:sz w:val="20"/>
          <w:szCs w:val="20"/>
          <w:lang w:val="fr-CA"/>
        </w:rPr>
      </w:pPr>
      <w:r w:rsidRPr="00460701">
        <w:rPr>
          <w:sz w:val="20"/>
          <w:szCs w:val="20"/>
          <w:lang w:val="fr-CA"/>
        </w:rPr>
        <w:pict>
          <v:rect id="_x0000_i1049" style="width:2in;height:1pt" o:hrpct="0" o:hralign="center" o:hrstd="t" o:hrnoshade="t" o:hr="t" fillcolor="black [3213]" stroked="f"/>
        </w:pict>
      </w:r>
    </w:p>
    <w:p w:rsidR="00BA18A2" w:rsidRDefault="00BA18A2" w:rsidP="00BA18A2">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BA18A2" w:rsidRPr="00585202" w:rsidTr="00741DC5">
        <w:trPr>
          <w:cantSplit/>
        </w:trPr>
        <w:tc>
          <w:tcPr>
            <w:tcW w:w="1458" w:type="dxa"/>
          </w:tcPr>
          <w:p w:rsidR="00BA18A2" w:rsidRPr="00585202" w:rsidRDefault="00BA18A2" w:rsidP="00741DC5">
            <w:pPr>
              <w:rPr>
                <w:sz w:val="20"/>
                <w:szCs w:val="20"/>
              </w:rPr>
            </w:pPr>
            <w:r w:rsidRPr="00585202">
              <w:rPr>
                <w:rStyle w:val="SCCFileNumberChar"/>
                <w:sz w:val="20"/>
                <w:szCs w:val="20"/>
              </w:rPr>
              <w:t>34275</w:t>
            </w:r>
          </w:p>
          <w:p w:rsidR="00BA18A2" w:rsidRPr="00585202" w:rsidRDefault="00BA18A2" w:rsidP="00741DC5">
            <w:pPr>
              <w:rPr>
                <w:b/>
                <w:sz w:val="20"/>
                <w:szCs w:val="20"/>
                <w:lang w:val="fr-CA"/>
              </w:rPr>
            </w:pPr>
          </w:p>
        </w:tc>
        <w:tc>
          <w:tcPr>
            <w:tcW w:w="8118" w:type="dxa"/>
          </w:tcPr>
          <w:p w:rsidR="00BA18A2" w:rsidRPr="00585202" w:rsidRDefault="00BA18A2" w:rsidP="00741DC5">
            <w:pPr>
              <w:jc w:val="both"/>
              <w:rPr>
                <w:sz w:val="20"/>
                <w:szCs w:val="20"/>
              </w:rPr>
            </w:pPr>
            <w:r w:rsidRPr="00BA18A2">
              <w:rPr>
                <w:rStyle w:val="SCCLsocChar"/>
                <w:sz w:val="20"/>
                <w:szCs w:val="20"/>
                <w:lang w:val="en-CA"/>
              </w:rPr>
              <w:t>M-Systems Flash Disk Pioneers Ltd. v. Commissioner of Patents (Attorney General of Canada)</w:t>
            </w:r>
            <w:r w:rsidRPr="00585202">
              <w:rPr>
                <w:sz w:val="20"/>
                <w:szCs w:val="20"/>
              </w:rPr>
              <w:t xml:space="preserve"> (F</w:t>
            </w:r>
            <w:r>
              <w:rPr>
                <w:sz w:val="20"/>
                <w:szCs w:val="20"/>
              </w:rPr>
              <w:t>.</w:t>
            </w:r>
            <w:r w:rsidRPr="00585202">
              <w:rPr>
                <w:sz w:val="20"/>
                <w:szCs w:val="20"/>
              </w:rPr>
              <w:t>C</w:t>
            </w:r>
            <w:r>
              <w:rPr>
                <w:sz w:val="20"/>
                <w:szCs w:val="20"/>
              </w:rPr>
              <w:t>.</w:t>
            </w:r>
            <w:r w:rsidRPr="00585202">
              <w:rPr>
                <w:sz w:val="20"/>
                <w:szCs w:val="20"/>
              </w:rPr>
              <w:t>) (Civil) (By Leave)</w:t>
            </w:r>
          </w:p>
          <w:p w:rsidR="00BA18A2" w:rsidRPr="00585202" w:rsidRDefault="00BA18A2" w:rsidP="00741DC5">
            <w:pPr>
              <w:rPr>
                <w:sz w:val="20"/>
                <w:szCs w:val="20"/>
              </w:rPr>
            </w:pPr>
          </w:p>
        </w:tc>
      </w:tr>
      <w:tr w:rsidR="00BA18A2" w:rsidRPr="00585202" w:rsidTr="00741DC5">
        <w:trPr>
          <w:cantSplit/>
        </w:trPr>
        <w:tc>
          <w:tcPr>
            <w:tcW w:w="1458" w:type="dxa"/>
          </w:tcPr>
          <w:p w:rsidR="00BA18A2" w:rsidRPr="00585202" w:rsidRDefault="00BA18A2" w:rsidP="00741DC5">
            <w:pPr>
              <w:rPr>
                <w:sz w:val="20"/>
                <w:szCs w:val="20"/>
              </w:rPr>
            </w:pPr>
            <w:r w:rsidRPr="00585202">
              <w:rPr>
                <w:sz w:val="20"/>
                <w:szCs w:val="20"/>
              </w:rPr>
              <w:t>Coram :</w:t>
            </w:r>
          </w:p>
        </w:tc>
        <w:tc>
          <w:tcPr>
            <w:tcW w:w="8118" w:type="dxa"/>
          </w:tcPr>
          <w:p w:rsidR="00BA18A2" w:rsidRPr="00585202" w:rsidRDefault="00BA18A2" w:rsidP="00741DC5">
            <w:pPr>
              <w:rPr>
                <w:sz w:val="20"/>
                <w:szCs w:val="20"/>
              </w:rPr>
            </w:pPr>
            <w:r w:rsidRPr="00BA18A2">
              <w:rPr>
                <w:rStyle w:val="SCCCoramChar"/>
                <w:sz w:val="20"/>
                <w:lang w:val="en-CA"/>
              </w:rPr>
              <w:t>LeBel, Fish and Cromwell JJ.</w:t>
            </w:r>
          </w:p>
          <w:p w:rsidR="00BA18A2" w:rsidRPr="00585202" w:rsidRDefault="00BA18A2" w:rsidP="00741DC5">
            <w:pPr>
              <w:rPr>
                <w:sz w:val="20"/>
                <w:szCs w:val="20"/>
                <w:u w:val="single"/>
              </w:rPr>
            </w:pPr>
          </w:p>
        </w:tc>
      </w:tr>
      <w:tr w:rsidR="00BA18A2" w:rsidRPr="00BA18A2" w:rsidTr="00741DC5">
        <w:trPr>
          <w:cantSplit/>
        </w:trPr>
        <w:tc>
          <w:tcPr>
            <w:tcW w:w="9576" w:type="dxa"/>
            <w:gridSpan w:val="2"/>
          </w:tcPr>
          <w:p w:rsidR="00BA18A2" w:rsidRPr="00585202" w:rsidRDefault="00BA18A2" w:rsidP="00741DC5">
            <w:pPr>
              <w:pStyle w:val="SCCShortJudgment"/>
              <w:rPr>
                <w:szCs w:val="20"/>
              </w:rPr>
            </w:pPr>
            <w:r w:rsidRPr="00585202">
              <w:rPr>
                <w:szCs w:val="20"/>
              </w:rPr>
              <w:t>The application for leave to appeal from the judgment of the Federal Court of Appeal, Number A-196-10, 2011 FCA 112, dated March 22, 2011, is dismissed with costs.</w:t>
            </w:r>
          </w:p>
          <w:p w:rsidR="00BA18A2" w:rsidRPr="00585202" w:rsidRDefault="00BA18A2" w:rsidP="00741DC5">
            <w:pPr>
              <w:pStyle w:val="SCCShortJudgment"/>
              <w:ind w:firstLine="0"/>
              <w:rPr>
                <w:szCs w:val="20"/>
              </w:rPr>
            </w:pPr>
          </w:p>
          <w:p w:rsidR="00BA18A2" w:rsidRPr="00585202" w:rsidRDefault="00BA18A2" w:rsidP="00741DC5">
            <w:pPr>
              <w:pStyle w:val="SCCShortJudgment"/>
              <w:rPr>
                <w:szCs w:val="20"/>
                <w:lang w:val="fr-CA"/>
              </w:rPr>
            </w:pPr>
            <w:r w:rsidRPr="00585202">
              <w:rPr>
                <w:szCs w:val="20"/>
                <w:lang w:val="fr-CA"/>
              </w:rPr>
              <w:t>La demande d’autorisation d’appel de l’arrêt de la Cour d’appel fédérale, numéro A-196-10, 2011 CAF 112, daté du 22 mars 2011, est rejetée avec dépens.</w:t>
            </w:r>
          </w:p>
        </w:tc>
      </w:tr>
    </w:tbl>
    <w:p w:rsidR="00BA18A2" w:rsidRPr="00305B0C" w:rsidRDefault="00BA18A2" w:rsidP="00BA18A2">
      <w:pPr>
        <w:rPr>
          <w:sz w:val="20"/>
          <w:szCs w:val="20"/>
          <w:lang w:val="fr-CA"/>
        </w:rPr>
      </w:pPr>
    </w:p>
    <w:p w:rsidR="00BA18A2" w:rsidRDefault="00BA18A2" w:rsidP="00BA18A2">
      <w:pPr>
        <w:rPr>
          <w:sz w:val="20"/>
          <w:szCs w:val="20"/>
        </w:rPr>
      </w:pPr>
      <w:r>
        <w:rPr>
          <w:sz w:val="20"/>
          <w:szCs w:val="20"/>
          <w:u w:val="single"/>
        </w:rPr>
        <w:t>CASE SUMMARY</w:t>
      </w:r>
    </w:p>
    <w:p w:rsidR="00BA18A2" w:rsidRDefault="00BA18A2" w:rsidP="00BA18A2">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BA18A2" w:rsidRPr="00DF05B0" w:rsidTr="00741DC5">
        <w:tc>
          <w:tcPr>
            <w:tcW w:w="5000" w:type="pct"/>
            <w:gridSpan w:val="3"/>
          </w:tcPr>
          <w:p w:rsidR="00BA18A2" w:rsidRPr="00DF05B0" w:rsidRDefault="00BA18A2" w:rsidP="00741DC5">
            <w:pPr>
              <w:jc w:val="both"/>
              <w:rPr>
                <w:rFonts w:eastAsia="Calibri"/>
                <w:sz w:val="20"/>
              </w:rPr>
            </w:pPr>
            <w:r w:rsidRPr="00DF05B0">
              <w:rPr>
                <w:rFonts w:eastAsia="Calibri"/>
                <w:sz w:val="20"/>
              </w:rPr>
              <w:t xml:space="preserve">Intellectual property — Patents — Applicant failing to reply to patent examiner’s Office Action requisitions for its patent application in timely fashion — Applicant being notified by Commissioner of Patents that application deemed abandoned — What is the patent applicant’s duty to reply in good faith pursuant to s. 73 of the </w:t>
            </w:r>
            <w:r w:rsidRPr="00DF05B0">
              <w:rPr>
                <w:rFonts w:eastAsia="Calibri"/>
                <w:i/>
                <w:sz w:val="20"/>
              </w:rPr>
              <w:t>Patent Act</w:t>
            </w:r>
            <w:r w:rsidRPr="00DF05B0">
              <w:rPr>
                <w:rFonts w:eastAsia="Calibri"/>
                <w:sz w:val="20"/>
              </w:rPr>
              <w:t>, R.S.C. 1985, c. P</w:t>
            </w:r>
            <w:r w:rsidRPr="00DF05B0">
              <w:rPr>
                <w:rFonts w:eastAsia="Calibri"/>
                <w:sz w:val="20"/>
              </w:rPr>
              <w:noBreakHyphen/>
              <w:t>3?</w:t>
            </w:r>
          </w:p>
          <w:p w:rsidR="00BA18A2" w:rsidRPr="00DF05B0" w:rsidRDefault="00BA18A2" w:rsidP="00741DC5">
            <w:pPr>
              <w:jc w:val="both"/>
              <w:rPr>
                <w:rFonts w:eastAsia="Calibri"/>
                <w:sz w:val="20"/>
              </w:rPr>
            </w:pPr>
          </w:p>
        </w:tc>
      </w:tr>
      <w:tr w:rsidR="00BA18A2" w:rsidRPr="00DF05B0" w:rsidTr="00741DC5">
        <w:tc>
          <w:tcPr>
            <w:tcW w:w="5000" w:type="pct"/>
            <w:gridSpan w:val="3"/>
          </w:tcPr>
          <w:p w:rsidR="00BA18A2" w:rsidRPr="00DF05B0" w:rsidRDefault="00BA18A2" w:rsidP="00741DC5">
            <w:pPr>
              <w:jc w:val="both"/>
              <w:rPr>
                <w:rFonts w:eastAsia="Calibri"/>
                <w:sz w:val="20"/>
              </w:rPr>
            </w:pPr>
            <w:r w:rsidRPr="00DF05B0">
              <w:rPr>
                <w:rFonts w:eastAsia="Calibri"/>
                <w:sz w:val="20"/>
              </w:rPr>
              <w:t>The Applicant, M</w:t>
            </w:r>
            <w:r w:rsidRPr="00DF05B0">
              <w:rPr>
                <w:rFonts w:eastAsia="Calibri"/>
                <w:sz w:val="20"/>
              </w:rPr>
              <w:noBreakHyphen/>
              <w:t>Systems Flash Disk Pioneers Ltd. (“M</w:t>
            </w:r>
            <w:r w:rsidRPr="00DF05B0">
              <w:rPr>
                <w:rFonts w:eastAsia="Calibri"/>
                <w:sz w:val="20"/>
              </w:rPr>
              <w:noBreakHyphen/>
              <w:t>Systems”) is the owner of an invention described and claimed in Canadian Patent Application No. 2,334,113 filed on March 20, 2000.  On January 7, 2005, the patent examiner issued an Office Action containing two requisitions to M</w:t>
            </w:r>
            <w:r w:rsidRPr="00DF05B0">
              <w:rPr>
                <w:rFonts w:eastAsia="Calibri"/>
                <w:sz w:val="20"/>
              </w:rPr>
              <w:noBreakHyphen/>
              <w:t xml:space="preserve">Systems:  (1) an amendment to the ‘113 application to rectify certain identified defects pursuant to Rule 30(2) of the </w:t>
            </w:r>
            <w:r w:rsidRPr="00DF05B0">
              <w:rPr>
                <w:rFonts w:eastAsia="Calibri"/>
                <w:i/>
                <w:sz w:val="20"/>
              </w:rPr>
              <w:t>Patent Rules</w:t>
            </w:r>
            <w:r w:rsidRPr="00DF05B0">
              <w:rPr>
                <w:rFonts w:eastAsia="Calibri"/>
                <w:sz w:val="20"/>
              </w:rPr>
              <w:t>, SOR/96</w:t>
            </w:r>
            <w:r w:rsidRPr="00DF05B0">
              <w:rPr>
                <w:rFonts w:eastAsia="Calibri"/>
                <w:sz w:val="20"/>
              </w:rPr>
              <w:noBreakHyphen/>
              <w:t>423; and (2), the identification of additional prior art pursuant to Rule 29. The examiner specified that the reply was to be submitted within the prescribed six month time frame.  When M</w:t>
            </w:r>
            <w:r w:rsidRPr="00DF05B0">
              <w:rPr>
                <w:rFonts w:eastAsia="Calibri"/>
                <w:sz w:val="20"/>
              </w:rPr>
              <w:noBreakHyphen/>
              <w:t xml:space="preserve">Systems did not respond by July 7, 2005, its application was deemed abandoned.  </w:t>
            </w:r>
          </w:p>
          <w:p w:rsidR="00BA18A2" w:rsidRPr="00DF05B0" w:rsidRDefault="00BA18A2" w:rsidP="00741DC5">
            <w:pPr>
              <w:jc w:val="both"/>
              <w:rPr>
                <w:rFonts w:eastAsia="Calibri"/>
                <w:sz w:val="20"/>
              </w:rPr>
            </w:pPr>
          </w:p>
          <w:p w:rsidR="00BA18A2" w:rsidRPr="00DF05B0" w:rsidRDefault="00BA18A2" w:rsidP="00741DC5">
            <w:pPr>
              <w:jc w:val="both"/>
              <w:rPr>
                <w:rFonts w:eastAsia="Calibri"/>
                <w:sz w:val="20"/>
              </w:rPr>
            </w:pPr>
            <w:r w:rsidRPr="00DF05B0">
              <w:rPr>
                <w:rFonts w:eastAsia="Calibri"/>
                <w:sz w:val="20"/>
              </w:rPr>
              <w:lastRenderedPageBreak/>
              <w:t>On December 8, 2005, M</w:t>
            </w:r>
            <w:r w:rsidRPr="00DF05B0">
              <w:rPr>
                <w:rFonts w:eastAsia="Calibri"/>
                <w:sz w:val="20"/>
              </w:rPr>
              <w:noBreakHyphen/>
              <w:t>Systems submitted a reinstatement request and a response to the Rule 30(2) requisition, but did not reply to the Rule 29 requisition.  M</w:t>
            </w:r>
            <w:r w:rsidRPr="00DF05B0">
              <w:rPr>
                <w:rFonts w:eastAsia="Calibri"/>
                <w:sz w:val="20"/>
              </w:rPr>
              <w:noBreakHyphen/>
              <w:t>Systems’ patent agents discovered that the application was deemed by the Patent Office to have been abandoned.  The one year period within which the application could have been reinstated lapsed on July 7, 2006.  M</w:t>
            </w:r>
            <w:r w:rsidRPr="00DF05B0">
              <w:rPr>
                <w:rFonts w:eastAsia="Calibri"/>
                <w:sz w:val="20"/>
              </w:rPr>
              <w:noBreakHyphen/>
              <w:t>Systems filed for reinstatement and a reply to the Rule 29 requisition on March 12, 2007.  The Patent Office advised M</w:t>
            </w:r>
            <w:r w:rsidRPr="00DF05B0">
              <w:rPr>
                <w:rFonts w:eastAsia="Calibri"/>
                <w:sz w:val="20"/>
              </w:rPr>
              <w:noBreakHyphen/>
              <w:t>Systems in writing that the ‘113 application was deemed to have been abandoned and rejected the request for reinstatement because the period for reinstatement had lapsed.  M</w:t>
            </w:r>
            <w:r w:rsidRPr="00DF05B0">
              <w:rPr>
                <w:rFonts w:eastAsia="Calibri"/>
                <w:sz w:val="20"/>
              </w:rPr>
              <w:noBreakHyphen/>
              <w:t>Systems applied for judicial review.</w:t>
            </w:r>
          </w:p>
          <w:p w:rsidR="00BA18A2" w:rsidRPr="00DF05B0" w:rsidRDefault="00BA18A2" w:rsidP="00741DC5">
            <w:pPr>
              <w:jc w:val="both"/>
              <w:rPr>
                <w:rFonts w:eastAsia="Calibri"/>
                <w:sz w:val="20"/>
              </w:rPr>
            </w:pPr>
          </w:p>
        </w:tc>
      </w:tr>
      <w:tr w:rsidR="00BA18A2" w:rsidRPr="00DF05B0" w:rsidTr="00741DC5">
        <w:tc>
          <w:tcPr>
            <w:tcW w:w="2427" w:type="pct"/>
          </w:tcPr>
          <w:p w:rsidR="00BA18A2" w:rsidRPr="00DF05B0" w:rsidRDefault="00BA18A2" w:rsidP="00741DC5">
            <w:pPr>
              <w:jc w:val="both"/>
              <w:rPr>
                <w:rFonts w:eastAsia="Calibri"/>
                <w:sz w:val="20"/>
              </w:rPr>
            </w:pPr>
            <w:r w:rsidRPr="00DF05B0">
              <w:rPr>
                <w:rFonts w:eastAsia="Calibri"/>
                <w:sz w:val="20"/>
              </w:rPr>
              <w:lastRenderedPageBreak/>
              <w:t>April 23, 2010</w:t>
            </w:r>
          </w:p>
          <w:p w:rsidR="00BA18A2" w:rsidRPr="00DF05B0" w:rsidRDefault="00BA18A2" w:rsidP="00741DC5">
            <w:pPr>
              <w:jc w:val="both"/>
              <w:rPr>
                <w:rFonts w:eastAsia="Calibri"/>
                <w:sz w:val="20"/>
              </w:rPr>
            </w:pPr>
            <w:r w:rsidRPr="00DF05B0">
              <w:rPr>
                <w:rFonts w:eastAsia="Calibri"/>
                <w:sz w:val="20"/>
              </w:rPr>
              <w:t>Federal Court</w:t>
            </w:r>
          </w:p>
          <w:p w:rsidR="00BA18A2" w:rsidRPr="00DF05B0" w:rsidRDefault="00BA18A2" w:rsidP="00741DC5">
            <w:pPr>
              <w:jc w:val="both"/>
              <w:rPr>
                <w:rFonts w:eastAsia="Calibri"/>
                <w:sz w:val="20"/>
              </w:rPr>
            </w:pPr>
            <w:r w:rsidRPr="00DF05B0">
              <w:rPr>
                <w:rFonts w:eastAsia="Calibri"/>
                <w:sz w:val="20"/>
              </w:rPr>
              <w:t>(de Montigny J.)</w:t>
            </w:r>
          </w:p>
          <w:p w:rsidR="00BA18A2" w:rsidRPr="00DF05B0" w:rsidRDefault="00BA18A2" w:rsidP="00741DC5">
            <w:pPr>
              <w:jc w:val="both"/>
              <w:rPr>
                <w:rFonts w:eastAsia="Calibri"/>
                <w:sz w:val="20"/>
              </w:rPr>
            </w:pPr>
            <w:r w:rsidRPr="00DF05B0">
              <w:rPr>
                <w:rFonts w:eastAsia="Calibri"/>
                <w:sz w:val="20"/>
              </w:rPr>
              <w:t>2010 FC 441</w:t>
            </w:r>
          </w:p>
          <w:p w:rsidR="00BA18A2" w:rsidRPr="00DF05B0" w:rsidRDefault="00BA18A2" w:rsidP="00741DC5">
            <w:pPr>
              <w:jc w:val="both"/>
              <w:rPr>
                <w:rFonts w:eastAsia="Calibri"/>
                <w:sz w:val="20"/>
              </w:rPr>
            </w:pPr>
          </w:p>
        </w:tc>
        <w:tc>
          <w:tcPr>
            <w:tcW w:w="243" w:type="pct"/>
          </w:tcPr>
          <w:p w:rsidR="00BA18A2" w:rsidRPr="00DF05B0" w:rsidRDefault="00BA18A2" w:rsidP="00741DC5">
            <w:pPr>
              <w:jc w:val="both"/>
              <w:rPr>
                <w:rFonts w:eastAsia="Calibri"/>
                <w:sz w:val="20"/>
              </w:rPr>
            </w:pPr>
          </w:p>
        </w:tc>
        <w:tc>
          <w:tcPr>
            <w:tcW w:w="2330" w:type="pct"/>
          </w:tcPr>
          <w:p w:rsidR="00BA18A2" w:rsidRPr="00DF05B0" w:rsidRDefault="00BA18A2" w:rsidP="00741DC5">
            <w:pPr>
              <w:jc w:val="both"/>
              <w:rPr>
                <w:rFonts w:eastAsia="Calibri"/>
                <w:sz w:val="20"/>
              </w:rPr>
            </w:pPr>
            <w:r w:rsidRPr="00DF05B0">
              <w:rPr>
                <w:rFonts w:eastAsia="Calibri"/>
                <w:sz w:val="20"/>
              </w:rPr>
              <w:t>Application for judicial review dismissed</w:t>
            </w:r>
          </w:p>
          <w:p w:rsidR="00BA18A2" w:rsidRPr="00DF05B0" w:rsidRDefault="00BA18A2" w:rsidP="00741DC5">
            <w:pPr>
              <w:jc w:val="both"/>
              <w:rPr>
                <w:rFonts w:eastAsia="Calibri"/>
                <w:sz w:val="20"/>
              </w:rPr>
            </w:pPr>
          </w:p>
        </w:tc>
      </w:tr>
      <w:tr w:rsidR="00BA18A2" w:rsidRPr="00DF05B0" w:rsidTr="00741DC5">
        <w:tc>
          <w:tcPr>
            <w:tcW w:w="2427" w:type="pct"/>
          </w:tcPr>
          <w:p w:rsidR="00BA18A2" w:rsidRPr="00DF05B0" w:rsidRDefault="00BA18A2" w:rsidP="00741DC5">
            <w:pPr>
              <w:jc w:val="both"/>
              <w:rPr>
                <w:rFonts w:eastAsia="Calibri"/>
                <w:sz w:val="20"/>
              </w:rPr>
            </w:pPr>
            <w:r w:rsidRPr="00DF05B0">
              <w:rPr>
                <w:rFonts w:eastAsia="Calibri"/>
                <w:sz w:val="20"/>
              </w:rPr>
              <w:t>March 22, 2011</w:t>
            </w:r>
          </w:p>
          <w:p w:rsidR="00BA18A2" w:rsidRPr="00DF05B0" w:rsidRDefault="00BA18A2" w:rsidP="00741DC5">
            <w:pPr>
              <w:jc w:val="both"/>
              <w:rPr>
                <w:rFonts w:eastAsia="Calibri"/>
                <w:sz w:val="20"/>
              </w:rPr>
            </w:pPr>
            <w:r w:rsidRPr="00DF05B0">
              <w:rPr>
                <w:rFonts w:eastAsia="Calibri"/>
                <w:sz w:val="20"/>
              </w:rPr>
              <w:t>Federal Court of Appeal</w:t>
            </w:r>
          </w:p>
          <w:p w:rsidR="00BA18A2" w:rsidRPr="00DF05B0" w:rsidRDefault="00BA18A2" w:rsidP="00741DC5">
            <w:pPr>
              <w:jc w:val="both"/>
              <w:rPr>
                <w:rFonts w:eastAsia="Calibri"/>
                <w:sz w:val="20"/>
              </w:rPr>
            </w:pPr>
            <w:r w:rsidRPr="00DF05B0">
              <w:rPr>
                <w:rFonts w:eastAsia="Calibri"/>
                <w:sz w:val="20"/>
              </w:rPr>
              <w:t>(Noël, Nadon and Pelletier JJ.A.)</w:t>
            </w:r>
          </w:p>
          <w:p w:rsidR="00BA18A2" w:rsidRPr="00DF05B0" w:rsidRDefault="00BA18A2" w:rsidP="00741DC5">
            <w:pPr>
              <w:jc w:val="both"/>
              <w:rPr>
                <w:rFonts w:eastAsia="Calibri"/>
                <w:sz w:val="20"/>
              </w:rPr>
            </w:pPr>
            <w:r w:rsidRPr="00DF05B0">
              <w:rPr>
                <w:rFonts w:eastAsia="Calibri"/>
                <w:sz w:val="20"/>
              </w:rPr>
              <w:t>2011 FCA 112</w:t>
            </w:r>
          </w:p>
          <w:p w:rsidR="00BA18A2" w:rsidRPr="00DF05B0" w:rsidRDefault="00BA18A2" w:rsidP="00741DC5">
            <w:pPr>
              <w:jc w:val="both"/>
              <w:rPr>
                <w:rFonts w:eastAsia="Calibri"/>
                <w:sz w:val="20"/>
              </w:rPr>
            </w:pPr>
          </w:p>
        </w:tc>
        <w:tc>
          <w:tcPr>
            <w:tcW w:w="243" w:type="pct"/>
          </w:tcPr>
          <w:p w:rsidR="00BA18A2" w:rsidRPr="00DF05B0" w:rsidRDefault="00BA18A2" w:rsidP="00741DC5">
            <w:pPr>
              <w:jc w:val="both"/>
              <w:rPr>
                <w:rFonts w:eastAsia="Calibri"/>
                <w:sz w:val="20"/>
              </w:rPr>
            </w:pPr>
          </w:p>
        </w:tc>
        <w:tc>
          <w:tcPr>
            <w:tcW w:w="2330" w:type="pct"/>
          </w:tcPr>
          <w:p w:rsidR="00BA18A2" w:rsidRPr="00DF05B0" w:rsidRDefault="00BA18A2" w:rsidP="00741DC5">
            <w:pPr>
              <w:jc w:val="both"/>
              <w:rPr>
                <w:rFonts w:eastAsia="Calibri"/>
                <w:sz w:val="20"/>
              </w:rPr>
            </w:pPr>
            <w:r w:rsidRPr="00DF05B0">
              <w:rPr>
                <w:rFonts w:eastAsia="Calibri"/>
                <w:sz w:val="20"/>
              </w:rPr>
              <w:t>Appeal dismissed</w:t>
            </w:r>
          </w:p>
          <w:p w:rsidR="00BA18A2" w:rsidRPr="00DF05B0" w:rsidRDefault="00BA18A2" w:rsidP="00741DC5">
            <w:pPr>
              <w:jc w:val="both"/>
              <w:rPr>
                <w:rFonts w:eastAsia="Calibri"/>
                <w:sz w:val="20"/>
              </w:rPr>
            </w:pPr>
          </w:p>
        </w:tc>
      </w:tr>
      <w:tr w:rsidR="00BA18A2" w:rsidRPr="00DF05B0" w:rsidTr="00741DC5">
        <w:tc>
          <w:tcPr>
            <w:tcW w:w="2427" w:type="pct"/>
          </w:tcPr>
          <w:p w:rsidR="00BA18A2" w:rsidRPr="00DF05B0" w:rsidRDefault="00BA18A2" w:rsidP="00741DC5">
            <w:pPr>
              <w:jc w:val="both"/>
              <w:rPr>
                <w:rFonts w:eastAsia="Calibri"/>
                <w:sz w:val="20"/>
              </w:rPr>
            </w:pPr>
            <w:r w:rsidRPr="00DF05B0">
              <w:rPr>
                <w:rFonts w:eastAsia="Calibri"/>
                <w:sz w:val="20"/>
              </w:rPr>
              <w:t>May 24, 2011</w:t>
            </w:r>
          </w:p>
          <w:p w:rsidR="00BA18A2" w:rsidRPr="00DF05B0" w:rsidRDefault="00BA18A2" w:rsidP="00741DC5">
            <w:pPr>
              <w:jc w:val="both"/>
              <w:rPr>
                <w:rFonts w:eastAsia="Calibri"/>
                <w:sz w:val="20"/>
              </w:rPr>
            </w:pPr>
            <w:r w:rsidRPr="00DF05B0">
              <w:rPr>
                <w:rFonts w:eastAsia="Calibri"/>
                <w:sz w:val="20"/>
              </w:rPr>
              <w:t>Supreme Court of Canada</w:t>
            </w:r>
          </w:p>
        </w:tc>
        <w:tc>
          <w:tcPr>
            <w:tcW w:w="243" w:type="pct"/>
          </w:tcPr>
          <w:p w:rsidR="00BA18A2" w:rsidRPr="00DF05B0" w:rsidRDefault="00BA18A2" w:rsidP="00741DC5">
            <w:pPr>
              <w:jc w:val="both"/>
              <w:rPr>
                <w:rFonts w:eastAsia="Calibri"/>
                <w:sz w:val="20"/>
              </w:rPr>
            </w:pPr>
          </w:p>
        </w:tc>
        <w:tc>
          <w:tcPr>
            <w:tcW w:w="2330" w:type="pct"/>
          </w:tcPr>
          <w:p w:rsidR="00BA18A2" w:rsidRPr="00DF05B0" w:rsidRDefault="00BA18A2" w:rsidP="00741DC5">
            <w:pPr>
              <w:jc w:val="both"/>
              <w:rPr>
                <w:rFonts w:eastAsia="Calibri"/>
                <w:sz w:val="20"/>
              </w:rPr>
            </w:pPr>
            <w:r w:rsidRPr="00DF05B0">
              <w:rPr>
                <w:rFonts w:eastAsia="Calibri"/>
                <w:sz w:val="20"/>
              </w:rPr>
              <w:t>Application for leave to appeal filed</w:t>
            </w:r>
          </w:p>
          <w:p w:rsidR="00BA18A2" w:rsidRPr="00DF05B0" w:rsidRDefault="00BA18A2" w:rsidP="00741DC5">
            <w:pPr>
              <w:jc w:val="both"/>
              <w:rPr>
                <w:rFonts w:eastAsia="Calibri"/>
                <w:sz w:val="20"/>
              </w:rPr>
            </w:pPr>
          </w:p>
        </w:tc>
      </w:tr>
    </w:tbl>
    <w:p w:rsidR="00BA18A2" w:rsidRDefault="00BA18A2" w:rsidP="00BA18A2">
      <w:pPr>
        <w:rPr>
          <w:sz w:val="20"/>
          <w:szCs w:val="20"/>
        </w:rPr>
      </w:pPr>
    </w:p>
    <w:p w:rsidR="00BA18A2" w:rsidRDefault="00460701" w:rsidP="00BA18A2">
      <w:pPr>
        <w:rPr>
          <w:sz w:val="20"/>
          <w:szCs w:val="20"/>
        </w:rPr>
      </w:pPr>
      <w:r w:rsidRPr="00460701">
        <w:rPr>
          <w:sz w:val="20"/>
          <w:szCs w:val="20"/>
          <w:lang w:val="fr-CA"/>
        </w:rPr>
        <w:pict>
          <v:rect id="_x0000_i1050" style="width:2in;height:1pt" o:hrpct="0" o:hralign="center" o:hrstd="t" o:hrnoshade="t" o:hr="t" fillcolor="black [3213]" stroked="f"/>
        </w:pict>
      </w:r>
    </w:p>
    <w:p w:rsidR="00BA18A2" w:rsidRDefault="00BA18A2" w:rsidP="00BA18A2">
      <w:pPr>
        <w:rPr>
          <w:sz w:val="20"/>
          <w:szCs w:val="20"/>
        </w:rPr>
      </w:pPr>
    </w:p>
    <w:p w:rsidR="00BA18A2" w:rsidRDefault="00BA18A2" w:rsidP="00BA18A2">
      <w:pPr>
        <w:rPr>
          <w:sz w:val="20"/>
          <w:szCs w:val="20"/>
        </w:rPr>
      </w:pPr>
      <w:r>
        <w:rPr>
          <w:sz w:val="20"/>
          <w:szCs w:val="20"/>
          <w:u w:val="single"/>
        </w:rPr>
        <w:t>RÉSUMÉ DE L’AFFAIRE</w:t>
      </w:r>
    </w:p>
    <w:p w:rsidR="00BA18A2" w:rsidRDefault="00BA18A2" w:rsidP="00BA18A2">
      <w:pPr>
        <w:rPr>
          <w:sz w:val="20"/>
          <w:szCs w:val="20"/>
        </w:rPr>
      </w:pPr>
    </w:p>
    <w:tbl>
      <w:tblPr>
        <w:tblW w:w="4952" w:type="pct"/>
        <w:tblLayout w:type="fixed"/>
        <w:tblCellMar>
          <w:left w:w="0" w:type="dxa"/>
          <w:bottom w:w="99" w:type="dxa"/>
          <w:right w:w="0" w:type="dxa"/>
        </w:tblCellMar>
        <w:tblLook w:val="00A0"/>
      </w:tblPr>
      <w:tblGrid>
        <w:gridCol w:w="4624"/>
        <w:gridCol w:w="463"/>
        <w:gridCol w:w="4440"/>
      </w:tblGrid>
      <w:tr w:rsidR="00BA18A2" w:rsidRPr="00DF05B0" w:rsidTr="00741DC5">
        <w:tc>
          <w:tcPr>
            <w:tcW w:w="5000" w:type="pct"/>
            <w:gridSpan w:val="3"/>
          </w:tcPr>
          <w:p w:rsidR="00BA18A2" w:rsidRPr="00DF05B0" w:rsidRDefault="00BA18A2" w:rsidP="00741DC5">
            <w:pPr>
              <w:jc w:val="both"/>
              <w:rPr>
                <w:rFonts w:eastAsia="Calibri"/>
                <w:sz w:val="20"/>
                <w:lang w:val="fr-CA"/>
              </w:rPr>
            </w:pPr>
            <w:r w:rsidRPr="00DF05B0">
              <w:rPr>
                <w:rFonts w:eastAsia="Calibri"/>
                <w:sz w:val="20"/>
                <w:lang w:val="fr-CA"/>
              </w:rPr>
              <w:t xml:space="preserve">Propriété intellectuelle — Brevets — Défaut de la demanderesse de répondre avec diligence aux demandes formulées dans le rapport de l'examinateur de brevets concernant sa demande de brevet — Avis donnée à la demanderesse par le Commissaire aux brevets lui indiquant que sa demande était considérée comme abandonnée — En quoi consiste l'obligation du demandeur de brevet de répondre de bonne foi suivant l'art. 73 de la </w:t>
            </w:r>
            <w:r w:rsidRPr="00DF05B0">
              <w:rPr>
                <w:rFonts w:eastAsia="Calibri"/>
                <w:i/>
                <w:sz w:val="20"/>
                <w:lang w:val="fr-CA"/>
              </w:rPr>
              <w:t>Loi sur les brevets</w:t>
            </w:r>
            <w:r w:rsidRPr="00DF05B0">
              <w:rPr>
                <w:rFonts w:eastAsia="Calibri"/>
                <w:sz w:val="20"/>
                <w:lang w:val="fr-CA"/>
              </w:rPr>
              <w:t>, L.R.C. 1985, ch. P</w:t>
            </w:r>
            <w:r w:rsidRPr="00DF05B0">
              <w:rPr>
                <w:rFonts w:eastAsia="Calibri"/>
                <w:sz w:val="20"/>
                <w:lang w:val="fr-CA"/>
              </w:rPr>
              <w:noBreakHyphen/>
              <w:t>3?</w:t>
            </w:r>
          </w:p>
          <w:p w:rsidR="00BA18A2" w:rsidRPr="00DF05B0" w:rsidRDefault="00BA18A2" w:rsidP="00741DC5">
            <w:pPr>
              <w:jc w:val="both"/>
              <w:rPr>
                <w:rFonts w:eastAsia="Calibri"/>
                <w:sz w:val="20"/>
                <w:lang w:val="fr-CA"/>
              </w:rPr>
            </w:pPr>
          </w:p>
        </w:tc>
      </w:tr>
      <w:tr w:rsidR="00BA18A2" w:rsidRPr="00DF05B0" w:rsidTr="00741DC5">
        <w:tc>
          <w:tcPr>
            <w:tcW w:w="5000" w:type="pct"/>
            <w:gridSpan w:val="3"/>
          </w:tcPr>
          <w:p w:rsidR="00BA18A2" w:rsidRPr="00DF05B0" w:rsidRDefault="00BA18A2" w:rsidP="00741DC5">
            <w:pPr>
              <w:jc w:val="both"/>
              <w:rPr>
                <w:rFonts w:eastAsia="Calibri"/>
                <w:sz w:val="20"/>
                <w:lang w:val="fr-CA"/>
              </w:rPr>
            </w:pPr>
            <w:r w:rsidRPr="00DF05B0">
              <w:rPr>
                <w:rFonts w:eastAsia="Calibri"/>
                <w:sz w:val="20"/>
              </w:rPr>
              <w:t>La demanderesse, M</w:t>
            </w:r>
            <w:r w:rsidRPr="00DF05B0">
              <w:rPr>
                <w:rFonts w:eastAsia="Calibri"/>
                <w:sz w:val="20"/>
              </w:rPr>
              <w:noBreakHyphen/>
              <w:t xml:space="preserve">Systems Flash Disk Pioneers Ltd. </w:t>
            </w:r>
            <w:r w:rsidRPr="00DF05B0">
              <w:rPr>
                <w:rFonts w:eastAsia="Calibri"/>
                <w:sz w:val="20"/>
                <w:lang w:val="fr-CA"/>
              </w:rPr>
              <w:t>(« M</w:t>
            </w:r>
            <w:r w:rsidRPr="00DF05B0">
              <w:rPr>
                <w:rFonts w:eastAsia="Calibri"/>
                <w:sz w:val="20"/>
                <w:lang w:val="fr-CA"/>
              </w:rPr>
              <w:noBreakHyphen/>
              <w:t>Systems »), est propriétaire d'une invention décrite et revendiquée dans la demande de brevet canadienne n</w:t>
            </w:r>
            <w:r w:rsidRPr="00DF05B0">
              <w:rPr>
                <w:rFonts w:eastAsia="Calibri"/>
                <w:sz w:val="20"/>
                <w:vertAlign w:val="superscript"/>
                <w:lang w:val="fr-CA"/>
              </w:rPr>
              <w:t>o</w:t>
            </w:r>
            <w:r w:rsidRPr="00DF05B0">
              <w:rPr>
                <w:rFonts w:eastAsia="Calibri"/>
                <w:sz w:val="20"/>
                <w:lang w:val="fr-CA"/>
              </w:rPr>
              <w:t xml:space="preserve"> 2 334 113, déposée le 20 mars 2000.  Le 7 janvier </w:t>
            </w:r>
            <w:smartTag w:uri="urn:schemas-microsoft-com:office:smarttags" w:element="metricconverter">
              <w:smartTagPr>
                <w:attr w:name="ProductID" w:val="2005, l"/>
              </w:smartTagPr>
              <w:r w:rsidRPr="00DF05B0">
                <w:rPr>
                  <w:rFonts w:eastAsia="Calibri"/>
                  <w:sz w:val="20"/>
                  <w:lang w:val="fr-CA"/>
                </w:rPr>
                <w:t>2005, l</w:t>
              </w:r>
            </w:smartTag>
            <w:r w:rsidRPr="00DF05B0">
              <w:rPr>
                <w:rFonts w:eastAsia="Calibri"/>
                <w:sz w:val="20"/>
                <w:lang w:val="fr-CA"/>
              </w:rPr>
              <w:t>'examinateur de brevets a rédigé un rapport dans lequel il a demandé à M</w:t>
            </w:r>
            <w:r w:rsidRPr="00DF05B0">
              <w:rPr>
                <w:rFonts w:eastAsia="Calibri"/>
                <w:sz w:val="20"/>
                <w:lang w:val="fr-CA"/>
              </w:rPr>
              <w:noBreakHyphen/>
              <w:t xml:space="preserve">Systems (1) de modifier la demande 113 afin de corriger certaines irrégularités, conformément au par. 30(2) des </w:t>
            </w:r>
            <w:r w:rsidRPr="00DF05B0">
              <w:rPr>
                <w:rFonts w:eastAsia="Calibri"/>
                <w:i/>
                <w:sz w:val="20"/>
                <w:lang w:val="fr-CA"/>
              </w:rPr>
              <w:t>Règles sur les brevets</w:t>
            </w:r>
            <w:r w:rsidRPr="00DF05B0">
              <w:rPr>
                <w:rFonts w:eastAsia="Calibri"/>
                <w:sz w:val="20"/>
                <w:lang w:val="fr-CA"/>
              </w:rPr>
              <w:t>, DORS/96</w:t>
            </w:r>
            <w:r w:rsidRPr="00DF05B0">
              <w:rPr>
                <w:rFonts w:eastAsia="Calibri"/>
                <w:sz w:val="20"/>
                <w:lang w:val="fr-CA"/>
              </w:rPr>
              <w:noBreakHyphen/>
              <w:t>423, et (2) de signaler toute antériorité additionnelle conformément à l'art. 29 des Règles. L'examinateur a précisé que la réponse devait être soumise dans le délai réglementaire de six mois.  M</w:t>
            </w:r>
            <w:r w:rsidRPr="00DF05B0">
              <w:rPr>
                <w:rFonts w:eastAsia="Calibri"/>
                <w:sz w:val="20"/>
                <w:lang w:val="fr-CA"/>
              </w:rPr>
              <w:noBreakHyphen/>
              <w:t xml:space="preserve">Systems n'ayant toujours pas répondu le 7 juillet 2005, sa demande a été considérée comme abandonnée.  </w:t>
            </w:r>
          </w:p>
          <w:p w:rsidR="00BA18A2" w:rsidRPr="00DF05B0" w:rsidRDefault="00BA18A2" w:rsidP="00741DC5">
            <w:pPr>
              <w:jc w:val="both"/>
              <w:rPr>
                <w:rFonts w:eastAsia="Calibri"/>
                <w:sz w:val="20"/>
                <w:lang w:val="fr-CA"/>
              </w:rPr>
            </w:pPr>
          </w:p>
          <w:p w:rsidR="00BA18A2" w:rsidRPr="00DF05B0" w:rsidRDefault="00BA18A2" w:rsidP="00741DC5">
            <w:pPr>
              <w:jc w:val="both"/>
              <w:rPr>
                <w:rFonts w:eastAsia="Calibri"/>
                <w:sz w:val="20"/>
                <w:lang w:val="fr-CA"/>
              </w:rPr>
            </w:pPr>
            <w:r w:rsidRPr="00DF05B0">
              <w:rPr>
                <w:rFonts w:eastAsia="Calibri"/>
                <w:sz w:val="20"/>
                <w:lang w:val="fr-CA"/>
              </w:rPr>
              <w:t>Le 8 décembre 2005, M</w:t>
            </w:r>
            <w:r w:rsidRPr="00DF05B0">
              <w:rPr>
                <w:rFonts w:eastAsia="Calibri"/>
                <w:sz w:val="20"/>
                <w:lang w:val="fr-CA"/>
              </w:rPr>
              <w:noBreakHyphen/>
              <w:t>Systems a déposé une demande de rétablissement ainsi qu'une réponse à la demande formulée en vertu du par. 30(2) des Règles, mais n'a pas répondu à celle fondée sur l'art. 29.  Les agents de brevets de M</w:t>
            </w:r>
            <w:r w:rsidRPr="00DF05B0">
              <w:rPr>
                <w:rFonts w:eastAsia="Calibri"/>
                <w:sz w:val="20"/>
                <w:lang w:val="fr-CA"/>
              </w:rPr>
              <w:noBreakHyphen/>
              <w:t>Systems ont découvert que le Bureau des brevets considérait que la demande 113 avait été abandonnée.  Le délai d'un an à l'intérieur duquel la demande aurait pu être rétablie a expiré le 7 juillet 2006.  Le 12 mars 2007,  M</w:t>
            </w:r>
            <w:r w:rsidRPr="00DF05B0">
              <w:rPr>
                <w:rFonts w:eastAsia="Calibri"/>
                <w:sz w:val="20"/>
                <w:lang w:val="fr-CA"/>
              </w:rPr>
              <w:noBreakHyphen/>
              <w:t>Systems a déposé une demande de rétablissement et une réponse à la demande formulée en vertu de l'art. 29 des Règles.  Le Bureau des brevets a avisé par écrit M</w:t>
            </w:r>
            <w:r w:rsidRPr="00DF05B0">
              <w:rPr>
                <w:rFonts w:eastAsia="Calibri"/>
                <w:sz w:val="20"/>
                <w:lang w:val="fr-CA"/>
              </w:rPr>
              <w:noBreakHyphen/>
              <w:t>Systems que la demande 113 était considérée comme abandonnée et qu'il rejetait la demande de rétablissement parce que le délai pour le rétablissement avait expiré.  M</w:t>
            </w:r>
            <w:r w:rsidRPr="00DF05B0">
              <w:rPr>
                <w:rFonts w:eastAsia="Calibri"/>
                <w:sz w:val="20"/>
                <w:lang w:val="fr-CA"/>
              </w:rPr>
              <w:noBreakHyphen/>
              <w:t>Systems a présenté une demande de contrôle judiciaire.</w:t>
            </w:r>
          </w:p>
          <w:p w:rsidR="00BA18A2" w:rsidRPr="00DF05B0" w:rsidRDefault="00BA18A2" w:rsidP="00741DC5">
            <w:pPr>
              <w:jc w:val="both"/>
              <w:rPr>
                <w:rFonts w:eastAsia="Calibri"/>
                <w:sz w:val="20"/>
                <w:lang w:val="fr-CA"/>
              </w:rPr>
            </w:pPr>
          </w:p>
        </w:tc>
      </w:tr>
      <w:tr w:rsidR="00BA18A2" w:rsidRPr="00DF05B0" w:rsidTr="00741DC5">
        <w:trPr>
          <w:cantSplit/>
        </w:trPr>
        <w:tc>
          <w:tcPr>
            <w:tcW w:w="2427" w:type="pct"/>
          </w:tcPr>
          <w:p w:rsidR="00BA18A2" w:rsidRPr="00DF05B0" w:rsidRDefault="00BA18A2" w:rsidP="00741DC5">
            <w:pPr>
              <w:jc w:val="both"/>
              <w:rPr>
                <w:rFonts w:eastAsia="Calibri"/>
                <w:sz w:val="20"/>
                <w:lang w:val="fr-CA"/>
              </w:rPr>
            </w:pPr>
            <w:r w:rsidRPr="00DF05B0">
              <w:rPr>
                <w:rFonts w:eastAsia="Calibri"/>
                <w:sz w:val="20"/>
                <w:lang w:val="fr-FR"/>
              </w:rPr>
              <w:lastRenderedPageBreak/>
              <w:t>23 avril 2010</w:t>
            </w:r>
          </w:p>
          <w:p w:rsidR="00BA18A2" w:rsidRPr="00DF05B0" w:rsidRDefault="00BA18A2" w:rsidP="00741DC5">
            <w:pPr>
              <w:jc w:val="both"/>
              <w:rPr>
                <w:rFonts w:eastAsia="Calibri"/>
                <w:sz w:val="20"/>
                <w:lang w:val="fr-CA"/>
              </w:rPr>
            </w:pPr>
            <w:r w:rsidRPr="00DF05B0">
              <w:rPr>
                <w:rFonts w:eastAsia="Calibri"/>
                <w:sz w:val="20"/>
                <w:lang w:val="fr-FR"/>
              </w:rPr>
              <w:t>Cour fédérale</w:t>
            </w:r>
          </w:p>
          <w:p w:rsidR="00BA18A2" w:rsidRPr="00DF05B0" w:rsidRDefault="00BA18A2" w:rsidP="00741DC5">
            <w:pPr>
              <w:jc w:val="both"/>
              <w:rPr>
                <w:rFonts w:eastAsia="Calibri"/>
                <w:sz w:val="20"/>
                <w:lang w:val="fr-CA"/>
              </w:rPr>
            </w:pPr>
            <w:r w:rsidRPr="00DF05B0">
              <w:rPr>
                <w:rFonts w:eastAsia="Calibri"/>
                <w:sz w:val="20"/>
                <w:lang w:val="fr-CA"/>
              </w:rPr>
              <w:t>(Juge de Montigny)</w:t>
            </w:r>
          </w:p>
          <w:p w:rsidR="00BA18A2" w:rsidRPr="00DF05B0" w:rsidRDefault="00BA18A2" w:rsidP="00741DC5">
            <w:pPr>
              <w:jc w:val="both"/>
              <w:rPr>
                <w:rFonts w:eastAsia="Calibri"/>
                <w:sz w:val="20"/>
              </w:rPr>
            </w:pPr>
            <w:r w:rsidRPr="00DF05B0">
              <w:rPr>
                <w:rFonts w:eastAsia="Calibri"/>
                <w:sz w:val="20"/>
              </w:rPr>
              <w:t>2010 CF 441</w:t>
            </w:r>
          </w:p>
          <w:p w:rsidR="00BA18A2" w:rsidRPr="00DF05B0" w:rsidRDefault="00BA18A2" w:rsidP="00741DC5">
            <w:pPr>
              <w:jc w:val="both"/>
              <w:rPr>
                <w:rFonts w:eastAsia="Calibri"/>
                <w:sz w:val="20"/>
              </w:rPr>
            </w:pPr>
          </w:p>
        </w:tc>
        <w:tc>
          <w:tcPr>
            <w:tcW w:w="243" w:type="pct"/>
          </w:tcPr>
          <w:p w:rsidR="00BA18A2" w:rsidRPr="00DF05B0" w:rsidRDefault="00BA18A2" w:rsidP="00741DC5">
            <w:pPr>
              <w:jc w:val="both"/>
              <w:rPr>
                <w:rFonts w:eastAsia="Calibri"/>
                <w:sz w:val="20"/>
              </w:rPr>
            </w:pPr>
          </w:p>
        </w:tc>
        <w:tc>
          <w:tcPr>
            <w:tcW w:w="2330" w:type="pct"/>
          </w:tcPr>
          <w:p w:rsidR="00BA18A2" w:rsidRPr="00DF05B0" w:rsidRDefault="00BA18A2" w:rsidP="00741DC5">
            <w:pPr>
              <w:jc w:val="both"/>
              <w:rPr>
                <w:rFonts w:eastAsia="Calibri"/>
                <w:sz w:val="20"/>
              </w:rPr>
            </w:pPr>
            <w:r w:rsidRPr="00DF05B0">
              <w:rPr>
                <w:rFonts w:eastAsia="Calibri"/>
                <w:sz w:val="20"/>
              </w:rPr>
              <w:t>Demande de contrôle judiciaire rejetée</w:t>
            </w:r>
          </w:p>
          <w:p w:rsidR="00BA18A2" w:rsidRPr="00DF05B0" w:rsidRDefault="00BA18A2" w:rsidP="00741DC5">
            <w:pPr>
              <w:jc w:val="both"/>
              <w:rPr>
                <w:rFonts w:eastAsia="Calibri"/>
                <w:sz w:val="20"/>
              </w:rPr>
            </w:pPr>
          </w:p>
        </w:tc>
      </w:tr>
      <w:tr w:rsidR="00BA18A2" w:rsidRPr="00DF05B0" w:rsidTr="00741DC5">
        <w:trPr>
          <w:cantSplit/>
        </w:trPr>
        <w:tc>
          <w:tcPr>
            <w:tcW w:w="2427" w:type="pct"/>
          </w:tcPr>
          <w:p w:rsidR="00BA18A2" w:rsidRPr="00DF05B0" w:rsidRDefault="00BA18A2" w:rsidP="00741DC5">
            <w:pPr>
              <w:jc w:val="both"/>
              <w:rPr>
                <w:rFonts w:eastAsia="Calibri"/>
                <w:sz w:val="20"/>
                <w:lang w:val="fr-CA"/>
              </w:rPr>
            </w:pPr>
            <w:r w:rsidRPr="00DF05B0">
              <w:rPr>
                <w:rFonts w:eastAsia="Calibri"/>
                <w:sz w:val="20"/>
                <w:lang w:val="fr-FR"/>
              </w:rPr>
              <w:t>22 mars 2011</w:t>
            </w:r>
          </w:p>
          <w:p w:rsidR="00BA18A2" w:rsidRPr="00DF05B0" w:rsidRDefault="00BA18A2" w:rsidP="00741DC5">
            <w:pPr>
              <w:jc w:val="both"/>
              <w:rPr>
                <w:rFonts w:eastAsia="Calibri"/>
                <w:sz w:val="20"/>
                <w:lang w:val="fr-CA"/>
              </w:rPr>
            </w:pPr>
            <w:r w:rsidRPr="00DF05B0">
              <w:rPr>
                <w:rFonts w:eastAsia="Calibri"/>
                <w:sz w:val="20"/>
                <w:lang w:val="fr-FR"/>
              </w:rPr>
              <w:t>Cour d'appel fédérale</w:t>
            </w:r>
          </w:p>
          <w:p w:rsidR="00BA18A2" w:rsidRPr="00DF05B0" w:rsidRDefault="00BA18A2" w:rsidP="00741DC5">
            <w:pPr>
              <w:jc w:val="both"/>
              <w:rPr>
                <w:rFonts w:eastAsia="Calibri"/>
                <w:sz w:val="20"/>
                <w:lang w:val="fr-CA"/>
              </w:rPr>
            </w:pPr>
            <w:r w:rsidRPr="00DF05B0">
              <w:rPr>
                <w:rFonts w:eastAsia="Calibri"/>
                <w:sz w:val="20"/>
                <w:lang w:val="fr-CA"/>
              </w:rPr>
              <w:t>(Juges Noël, Nadon et Pelletier)</w:t>
            </w:r>
          </w:p>
          <w:p w:rsidR="00BA18A2" w:rsidRDefault="00BA18A2" w:rsidP="00741DC5">
            <w:pPr>
              <w:jc w:val="both"/>
              <w:rPr>
                <w:rFonts w:eastAsia="Calibri"/>
                <w:sz w:val="20"/>
              </w:rPr>
            </w:pPr>
            <w:r w:rsidRPr="00DF05B0">
              <w:rPr>
                <w:rFonts w:eastAsia="Calibri"/>
                <w:sz w:val="20"/>
              </w:rPr>
              <w:t>2011 CAF 112</w:t>
            </w:r>
          </w:p>
          <w:p w:rsidR="00BA18A2" w:rsidRPr="00DF05B0" w:rsidRDefault="00BA18A2" w:rsidP="00741DC5">
            <w:pPr>
              <w:jc w:val="both"/>
              <w:rPr>
                <w:rFonts w:eastAsia="Calibri"/>
                <w:sz w:val="20"/>
              </w:rPr>
            </w:pPr>
          </w:p>
        </w:tc>
        <w:tc>
          <w:tcPr>
            <w:tcW w:w="243" w:type="pct"/>
          </w:tcPr>
          <w:p w:rsidR="00BA18A2" w:rsidRPr="00DF05B0" w:rsidRDefault="00BA18A2" w:rsidP="00741DC5">
            <w:pPr>
              <w:jc w:val="both"/>
              <w:rPr>
                <w:rFonts w:eastAsia="Calibri"/>
                <w:sz w:val="20"/>
              </w:rPr>
            </w:pPr>
          </w:p>
        </w:tc>
        <w:tc>
          <w:tcPr>
            <w:tcW w:w="2330" w:type="pct"/>
          </w:tcPr>
          <w:p w:rsidR="00BA18A2" w:rsidRPr="00DF05B0" w:rsidRDefault="00BA18A2" w:rsidP="00741DC5">
            <w:pPr>
              <w:jc w:val="both"/>
              <w:rPr>
                <w:rFonts w:eastAsia="Calibri"/>
                <w:sz w:val="20"/>
              </w:rPr>
            </w:pPr>
            <w:r w:rsidRPr="00DF05B0">
              <w:rPr>
                <w:rFonts w:eastAsia="Calibri"/>
                <w:sz w:val="20"/>
                <w:lang w:val="fr-FR"/>
              </w:rPr>
              <w:t>Appel rejeté</w:t>
            </w:r>
          </w:p>
          <w:p w:rsidR="00BA18A2" w:rsidRPr="00DF05B0" w:rsidRDefault="00BA18A2" w:rsidP="00741DC5">
            <w:pPr>
              <w:jc w:val="both"/>
              <w:rPr>
                <w:rFonts w:eastAsia="Calibri"/>
                <w:sz w:val="20"/>
              </w:rPr>
            </w:pPr>
          </w:p>
        </w:tc>
      </w:tr>
      <w:tr w:rsidR="00BA18A2" w:rsidRPr="00DF05B0" w:rsidTr="00741DC5">
        <w:trPr>
          <w:cantSplit/>
          <w:trHeight w:val="80"/>
        </w:trPr>
        <w:tc>
          <w:tcPr>
            <w:tcW w:w="2427" w:type="pct"/>
          </w:tcPr>
          <w:p w:rsidR="00BA18A2" w:rsidRPr="00DF05B0" w:rsidRDefault="00BA18A2" w:rsidP="00741DC5">
            <w:pPr>
              <w:jc w:val="both"/>
              <w:rPr>
                <w:rFonts w:eastAsia="Calibri"/>
                <w:sz w:val="20"/>
                <w:lang w:val="fr-CA"/>
              </w:rPr>
            </w:pPr>
            <w:r w:rsidRPr="00DF05B0">
              <w:rPr>
                <w:rFonts w:eastAsia="Calibri"/>
                <w:sz w:val="20"/>
                <w:lang w:val="fr-CA"/>
              </w:rPr>
              <w:t>24 mai 2011</w:t>
            </w:r>
          </w:p>
          <w:p w:rsidR="00BA18A2" w:rsidRPr="00DF05B0" w:rsidRDefault="00BA18A2" w:rsidP="00741DC5">
            <w:pPr>
              <w:jc w:val="both"/>
              <w:rPr>
                <w:rFonts w:eastAsia="Calibri"/>
                <w:sz w:val="20"/>
                <w:lang w:val="fr-CA"/>
              </w:rPr>
            </w:pPr>
            <w:r w:rsidRPr="00DF05B0">
              <w:rPr>
                <w:rFonts w:eastAsia="Calibri"/>
                <w:sz w:val="20"/>
                <w:lang w:val="fr-CA"/>
              </w:rPr>
              <w:t>Cour suprême du Canada</w:t>
            </w:r>
          </w:p>
        </w:tc>
        <w:tc>
          <w:tcPr>
            <w:tcW w:w="243" w:type="pct"/>
          </w:tcPr>
          <w:p w:rsidR="00BA18A2" w:rsidRPr="00DF05B0" w:rsidRDefault="00BA18A2" w:rsidP="00741DC5">
            <w:pPr>
              <w:jc w:val="both"/>
              <w:rPr>
                <w:rFonts w:eastAsia="Calibri"/>
                <w:sz w:val="20"/>
                <w:lang w:val="fr-CA"/>
              </w:rPr>
            </w:pPr>
          </w:p>
        </w:tc>
        <w:tc>
          <w:tcPr>
            <w:tcW w:w="2330" w:type="pct"/>
          </w:tcPr>
          <w:p w:rsidR="00BA18A2" w:rsidRPr="00DF05B0" w:rsidRDefault="00BA18A2" w:rsidP="00741DC5">
            <w:pPr>
              <w:jc w:val="both"/>
              <w:rPr>
                <w:rFonts w:eastAsia="Calibri"/>
                <w:sz w:val="20"/>
              </w:rPr>
            </w:pPr>
            <w:r w:rsidRPr="00DF05B0">
              <w:rPr>
                <w:rFonts w:eastAsia="Calibri"/>
                <w:sz w:val="20"/>
                <w:lang w:val="fr-FR"/>
              </w:rPr>
              <w:t>Demande d’autorisation d’appel déposée</w:t>
            </w:r>
          </w:p>
        </w:tc>
      </w:tr>
    </w:tbl>
    <w:p w:rsidR="00BA18A2" w:rsidRDefault="00BA18A2" w:rsidP="00BA18A2">
      <w:pPr>
        <w:rPr>
          <w:sz w:val="20"/>
          <w:szCs w:val="20"/>
        </w:rPr>
      </w:pPr>
    </w:p>
    <w:p w:rsidR="00BA18A2" w:rsidRDefault="00460701" w:rsidP="00BA18A2">
      <w:pPr>
        <w:rPr>
          <w:sz w:val="20"/>
          <w:szCs w:val="20"/>
          <w:lang w:val="fr-CA"/>
        </w:rPr>
      </w:pPr>
      <w:r w:rsidRPr="00460701">
        <w:rPr>
          <w:sz w:val="20"/>
          <w:szCs w:val="20"/>
          <w:lang w:val="fr-CA"/>
        </w:rPr>
        <w:pict>
          <v:rect id="_x0000_i1051" style="width:2in;height:1pt" o:hrpct="0" o:hralign="center" o:hrstd="t" o:hrnoshade="t" o:hr="t" fillcolor="black [3213]" stroked="f"/>
        </w:pict>
      </w:r>
    </w:p>
    <w:p w:rsidR="00BA18A2" w:rsidRDefault="00BA18A2" w:rsidP="00BA18A2">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BA18A2" w:rsidRPr="00305B0C" w:rsidTr="00741DC5">
        <w:trPr>
          <w:cantSplit/>
        </w:trPr>
        <w:tc>
          <w:tcPr>
            <w:tcW w:w="1458" w:type="dxa"/>
          </w:tcPr>
          <w:p w:rsidR="00BA18A2" w:rsidRPr="00305B0C" w:rsidRDefault="00BA18A2" w:rsidP="00741DC5">
            <w:pPr>
              <w:rPr>
                <w:sz w:val="20"/>
                <w:szCs w:val="20"/>
              </w:rPr>
            </w:pPr>
            <w:r w:rsidRPr="00305B0C">
              <w:rPr>
                <w:rStyle w:val="SCCFileNumberChar"/>
                <w:sz w:val="20"/>
                <w:szCs w:val="20"/>
              </w:rPr>
              <w:t>34287</w:t>
            </w:r>
          </w:p>
          <w:p w:rsidR="00BA18A2" w:rsidRPr="00305B0C" w:rsidRDefault="00BA18A2" w:rsidP="00741DC5">
            <w:pPr>
              <w:rPr>
                <w:b/>
                <w:sz w:val="20"/>
                <w:szCs w:val="20"/>
                <w:lang w:val="fr-CA"/>
              </w:rPr>
            </w:pPr>
          </w:p>
        </w:tc>
        <w:tc>
          <w:tcPr>
            <w:tcW w:w="8118" w:type="dxa"/>
          </w:tcPr>
          <w:p w:rsidR="00BA18A2" w:rsidRPr="00305B0C" w:rsidRDefault="00BA18A2" w:rsidP="00741DC5">
            <w:pPr>
              <w:jc w:val="both"/>
              <w:rPr>
                <w:sz w:val="20"/>
                <w:szCs w:val="20"/>
              </w:rPr>
            </w:pPr>
            <w:r w:rsidRPr="00BA18A2">
              <w:rPr>
                <w:rStyle w:val="SCCLsocChar"/>
                <w:sz w:val="20"/>
                <w:szCs w:val="20"/>
                <w:lang w:val="en-CA"/>
              </w:rPr>
              <w:t>Noel McInnis v. Metro Credit Union, John B. Fortier and Paul J.D. Mullin doing business under the firm name and style of "Mullin Fortier" and John B. Fortier and Paul J.D. Mullin, in their personal capacities</w:t>
            </w:r>
            <w:r w:rsidRPr="00305B0C">
              <w:rPr>
                <w:sz w:val="20"/>
                <w:szCs w:val="20"/>
              </w:rPr>
              <w:t xml:space="preserve"> (P.E.I.) (Civil) (By Leave)</w:t>
            </w:r>
          </w:p>
          <w:p w:rsidR="00BA18A2" w:rsidRPr="00305B0C" w:rsidRDefault="00BA18A2" w:rsidP="00741DC5">
            <w:pPr>
              <w:rPr>
                <w:sz w:val="20"/>
                <w:szCs w:val="20"/>
              </w:rPr>
            </w:pPr>
          </w:p>
        </w:tc>
      </w:tr>
      <w:tr w:rsidR="00BA18A2" w:rsidRPr="00305B0C" w:rsidTr="00741DC5">
        <w:trPr>
          <w:cantSplit/>
        </w:trPr>
        <w:tc>
          <w:tcPr>
            <w:tcW w:w="1458" w:type="dxa"/>
          </w:tcPr>
          <w:p w:rsidR="00BA18A2" w:rsidRPr="00305B0C" w:rsidRDefault="00BA18A2" w:rsidP="00741DC5">
            <w:pPr>
              <w:rPr>
                <w:sz w:val="20"/>
                <w:szCs w:val="20"/>
              </w:rPr>
            </w:pPr>
            <w:r w:rsidRPr="00305B0C">
              <w:rPr>
                <w:sz w:val="20"/>
                <w:szCs w:val="20"/>
              </w:rPr>
              <w:t>Coram :</w:t>
            </w:r>
          </w:p>
        </w:tc>
        <w:tc>
          <w:tcPr>
            <w:tcW w:w="8118" w:type="dxa"/>
          </w:tcPr>
          <w:p w:rsidR="00BA18A2" w:rsidRPr="00305B0C" w:rsidRDefault="00BA18A2" w:rsidP="00741DC5">
            <w:pPr>
              <w:rPr>
                <w:sz w:val="20"/>
                <w:szCs w:val="20"/>
              </w:rPr>
            </w:pPr>
            <w:r w:rsidRPr="00BA18A2">
              <w:rPr>
                <w:rStyle w:val="SCCCoramChar"/>
                <w:sz w:val="20"/>
                <w:lang w:val="en-CA"/>
              </w:rPr>
              <w:t>LeBel, Fish and Cromwell JJ.</w:t>
            </w:r>
          </w:p>
          <w:p w:rsidR="00BA18A2" w:rsidRPr="00305B0C" w:rsidRDefault="00BA18A2" w:rsidP="00741DC5">
            <w:pPr>
              <w:rPr>
                <w:sz w:val="20"/>
                <w:szCs w:val="20"/>
                <w:u w:val="single"/>
              </w:rPr>
            </w:pPr>
          </w:p>
        </w:tc>
      </w:tr>
      <w:tr w:rsidR="00BA18A2" w:rsidRPr="00BA18A2" w:rsidTr="00741DC5">
        <w:trPr>
          <w:cantSplit/>
        </w:trPr>
        <w:tc>
          <w:tcPr>
            <w:tcW w:w="9576" w:type="dxa"/>
            <w:gridSpan w:val="2"/>
          </w:tcPr>
          <w:p w:rsidR="00BA18A2" w:rsidRPr="00305B0C" w:rsidRDefault="00BA18A2" w:rsidP="00741DC5">
            <w:pPr>
              <w:pStyle w:val="SCCShortJudgment"/>
              <w:rPr>
                <w:szCs w:val="20"/>
              </w:rPr>
            </w:pPr>
            <w:r w:rsidRPr="00305B0C">
              <w:rPr>
                <w:szCs w:val="20"/>
              </w:rPr>
              <w:t>The application for leave to appeal from the judgment of the Prince Edward Island Court of Appeal, Number S1-CA-1212, 2011 PECA 7, dated April 7, 2011, is dismissed with costs.</w:t>
            </w:r>
          </w:p>
          <w:p w:rsidR="00BA18A2" w:rsidRPr="00305B0C" w:rsidRDefault="00BA18A2" w:rsidP="00741DC5">
            <w:pPr>
              <w:pStyle w:val="SCCShortJudgment"/>
              <w:ind w:firstLine="0"/>
              <w:rPr>
                <w:szCs w:val="20"/>
              </w:rPr>
            </w:pPr>
          </w:p>
          <w:p w:rsidR="00BA18A2" w:rsidRPr="00305B0C" w:rsidRDefault="00BA18A2" w:rsidP="00741DC5">
            <w:pPr>
              <w:pStyle w:val="SCCShortJudgment"/>
              <w:rPr>
                <w:szCs w:val="20"/>
                <w:lang w:val="fr-CA"/>
              </w:rPr>
            </w:pPr>
            <w:r w:rsidRPr="00305B0C">
              <w:rPr>
                <w:szCs w:val="20"/>
                <w:lang w:val="fr-CA"/>
              </w:rPr>
              <w:t>La demande d’autorisation d’appel de l’arrêt de la Cour d’appel de l’Île-du-Prince-Édouard, numéro S1-CA-1212, 2011 PECA 7, daté du 7 avril 2011, est rejetée avec dépens.</w:t>
            </w:r>
          </w:p>
        </w:tc>
      </w:tr>
    </w:tbl>
    <w:p w:rsidR="00BA18A2" w:rsidRPr="00305B0C" w:rsidRDefault="00BA18A2" w:rsidP="00BA18A2">
      <w:pPr>
        <w:rPr>
          <w:sz w:val="20"/>
          <w:szCs w:val="20"/>
          <w:lang w:val="fr-CA"/>
        </w:rPr>
      </w:pPr>
    </w:p>
    <w:p w:rsidR="00BA18A2" w:rsidRDefault="00BA18A2" w:rsidP="00BA18A2">
      <w:pPr>
        <w:rPr>
          <w:sz w:val="20"/>
          <w:szCs w:val="20"/>
        </w:rPr>
      </w:pPr>
      <w:r>
        <w:rPr>
          <w:sz w:val="20"/>
          <w:szCs w:val="20"/>
          <w:u w:val="single"/>
        </w:rPr>
        <w:t>CASE SUMMARY</w:t>
      </w:r>
    </w:p>
    <w:p w:rsidR="00BA18A2" w:rsidRDefault="00BA18A2" w:rsidP="00BA18A2">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BA18A2" w:rsidRPr="00DF05B0" w:rsidTr="00741DC5">
        <w:tc>
          <w:tcPr>
            <w:tcW w:w="5000" w:type="pct"/>
            <w:gridSpan w:val="3"/>
          </w:tcPr>
          <w:p w:rsidR="00BA18A2" w:rsidRPr="00DF05B0" w:rsidRDefault="00BA18A2" w:rsidP="00741DC5">
            <w:pPr>
              <w:jc w:val="both"/>
              <w:rPr>
                <w:rFonts w:eastAsia="Calibri"/>
                <w:sz w:val="20"/>
              </w:rPr>
            </w:pPr>
            <w:r w:rsidRPr="00DF05B0">
              <w:rPr>
                <w:rFonts w:eastAsia="Calibri"/>
                <w:sz w:val="20"/>
              </w:rPr>
              <w:t>Civil Procedure ― Jury trials ― Right to a jury ― Setting aside a jury notice ― Whether the Court of Appeal decision will result in the creation of judicially imposed limits on the availability of civil jury trials in every province ― Whether there are conflicting decisions on this issue in the lower appellate courts ― Whether the Court of Appeal decision conflicts with</w:t>
            </w:r>
            <w:r w:rsidRPr="00DF05B0">
              <w:rPr>
                <w:rFonts w:eastAsia="Calibri"/>
                <w:i/>
                <w:sz w:val="20"/>
              </w:rPr>
              <w:t xml:space="preserve"> King v.</w:t>
            </w:r>
            <w:r w:rsidRPr="00DF05B0">
              <w:rPr>
                <w:rFonts w:eastAsia="Calibri"/>
                <w:sz w:val="20"/>
              </w:rPr>
              <w:t xml:space="preserve"> </w:t>
            </w:r>
            <w:r w:rsidRPr="00DF05B0">
              <w:rPr>
                <w:rFonts w:eastAsia="Calibri"/>
                <w:i/>
                <w:sz w:val="20"/>
              </w:rPr>
              <w:t>Colonial Homes</w:t>
            </w:r>
            <w:r w:rsidRPr="00DF05B0">
              <w:rPr>
                <w:rFonts w:eastAsia="Calibri"/>
                <w:sz w:val="20"/>
              </w:rPr>
              <w:t xml:space="preserve">, [1956] S.C.R. 528 ―Whether the Court of Appeal erred and applied the incorrect standard of review ― </w:t>
            </w:r>
            <w:r w:rsidRPr="00DF05B0">
              <w:rPr>
                <w:rFonts w:eastAsia="Calibri"/>
                <w:i/>
                <w:sz w:val="20"/>
              </w:rPr>
              <w:t>Jury Act</w:t>
            </w:r>
            <w:r w:rsidRPr="00DF05B0">
              <w:rPr>
                <w:rFonts w:eastAsia="Calibri"/>
                <w:sz w:val="20"/>
              </w:rPr>
              <w:t>, R.S.P.E.I. 1988, c. J</w:t>
            </w:r>
            <w:r w:rsidRPr="00DF05B0">
              <w:rPr>
                <w:rFonts w:eastAsia="Calibri"/>
                <w:sz w:val="20"/>
              </w:rPr>
              <w:noBreakHyphen/>
              <w:t>5.1</w:t>
            </w:r>
          </w:p>
        </w:tc>
      </w:tr>
      <w:tr w:rsidR="00BA18A2" w:rsidRPr="00DF05B0" w:rsidTr="00741DC5">
        <w:tc>
          <w:tcPr>
            <w:tcW w:w="5000" w:type="pct"/>
            <w:gridSpan w:val="3"/>
          </w:tcPr>
          <w:p w:rsidR="00BA18A2" w:rsidRPr="00DF05B0" w:rsidRDefault="00BA18A2" w:rsidP="00741DC5">
            <w:pPr>
              <w:jc w:val="both"/>
              <w:rPr>
                <w:rFonts w:eastAsia="Calibri"/>
                <w:sz w:val="20"/>
              </w:rPr>
            </w:pPr>
          </w:p>
        </w:tc>
      </w:tr>
      <w:tr w:rsidR="00BA18A2" w:rsidRPr="00DF05B0" w:rsidTr="00741DC5">
        <w:tc>
          <w:tcPr>
            <w:tcW w:w="5000" w:type="pct"/>
            <w:gridSpan w:val="3"/>
          </w:tcPr>
          <w:p w:rsidR="00BA18A2" w:rsidRPr="00DF05B0" w:rsidRDefault="00BA18A2" w:rsidP="00741DC5">
            <w:pPr>
              <w:jc w:val="both"/>
              <w:rPr>
                <w:rFonts w:eastAsia="Calibri"/>
                <w:sz w:val="20"/>
              </w:rPr>
            </w:pPr>
            <w:r w:rsidRPr="00DF05B0">
              <w:rPr>
                <w:rFonts w:eastAsia="Calibri"/>
                <w:sz w:val="20"/>
              </w:rPr>
              <w:t>In July 2000, the applicant, Mr. McInnis commenced an action against the respondent firm, Mullin Fortier and the respondent lawyers personally.  In 2002, the respondent, Metro Credit Union commenced an action against the applicant.  The two actions were subsequently consolidated into one proceeding.  The applicant filed a notice to have the consolidated action tried by a judge and jury.  The respondents filed a motion to strike the jury notice.  Leave to present the motion was granted and the motion was allowed, an order filed striking the jury notice and ordering the trial be heard by judge alone.  The Court of Appeal found the motions judge did not err thus the appeal from the order granting leave and the appeal itself was dismissed.</w:t>
            </w:r>
          </w:p>
          <w:p w:rsidR="00BA18A2" w:rsidRPr="00DF05B0" w:rsidRDefault="00BA18A2" w:rsidP="00741DC5">
            <w:pPr>
              <w:jc w:val="both"/>
              <w:rPr>
                <w:rFonts w:eastAsia="Calibri"/>
                <w:sz w:val="20"/>
              </w:rPr>
            </w:pPr>
          </w:p>
        </w:tc>
      </w:tr>
      <w:tr w:rsidR="00BA18A2" w:rsidRPr="00DF05B0" w:rsidTr="00741DC5">
        <w:tc>
          <w:tcPr>
            <w:tcW w:w="2427" w:type="pct"/>
          </w:tcPr>
          <w:p w:rsidR="00BA18A2" w:rsidRPr="00DF05B0" w:rsidRDefault="00BA18A2" w:rsidP="00741DC5">
            <w:pPr>
              <w:jc w:val="both"/>
              <w:rPr>
                <w:rFonts w:eastAsia="Calibri"/>
                <w:sz w:val="20"/>
              </w:rPr>
            </w:pPr>
            <w:r w:rsidRPr="00DF05B0">
              <w:rPr>
                <w:rFonts w:eastAsia="Calibri"/>
                <w:sz w:val="20"/>
              </w:rPr>
              <w:t>December 22, 2010</w:t>
            </w:r>
          </w:p>
          <w:p w:rsidR="00BA18A2" w:rsidRPr="00DF05B0" w:rsidRDefault="00BA18A2" w:rsidP="00741DC5">
            <w:pPr>
              <w:jc w:val="both"/>
              <w:rPr>
                <w:rFonts w:eastAsia="Calibri"/>
                <w:sz w:val="20"/>
              </w:rPr>
            </w:pPr>
            <w:r w:rsidRPr="00DF05B0">
              <w:rPr>
                <w:rFonts w:eastAsia="Calibri"/>
                <w:sz w:val="20"/>
              </w:rPr>
              <w:t>Supreme Court of Prince Edward Island</w:t>
            </w:r>
          </w:p>
          <w:p w:rsidR="00BA18A2" w:rsidRPr="00DF05B0" w:rsidRDefault="00BA18A2" w:rsidP="00741DC5">
            <w:pPr>
              <w:jc w:val="both"/>
              <w:rPr>
                <w:rFonts w:eastAsia="Calibri"/>
                <w:sz w:val="20"/>
              </w:rPr>
            </w:pPr>
            <w:r w:rsidRPr="00DF05B0">
              <w:rPr>
                <w:rFonts w:eastAsia="Calibri"/>
                <w:sz w:val="20"/>
              </w:rPr>
              <w:t>(Mitchell J.)</w:t>
            </w:r>
          </w:p>
          <w:p w:rsidR="00BA18A2" w:rsidRPr="00DF05B0" w:rsidRDefault="00BA18A2" w:rsidP="00741DC5">
            <w:pPr>
              <w:jc w:val="both"/>
              <w:rPr>
                <w:rFonts w:eastAsia="Calibri"/>
                <w:sz w:val="20"/>
              </w:rPr>
            </w:pPr>
          </w:p>
        </w:tc>
        <w:tc>
          <w:tcPr>
            <w:tcW w:w="243" w:type="pct"/>
          </w:tcPr>
          <w:p w:rsidR="00BA18A2" w:rsidRPr="00DF05B0" w:rsidRDefault="00BA18A2" w:rsidP="00741DC5">
            <w:pPr>
              <w:jc w:val="both"/>
              <w:rPr>
                <w:rFonts w:eastAsia="Calibri"/>
                <w:sz w:val="20"/>
              </w:rPr>
            </w:pPr>
          </w:p>
        </w:tc>
        <w:tc>
          <w:tcPr>
            <w:tcW w:w="2330" w:type="pct"/>
          </w:tcPr>
          <w:p w:rsidR="00BA18A2" w:rsidRPr="00DF05B0" w:rsidRDefault="00BA18A2" w:rsidP="00741DC5">
            <w:pPr>
              <w:jc w:val="both"/>
              <w:rPr>
                <w:rFonts w:eastAsia="Calibri"/>
                <w:sz w:val="20"/>
              </w:rPr>
            </w:pPr>
            <w:r w:rsidRPr="00DF05B0">
              <w:rPr>
                <w:rFonts w:eastAsia="Calibri"/>
                <w:sz w:val="20"/>
              </w:rPr>
              <w:t xml:space="preserve">Motion allowed and jury notice struck </w:t>
            </w:r>
          </w:p>
        </w:tc>
      </w:tr>
      <w:tr w:rsidR="00BA18A2" w:rsidRPr="00DF05B0" w:rsidTr="00741DC5">
        <w:trPr>
          <w:cantSplit/>
        </w:trPr>
        <w:tc>
          <w:tcPr>
            <w:tcW w:w="2427" w:type="pct"/>
          </w:tcPr>
          <w:p w:rsidR="00BA18A2" w:rsidRPr="00DF05B0" w:rsidRDefault="00BA18A2" w:rsidP="00741DC5">
            <w:pPr>
              <w:jc w:val="both"/>
              <w:rPr>
                <w:rFonts w:eastAsia="Calibri"/>
                <w:sz w:val="20"/>
              </w:rPr>
            </w:pPr>
            <w:r w:rsidRPr="00DF05B0">
              <w:rPr>
                <w:rFonts w:eastAsia="Calibri"/>
                <w:sz w:val="20"/>
              </w:rPr>
              <w:lastRenderedPageBreak/>
              <w:t>April 7, 2011</w:t>
            </w:r>
          </w:p>
          <w:p w:rsidR="00BA18A2" w:rsidRPr="00DF05B0" w:rsidRDefault="00BA18A2" w:rsidP="00741DC5">
            <w:pPr>
              <w:jc w:val="both"/>
              <w:rPr>
                <w:rFonts w:eastAsia="Calibri"/>
                <w:sz w:val="20"/>
              </w:rPr>
            </w:pPr>
            <w:r w:rsidRPr="00DF05B0">
              <w:rPr>
                <w:rFonts w:eastAsia="Calibri"/>
                <w:sz w:val="20"/>
              </w:rPr>
              <w:t xml:space="preserve">Prince Edward Island Court of Appeal </w:t>
            </w:r>
          </w:p>
          <w:p w:rsidR="00BA18A2" w:rsidRPr="00DF05B0" w:rsidRDefault="00BA18A2" w:rsidP="00741DC5">
            <w:pPr>
              <w:jc w:val="both"/>
              <w:rPr>
                <w:rFonts w:eastAsia="Calibri"/>
                <w:sz w:val="20"/>
              </w:rPr>
            </w:pPr>
            <w:r w:rsidRPr="00DF05B0">
              <w:rPr>
                <w:rFonts w:eastAsia="Calibri"/>
                <w:sz w:val="20"/>
              </w:rPr>
              <w:t>(McQuaid, Murphy and Campbell JJ.A.)</w:t>
            </w:r>
          </w:p>
          <w:p w:rsidR="00BA18A2" w:rsidRPr="00DF05B0" w:rsidRDefault="00BA18A2" w:rsidP="00741DC5">
            <w:pPr>
              <w:jc w:val="both"/>
              <w:rPr>
                <w:rFonts w:eastAsia="Calibri"/>
                <w:sz w:val="20"/>
              </w:rPr>
            </w:pPr>
            <w:r w:rsidRPr="00DF05B0">
              <w:rPr>
                <w:rFonts w:eastAsia="Calibri"/>
                <w:sz w:val="20"/>
              </w:rPr>
              <w:t>2011 PECA 7</w:t>
            </w:r>
          </w:p>
          <w:p w:rsidR="00BA18A2" w:rsidRPr="00DF05B0" w:rsidRDefault="00BA18A2" w:rsidP="00741DC5">
            <w:pPr>
              <w:jc w:val="both"/>
              <w:rPr>
                <w:rFonts w:eastAsia="Calibri"/>
                <w:sz w:val="20"/>
              </w:rPr>
            </w:pPr>
          </w:p>
        </w:tc>
        <w:tc>
          <w:tcPr>
            <w:tcW w:w="243" w:type="pct"/>
          </w:tcPr>
          <w:p w:rsidR="00BA18A2" w:rsidRPr="00DF05B0" w:rsidRDefault="00BA18A2" w:rsidP="00741DC5">
            <w:pPr>
              <w:jc w:val="both"/>
              <w:rPr>
                <w:rFonts w:eastAsia="Calibri"/>
                <w:sz w:val="20"/>
              </w:rPr>
            </w:pPr>
          </w:p>
        </w:tc>
        <w:tc>
          <w:tcPr>
            <w:tcW w:w="2330" w:type="pct"/>
          </w:tcPr>
          <w:p w:rsidR="00BA18A2" w:rsidRPr="00DF05B0" w:rsidRDefault="00BA18A2" w:rsidP="00741DC5">
            <w:pPr>
              <w:jc w:val="both"/>
              <w:rPr>
                <w:rFonts w:eastAsia="Calibri"/>
                <w:sz w:val="20"/>
              </w:rPr>
            </w:pPr>
            <w:r w:rsidRPr="00DF05B0">
              <w:rPr>
                <w:rFonts w:eastAsia="Calibri"/>
                <w:sz w:val="20"/>
              </w:rPr>
              <w:t>Appeal dismissed</w:t>
            </w:r>
          </w:p>
          <w:p w:rsidR="00BA18A2" w:rsidRPr="00DF05B0" w:rsidRDefault="00BA18A2" w:rsidP="00741DC5">
            <w:pPr>
              <w:jc w:val="both"/>
              <w:rPr>
                <w:rFonts w:eastAsia="Calibri"/>
                <w:sz w:val="20"/>
              </w:rPr>
            </w:pPr>
          </w:p>
        </w:tc>
      </w:tr>
      <w:tr w:rsidR="00BA18A2" w:rsidRPr="00DF05B0" w:rsidTr="00741DC5">
        <w:trPr>
          <w:cantSplit/>
        </w:trPr>
        <w:tc>
          <w:tcPr>
            <w:tcW w:w="2427" w:type="pct"/>
          </w:tcPr>
          <w:p w:rsidR="00BA18A2" w:rsidRPr="00DF05B0" w:rsidRDefault="00BA18A2" w:rsidP="00741DC5">
            <w:pPr>
              <w:jc w:val="both"/>
              <w:rPr>
                <w:rFonts w:eastAsia="Calibri"/>
                <w:sz w:val="20"/>
              </w:rPr>
            </w:pPr>
            <w:r w:rsidRPr="00DF05B0">
              <w:rPr>
                <w:rFonts w:eastAsia="Calibri"/>
                <w:sz w:val="20"/>
              </w:rPr>
              <w:t>June 1, 2011</w:t>
            </w:r>
          </w:p>
          <w:p w:rsidR="00BA18A2" w:rsidRPr="00DF05B0" w:rsidRDefault="00BA18A2" w:rsidP="00741DC5">
            <w:pPr>
              <w:jc w:val="both"/>
              <w:rPr>
                <w:rFonts w:eastAsia="Calibri"/>
                <w:sz w:val="20"/>
              </w:rPr>
            </w:pPr>
            <w:r w:rsidRPr="00DF05B0">
              <w:rPr>
                <w:rFonts w:eastAsia="Calibri"/>
                <w:sz w:val="20"/>
              </w:rPr>
              <w:t>Supreme Court of Canada</w:t>
            </w:r>
          </w:p>
        </w:tc>
        <w:tc>
          <w:tcPr>
            <w:tcW w:w="243" w:type="pct"/>
          </w:tcPr>
          <w:p w:rsidR="00BA18A2" w:rsidRPr="00DF05B0" w:rsidRDefault="00BA18A2" w:rsidP="00741DC5">
            <w:pPr>
              <w:jc w:val="both"/>
              <w:rPr>
                <w:rFonts w:eastAsia="Calibri"/>
                <w:sz w:val="20"/>
              </w:rPr>
            </w:pPr>
          </w:p>
        </w:tc>
        <w:tc>
          <w:tcPr>
            <w:tcW w:w="2330" w:type="pct"/>
          </w:tcPr>
          <w:p w:rsidR="00BA18A2" w:rsidRPr="00DF05B0" w:rsidRDefault="00BA18A2" w:rsidP="00741DC5">
            <w:pPr>
              <w:jc w:val="both"/>
              <w:rPr>
                <w:rFonts w:eastAsia="Calibri"/>
                <w:sz w:val="20"/>
              </w:rPr>
            </w:pPr>
            <w:r w:rsidRPr="00DF05B0">
              <w:rPr>
                <w:rFonts w:eastAsia="Calibri"/>
                <w:sz w:val="20"/>
              </w:rPr>
              <w:t>Application for leave to appeal filed</w:t>
            </w:r>
          </w:p>
          <w:p w:rsidR="00BA18A2" w:rsidRPr="00DF05B0" w:rsidRDefault="00BA18A2" w:rsidP="00741DC5">
            <w:pPr>
              <w:jc w:val="both"/>
              <w:rPr>
                <w:rFonts w:eastAsia="Calibri"/>
                <w:sz w:val="20"/>
              </w:rPr>
            </w:pPr>
          </w:p>
        </w:tc>
      </w:tr>
    </w:tbl>
    <w:p w:rsidR="00BA18A2" w:rsidRDefault="00BA18A2" w:rsidP="00BA18A2">
      <w:pPr>
        <w:rPr>
          <w:sz w:val="20"/>
          <w:szCs w:val="20"/>
        </w:rPr>
      </w:pPr>
    </w:p>
    <w:p w:rsidR="00BA18A2" w:rsidRDefault="00460701" w:rsidP="00BA18A2">
      <w:pPr>
        <w:rPr>
          <w:sz w:val="20"/>
          <w:szCs w:val="20"/>
        </w:rPr>
      </w:pPr>
      <w:r w:rsidRPr="00460701">
        <w:rPr>
          <w:sz w:val="20"/>
          <w:szCs w:val="20"/>
          <w:lang w:val="fr-CA"/>
        </w:rPr>
        <w:pict>
          <v:rect id="_x0000_i1052" style="width:2in;height:1pt" o:hrpct="0" o:hralign="center" o:hrstd="t" o:hrnoshade="t" o:hr="t" fillcolor="black [3213]" stroked="f"/>
        </w:pict>
      </w:r>
    </w:p>
    <w:p w:rsidR="00BA18A2" w:rsidRDefault="00BA18A2" w:rsidP="00BA18A2">
      <w:pPr>
        <w:rPr>
          <w:sz w:val="20"/>
          <w:szCs w:val="20"/>
        </w:rPr>
      </w:pPr>
    </w:p>
    <w:p w:rsidR="00BA18A2" w:rsidRDefault="00BA18A2" w:rsidP="00BA18A2">
      <w:pPr>
        <w:rPr>
          <w:sz w:val="20"/>
          <w:szCs w:val="20"/>
        </w:rPr>
      </w:pPr>
      <w:r>
        <w:rPr>
          <w:sz w:val="20"/>
          <w:szCs w:val="20"/>
          <w:u w:val="single"/>
        </w:rPr>
        <w:t>RÉSUMÉ DE L’AFFAIRE</w:t>
      </w:r>
    </w:p>
    <w:p w:rsidR="00BA18A2" w:rsidRDefault="00BA18A2" w:rsidP="00BA18A2">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BA18A2" w:rsidRPr="00BA18A2" w:rsidTr="00741DC5">
        <w:tc>
          <w:tcPr>
            <w:tcW w:w="5000" w:type="pct"/>
            <w:gridSpan w:val="3"/>
          </w:tcPr>
          <w:p w:rsidR="00BA18A2" w:rsidRPr="00DF05B0" w:rsidRDefault="00BA18A2" w:rsidP="00741DC5">
            <w:pPr>
              <w:jc w:val="both"/>
              <w:rPr>
                <w:rFonts w:eastAsia="Calibri"/>
                <w:sz w:val="20"/>
                <w:lang w:val="fr-CA"/>
              </w:rPr>
            </w:pPr>
            <w:r w:rsidRPr="00DF05B0">
              <w:rPr>
                <w:rFonts w:eastAsia="Calibri"/>
                <w:sz w:val="20"/>
                <w:lang w:val="fr-CA"/>
              </w:rPr>
              <w:t>Procédure civile ― Procès avec jury ― Droit à un procès avec jury ― Annulation d’une demande de procès avec jury ― La décision de la Cour d’appel aura</w:t>
            </w:r>
            <w:r w:rsidRPr="00DF05B0">
              <w:rPr>
                <w:rFonts w:eastAsia="Calibri"/>
                <w:sz w:val="20"/>
                <w:lang w:val="fr-CA"/>
              </w:rPr>
              <w:noBreakHyphen/>
              <w:t>t</w:t>
            </w:r>
            <w:r w:rsidRPr="00DF05B0">
              <w:rPr>
                <w:rFonts w:eastAsia="Calibri"/>
                <w:sz w:val="20"/>
                <w:lang w:val="fr-CA"/>
              </w:rPr>
              <w:noBreakHyphen/>
              <w:t>elle pour conséquence la création, dans chaque province, de restrictions imposées par les tribunaux quant à la possibilité de tenir des procès civils avec jury? ― Des décisions contradictoires sur cette question ont</w:t>
            </w:r>
            <w:r w:rsidRPr="00DF05B0">
              <w:rPr>
                <w:rFonts w:eastAsia="Calibri"/>
                <w:sz w:val="20"/>
                <w:lang w:val="fr-CA"/>
              </w:rPr>
              <w:noBreakHyphen/>
              <w:t>elles été rendues dans les juridictions d’appel inférieures? ― La décision de la Cour d’appel va</w:t>
            </w:r>
            <w:r w:rsidRPr="00DF05B0">
              <w:rPr>
                <w:rFonts w:eastAsia="Calibri"/>
                <w:sz w:val="20"/>
                <w:lang w:val="fr-CA"/>
              </w:rPr>
              <w:noBreakHyphen/>
              <w:t>t</w:t>
            </w:r>
            <w:r w:rsidRPr="00DF05B0">
              <w:rPr>
                <w:rFonts w:eastAsia="Calibri"/>
                <w:sz w:val="20"/>
                <w:lang w:val="fr-CA"/>
              </w:rPr>
              <w:noBreakHyphen/>
              <w:t>elle à l’encontre de l’arrêt</w:t>
            </w:r>
            <w:r w:rsidRPr="00DF05B0">
              <w:rPr>
                <w:rFonts w:eastAsia="Calibri"/>
                <w:i/>
                <w:sz w:val="20"/>
                <w:lang w:val="fr-CA"/>
              </w:rPr>
              <w:t xml:space="preserve"> King c.</w:t>
            </w:r>
            <w:r w:rsidRPr="00DF05B0">
              <w:rPr>
                <w:rFonts w:eastAsia="Calibri"/>
                <w:sz w:val="20"/>
                <w:lang w:val="fr-CA"/>
              </w:rPr>
              <w:t xml:space="preserve"> </w:t>
            </w:r>
            <w:r w:rsidRPr="00DF05B0">
              <w:rPr>
                <w:rFonts w:eastAsia="Calibri"/>
                <w:i/>
                <w:sz w:val="20"/>
                <w:lang w:val="fr-CA"/>
              </w:rPr>
              <w:t>Colonial Homes</w:t>
            </w:r>
            <w:r w:rsidRPr="00DF05B0">
              <w:rPr>
                <w:rFonts w:eastAsia="Calibri"/>
                <w:sz w:val="20"/>
                <w:lang w:val="fr-CA"/>
              </w:rPr>
              <w:t>, [1956] R.C.S. 528? ― La Cour d’appel a</w:t>
            </w:r>
            <w:r w:rsidRPr="00DF05B0">
              <w:rPr>
                <w:rFonts w:eastAsia="Calibri"/>
                <w:sz w:val="20"/>
                <w:lang w:val="fr-CA"/>
              </w:rPr>
              <w:noBreakHyphen/>
              <w:t>t</w:t>
            </w:r>
            <w:r w:rsidRPr="00DF05B0">
              <w:rPr>
                <w:rFonts w:eastAsia="Calibri"/>
                <w:sz w:val="20"/>
                <w:lang w:val="fr-CA"/>
              </w:rPr>
              <w:noBreakHyphen/>
              <w:t xml:space="preserve">elle commis une erreur et appliqué la mauvaise norme de contrôle? ― </w:t>
            </w:r>
            <w:r w:rsidRPr="00DF05B0">
              <w:rPr>
                <w:rFonts w:eastAsia="Calibri"/>
                <w:i/>
                <w:sz w:val="20"/>
                <w:lang w:val="fr-CA"/>
              </w:rPr>
              <w:t>Jury Act</w:t>
            </w:r>
            <w:r w:rsidRPr="00DF05B0">
              <w:rPr>
                <w:rFonts w:eastAsia="Calibri"/>
                <w:sz w:val="20"/>
                <w:lang w:val="fr-CA"/>
              </w:rPr>
              <w:t>, R.S.P.E.I. 1988, c. J</w:t>
            </w:r>
            <w:r w:rsidRPr="00DF05B0">
              <w:rPr>
                <w:rFonts w:eastAsia="Calibri"/>
                <w:sz w:val="20"/>
                <w:lang w:val="fr-CA"/>
              </w:rPr>
              <w:noBreakHyphen/>
              <w:t>5.1</w:t>
            </w:r>
          </w:p>
        </w:tc>
      </w:tr>
      <w:tr w:rsidR="00BA18A2" w:rsidRPr="00BA18A2" w:rsidTr="00741DC5">
        <w:tc>
          <w:tcPr>
            <w:tcW w:w="5000" w:type="pct"/>
            <w:gridSpan w:val="3"/>
          </w:tcPr>
          <w:p w:rsidR="00BA18A2" w:rsidRPr="00DF05B0" w:rsidRDefault="00BA18A2" w:rsidP="00741DC5">
            <w:pPr>
              <w:jc w:val="both"/>
              <w:rPr>
                <w:rFonts w:eastAsia="Calibri"/>
                <w:sz w:val="20"/>
                <w:lang w:val="fr-CA"/>
              </w:rPr>
            </w:pPr>
          </w:p>
        </w:tc>
      </w:tr>
      <w:tr w:rsidR="00BA18A2" w:rsidRPr="00BA18A2" w:rsidTr="00741DC5">
        <w:tc>
          <w:tcPr>
            <w:tcW w:w="5000" w:type="pct"/>
            <w:gridSpan w:val="3"/>
          </w:tcPr>
          <w:p w:rsidR="00BA18A2" w:rsidRPr="00DF05B0" w:rsidRDefault="00BA18A2" w:rsidP="00741DC5">
            <w:pPr>
              <w:jc w:val="both"/>
              <w:rPr>
                <w:rFonts w:eastAsia="Calibri"/>
                <w:sz w:val="20"/>
                <w:lang w:val="fr-CA"/>
              </w:rPr>
            </w:pPr>
            <w:r w:rsidRPr="00DF05B0">
              <w:rPr>
                <w:rFonts w:eastAsia="Calibri"/>
                <w:sz w:val="20"/>
                <w:lang w:val="fr-CA"/>
              </w:rPr>
              <w:t>En juillet 2000, le demandeur, M. McInnis a intenté une action contre la société défenderesse,  Mullin Fortier, et contre les avocats défendeurs, à titre personnel.  En 2002, la défenderesse, Metro Credit Union a intenté une action contre le demandeur.  Les deux actions ont par la suite été réunies en une seule procédure.  Le demandeur a déposé un avis demandant que l’instance  issue de la réunion des deux actions soit instruite par un juge et un jury.  Les défendeurs ont déposé une requête en radiation de la demande de procès avec jury.  L’autorisation de présenter la requête a été accordée et la requête a été accueillie, une ordonnance portant radiation de la demande de procès avec jury et portant que l’instance sera instruite par un juge seul a été rendue.  La Cour d’appel a conclu que le juge des requêtes n’a commis aucune erreur et, par conséquent, elle a rejeté l’appel interjeté contre l’ordonnance accordant l’autorisation ainsi que l’appel lui</w:t>
            </w:r>
            <w:r w:rsidRPr="00DF05B0">
              <w:rPr>
                <w:rFonts w:eastAsia="Calibri"/>
                <w:sz w:val="20"/>
                <w:lang w:val="fr-CA"/>
              </w:rPr>
              <w:noBreakHyphen/>
              <w:t>même.</w:t>
            </w:r>
          </w:p>
          <w:p w:rsidR="00BA18A2" w:rsidRPr="00DF05B0" w:rsidRDefault="00BA18A2" w:rsidP="00741DC5">
            <w:pPr>
              <w:jc w:val="both"/>
              <w:rPr>
                <w:rFonts w:eastAsia="Calibri"/>
                <w:sz w:val="20"/>
                <w:lang w:val="fr-CA"/>
              </w:rPr>
            </w:pPr>
          </w:p>
        </w:tc>
      </w:tr>
      <w:tr w:rsidR="00BA18A2" w:rsidRPr="00BA18A2" w:rsidTr="00741DC5">
        <w:tc>
          <w:tcPr>
            <w:tcW w:w="2427" w:type="pct"/>
          </w:tcPr>
          <w:p w:rsidR="00BA18A2" w:rsidRPr="00DF05B0" w:rsidRDefault="00BA18A2" w:rsidP="00741DC5">
            <w:pPr>
              <w:jc w:val="both"/>
              <w:rPr>
                <w:rFonts w:eastAsia="Calibri"/>
                <w:sz w:val="20"/>
                <w:lang w:val="fr-CA"/>
              </w:rPr>
            </w:pPr>
            <w:r w:rsidRPr="00DF05B0">
              <w:rPr>
                <w:rFonts w:eastAsia="Calibri"/>
                <w:sz w:val="20"/>
                <w:lang w:val="fr-CA"/>
              </w:rPr>
              <w:t>22 décembre 2010</w:t>
            </w:r>
          </w:p>
          <w:p w:rsidR="00BA18A2" w:rsidRPr="00DF05B0" w:rsidRDefault="00BA18A2" w:rsidP="00741DC5">
            <w:pPr>
              <w:jc w:val="both"/>
              <w:rPr>
                <w:rFonts w:eastAsia="Calibri"/>
                <w:sz w:val="20"/>
                <w:lang w:val="fr-CA"/>
              </w:rPr>
            </w:pPr>
            <w:r w:rsidRPr="00DF05B0">
              <w:rPr>
                <w:rFonts w:eastAsia="Calibri"/>
                <w:sz w:val="20"/>
                <w:lang w:val="fr-CA"/>
              </w:rPr>
              <w:t>Cour suprême de l’Île</w:t>
            </w:r>
            <w:r w:rsidRPr="00DF05B0">
              <w:rPr>
                <w:rFonts w:eastAsia="Calibri"/>
                <w:sz w:val="20"/>
                <w:lang w:val="fr-CA"/>
              </w:rPr>
              <w:noBreakHyphen/>
              <w:t>du</w:t>
            </w:r>
            <w:r w:rsidRPr="00DF05B0">
              <w:rPr>
                <w:rFonts w:eastAsia="Calibri"/>
                <w:sz w:val="20"/>
                <w:lang w:val="fr-CA"/>
              </w:rPr>
              <w:noBreakHyphen/>
              <w:t>Prince</w:t>
            </w:r>
            <w:r w:rsidRPr="00DF05B0">
              <w:rPr>
                <w:rFonts w:eastAsia="Calibri"/>
                <w:sz w:val="20"/>
                <w:lang w:val="fr-CA"/>
              </w:rPr>
              <w:noBreakHyphen/>
              <w:t>Édouard</w:t>
            </w:r>
          </w:p>
          <w:p w:rsidR="00BA18A2" w:rsidRPr="00DF05B0" w:rsidRDefault="00BA18A2" w:rsidP="00741DC5">
            <w:pPr>
              <w:jc w:val="both"/>
              <w:rPr>
                <w:rFonts w:eastAsia="Calibri"/>
                <w:sz w:val="20"/>
                <w:lang w:val="fr-CA"/>
              </w:rPr>
            </w:pPr>
            <w:r w:rsidRPr="00DF05B0">
              <w:rPr>
                <w:rFonts w:eastAsia="Calibri"/>
                <w:sz w:val="20"/>
                <w:lang w:val="fr-CA"/>
              </w:rPr>
              <w:t>(Juge Mitchell)</w:t>
            </w:r>
          </w:p>
          <w:p w:rsidR="00BA18A2" w:rsidRPr="00DF05B0" w:rsidRDefault="00BA18A2" w:rsidP="00741DC5">
            <w:pPr>
              <w:jc w:val="both"/>
              <w:rPr>
                <w:rFonts w:eastAsia="Calibri"/>
                <w:sz w:val="20"/>
                <w:lang w:val="fr-CA"/>
              </w:rPr>
            </w:pPr>
          </w:p>
        </w:tc>
        <w:tc>
          <w:tcPr>
            <w:tcW w:w="243" w:type="pct"/>
          </w:tcPr>
          <w:p w:rsidR="00BA18A2" w:rsidRPr="00DF05B0" w:rsidRDefault="00BA18A2" w:rsidP="00741DC5">
            <w:pPr>
              <w:jc w:val="both"/>
              <w:rPr>
                <w:rFonts w:eastAsia="Calibri"/>
                <w:sz w:val="20"/>
                <w:lang w:val="fr-CA"/>
              </w:rPr>
            </w:pPr>
          </w:p>
        </w:tc>
        <w:tc>
          <w:tcPr>
            <w:tcW w:w="2330" w:type="pct"/>
          </w:tcPr>
          <w:p w:rsidR="00BA18A2" w:rsidRPr="00DF05B0" w:rsidRDefault="00BA18A2" w:rsidP="00741DC5">
            <w:pPr>
              <w:jc w:val="both"/>
              <w:rPr>
                <w:rFonts w:eastAsia="Calibri"/>
                <w:sz w:val="20"/>
                <w:lang w:val="fr-CA"/>
              </w:rPr>
            </w:pPr>
            <w:r w:rsidRPr="00DF05B0">
              <w:rPr>
                <w:rFonts w:eastAsia="Calibri"/>
                <w:sz w:val="20"/>
                <w:lang w:val="fr-CA"/>
              </w:rPr>
              <w:t xml:space="preserve">Requête accueillie et demande de procès avec jury radiée </w:t>
            </w:r>
          </w:p>
        </w:tc>
      </w:tr>
      <w:tr w:rsidR="00BA18A2" w:rsidRPr="00DF05B0" w:rsidTr="00741DC5">
        <w:tc>
          <w:tcPr>
            <w:tcW w:w="2427" w:type="pct"/>
          </w:tcPr>
          <w:p w:rsidR="00BA18A2" w:rsidRPr="00DF05B0" w:rsidRDefault="00BA18A2" w:rsidP="00741DC5">
            <w:pPr>
              <w:jc w:val="both"/>
              <w:rPr>
                <w:rFonts w:eastAsia="Calibri"/>
                <w:sz w:val="20"/>
                <w:lang w:val="fr-CA"/>
              </w:rPr>
            </w:pPr>
            <w:r w:rsidRPr="00DF05B0">
              <w:rPr>
                <w:rFonts w:eastAsia="Calibri"/>
                <w:sz w:val="20"/>
                <w:lang w:val="fr-CA"/>
              </w:rPr>
              <w:t>7 avril 2011</w:t>
            </w:r>
          </w:p>
          <w:p w:rsidR="00BA18A2" w:rsidRPr="00DF05B0" w:rsidRDefault="00BA18A2" w:rsidP="00741DC5">
            <w:pPr>
              <w:jc w:val="both"/>
              <w:rPr>
                <w:rFonts w:eastAsia="Calibri"/>
                <w:sz w:val="20"/>
                <w:lang w:val="fr-CA"/>
              </w:rPr>
            </w:pPr>
            <w:r w:rsidRPr="00DF05B0">
              <w:rPr>
                <w:rFonts w:eastAsia="Calibri"/>
                <w:sz w:val="20"/>
                <w:lang w:val="fr-CA"/>
              </w:rPr>
              <w:t>Cour d’appel de l’Île</w:t>
            </w:r>
            <w:r w:rsidRPr="00DF05B0">
              <w:rPr>
                <w:rFonts w:eastAsia="Calibri"/>
                <w:sz w:val="20"/>
                <w:lang w:val="fr-CA"/>
              </w:rPr>
              <w:noBreakHyphen/>
              <w:t>du</w:t>
            </w:r>
            <w:r w:rsidRPr="00DF05B0">
              <w:rPr>
                <w:rFonts w:eastAsia="Calibri"/>
                <w:sz w:val="20"/>
                <w:lang w:val="fr-CA"/>
              </w:rPr>
              <w:noBreakHyphen/>
              <w:t>Prince</w:t>
            </w:r>
            <w:r w:rsidRPr="00DF05B0">
              <w:rPr>
                <w:rFonts w:eastAsia="Calibri"/>
                <w:sz w:val="20"/>
                <w:lang w:val="fr-CA"/>
              </w:rPr>
              <w:noBreakHyphen/>
              <w:t xml:space="preserve">Édouard </w:t>
            </w:r>
          </w:p>
          <w:p w:rsidR="00BA18A2" w:rsidRPr="00DF05B0" w:rsidRDefault="00BA18A2" w:rsidP="00741DC5">
            <w:pPr>
              <w:jc w:val="both"/>
              <w:rPr>
                <w:rFonts w:eastAsia="Calibri"/>
                <w:sz w:val="20"/>
                <w:lang w:val="fr-CA"/>
              </w:rPr>
            </w:pPr>
            <w:r w:rsidRPr="00DF05B0">
              <w:rPr>
                <w:rFonts w:eastAsia="Calibri"/>
                <w:sz w:val="20"/>
                <w:lang w:val="fr-CA"/>
              </w:rPr>
              <w:t>(Juges McQuaid, Murphy et Campbell)</w:t>
            </w:r>
          </w:p>
          <w:p w:rsidR="00BA18A2" w:rsidRPr="00DF05B0" w:rsidRDefault="00BA18A2" w:rsidP="00741DC5">
            <w:pPr>
              <w:jc w:val="both"/>
              <w:rPr>
                <w:rFonts w:eastAsia="Calibri"/>
                <w:sz w:val="20"/>
                <w:lang w:val="fr-CA"/>
              </w:rPr>
            </w:pPr>
            <w:r w:rsidRPr="00DF05B0">
              <w:rPr>
                <w:rFonts w:eastAsia="Calibri"/>
                <w:sz w:val="20"/>
                <w:lang w:val="fr-CA"/>
              </w:rPr>
              <w:t>2011 PECA 7</w:t>
            </w:r>
          </w:p>
          <w:p w:rsidR="00BA18A2" w:rsidRPr="00DF05B0" w:rsidRDefault="00BA18A2" w:rsidP="00741DC5">
            <w:pPr>
              <w:jc w:val="both"/>
              <w:rPr>
                <w:rFonts w:eastAsia="Calibri"/>
                <w:sz w:val="20"/>
                <w:lang w:val="fr-CA"/>
              </w:rPr>
            </w:pPr>
          </w:p>
        </w:tc>
        <w:tc>
          <w:tcPr>
            <w:tcW w:w="243" w:type="pct"/>
          </w:tcPr>
          <w:p w:rsidR="00BA18A2" w:rsidRPr="00DF05B0" w:rsidRDefault="00BA18A2" w:rsidP="00741DC5">
            <w:pPr>
              <w:jc w:val="both"/>
              <w:rPr>
                <w:rFonts w:eastAsia="Calibri"/>
                <w:sz w:val="20"/>
                <w:lang w:val="fr-CA"/>
              </w:rPr>
            </w:pPr>
          </w:p>
        </w:tc>
        <w:tc>
          <w:tcPr>
            <w:tcW w:w="2330" w:type="pct"/>
          </w:tcPr>
          <w:p w:rsidR="00BA18A2" w:rsidRPr="00DF05B0" w:rsidRDefault="00BA18A2" w:rsidP="00741DC5">
            <w:pPr>
              <w:jc w:val="both"/>
              <w:rPr>
                <w:rFonts w:eastAsia="Calibri"/>
                <w:sz w:val="20"/>
                <w:lang w:val="fr-CA"/>
              </w:rPr>
            </w:pPr>
            <w:r w:rsidRPr="00DF05B0">
              <w:rPr>
                <w:rFonts w:eastAsia="Calibri"/>
                <w:sz w:val="20"/>
                <w:lang w:val="fr-CA"/>
              </w:rPr>
              <w:t>Appel rejeté</w:t>
            </w:r>
          </w:p>
          <w:p w:rsidR="00BA18A2" w:rsidRPr="00DF05B0" w:rsidRDefault="00BA18A2" w:rsidP="00741DC5">
            <w:pPr>
              <w:jc w:val="both"/>
              <w:rPr>
                <w:rFonts w:eastAsia="Calibri"/>
                <w:sz w:val="20"/>
                <w:lang w:val="fr-CA"/>
              </w:rPr>
            </w:pPr>
          </w:p>
        </w:tc>
      </w:tr>
      <w:tr w:rsidR="00BA18A2" w:rsidRPr="00DF05B0" w:rsidTr="00741DC5">
        <w:tc>
          <w:tcPr>
            <w:tcW w:w="2427" w:type="pct"/>
          </w:tcPr>
          <w:p w:rsidR="00BA18A2" w:rsidRPr="00DF05B0" w:rsidRDefault="00BA18A2" w:rsidP="00741DC5">
            <w:pPr>
              <w:jc w:val="both"/>
              <w:rPr>
                <w:rFonts w:eastAsia="Calibri"/>
                <w:sz w:val="20"/>
                <w:lang w:val="fr-CA"/>
              </w:rPr>
            </w:pPr>
            <w:r w:rsidRPr="00DF05B0">
              <w:rPr>
                <w:rFonts w:eastAsia="Calibri"/>
                <w:sz w:val="20"/>
                <w:lang w:val="fr-CA"/>
              </w:rPr>
              <w:t>1</w:t>
            </w:r>
            <w:r w:rsidRPr="00DF05B0">
              <w:rPr>
                <w:rFonts w:eastAsia="Calibri"/>
                <w:sz w:val="20"/>
                <w:vertAlign w:val="superscript"/>
                <w:lang w:val="fr-CA"/>
              </w:rPr>
              <w:t>er</w:t>
            </w:r>
            <w:r w:rsidRPr="00DF05B0">
              <w:rPr>
                <w:rFonts w:eastAsia="Calibri"/>
                <w:sz w:val="20"/>
                <w:lang w:val="fr-CA"/>
              </w:rPr>
              <w:t xml:space="preserve"> juin 2011</w:t>
            </w:r>
          </w:p>
          <w:p w:rsidR="00BA18A2" w:rsidRPr="00DF05B0" w:rsidRDefault="00BA18A2" w:rsidP="00741DC5">
            <w:pPr>
              <w:jc w:val="both"/>
              <w:rPr>
                <w:rFonts w:eastAsia="Calibri"/>
                <w:sz w:val="20"/>
                <w:lang w:val="fr-CA"/>
              </w:rPr>
            </w:pPr>
            <w:r w:rsidRPr="00DF05B0">
              <w:rPr>
                <w:rFonts w:eastAsia="Calibri"/>
                <w:sz w:val="20"/>
                <w:lang w:val="fr-CA"/>
              </w:rPr>
              <w:t>Cour suprême du Canada</w:t>
            </w:r>
          </w:p>
        </w:tc>
        <w:tc>
          <w:tcPr>
            <w:tcW w:w="243" w:type="pct"/>
          </w:tcPr>
          <w:p w:rsidR="00BA18A2" w:rsidRPr="00DF05B0" w:rsidRDefault="00BA18A2" w:rsidP="00741DC5">
            <w:pPr>
              <w:jc w:val="both"/>
              <w:rPr>
                <w:rFonts w:eastAsia="Calibri"/>
                <w:sz w:val="20"/>
                <w:lang w:val="fr-CA"/>
              </w:rPr>
            </w:pPr>
          </w:p>
        </w:tc>
        <w:tc>
          <w:tcPr>
            <w:tcW w:w="2330" w:type="pct"/>
          </w:tcPr>
          <w:p w:rsidR="00BA18A2" w:rsidRPr="00DF05B0" w:rsidRDefault="00BA18A2" w:rsidP="00741DC5">
            <w:pPr>
              <w:jc w:val="both"/>
              <w:rPr>
                <w:rFonts w:eastAsia="Calibri"/>
                <w:sz w:val="20"/>
                <w:lang w:val="fr-CA"/>
              </w:rPr>
            </w:pPr>
            <w:r w:rsidRPr="00DF05B0">
              <w:rPr>
                <w:rFonts w:eastAsia="Calibri"/>
                <w:sz w:val="20"/>
                <w:lang w:val="fr-CA"/>
              </w:rPr>
              <w:t>Demande d’autorisation d’appel déposée</w:t>
            </w:r>
          </w:p>
          <w:p w:rsidR="00BA18A2" w:rsidRPr="00DF05B0" w:rsidRDefault="00BA18A2" w:rsidP="00741DC5">
            <w:pPr>
              <w:jc w:val="both"/>
              <w:rPr>
                <w:rFonts w:eastAsia="Calibri"/>
                <w:sz w:val="20"/>
                <w:lang w:val="fr-CA"/>
              </w:rPr>
            </w:pPr>
          </w:p>
        </w:tc>
      </w:tr>
    </w:tbl>
    <w:p w:rsidR="00BA18A2" w:rsidRDefault="00BA18A2" w:rsidP="00BA18A2">
      <w:pPr>
        <w:rPr>
          <w:sz w:val="20"/>
          <w:szCs w:val="20"/>
        </w:rPr>
      </w:pPr>
    </w:p>
    <w:p w:rsidR="00BA18A2" w:rsidRDefault="00460701" w:rsidP="00BA18A2">
      <w:pPr>
        <w:rPr>
          <w:sz w:val="20"/>
          <w:szCs w:val="20"/>
          <w:lang w:val="fr-CA"/>
        </w:rPr>
      </w:pPr>
      <w:r w:rsidRPr="00460701">
        <w:rPr>
          <w:sz w:val="20"/>
          <w:szCs w:val="20"/>
          <w:lang w:val="fr-CA"/>
        </w:rPr>
        <w:pict>
          <v:rect id="_x0000_i1053" style="width:2in;height:1pt" o:hrpct="0" o:hralign="center" o:hrstd="t" o:hrnoshade="t" o:hr="t" fillcolor="black [3213]" stroked="f"/>
        </w:pict>
      </w:r>
    </w:p>
    <w:p w:rsidR="00BA18A2" w:rsidRDefault="00BA18A2" w:rsidP="00BA18A2">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BA18A2" w:rsidRPr="004408EF" w:rsidTr="00741DC5">
        <w:trPr>
          <w:cantSplit/>
        </w:trPr>
        <w:tc>
          <w:tcPr>
            <w:tcW w:w="1458" w:type="dxa"/>
          </w:tcPr>
          <w:p w:rsidR="00BA18A2" w:rsidRPr="004408EF" w:rsidRDefault="00BA18A2" w:rsidP="00741DC5">
            <w:pPr>
              <w:rPr>
                <w:sz w:val="20"/>
                <w:szCs w:val="20"/>
              </w:rPr>
            </w:pPr>
            <w:r w:rsidRPr="004408EF">
              <w:rPr>
                <w:rStyle w:val="SCCFileNumberChar"/>
                <w:sz w:val="20"/>
                <w:szCs w:val="20"/>
              </w:rPr>
              <w:t>34292</w:t>
            </w:r>
          </w:p>
          <w:p w:rsidR="00BA18A2" w:rsidRPr="004408EF" w:rsidRDefault="00BA18A2" w:rsidP="00741DC5">
            <w:pPr>
              <w:rPr>
                <w:b/>
                <w:sz w:val="20"/>
                <w:szCs w:val="20"/>
                <w:lang w:val="fr-CA"/>
              </w:rPr>
            </w:pPr>
          </w:p>
        </w:tc>
        <w:tc>
          <w:tcPr>
            <w:tcW w:w="8118" w:type="dxa"/>
          </w:tcPr>
          <w:p w:rsidR="00BA18A2" w:rsidRPr="004408EF" w:rsidRDefault="00BA18A2" w:rsidP="00741DC5">
            <w:pPr>
              <w:jc w:val="both"/>
              <w:rPr>
                <w:sz w:val="20"/>
                <w:szCs w:val="20"/>
              </w:rPr>
            </w:pPr>
            <w:r w:rsidRPr="00BA18A2">
              <w:rPr>
                <w:rStyle w:val="SCCLsocChar"/>
                <w:sz w:val="20"/>
                <w:szCs w:val="20"/>
                <w:lang w:val="en-CA"/>
              </w:rPr>
              <w:t>Sure Shot Sandblasting &amp; Painting Ltd. and 1150044 Alberta Ltd. v. Canbar West Projects Ltd., carrying on business under the name and style of Can-West Projects Ltd., Can-West Projects and the said Canbar West Projects Ltd. and the said Can-West Projects Ltd., and the said Can-West Projects</w:t>
            </w:r>
            <w:r w:rsidRPr="004408EF">
              <w:rPr>
                <w:sz w:val="20"/>
                <w:szCs w:val="20"/>
              </w:rPr>
              <w:t xml:space="preserve"> (Alta.) (Civil) (By Leave)</w:t>
            </w:r>
          </w:p>
          <w:p w:rsidR="00BA18A2" w:rsidRPr="004408EF" w:rsidRDefault="00BA18A2" w:rsidP="00741DC5">
            <w:pPr>
              <w:rPr>
                <w:sz w:val="20"/>
                <w:szCs w:val="20"/>
              </w:rPr>
            </w:pPr>
          </w:p>
        </w:tc>
      </w:tr>
      <w:tr w:rsidR="00BA18A2" w:rsidRPr="004408EF" w:rsidTr="00741DC5">
        <w:trPr>
          <w:cantSplit/>
        </w:trPr>
        <w:tc>
          <w:tcPr>
            <w:tcW w:w="1458" w:type="dxa"/>
          </w:tcPr>
          <w:p w:rsidR="00BA18A2" w:rsidRPr="004408EF" w:rsidRDefault="00BA18A2" w:rsidP="00741DC5">
            <w:pPr>
              <w:rPr>
                <w:sz w:val="20"/>
                <w:szCs w:val="20"/>
              </w:rPr>
            </w:pPr>
            <w:r w:rsidRPr="004408EF">
              <w:rPr>
                <w:sz w:val="20"/>
                <w:szCs w:val="20"/>
              </w:rPr>
              <w:t>Coram :</w:t>
            </w:r>
          </w:p>
        </w:tc>
        <w:tc>
          <w:tcPr>
            <w:tcW w:w="8118" w:type="dxa"/>
          </w:tcPr>
          <w:p w:rsidR="00BA18A2" w:rsidRPr="004408EF" w:rsidRDefault="00BA18A2" w:rsidP="00741DC5">
            <w:pPr>
              <w:rPr>
                <w:sz w:val="20"/>
                <w:szCs w:val="20"/>
              </w:rPr>
            </w:pPr>
            <w:r w:rsidRPr="00BA18A2">
              <w:rPr>
                <w:rStyle w:val="SCCCoramChar"/>
                <w:sz w:val="20"/>
                <w:lang w:val="en-CA"/>
              </w:rPr>
              <w:t>Binnie, Abella and Rothstein JJ.</w:t>
            </w:r>
          </w:p>
          <w:p w:rsidR="00BA18A2" w:rsidRPr="004408EF" w:rsidRDefault="00BA18A2" w:rsidP="00741DC5">
            <w:pPr>
              <w:rPr>
                <w:sz w:val="20"/>
                <w:szCs w:val="20"/>
                <w:u w:val="single"/>
              </w:rPr>
            </w:pPr>
          </w:p>
        </w:tc>
      </w:tr>
      <w:tr w:rsidR="00BA18A2" w:rsidRPr="00BA18A2" w:rsidTr="00741DC5">
        <w:trPr>
          <w:cantSplit/>
        </w:trPr>
        <w:tc>
          <w:tcPr>
            <w:tcW w:w="9576" w:type="dxa"/>
            <w:gridSpan w:val="2"/>
          </w:tcPr>
          <w:p w:rsidR="00BA18A2" w:rsidRPr="004408EF" w:rsidRDefault="00BA18A2" w:rsidP="00741DC5">
            <w:pPr>
              <w:pStyle w:val="SCCShortJudgment"/>
              <w:rPr>
                <w:szCs w:val="20"/>
              </w:rPr>
            </w:pPr>
            <w:r w:rsidRPr="004408EF">
              <w:rPr>
                <w:szCs w:val="20"/>
              </w:rPr>
              <w:lastRenderedPageBreak/>
              <w:t>The application for leave to appeal from the judgment of the Court of Appeal of Alberta (Edmonton), Number 1003-0205-AC, 2011 ABCA 107, dated April 5, 2011, is dismissed with costs.</w:t>
            </w:r>
          </w:p>
          <w:p w:rsidR="00BA18A2" w:rsidRPr="004408EF" w:rsidRDefault="00BA18A2" w:rsidP="00741DC5">
            <w:pPr>
              <w:pStyle w:val="SCCShortJudgment"/>
              <w:ind w:firstLine="0"/>
              <w:rPr>
                <w:szCs w:val="20"/>
              </w:rPr>
            </w:pPr>
          </w:p>
          <w:p w:rsidR="00BA18A2" w:rsidRPr="004408EF" w:rsidRDefault="00BA18A2" w:rsidP="00741DC5">
            <w:pPr>
              <w:pStyle w:val="SCCShortJudgment"/>
              <w:rPr>
                <w:szCs w:val="20"/>
                <w:lang w:val="fr-CA"/>
              </w:rPr>
            </w:pPr>
            <w:r w:rsidRPr="004408EF">
              <w:rPr>
                <w:szCs w:val="20"/>
                <w:lang w:val="fr-CA"/>
              </w:rPr>
              <w:t>La demande d’autorisation d’appel de l’arrêt de la Cour d'appel de l’Alberta (Edmonton), numéro 1003-0205-AC, 2011 ABCA 107, daté du 5 avril 2011, est rejetée avec dépens.</w:t>
            </w:r>
          </w:p>
        </w:tc>
      </w:tr>
    </w:tbl>
    <w:p w:rsidR="00BA18A2" w:rsidRPr="00C425BA" w:rsidRDefault="00BA18A2" w:rsidP="00BA18A2">
      <w:pPr>
        <w:rPr>
          <w:sz w:val="20"/>
          <w:szCs w:val="20"/>
          <w:lang w:val="fr-CA"/>
        </w:rPr>
      </w:pPr>
    </w:p>
    <w:p w:rsidR="00BA18A2" w:rsidRDefault="00BA18A2" w:rsidP="00BA18A2">
      <w:pPr>
        <w:rPr>
          <w:sz w:val="20"/>
          <w:szCs w:val="20"/>
        </w:rPr>
      </w:pPr>
      <w:r>
        <w:rPr>
          <w:sz w:val="20"/>
          <w:szCs w:val="20"/>
          <w:u w:val="single"/>
        </w:rPr>
        <w:t>CASE SUMMARY</w:t>
      </w:r>
    </w:p>
    <w:p w:rsidR="00BA18A2" w:rsidRDefault="00BA18A2" w:rsidP="00BA18A2">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BA18A2" w:rsidRPr="00DF05B0" w:rsidTr="00741DC5">
        <w:tc>
          <w:tcPr>
            <w:tcW w:w="5000" w:type="pct"/>
            <w:gridSpan w:val="3"/>
          </w:tcPr>
          <w:p w:rsidR="00BA18A2" w:rsidRPr="00DF05B0" w:rsidRDefault="00BA18A2" w:rsidP="00741DC5">
            <w:pPr>
              <w:jc w:val="both"/>
              <w:rPr>
                <w:rFonts w:eastAsia="Calibri"/>
                <w:sz w:val="20"/>
              </w:rPr>
            </w:pPr>
            <w:r w:rsidRPr="00DF05B0">
              <w:rPr>
                <w:rFonts w:eastAsia="Calibri"/>
                <w:sz w:val="20"/>
              </w:rPr>
              <w:t xml:space="preserve">Liens — Builders’ liens — Property — Real property — Legislation — Interpretation — Chambers judge holding respondents’ lien to be invalid — Court of Appeal vacating declaration of invalidity and restoring certificate of </w:t>
            </w:r>
            <w:r w:rsidRPr="00DF05B0">
              <w:rPr>
                <w:rFonts w:eastAsia="Calibri"/>
                <w:i/>
                <w:sz w:val="20"/>
              </w:rPr>
              <w:t>lis pendens</w:t>
            </w:r>
            <w:r w:rsidRPr="00DF05B0">
              <w:rPr>
                <w:rFonts w:eastAsia="Calibri"/>
                <w:sz w:val="20"/>
              </w:rPr>
              <w:t xml:space="preserve"> — Whether Court of Appeal erred in concluding that Canbar West Projects Ltd. was “a person” entitled to seek the rights of a lien claimant — Whether a valid legal entity can adopt a pre</w:t>
            </w:r>
            <w:r w:rsidRPr="00DF05B0">
              <w:rPr>
                <w:rFonts w:eastAsia="Calibri"/>
                <w:sz w:val="20"/>
              </w:rPr>
              <w:noBreakHyphen/>
              <w:t xml:space="preserve">incorporation agreement without taking any steps formally or informally to do so — </w:t>
            </w:r>
            <w:r w:rsidRPr="00DF05B0">
              <w:rPr>
                <w:rFonts w:eastAsia="Calibri"/>
                <w:i/>
                <w:sz w:val="20"/>
              </w:rPr>
              <w:t>Builders’ Lien Act</w:t>
            </w:r>
            <w:r w:rsidRPr="00DF05B0">
              <w:rPr>
                <w:rFonts w:eastAsia="Calibri"/>
                <w:sz w:val="20"/>
              </w:rPr>
              <w:t>, R.S.A. 2000, c. B</w:t>
            </w:r>
            <w:r w:rsidRPr="00DF05B0">
              <w:rPr>
                <w:rFonts w:eastAsia="Calibri"/>
                <w:sz w:val="20"/>
              </w:rPr>
              <w:noBreakHyphen/>
              <w:t xml:space="preserve">7, s. 6(1) — </w:t>
            </w:r>
            <w:r w:rsidRPr="00DF05B0">
              <w:rPr>
                <w:rFonts w:eastAsia="Calibri"/>
                <w:i/>
                <w:sz w:val="20"/>
              </w:rPr>
              <w:t>Business Corporations Act</w:t>
            </w:r>
            <w:r w:rsidRPr="00DF05B0">
              <w:rPr>
                <w:rFonts w:eastAsia="Calibri"/>
                <w:sz w:val="20"/>
              </w:rPr>
              <w:t>, R.S.A. 2000, c. B</w:t>
            </w:r>
            <w:r w:rsidRPr="00DF05B0">
              <w:rPr>
                <w:rFonts w:eastAsia="Calibri"/>
                <w:sz w:val="20"/>
              </w:rPr>
              <w:noBreakHyphen/>
              <w:t>9, s. 15.</w:t>
            </w:r>
          </w:p>
        </w:tc>
      </w:tr>
      <w:tr w:rsidR="00BA18A2" w:rsidRPr="00DF05B0" w:rsidTr="00741DC5">
        <w:tc>
          <w:tcPr>
            <w:tcW w:w="5000" w:type="pct"/>
            <w:gridSpan w:val="3"/>
          </w:tcPr>
          <w:p w:rsidR="00BA18A2" w:rsidRPr="00DF05B0" w:rsidRDefault="00BA18A2" w:rsidP="00741DC5">
            <w:pPr>
              <w:jc w:val="both"/>
              <w:rPr>
                <w:rFonts w:eastAsia="Calibri"/>
                <w:sz w:val="20"/>
              </w:rPr>
            </w:pPr>
          </w:p>
        </w:tc>
      </w:tr>
      <w:tr w:rsidR="00BA18A2" w:rsidRPr="00DF05B0" w:rsidTr="00741DC5">
        <w:tc>
          <w:tcPr>
            <w:tcW w:w="5000" w:type="pct"/>
            <w:gridSpan w:val="3"/>
          </w:tcPr>
          <w:p w:rsidR="00BA18A2" w:rsidRPr="00DF05B0" w:rsidRDefault="00BA18A2" w:rsidP="00741DC5">
            <w:pPr>
              <w:jc w:val="both"/>
              <w:rPr>
                <w:rFonts w:eastAsia="Calibri"/>
                <w:sz w:val="20"/>
              </w:rPr>
            </w:pPr>
            <w:r w:rsidRPr="00DF05B0">
              <w:rPr>
                <w:rFonts w:eastAsia="Calibri"/>
                <w:sz w:val="20"/>
              </w:rPr>
              <w:t xml:space="preserve">In a summary decision pursuant to the provisions of the </w:t>
            </w:r>
            <w:r w:rsidRPr="00DF05B0">
              <w:rPr>
                <w:rFonts w:eastAsia="Calibri"/>
                <w:i/>
                <w:sz w:val="20"/>
              </w:rPr>
              <w:t>Builders’ Lien Act</w:t>
            </w:r>
            <w:r w:rsidRPr="00DF05B0">
              <w:rPr>
                <w:rFonts w:eastAsia="Calibri"/>
                <w:sz w:val="20"/>
              </w:rPr>
              <w:t xml:space="preserve">, a chambers judge declared the respondents’ builders’ lien invalid and ordered that their certificate of </w:t>
            </w:r>
            <w:r w:rsidRPr="00DF05B0">
              <w:rPr>
                <w:rFonts w:eastAsia="Calibri"/>
                <w:i/>
                <w:sz w:val="20"/>
              </w:rPr>
              <w:t>lis pendens</w:t>
            </w:r>
            <w:r w:rsidRPr="00DF05B0">
              <w:rPr>
                <w:rFonts w:eastAsia="Calibri"/>
                <w:sz w:val="20"/>
              </w:rPr>
              <w:t xml:space="preserve"> be vacated.  The judge noted that the party named in the construction agreement was "Can</w:t>
            </w:r>
            <w:r w:rsidRPr="00DF05B0">
              <w:rPr>
                <w:rFonts w:eastAsia="Calibri"/>
                <w:sz w:val="20"/>
              </w:rPr>
              <w:noBreakHyphen/>
              <w:t>West Projects Ltd.", but that corporation never came into existence.  If a person did not exist, it could not maintain builders' lien rights.  Further, Canbar West Projects Ltd. did not notify the applicants of its incorporation and the role it was playing in the project, nor did it adopt the agreement.  While the lien</w:t>
            </w:r>
            <w:r w:rsidRPr="00DF05B0">
              <w:rPr>
                <w:rFonts w:eastAsia="Calibri"/>
                <w:sz w:val="20"/>
              </w:rPr>
              <w:noBreakHyphen/>
              <w:t>holder (i.e. Canbar West Projects Ltd.) existed, the person who allegedly did the work (i.e. "Can</w:t>
            </w:r>
            <w:r w:rsidRPr="00DF05B0">
              <w:rPr>
                <w:rFonts w:eastAsia="Calibri"/>
                <w:sz w:val="20"/>
              </w:rPr>
              <w:noBreakHyphen/>
              <w:t>West Projects Ltd.") did not.  The chambers judge held that the potential for confusion was real, because an actual company named "Can</w:t>
            </w:r>
            <w:r w:rsidRPr="00DF05B0">
              <w:rPr>
                <w:rFonts w:eastAsia="Calibri"/>
                <w:sz w:val="20"/>
              </w:rPr>
              <w:noBreakHyphen/>
              <w:t xml:space="preserve">West Projects Ltd." existed, which would make upholding the builders' lien on the land prejudicial to the applicants.  </w:t>
            </w:r>
          </w:p>
          <w:p w:rsidR="00BA18A2" w:rsidRPr="00DF05B0" w:rsidRDefault="00BA18A2" w:rsidP="00741DC5">
            <w:pPr>
              <w:jc w:val="both"/>
              <w:rPr>
                <w:rFonts w:eastAsia="Calibri"/>
                <w:sz w:val="20"/>
              </w:rPr>
            </w:pPr>
          </w:p>
          <w:p w:rsidR="00BA18A2" w:rsidRPr="00DF05B0" w:rsidRDefault="00BA18A2" w:rsidP="00741DC5">
            <w:pPr>
              <w:jc w:val="both"/>
              <w:rPr>
                <w:rFonts w:eastAsia="Calibri"/>
                <w:sz w:val="20"/>
              </w:rPr>
            </w:pPr>
            <w:r w:rsidRPr="00DF05B0">
              <w:rPr>
                <w:rFonts w:eastAsia="Calibri"/>
                <w:sz w:val="20"/>
              </w:rPr>
              <w:t xml:space="preserve">The Court of Appeal allowed the respondents’ appeal of that decision, vacated the declaration of invalidity and restored the certificate of </w:t>
            </w:r>
            <w:r w:rsidRPr="00DF05B0">
              <w:rPr>
                <w:rFonts w:eastAsia="Calibri"/>
                <w:i/>
                <w:sz w:val="20"/>
              </w:rPr>
              <w:t>lis pendens</w:t>
            </w:r>
            <w:r w:rsidRPr="00DF05B0">
              <w:rPr>
                <w:rFonts w:eastAsia="Calibri"/>
                <w:sz w:val="20"/>
              </w:rPr>
              <w:t>.</w:t>
            </w:r>
          </w:p>
          <w:p w:rsidR="00BA18A2" w:rsidRPr="00DF05B0" w:rsidRDefault="00BA18A2" w:rsidP="00741DC5">
            <w:pPr>
              <w:jc w:val="both"/>
              <w:rPr>
                <w:rFonts w:eastAsia="Calibri"/>
                <w:sz w:val="20"/>
              </w:rPr>
            </w:pPr>
          </w:p>
        </w:tc>
      </w:tr>
      <w:tr w:rsidR="00BA18A2" w:rsidRPr="00DF05B0" w:rsidTr="00741DC5">
        <w:tc>
          <w:tcPr>
            <w:tcW w:w="2427" w:type="pct"/>
          </w:tcPr>
          <w:p w:rsidR="00BA18A2" w:rsidRPr="00DF05B0" w:rsidRDefault="00BA18A2" w:rsidP="00741DC5">
            <w:pPr>
              <w:jc w:val="both"/>
              <w:rPr>
                <w:rFonts w:eastAsia="Calibri"/>
                <w:sz w:val="20"/>
              </w:rPr>
            </w:pPr>
            <w:r w:rsidRPr="00DF05B0">
              <w:rPr>
                <w:rFonts w:eastAsia="Calibri"/>
                <w:sz w:val="20"/>
              </w:rPr>
              <w:t>May 19, 2010</w:t>
            </w:r>
          </w:p>
          <w:p w:rsidR="00BA18A2" w:rsidRPr="00DF05B0" w:rsidRDefault="00BA18A2" w:rsidP="00741DC5">
            <w:pPr>
              <w:jc w:val="both"/>
              <w:rPr>
                <w:rFonts w:eastAsia="Calibri"/>
                <w:sz w:val="20"/>
              </w:rPr>
            </w:pPr>
            <w:r w:rsidRPr="00DF05B0">
              <w:rPr>
                <w:rFonts w:eastAsia="Calibri"/>
                <w:sz w:val="20"/>
              </w:rPr>
              <w:t>Court of Queen’s Bench of Alberta</w:t>
            </w:r>
          </w:p>
          <w:p w:rsidR="00BA18A2" w:rsidRPr="00DF05B0" w:rsidRDefault="00BA18A2" w:rsidP="00741DC5">
            <w:pPr>
              <w:jc w:val="both"/>
              <w:rPr>
                <w:rFonts w:eastAsia="Calibri"/>
                <w:sz w:val="20"/>
              </w:rPr>
            </w:pPr>
            <w:r w:rsidRPr="00DF05B0">
              <w:rPr>
                <w:rFonts w:eastAsia="Calibri"/>
                <w:sz w:val="20"/>
              </w:rPr>
              <w:t>(Yamauchi J.)</w:t>
            </w:r>
          </w:p>
          <w:p w:rsidR="00BA18A2" w:rsidRPr="00DF05B0" w:rsidRDefault="00BA18A2" w:rsidP="00741DC5">
            <w:pPr>
              <w:jc w:val="both"/>
              <w:rPr>
                <w:rFonts w:eastAsia="Calibri"/>
                <w:sz w:val="20"/>
              </w:rPr>
            </w:pPr>
            <w:r w:rsidRPr="00DF05B0">
              <w:rPr>
                <w:rFonts w:eastAsia="Calibri"/>
                <w:sz w:val="20"/>
              </w:rPr>
              <w:t>2010 ABQB 372</w:t>
            </w:r>
          </w:p>
          <w:p w:rsidR="00BA18A2" w:rsidRPr="00DF05B0" w:rsidRDefault="00BA18A2" w:rsidP="00741DC5">
            <w:pPr>
              <w:jc w:val="both"/>
              <w:rPr>
                <w:rFonts w:eastAsia="Calibri"/>
                <w:sz w:val="20"/>
              </w:rPr>
            </w:pPr>
          </w:p>
        </w:tc>
        <w:tc>
          <w:tcPr>
            <w:tcW w:w="243" w:type="pct"/>
          </w:tcPr>
          <w:p w:rsidR="00BA18A2" w:rsidRPr="00DF05B0" w:rsidRDefault="00BA18A2" w:rsidP="00741DC5">
            <w:pPr>
              <w:jc w:val="both"/>
              <w:rPr>
                <w:rFonts w:eastAsia="Calibri"/>
                <w:sz w:val="20"/>
              </w:rPr>
            </w:pPr>
          </w:p>
        </w:tc>
        <w:tc>
          <w:tcPr>
            <w:tcW w:w="2330" w:type="pct"/>
          </w:tcPr>
          <w:p w:rsidR="00BA18A2" w:rsidRPr="00DF05B0" w:rsidRDefault="00BA18A2" w:rsidP="00741DC5">
            <w:pPr>
              <w:jc w:val="both"/>
              <w:rPr>
                <w:rFonts w:eastAsia="Calibri"/>
                <w:sz w:val="20"/>
              </w:rPr>
            </w:pPr>
            <w:r w:rsidRPr="00DF05B0">
              <w:rPr>
                <w:rFonts w:eastAsia="Calibri"/>
                <w:sz w:val="20"/>
              </w:rPr>
              <w:t>Application for declaration that lien is valid and subsisting dismissed; cross</w:t>
            </w:r>
            <w:r w:rsidRPr="00DF05B0">
              <w:rPr>
                <w:rFonts w:eastAsia="Calibri"/>
                <w:sz w:val="20"/>
              </w:rPr>
              <w:noBreakHyphen/>
              <w:t xml:space="preserve">application allowed and certificate of </w:t>
            </w:r>
            <w:r w:rsidRPr="00DF05B0">
              <w:rPr>
                <w:rFonts w:eastAsia="Calibri"/>
                <w:i/>
                <w:sz w:val="20"/>
              </w:rPr>
              <w:t>lis pendens</w:t>
            </w:r>
            <w:r w:rsidRPr="00DF05B0">
              <w:rPr>
                <w:rFonts w:eastAsia="Calibri"/>
                <w:sz w:val="20"/>
              </w:rPr>
              <w:t xml:space="preserve"> ordered to be vacated</w:t>
            </w:r>
          </w:p>
          <w:p w:rsidR="00BA18A2" w:rsidRPr="00DF05B0" w:rsidRDefault="00BA18A2" w:rsidP="00741DC5">
            <w:pPr>
              <w:jc w:val="both"/>
              <w:rPr>
                <w:rFonts w:eastAsia="Calibri"/>
                <w:sz w:val="20"/>
              </w:rPr>
            </w:pPr>
          </w:p>
        </w:tc>
      </w:tr>
      <w:tr w:rsidR="00BA18A2" w:rsidRPr="00DF05B0" w:rsidTr="00741DC5">
        <w:tc>
          <w:tcPr>
            <w:tcW w:w="2427" w:type="pct"/>
          </w:tcPr>
          <w:p w:rsidR="00BA18A2" w:rsidRPr="00DF05B0" w:rsidRDefault="00BA18A2" w:rsidP="00741DC5">
            <w:pPr>
              <w:jc w:val="both"/>
              <w:rPr>
                <w:rFonts w:eastAsia="Calibri"/>
                <w:sz w:val="20"/>
              </w:rPr>
            </w:pPr>
            <w:r w:rsidRPr="00DF05B0">
              <w:rPr>
                <w:rFonts w:eastAsia="Calibri"/>
                <w:sz w:val="20"/>
              </w:rPr>
              <w:t>April 5, 2011</w:t>
            </w:r>
          </w:p>
          <w:p w:rsidR="00BA18A2" w:rsidRPr="00DF05B0" w:rsidRDefault="00BA18A2" w:rsidP="00741DC5">
            <w:pPr>
              <w:jc w:val="both"/>
              <w:rPr>
                <w:rFonts w:eastAsia="Calibri"/>
                <w:sz w:val="20"/>
              </w:rPr>
            </w:pPr>
            <w:r w:rsidRPr="00DF05B0">
              <w:rPr>
                <w:rFonts w:eastAsia="Calibri"/>
                <w:sz w:val="20"/>
              </w:rPr>
              <w:t>Court of Appeal of Alberta</w:t>
            </w:r>
          </w:p>
          <w:p w:rsidR="00BA18A2" w:rsidRPr="00DF05B0" w:rsidRDefault="00BA18A2" w:rsidP="00741DC5">
            <w:pPr>
              <w:jc w:val="both"/>
              <w:rPr>
                <w:rFonts w:eastAsia="Calibri"/>
                <w:sz w:val="20"/>
              </w:rPr>
            </w:pPr>
            <w:r w:rsidRPr="00DF05B0">
              <w:rPr>
                <w:rFonts w:eastAsia="Calibri"/>
                <w:sz w:val="20"/>
              </w:rPr>
              <w:t>(Paperny, Ritter and Rowbotham JJ.A.)</w:t>
            </w:r>
          </w:p>
          <w:p w:rsidR="00BA18A2" w:rsidRPr="00DF05B0" w:rsidRDefault="00BA18A2" w:rsidP="00741DC5">
            <w:pPr>
              <w:jc w:val="both"/>
              <w:rPr>
                <w:rFonts w:eastAsia="Calibri"/>
                <w:sz w:val="20"/>
              </w:rPr>
            </w:pPr>
            <w:r w:rsidRPr="00DF05B0">
              <w:rPr>
                <w:rFonts w:eastAsia="Calibri"/>
                <w:sz w:val="20"/>
              </w:rPr>
              <w:t>2011 ABCA 107</w:t>
            </w:r>
          </w:p>
          <w:p w:rsidR="00BA18A2" w:rsidRPr="00DF05B0" w:rsidRDefault="00BA18A2" w:rsidP="00741DC5">
            <w:pPr>
              <w:jc w:val="both"/>
              <w:rPr>
                <w:rFonts w:eastAsia="Calibri"/>
                <w:sz w:val="20"/>
              </w:rPr>
            </w:pPr>
          </w:p>
        </w:tc>
        <w:tc>
          <w:tcPr>
            <w:tcW w:w="243" w:type="pct"/>
          </w:tcPr>
          <w:p w:rsidR="00BA18A2" w:rsidRPr="00DF05B0" w:rsidRDefault="00BA18A2" w:rsidP="00741DC5">
            <w:pPr>
              <w:jc w:val="both"/>
              <w:rPr>
                <w:rFonts w:eastAsia="Calibri"/>
                <w:sz w:val="20"/>
              </w:rPr>
            </w:pPr>
          </w:p>
        </w:tc>
        <w:tc>
          <w:tcPr>
            <w:tcW w:w="2330" w:type="pct"/>
          </w:tcPr>
          <w:p w:rsidR="00BA18A2" w:rsidRPr="00DF05B0" w:rsidRDefault="00BA18A2" w:rsidP="00741DC5">
            <w:pPr>
              <w:jc w:val="both"/>
              <w:rPr>
                <w:rFonts w:eastAsia="Calibri"/>
                <w:sz w:val="20"/>
              </w:rPr>
            </w:pPr>
            <w:r w:rsidRPr="00DF05B0">
              <w:rPr>
                <w:rFonts w:eastAsia="Calibri"/>
                <w:sz w:val="20"/>
              </w:rPr>
              <w:t xml:space="preserve">Appeal allowed; declaration of invalidity vacated and certificate of </w:t>
            </w:r>
            <w:r w:rsidRPr="00DF05B0">
              <w:rPr>
                <w:rFonts w:eastAsia="Calibri"/>
                <w:i/>
                <w:sz w:val="20"/>
              </w:rPr>
              <w:t>lis pendens</w:t>
            </w:r>
            <w:r w:rsidRPr="00DF05B0">
              <w:rPr>
                <w:rFonts w:eastAsia="Calibri"/>
                <w:sz w:val="20"/>
              </w:rPr>
              <w:t xml:space="preserve"> restored</w:t>
            </w:r>
          </w:p>
          <w:p w:rsidR="00BA18A2" w:rsidRPr="00DF05B0" w:rsidRDefault="00BA18A2" w:rsidP="00741DC5">
            <w:pPr>
              <w:jc w:val="both"/>
              <w:rPr>
                <w:rFonts w:eastAsia="Calibri"/>
                <w:sz w:val="20"/>
              </w:rPr>
            </w:pPr>
          </w:p>
        </w:tc>
      </w:tr>
      <w:tr w:rsidR="00BA18A2" w:rsidRPr="00DF05B0" w:rsidTr="00741DC5">
        <w:tc>
          <w:tcPr>
            <w:tcW w:w="2427" w:type="pct"/>
          </w:tcPr>
          <w:p w:rsidR="00BA18A2" w:rsidRPr="00DF05B0" w:rsidRDefault="00BA18A2" w:rsidP="00741DC5">
            <w:pPr>
              <w:jc w:val="both"/>
              <w:rPr>
                <w:rFonts w:eastAsia="Calibri"/>
                <w:sz w:val="20"/>
              </w:rPr>
            </w:pPr>
            <w:r w:rsidRPr="00DF05B0">
              <w:rPr>
                <w:rFonts w:eastAsia="Calibri"/>
                <w:sz w:val="20"/>
              </w:rPr>
              <w:t>May 30, 2011</w:t>
            </w:r>
          </w:p>
          <w:p w:rsidR="00BA18A2" w:rsidRPr="00DF05B0" w:rsidRDefault="00BA18A2" w:rsidP="00741DC5">
            <w:pPr>
              <w:jc w:val="both"/>
              <w:rPr>
                <w:rFonts w:eastAsia="Calibri"/>
                <w:sz w:val="20"/>
              </w:rPr>
            </w:pPr>
            <w:r w:rsidRPr="00DF05B0">
              <w:rPr>
                <w:rFonts w:eastAsia="Calibri"/>
                <w:sz w:val="20"/>
              </w:rPr>
              <w:t>Supreme Court of Canada</w:t>
            </w:r>
          </w:p>
        </w:tc>
        <w:tc>
          <w:tcPr>
            <w:tcW w:w="243" w:type="pct"/>
          </w:tcPr>
          <w:p w:rsidR="00BA18A2" w:rsidRPr="00DF05B0" w:rsidRDefault="00BA18A2" w:rsidP="00741DC5">
            <w:pPr>
              <w:jc w:val="both"/>
              <w:rPr>
                <w:rFonts w:eastAsia="Calibri"/>
                <w:sz w:val="20"/>
              </w:rPr>
            </w:pPr>
          </w:p>
        </w:tc>
        <w:tc>
          <w:tcPr>
            <w:tcW w:w="2330" w:type="pct"/>
          </w:tcPr>
          <w:p w:rsidR="00BA18A2" w:rsidRPr="00DF05B0" w:rsidRDefault="00BA18A2" w:rsidP="00741DC5">
            <w:pPr>
              <w:jc w:val="both"/>
              <w:rPr>
                <w:rFonts w:eastAsia="Calibri"/>
                <w:sz w:val="20"/>
              </w:rPr>
            </w:pPr>
            <w:r w:rsidRPr="00DF05B0">
              <w:rPr>
                <w:rFonts w:eastAsia="Calibri"/>
                <w:sz w:val="20"/>
              </w:rPr>
              <w:t>Application for leave to appeal filed</w:t>
            </w:r>
          </w:p>
          <w:p w:rsidR="00BA18A2" w:rsidRPr="00DF05B0" w:rsidRDefault="00BA18A2" w:rsidP="00741DC5">
            <w:pPr>
              <w:jc w:val="both"/>
              <w:rPr>
                <w:rFonts w:eastAsia="Calibri"/>
                <w:sz w:val="20"/>
              </w:rPr>
            </w:pPr>
          </w:p>
        </w:tc>
      </w:tr>
    </w:tbl>
    <w:p w:rsidR="00BA18A2" w:rsidRDefault="00BA18A2" w:rsidP="00BA18A2">
      <w:pPr>
        <w:rPr>
          <w:sz w:val="20"/>
          <w:szCs w:val="20"/>
        </w:rPr>
      </w:pPr>
    </w:p>
    <w:p w:rsidR="00BA18A2" w:rsidRDefault="00460701" w:rsidP="00BA18A2">
      <w:pPr>
        <w:rPr>
          <w:sz w:val="20"/>
          <w:szCs w:val="20"/>
        </w:rPr>
      </w:pPr>
      <w:r w:rsidRPr="00460701">
        <w:rPr>
          <w:sz w:val="20"/>
          <w:szCs w:val="20"/>
          <w:lang w:val="fr-CA"/>
        </w:rPr>
        <w:pict>
          <v:rect id="_x0000_i1054" style="width:2in;height:1pt" o:hrpct="0" o:hralign="center" o:hrstd="t" o:hrnoshade="t" o:hr="t" fillcolor="black [3213]" stroked="f"/>
        </w:pict>
      </w:r>
    </w:p>
    <w:p w:rsidR="00BA18A2" w:rsidRDefault="00BA18A2" w:rsidP="00BA18A2">
      <w:pPr>
        <w:rPr>
          <w:sz w:val="20"/>
          <w:szCs w:val="20"/>
        </w:rPr>
      </w:pPr>
    </w:p>
    <w:p w:rsidR="00BA18A2" w:rsidRDefault="00BA18A2" w:rsidP="00BA18A2">
      <w:pPr>
        <w:rPr>
          <w:sz w:val="20"/>
          <w:szCs w:val="20"/>
        </w:rPr>
      </w:pPr>
      <w:r>
        <w:rPr>
          <w:sz w:val="20"/>
          <w:szCs w:val="20"/>
          <w:u w:val="single"/>
        </w:rPr>
        <w:t>RÉSUMÉ DE L’AFFAIRE</w:t>
      </w:r>
    </w:p>
    <w:p w:rsidR="00BA18A2" w:rsidRDefault="00BA18A2" w:rsidP="00BA18A2">
      <w:pPr>
        <w:rPr>
          <w:sz w:val="20"/>
          <w:szCs w:val="20"/>
        </w:rPr>
      </w:pPr>
    </w:p>
    <w:tbl>
      <w:tblPr>
        <w:tblW w:w="4952" w:type="pct"/>
        <w:tblLayout w:type="fixed"/>
        <w:tblCellMar>
          <w:left w:w="0" w:type="dxa"/>
          <w:bottom w:w="99" w:type="dxa"/>
          <w:right w:w="0" w:type="dxa"/>
        </w:tblCellMar>
        <w:tblLook w:val="00A0"/>
      </w:tblPr>
      <w:tblGrid>
        <w:gridCol w:w="4624"/>
        <w:gridCol w:w="463"/>
        <w:gridCol w:w="4440"/>
      </w:tblGrid>
      <w:tr w:rsidR="00BA18A2" w:rsidRPr="00DF05B0" w:rsidTr="00741DC5">
        <w:tc>
          <w:tcPr>
            <w:tcW w:w="5000" w:type="pct"/>
            <w:gridSpan w:val="3"/>
          </w:tcPr>
          <w:p w:rsidR="00BA18A2" w:rsidRPr="00DF05B0" w:rsidRDefault="00BA18A2" w:rsidP="00741DC5">
            <w:pPr>
              <w:jc w:val="both"/>
              <w:rPr>
                <w:rFonts w:eastAsia="Calibri"/>
                <w:sz w:val="20"/>
              </w:rPr>
            </w:pPr>
            <w:r w:rsidRPr="00DF05B0">
              <w:rPr>
                <w:rFonts w:eastAsia="Calibri"/>
                <w:sz w:val="20"/>
                <w:lang w:val="fr-CA"/>
              </w:rPr>
              <w:t xml:space="preserve">Privilèges — Privilèges du constructeur — Biens — Biens réels — Législation — Interprétation — Le juge siégeant en cabinet a conclu à l'invalidité du privilège des intimées — La Cour d'appel a annulé la déclaration d'invalidité et rétabli le certificat de </w:t>
            </w:r>
            <w:r w:rsidRPr="00DF05B0">
              <w:rPr>
                <w:rFonts w:eastAsia="Calibri"/>
                <w:i/>
                <w:sz w:val="20"/>
                <w:lang w:val="fr-CA"/>
              </w:rPr>
              <w:t>lis pendens</w:t>
            </w:r>
            <w:r w:rsidRPr="00DF05B0">
              <w:rPr>
                <w:rFonts w:eastAsia="Calibri"/>
                <w:sz w:val="20"/>
                <w:lang w:val="fr-CA"/>
              </w:rPr>
              <w:t xml:space="preserve"> — La Cour d'appel a</w:t>
            </w:r>
            <w:r w:rsidRPr="00DF05B0">
              <w:rPr>
                <w:rFonts w:eastAsia="Calibri"/>
                <w:sz w:val="20"/>
                <w:lang w:val="fr-CA"/>
              </w:rPr>
              <w:noBreakHyphen/>
              <w:t>t</w:t>
            </w:r>
            <w:r w:rsidRPr="00DF05B0">
              <w:rPr>
                <w:rFonts w:eastAsia="Calibri"/>
                <w:sz w:val="20"/>
                <w:lang w:val="fr-CA"/>
              </w:rPr>
              <w:noBreakHyphen/>
              <w:t>elle commis une erreur en concluant que Canbar West Projects Ltd. était « une personne » autorisée à réclamer les droits d'un revendicateur de privilège? — Une entité juridique valide peut</w:t>
            </w:r>
            <w:r w:rsidRPr="00DF05B0">
              <w:rPr>
                <w:rFonts w:eastAsia="Calibri"/>
                <w:sz w:val="20"/>
                <w:lang w:val="fr-CA"/>
              </w:rPr>
              <w:noBreakHyphen/>
              <w:t xml:space="preserve">elle adopter un accord conclu avant sa constitution en société sans faire aucune démarche formelle ou informelle dans ce sens? — </w:t>
            </w:r>
            <w:r w:rsidRPr="00DF05B0">
              <w:rPr>
                <w:rFonts w:eastAsia="Calibri"/>
                <w:i/>
                <w:sz w:val="20"/>
                <w:lang w:val="fr-CA"/>
              </w:rPr>
              <w:t>Builders’ Lien Act</w:t>
            </w:r>
            <w:r w:rsidRPr="00DF05B0">
              <w:rPr>
                <w:rFonts w:eastAsia="Calibri"/>
                <w:sz w:val="20"/>
                <w:lang w:val="fr-CA"/>
              </w:rPr>
              <w:t>, R.S.A. 2000, ch. </w:t>
            </w:r>
            <w:r w:rsidRPr="00DF05B0">
              <w:rPr>
                <w:rFonts w:eastAsia="Calibri"/>
                <w:sz w:val="20"/>
              </w:rPr>
              <w:t>B</w:t>
            </w:r>
            <w:r w:rsidRPr="00DF05B0">
              <w:rPr>
                <w:rFonts w:eastAsia="Calibri"/>
                <w:sz w:val="20"/>
              </w:rPr>
              <w:noBreakHyphen/>
              <w:t xml:space="preserve">7, art. 6(1) — </w:t>
            </w:r>
            <w:r w:rsidRPr="00DF05B0">
              <w:rPr>
                <w:rFonts w:eastAsia="Calibri"/>
                <w:i/>
                <w:sz w:val="20"/>
              </w:rPr>
              <w:t xml:space="preserve">Business Corporations </w:t>
            </w:r>
            <w:r w:rsidRPr="00DF05B0">
              <w:rPr>
                <w:rFonts w:eastAsia="Calibri"/>
                <w:i/>
                <w:sz w:val="20"/>
              </w:rPr>
              <w:lastRenderedPageBreak/>
              <w:t>Act</w:t>
            </w:r>
            <w:r w:rsidRPr="00DF05B0">
              <w:rPr>
                <w:rFonts w:eastAsia="Calibri"/>
                <w:sz w:val="20"/>
              </w:rPr>
              <w:t>, R.S.A. 2000, ch. B</w:t>
            </w:r>
            <w:r w:rsidRPr="00DF05B0">
              <w:rPr>
                <w:rFonts w:eastAsia="Calibri"/>
                <w:sz w:val="20"/>
              </w:rPr>
              <w:noBreakHyphen/>
              <w:t>9, art. 15.</w:t>
            </w:r>
          </w:p>
        </w:tc>
      </w:tr>
      <w:tr w:rsidR="00BA18A2" w:rsidRPr="00DF05B0" w:rsidTr="00741DC5">
        <w:tc>
          <w:tcPr>
            <w:tcW w:w="5000" w:type="pct"/>
            <w:gridSpan w:val="3"/>
          </w:tcPr>
          <w:p w:rsidR="00BA18A2" w:rsidRPr="00DF05B0" w:rsidRDefault="00BA18A2" w:rsidP="00741DC5">
            <w:pPr>
              <w:jc w:val="both"/>
              <w:rPr>
                <w:rFonts w:eastAsia="Calibri"/>
                <w:sz w:val="20"/>
              </w:rPr>
            </w:pPr>
          </w:p>
        </w:tc>
      </w:tr>
      <w:tr w:rsidR="00BA18A2" w:rsidRPr="00BA18A2" w:rsidTr="00741DC5">
        <w:tc>
          <w:tcPr>
            <w:tcW w:w="5000" w:type="pct"/>
            <w:gridSpan w:val="3"/>
          </w:tcPr>
          <w:p w:rsidR="00BA18A2" w:rsidRPr="00DF05B0" w:rsidRDefault="00BA18A2" w:rsidP="00741DC5">
            <w:pPr>
              <w:jc w:val="both"/>
              <w:rPr>
                <w:rFonts w:eastAsia="Calibri"/>
                <w:sz w:val="20"/>
                <w:lang w:val="fr-CA"/>
              </w:rPr>
            </w:pPr>
            <w:r w:rsidRPr="00DF05B0">
              <w:rPr>
                <w:rFonts w:eastAsia="Calibri"/>
                <w:sz w:val="20"/>
                <w:lang w:val="fr-CA"/>
              </w:rPr>
              <w:t xml:space="preserve">Dans une décision sommaire rendue en vertu des dispositions de la </w:t>
            </w:r>
            <w:r w:rsidRPr="00DF05B0">
              <w:rPr>
                <w:rFonts w:eastAsia="Calibri"/>
                <w:i/>
                <w:sz w:val="20"/>
                <w:lang w:val="fr-CA"/>
              </w:rPr>
              <w:t>Builders’ Lien Act</w:t>
            </w:r>
            <w:r w:rsidRPr="00DF05B0">
              <w:rPr>
                <w:rFonts w:eastAsia="Calibri"/>
                <w:sz w:val="20"/>
                <w:lang w:val="fr-CA"/>
              </w:rPr>
              <w:t xml:space="preserve">, un juge siégeant en cabinet a déclaré invalide le privilège du constructeur des intimées et a ordonné l'annulation de leur certificat de </w:t>
            </w:r>
            <w:r w:rsidRPr="00DF05B0">
              <w:rPr>
                <w:rFonts w:eastAsia="Calibri"/>
                <w:i/>
                <w:sz w:val="20"/>
                <w:lang w:val="fr-CA"/>
              </w:rPr>
              <w:t>lis pendens</w:t>
            </w:r>
            <w:r w:rsidRPr="00DF05B0">
              <w:rPr>
                <w:rFonts w:eastAsia="Calibri"/>
                <w:sz w:val="20"/>
                <w:lang w:val="fr-CA"/>
              </w:rPr>
              <w:t>.  Le juge a souligné que la partie désignée dans le contrat de construction était « Can</w:t>
            </w:r>
            <w:r w:rsidRPr="00DF05B0">
              <w:rPr>
                <w:rFonts w:eastAsia="Calibri"/>
                <w:sz w:val="20"/>
                <w:lang w:val="fr-CA"/>
              </w:rPr>
              <w:noBreakHyphen/>
              <w:t>West Projects Ltd. », mais que cette société n'avait jamais vu le jour. Une personne qui n’existe pas ne saurait faire valoir le privilège du constructeur.  De plus, Canbar West Projects Ltd. n'avait pas avisé les demanderesses de sa constitution en société et du rôle qu'elle jouait dans le projet, et elle n'avait pas non plus  adopté l'accord.  Alors que la personne titulaire du privilège (Canbar West Projects Ltd.) existait, la personne qui aurait prétend-on exécuté les travaux (« Can</w:t>
            </w:r>
            <w:r w:rsidRPr="00DF05B0">
              <w:rPr>
                <w:rFonts w:eastAsia="Calibri"/>
                <w:sz w:val="20"/>
                <w:lang w:val="fr-CA"/>
              </w:rPr>
              <w:noBreakHyphen/>
              <w:t>West Projects Ltd. ») n'existait pas.  Le juge siégeant en cabinet a estimé que le risque de confusion était réel, parce qu'une véritable société appelée « Can</w:t>
            </w:r>
            <w:r w:rsidRPr="00DF05B0">
              <w:rPr>
                <w:rFonts w:eastAsia="Calibri"/>
                <w:sz w:val="20"/>
                <w:lang w:val="fr-CA"/>
              </w:rPr>
              <w:noBreakHyphen/>
              <w:t xml:space="preserve">West Projects Ltd. » existait, de sorte que la confirmation du privilège du constructeur sur le terrain serait préjudiciable aux demanderesses.  </w:t>
            </w:r>
          </w:p>
          <w:p w:rsidR="00BA18A2" w:rsidRPr="00DF05B0" w:rsidRDefault="00BA18A2" w:rsidP="00741DC5">
            <w:pPr>
              <w:jc w:val="both"/>
              <w:rPr>
                <w:rFonts w:eastAsia="Calibri"/>
                <w:sz w:val="20"/>
                <w:lang w:val="fr-CA"/>
              </w:rPr>
            </w:pPr>
          </w:p>
          <w:p w:rsidR="00BA18A2" w:rsidRPr="00DF05B0" w:rsidRDefault="00BA18A2" w:rsidP="00741DC5">
            <w:pPr>
              <w:jc w:val="both"/>
              <w:rPr>
                <w:rFonts w:eastAsia="Calibri"/>
                <w:sz w:val="20"/>
                <w:lang w:val="fr-CA"/>
              </w:rPr>
            </w:pPr>
            <w:r w:rsidRPr="00DF05B0">
              <w:rPr>
                <w:rFonts w:eastAsia="Calibri"/>
                <w:sz w:val="20"/>
                <w:lang w:val="fr-CA"/>
              </w:rPr>
              <w:t xml:space="preserve">La Cour d'appel a accueilli l'appel des intimées, annulé la déclaration d'invalidité et rétabli le certificat de </w:t>
            </w:r>
            <w:r w:rsidRPr="00DF05B0">
              <w:rPr>
                <w:rFonts w:eastAsia="Calibri"/>
                <w:i/>
                <w:sz w:val="20"/>
                <w:lang w:val="fr-CA"/>
              </w:rPr>
              <w:t>lis pendens</w:t>
            </w:r>
            <w:r w:rsidRPr="00DF05B0">
              <w:rPr>
                <w:rFonts w:eastAsia="Calibri"/>
                <w:sz w:val="20"/>
                <w:lang w:val="fr-CA"/>
              </w:rPr>
              <w:t>.</w:t>
            </w:r>
          </w:p>
          <w:p w:rsidR="00BA18A2" w:rsidRPr="00DF05B0" w:rsidRDefault="00BA18A2" w:rsidP="00741DC5">
            <w:pPr>
              <w:jc w:val="both"/>
              <w:rPr>
                <w:rFonts w:eastAsia="Calibri"/>
                <w:sz w:val="20"/>
                <w:lang w:val="fr-CA"/>
              </w:rPr>
            </w:pPr>
          </w:p>
        </w:tc>
      </w:tr>
      <w:tr w:rsidR="00BA18A2" w:rsidRPr="00BA18A2" w:rsidTr="00741DC5">
        <w:tc>
          <w:tcPr>
            <w:tcW w:w="2427" w:type="pct"/>
          </w:tcPr>
          <w:p w:rsidR="00BA18A2" w:rsidRPr="00DF05B0" w:rsidRDefault="00BA18A2" w:rsidP="00741DC5">
            <w:pPr>
              <w:jc w:val="both"/>
              <w:rPr>
                <w:rFonts w:eastAsia="Calibri"/>
                <w:sz w:val="20"/>
                <w:lang w:val="fr-CA"/>
              </w:rPr>
            </w:pPr>
            <w:r w:rsidRPr="00DF05B0">
              <w:rPr>
                <w:rFonts w:eastAsia="Calibri"/>
                <w:sz w:val="20"/>
                <w:lang w:val="fr-CA"/>
              </w:rPr>
              <w:t>19 mai 2010</w:t>
            </w:r>
          </w:p>
          <w:p w:rsidR="00BA18A2" w:rsidRPr="00DF05B0" w:rsidRDefault="00BA18A2" w:rsidP="00741DC5">
            <w:pPr>
              <w:jc w:val="both"/>
              <w:rPr>
                <w:rFonts w:eastAsia="Calibri"/>
                <w:sz w:val="20"/>
                <w:lang w:val="fr-CA"/>
              </w:rPr>
            </w:pPr>
            <w:r w:rsidRPr="00DF05B0">
              <w:rPr>
                <w:rFonts w:eastAsia="Calibri"/>
                <w:sz w:val="20"/>
                <w:lang w:val="fr-FR"/>
              </w:rPr>
              <w:t>Cour du Banc de la Reine de l’Alberta</w:t>
            </w:r>
          </w:p>
          <w:p w:rsidR="00BA18A2" w:rsidRPr="00DF05B0" w:rsidRDefault="00BA18A2" w:rsidP="00741DC5">
            <w:pPr>
              <w:jc w:val="both"/>
              <w:rPr>
                <w:rFonts w:eastAsia="Calibri"/>
                <w:sz w:val="20"/>
              </w:rPr>
            </w:pPr>
            <w:r w:rsidRPr="00DF05B0">
              <w:rPr>
                <w:rFonts w:eastAsia="Calibri"/>
                <w:sz w:val="20"/>
              </w:rPr>
              <w:t>(Juge Yamauchi)</w:t>
            </w:r>
          </w:p>
          <w:p w:rsidR="00BA18A2" w:rsidRPr="00DF05B0" w:rsidRDefault="00BA18A2" w:rsidP="00741DC5">
            <w:pPr>
              <w:jc w:val="both"/>
              <w:rPr>
                <w:rFonts w:eastAsia="Calibri"/>
                <w:sz w:val="20"/>
              </w:rPr>
            </w:pPr>
            <w:r w:rsidRPr="00DF05B0">
              <w:rPr>
                <w:rFonts w:eastAsia="Calibri"/>
                <w:sz w:val="20"/>
              </w:rPr>
              <w:t>2010 ABQB 372</w:t>
            </w:r>
          </w:p>
          <w:p w:rsidR="00BA18A2" w:rsidRPr="00DF05B0" w:rsidRDefault="00BA18A2" w:rsidP="00741DC5">
            <w:pPr>
              <w:jc w:val="both"/>
              <w:rPr>
                <w:rFonts w:eastAsia="Calibri"/>
                <w:sz w:val="20"/>
              </w:rPr>
            </w:pPr>
          </w:p>
        </w:tc>
        <w:tc>
          <w:tcPr>
            <w:tcW w:w="243" w:type="pct"/>
          </w:tcPr>
          <w:p w:rsidR="00BA18A2" w:rsidRPr="00DF05B0" w:rsidRDefault="00BA18A2" w:rsidP="00741DC5">
            <w:pPr>
              <w:jc w:val="both"/>
              <w:rPr>
                <w:rFonts w:eastAsia="Calibri"/>
                <w:sz w:val="20"/>
              </w:rPr>
            </w:pPr>
          </w:p>
        </w:tc>
        <w:tc>
          <w:tcPr>
            <w:tcW w:w="2330" w:type="pct"/>
          </w:tcPr>
          <w:p w:rsidR="00BA18A2" w:rsidRPr="00DF05B0" w:rsidRDefault="00BA18A2" w:rsidP="00741DC5">
            <w:pPr>
              <w:jc w:val="both"/>
              <w:rPr>
                <w:rFonts w:eastAsia="Calibri"/>
                <w:sz w:val="20"/>
                <w:lang w:val="fr-CA"/>
              </w:rPr>
            </w:pPr>
            <w:r w:rsidRPr="00DF05B0">
              <w:rPr>
                <w:rFonts w:eastAsia="Calibri"/>
                <w:sz w:val="20"/>
                <w:lang w:val="fr-CA"/>
              </w:rPr>
              <w:t xml:space="preserve">Demande sollicitant un jugement déclarant le privilège valide et en vigueur rejetée; demande reconventionnelle accueillie et ordonnance annulant le certificat de </w:t>
            </w:r>
            <w:r w:rsidRPr="00DF05B0">
              <w:rPr>
                <w:rFonts w:eastAsia="Calibri"/>
                <w:i/>
                <w:sz w:val="20"/>
                <w:lang w:val="fr-CA"/>
              </w:rPr>
              <w:t>lis pendens</w:t>
            </w:r>
            <w:r w:rsidRPr="00DF05B0">
              <w:rPr>
                <w:rFonts w:eastAsia="Calibri"/>
                <w:sz w:val="20"/>
                <w:lang w:val="fr-CA"/>
              </w:rPr>
              <w:t xml:space="preserve"> pronioncée</w:t>
            </w:r>
          </w:p>
          <w:p w:rsidR="00BA18A2" w:rsidRPr="00DF05B0" w:rsidRDefault="00BA18A2" w:rsidP="00741DC5">
            <w:pPr>
              <w:jc w:val="both"/>
              <w:rPr>
                <w:rFonts w:eastAsia="Calibri"/>
                <w:sz w:val="20"/>
                <w:lang w:val="fr-CA"/>
              </w:rPr>
            </w:pPr>
          </w:p>
        </w:tc>
      </w:tr>
      <w:tr w:rsidR="00BA18A2" w:rsidRPr="00BA18A2" w:rsidTr="00741DC5">
        <w:tc>
          <w:tcPr>
            <w:tcW w:w="2427" w:type="pct"/>
          </w:tcPr>
          <w:p w:rsidR="00BA18A2" w:rsidRPr="00DF05B0" w:rsidRDefault="00BA18A2" w:rsidP="00741DC5">
            <w:pPr>
              <w:jc w:val="both"/>
              <w:rPr>
                <w:rFonts w:eastAsia="Calibri"/>
                <w:sz w:val="20"/>
                <w:lang w:val="fr-CA"/>
              </w:rPr>
            </w:pPr>
            <w:r w:rsidRPr="00DF05B0">
              <w:rPr>
                <w:rFonts w:eastAsia="Calibri"/>
                <w:sz w:val="20"/>
                <w:lang w:val="fr-FR"/>
              </w:rPr>
              <w:t>5 avril 2011</w:t>
            </w:r>
          </w:p>
          <w:p w:rsidR="00BA18A2" w:rsidRPr="00DF05B0" w:rsidRDefault="00BA18A2" w:rsidP="00741DC5">
            <w:pPr>
              <w:jc w:val="both"/>
              <w:rPr>
                <w:rFonts w:eastAsia="Calibri"/>
                <w:sz w:val="20"/>
                <w:lang w:val="fr-CA"/>
              </w:rPr>
            </w:pPr>
            <w:r w:rsidRPr="00DF05B0">
              <w:rPr>
                <w:rFonts w:eastAsia="Calibri"/>
                <w:sz w:val="20"/>
                <w:lang w:val="fr-FR"/>
              </w:rPr>
              <w:t>Cour d'appel de l'Alberta</w:t>
            </w:r>
          </w:p>
          <w:p w:rsidR="00BA18A2" w:rsidRPr="00DF05B0" w:rsidRDefault="00BA18A2" w:rsidP="00741DC5">
            <w:pPr>
              <w:jc w:val="both"/>
              <w:rPr>
                <w:rFonts w:eastAsia="Calibri"/>
                <w:sz w:val="20"/>
                <w:lang w:val="fr-CA"/>
              </w:rPr>
            </w:pPr>
            <w:r w:rsidRPr="00DF05B0">
              <w:rPr>
                <w:rFonts w:eastAsia="Calibri"/>
                <w:sz w:val="20"/>
                <w:lang w:val="fr-CA"/>
              </w:rPr>
              <w:t>(Juges Paperny, Ritter et Rowbotham)</w:t>
            </w:r>
          </w:p>
          <w:p w:rsidR="00BA18A2" w:rsidRPr="00DF05B0" w:rsidRDefault="00BA18A2" w:rsidP="00741DC5">
            <w:pPr>
              <w:jc w:val="both"/>
              <w:rPr>
                <w:rFonts w:eastAsia="Calibri"/>
                <w:sz w:val="20"/>
              </w:rPr>
            </w:pPr>
            <w:r w:rsidRPr="00DF05B0">
              <w:rPr>
                <w:rFonts w:eastAsia="Calibri"/>
                <w:sz w:val="20"/>
              </w:rPr>
              <w:t>2011 ABCA 107</w:t>
            </w:r>
          </w:p>
          <w:p w:rsidR="00BA18A2" w:rsidRPr="00DF05B0" w:rsidRDefault="00BA18A2" w:rsidP="00741DC5">
            <w:pPr>
              <w:jc w:val="both"/>
              <w:rPr>
                <w:rFonts w:eastAsia="Calibri"/>
                <w:sz w:val="20"/>
              </w:rPr>
            </w:pPr>
          </w:p>
        </w:tc>
        <w:tc>
          <w:tcPr>
            <w:tcW w:w="243" w:type="pct"/>
          </w:tcPr>
          <w:p w:rsidR="00BA18A2" w:rsidRPr="00DF05B0" w:rsidRDefault="00BA18A2" w:rsidP="00741DC5">
            <w:pPr>
              <w:jc w:val="both"/>
              <w:rPr>
                <w:rFonts w:eastAsia="Calibri"/>
                <w:sz w:val="20"/>
              </w:rPr>
            </w:pPr>
          </w:p>
        </w:tc>
        <w:tc>
          <w:tcPr>
            <w:tcW w:w="2330" w:type="pct"/>
          </w:tcPr>
          <w:p w:rsidR="00BA18A2" w:rsidRPr="00DF05B0" w:rsidRDefault="00BA18A2" w:rsidP="00741DC5">
            <w:pPr>
              <w:jc w:val="both"/>
              <w:rPr>
                <w:rFonts w:eastAsia="Calibri"/>
                <w:sz w:val="20"/>
                <w:lang w:val="fr-CA"/>
              </w:rPr>
            </w:pPr>
            <w:r w:rsidRPr="00DF05B0">
              <w:rPr>
                <w:rFonts w:eastAsia="Calibri"/>
                <w:sz w:val="20"/>
                <w:lang w:val="fr-CA"/>
              </w:rPr>
              <w:t xml:space="preserve">Appel accueilli; déclaration d'invalidité annulée et certificat de </w:t>
            </w:r>
            <w:r w:rsidRPr="00DF05B0">
              <w:rPr>
                <w:rFonts w:eastAsia="Calibri"/>
                <w:i/>
                <w:sz w:val="20"/>
                <w:lang w:val="fr-CA"/>
              </w:rPr>
              <w:t>lis pendens</w:t>
            </w:r>
            <w:r w:rsidRPr="00DF05B0">
              <w:rPr>
                <w:rFonts w:eastAsia="Calibri"/>
                <w:sz w:val="20"/>
                <w:lang w:val="fr-CA"/>
              </w:rPr>
              <w:t xml:space="preserve"> rétabli</w:t>
            </w:r>
          </w:p>
          <w:p w:rsidR="00BA18A2" w:rsidRPr="00DF05B0" w:rsidRDefault="00BA18A2" w:rsidP="00741DC5">
            <w:pPr>
              <w:jc w:val="both"/>
              <w:rPr>
                <w:rFonts w:eastAsia="Calibri"/>
                <w:sz w:val="20"/>
                <w:lang w:val="fr-CA"/>
              </w:rPr>
            </w:pPr>
          </w:p>
        </w:tc>
      </w:tr>
      <w:tr w:rsidR="00BA18A2" w:rsidRPr="00DF05B0" w:rsidTr="00741DC5">
        <w:tc>
          <w:tcPr>
            <w:tcW w:w="2427" w:type="pct"/>
          </w:tcPr>
          <w:p w:rsidR="00BA18A2" w:rsidRPr="006E4183" w:rsidRDefault="00BA18A2" w:rsidP="00741DC5">
            <w:pPr>
              <w:jc w:val="both"/>
              <w:rPr>
                <w:rFonts w:eastAsia="Calibri"/>
                <w:sz w:val="20"/>
                <w:lang w:val="fr-CA"/>
              </w:rPr>
            </w:pPr>
            <w:r w:rsidRPr="006E4183">
              <w:rPr>
                <w:rFonts w:eastAsia="Calibri"/>
                <w:sz w:val="20"/>
                <w:lang w:val="fr-CA"/>
              </w:rPr>
              <w:t>30 mai 2011</w:t>
            </w:r>
          </w:p>
          <w:p w:rsidR="00BA18A2" w:rsidRPr="006E4183" w:rsidRDefault="00BA18A2" w:rsidP="00741DC5">
            <w:pPr>
              <w:jc w:val="both"/>
              <w:rPr>
                <w:rFonts w:eastAsia="Calibri"/>
                <w:sz w:val="20"/>
                <w:lang w:val="fr-CA"/>
              </w:rPr>
            </w:pPr>
            <w:r w:rsidRPr="006E4183">
              <w:rPr>
                <w:rFonts w:eastAsia="Calibri"/>
                <w:sz w:val="20"/>
                <w:lang w:val="fr-CA"/>
              </w:rPr>
              <w:t>Cour suprême du Canada</w:t>
            </w:r>
          </w:p>
        </w:tc>
        <w:tc>
          <w:tcPr>
            <w:tcW w:w="243" w:type="pct"/>
          </w:tcPr>
          <w:p w:rsidR="00BA18A2" w:rsidRPr="006E4183" w:rsidRDefault="00BA18A2" w:rsidP="00741DC5">
            <w:pPr>
              <w:jc w:val="both"/>
              <w:rPr>
                <w:rFonts w:eastAsia="Calibri"/>
                <w:sz w:val="20"/>
                <w:lang w:val="fr-CA"/>
              </w:rPr>
            </w:pPr>
          </w:p>
        </w:tc>
        <w:tc>
          <w:tcPr>
            <w:tcW w:w="2330" w:type="pct"/>
          </w:tcPr>
          <w:p w:rsidR="00BA18A2" w:rsidRPr="00DF05B0" w:rsidRDefault="00BA18A2" w:rsidP="00741DC5">
            <w:pPr>
              <w:jc w:val="both"/>
              <w:rPr>
                <w:rFonts w:eastAsia="Calibri"/>
                <w:sz w:val="20"/>
              </w:rPr>
            </w:pPr>
            <w:r w:rsidRPr="00DF05B0">
              <w:rPr>
                <w:rFonts w:eastAsia="Calibri"/>
                <w:sz w:val="20"/>
                <w:lang w:val="fr-FR"/>
              </w:rPr>
              <w:t>Demande d’autorisation d’appel déposée</w:t>
            </w:r>
          </w:p>
          <w:p w:rsidR="00BA18A2" w:rsidRPr="00DF05B0" w:rsidRDefault="00BA18A2" w:rsidP="00741DC5">
            <w:pPr>
              <w:jc w:val="both"/>
              <w:rPr>
                <w:rFonts w:eastAsia="Calibri"/>
                <w:sz w:val="20"/>
              </w:rPr>
            </w:pPr>
          </w:p>
        </w:tc>
      </w:tr>
    </w:tbl>
    <w:p w:rsidR="00BA18A2" w:rsidRDefault="00BA18A2" w:rsidP="00BA18A2">
      <w:pPr>
        <w:rPr>
          <w:sz w:val="20"/>
          <w:szCs w:val="20"/>
        </w:rPr>
      </w:pPr>
    </w:p>
    <w:p w:rsidR="00BA18A2" w:rsidRDefault="00460701" w:rsidP="00BA18A2">
      <w:pPr>
        <w:rPr>
          <w:sz w:val="20"/>
          <w:szCs w:val="20"/>
          <w:lang w:val="fr-CA"/>
        </w:rPr>
      </w:pPr>
      <w:r w:rsidRPr="00460701">
        <w:rPr>
          <w:sz w:val="20"/>
          <w:szCs w:val="20"/>
          <w:lang w:val="fr-CA"/>
        </w:rPr>
        <w:pict>
          <v:rect id="_x0000_i1055" style="width:2in;height:1pt" o:hrpct="0" o:hralign="center" o:hrstd="t" o:hrnoshade="t" o:hr="t" fillcolor="black [3213]" stroked="f"/>
        </w:pict>
      </w:r>
    </w:p>
    <w:p w:rsidR="00BA18A2" w:rsidRDefault="00BA18A2" w:rsidP="00BA18A2">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BA18A2" w:rsidRPr="004408EF" w:rsidTr="00741DC5">
        <w:trPr>
          <w:cantSplit/>
        </w:trPr>
        <w:tc>
          <w:tcPr>
            <w:tcW w:w="1458" w:type="dxa"/>
          </w:tcPr>
          <w:p w:rsidR="00BA18A2" w:rsidRPr="004408EF" w:rsidRDefault="00BA18A2" w:rsidP="00741DC5">
            <w:pPr>
              <w:rPr>
                <w:sz w:val="20"/>
                <w:szCs w:val="20"/>
              </w:rPr>
            </w:pPr>
            <w:r w:rsidRPr="004408EF">
              <w:rPr>
                <w:rStyle w:val="SCCFileNumberChar"/>
                <w:sz w:val="20"/>
                <w:szCs w:val="20"/>
              </w:rPr>
              <w:t>34303</w:t>
            </w:r>
          </w:p>
          <w:p w:rsidR="00BA18A2" w:rsidRPr="004408EF" w:rsidRDefault="00BA18A2" w:rsidP="00741DC5">
            <w:pPr>
              <w:rPr>
                <w:b/>
                <w:sz w:val="20"/>
                <w:szCs w:val="20"/>
                <w:lang w:val="fr-CA"/>
              </w:rPr>
            </w:pPr>
          </w:p>
        </w:tc>
        <w:tc>
          <w:tcPr>
            <w:tcW w:w="8118" w:type="dxa"/>
          </w:tcPr>
          <w:p w:rsidR="00BA18A2" w:rsidRPr="004408EF" w:rsidRDefault="00BA18A2" w:rsidP="00741DC5">
            <w:pPr>
              <w:rPr>
                <w:sz w:val="20"/>
                <w:szCs w:val="20"/>
              </w:rPr>
            </w:pPr>
            <w:r w:rsidRPr="00BA18A2">
              <w:rPr>
                <w:rStyle w:val="SCCLsocChar"/>
                <w:sz w:val="20"/>
                <w:szCs w:val="20"/>
                <w:lang w:val="en-CA"/>
              </w:rPr>
              <w:t>City of New Westminster v. Eileen Lennox</w:t>
            </w:r>
            <w:r w:rsidRPr="004408EF">
              <w:rPr>
                <w:sz w:val="20"/>
                <w:szCs w:val="20"/>
              </w:rPr>
              <w:t xml:space="preserve"> (B.C.) (Civil) (By Leave)</w:t>
            </w:r>
          </w:p>
          <w:p w:rsidR="00BA18A2" w:rsidRPr="004408EF" w:rsidRDefault="00BA18A2" w:rsidP="00741DC5">
            <w:pPr>
              <w:rPr>
                <w:sz w:val="20"/>
                <w:szCs w:val="20"/>
              </w:rPr>
            </w:pPr>
          </w:p>
        </w:tc>
      </w:tr>
      <w:tr w:rsidR="00BA18A2" w:rsidRPr="004408EF" w:rsidTr="00741DC5">
        <w:trPr>
          <w:cantSplit/>
        </w:trPr>
        <w:tc>
          <w:tcPr>
            <w:tcW w:w="1458" w:type="dxa"/>
          </w:tcPr>
          <w:p w:rsidR="00BA18A2" w:rsidRPr="004408EF" w:rsidRDefault="00BA18A2" w:rsidP="00741DC5">
            <w:pPr>
              <w:rPr>
                <w:sz w:val="20"/>
                <w:szCs w:val="20"/>
              </w:rPr>
            </w:pPr>
            <w:r w:rsidRPr="004408EF">
              <w:rPr>
                <w:sz w:val="20"/>
                <w:szCs w:val="20"/>
              </w:rPr>
              <w:t>Coram :</w:t>
            </w:r>
          </w:p>
        </w:tc>
        <w:tc>
          <w:tcPr>
            <w:tcW w:w="8118" w:type="dxa"/>
          </w:tcPr>
          <w:p w:rsidR="00BA18A2" w:rsidRPr="004408EF" w:rsidRDefault="00BA18A2" w:rsidP="00741DC5">
            <w:pPr>
              <w:rPr>
                <w:sz w:val="20"/>
                <w:szCs w:val="20"/>
              </w:rPr>
            </w:pPr>
            <w:r w:rsidRPr="00BA18A2">
              <w:rPr>
                <w:rStyle w:val="SCCCoramChar"/>
                <w:sz w:val="20"/>
                <w:lang w:val="en-CA"/>
              </w:rPr>
              <w:t>Binnie, Abella and Rothstein JJ.</w:t>
            </w:r>
          </w:p>
          <w:p w:rsidR="00BA18A2" w:rsidRPr="004408EF" w:rsidRDefault="00BA18A2" w:rsidP="00741DC5">
            <w:pPr>
              <w:rPr>
                <w:sz w:val="20"/>
                <w:szCs w:val="20"/>
                <w:u w:val="single"/>
              </w:rPr>
            </w:pPr>
          </w:p>
        </w:tc>
      </w:tr>
      <w:tr w:rsidR="00BA18A2" w:rsidRPr="00BA18A2" w:rsidTr="00741DC5">
        <w:trPr>
          <w:cantSplit/>
        </w:trPr>
        <w:tc>
          <w:tcPr>
            <w:tcW w:w="9576" w:type="dxa"/>
            <w:gridSpan w:val="2"/>
          </w:tcPr>
          <w:p w:rsidR="00BA18A2" w:rsidRPr="004408EF" w:rsidRDefault="00BA18A2" w:rsidP="00741DC5">
            <w:pPr>
              <w:pStyle w:val="SCCShortJudgment"/>
              <w:rPr>
                <w:szCs w:val="20"/>
              </w:rPr>
            </w:pPr>
            <w:r w:rsidRPr="004408EF">
              <w:rPr>
                <w:szCs w:val="20"/>
              </w:rPr>
              <w:t>The application for leave to appeal from the judgment of the Court of Appeal for British Columbia (Vancouver), Number CA038142, 2011 BCCA 182, dated April 13, 2011, is dismissed with costs.</w:t>
            </w:r>
          </w:p>
          <w:p w:rsidR="00BA18A2" w:rsidRPr="004408EF" w:rsidRDefault="00BA18A2" w:rsidP="00741DC5">
            <w:pPr>
              <w:pStyle w:val="SCCShortJudgment"/>
              <w:ind w:firstLine="0"/>
              <w:rPr>
                <w:szCs w:val="20"/>
              </w:rPr>
            </w:pPr>
          </w:p>
          <w:p w:rsidR="00BA18A2" w:rsidRPr="004408EF" w:rsidRDefault="00BA18A2" w:rsidP="00741DC5">
            <w:pPr>
              <w:pStyle w:val="SCCShortJudgment"/>
              <w:rPr>
                <w:szCs w:val="20"/>
                <w:lang w:val="fr-CA"/>
              </w:rPr>
            </w:pPr>
            <w:r w:rsidRPr="004408EF">
              <w:rPr>
                <w:szCs w:val="20"/>
                <w:lang w:val="fr-CA"/>
              </w:rPr>
              <w:t>La demande d’autorisation d’appel de l’arrêt de la Cour d’appel de la Colombie-Britannique (Vancouver), numéro CA038142, 2011 BCCA 182, daté du 13 avril 2011, est rejetée avec dépens.</w:t>
            </w:r>
          </w:p>
        </w:tc>
      </w:tr>
    </w:tbl>
    <w:p w:rsidR="00BA18A2" w:rsidRPr="00FF4617" w:rsidRDefault="00BA18A2" w:rsidP="00BA18A2">
      <w:pPr>
        <w:rPr>
          <w:sz w:val="20"/>
          <w:szCs w:val="20"/>
          <w:lang w:val="fr-CA"/>
        </w:rPr>
      </w:pPr>
    </w:p>
    <w:p w:rsidR="00BA18A2" w:rsidRDefault="00BA18A2" w:rsidP="00BA18A2">
      <w:pPr>
        <w:rPr>
          <w:sz w:val="20"/>
          <w:szCs w:val="20"/>
        </w:rPr>
      </w:pPr>
      <w:r>
        <w:rPr>
          <w:sz w:val="20"/>
          <w:szCs w:val="20"/>
          <w:u w:val="single"/>
        </w:rPr>
        <w:t>CASE SUMMARY</w:t>
      </w:r>
    </w:p>
    <w:p w:rsidR="00BA18A2" w:rsidRDefault="00BA18A2" w:rsidP="00BA18A2">
      <w:pPr>
        <w:rPr>
          <w:sz w:val="20"/>
          <w:szCs w:val="20"/>
        </w:rPr>
      </w:pPr>
    </w:p>
    <w:tbl>
      <w:tblPr>
        <w:tblW w:w="4952" w:type="pct"/>
        <w:tblLayout w:type="fixed"/>
        <w:tblCellMar>
          <w:left w:w="0" w:type="dxa"/>
          <w:bottom w:w="99" w:type="dxa"/>
          <w:right w:w="0" w:type="dxa"/>
        </w:tblCellMar>
        <w:tblLook w:val="04A0"/>
      </w:tblPr>
      <w:tblGrid>
        <w:gridCol w:w="4624"/>
        <w:gridCol w:w="463"/>
        <w:gridCol w:w="4440"/>
      </w:tblGrid>
      <w:tr w:rsidR="00BA18A2" w:rsidRPr="00DF05B0" w:rsidTr="00741DC5">
        <w:tc>
          <w:tcPr>
            <w:tcW w:w="5000" w:type="pct"/>
            <w:gridSpan w:val="3"/>
          </w:tcPr>
          <w:p w:rsidR="00BA18A2" w:rsidRPr="00DF05B0" w:rsidRDefault="00BA18A2" w:rsidP="00741DC5">
            <w:pPr>
              <w:jc w:val="both"/>
              <w:rPr>
                <w:rFonts w:eastAsia="Calibri"/>
                <w:sz w:val="20"/>
              </w:rPr>
            </w:pPr>
            <w:r w:rsidRPr="00DF05B0">
              <w:rPr>
                <w:rFonts w:eastAsia="Calibri"/>
                <w:sz w:val="20"/>
              </w:rPr>
              <w:t>Civil procedure — Appeals — Jury trial — Question for jury — Trial judge instructing then posing question for jury — Appellate court finding question could have misled jury and ordering new trial — What standard should appeal courts apply when reviewing an erroneous jury charge or question in order to determine whether it misled the jury?</w:t>
            </w:r>
          </w:p>
          <w:p w:rsidR="00BA18A2" w:rsidRPr="00DF05B0" w:rsidRDefault="00BA18A2" w:rsidP="00741DC5">
            <w:pPr>
              <w:jc w:val="both"/>
              <w:rPr>
                <w:rFonts w:eastAsia="Calibri"/>
                <w:sz w:val="20"/>
              </w:rPr>
            </w:pPr>
          </w:p>
        </w:tc>
      </w:tr>
      <w:tr w:rsidR="00BA18A2" w:rsidRPr="00DF05B0" w:rsidTr="00741DC5">
        <w:tc>
          <w:tcPr>
            <w:tcW w:w="5000" w:type="pct"/>
            <w:gridSpan w:val="3"/>
          </w:tcPr>
          <w:p w:rsidR="00BA18A2" w:rsidRPr="00DF05B0" w:rsidRDefault="00BA18A2" w:rsidP="00741DC5">
            <w:pPr>
              <w:jc w:val="both"/>
              <w:rPr>
                <w:rFonts w:eastAsia="Calibri"/>
                <w:sz w:val="20"/>
              </w:rPr>
            </w:pPr>
            <w:r w:rsidRPr="00DF05B0">
              <w:rPr>
                <w:rFonts w:eastAsia="Calibri"/>
                <w:sz w:val="20"/>
              </w:rPr>
              <w:t xml:space="preserve">In 2006, Ms. Lennox tripped and fell on a city sidewalk, suffering significant injuries, allegedly due to a discrepancy in the elevation between two panels of the sidewalk.  She brought a negligence action against the City of New Westminster (“City”).  The City denied any liability.  At trial, the jury was advised that the City had both written and </w:t>
            </w:r>
            <w:r w:rsidRPr="00DF05B0">
              <w:rPr>
                <w:rFonts w:eastAsia="Calibri"/>
                <w:sz w:val="20"/>
              </w:rPr>
              <w:lastRenderedPageBreak/>
              <w:t xml:space="preserve">unwritten sidewalk inspection and maintenance policies.  The sidewalk in question had to be inspected every three years and inspectors were required to measure that height or depth of any faults, cracks or separations in the sidewalk.  In accordance with the written policy, depending on the depth of a fault, repairs were either undertaken as resources permitted or were scheduled for immediate public notice and attention as quickly as possible.  The unwritten policy was to repair any fault, regardless of depth, if the City received a complaint from the public about it.  The sidewalk where Ms. Lennox’s fell had been inspected sixteen months before and was noted to have three faults.  There was conflicting evidence about the depth of the fault that was alleged to have caused the accident.  The jury also heard evidence from residents on the street that between 2003 and 2005 they had made several complaints to the City about the dangerous condition of the sidewalk in question. </w:t>
            </w:r>
          </w:p>
          <w:p w:rsidR="00BA18A2" w:rsidRPr="00DF05B0" w:rsidRDefault="00BA18A2" w:rsidP="00741DC5">
            <w:pPr>
              <w:jc w:val="both"/>
              <w:rPr>
                <w:rFonts w:eastAsia="Calibri"/>
                <w:sz w:val="20"/>
              </w:rPr>
            </w:pPr>
          </w:p>
          <w:p w:rsidR="00BA18A2" w:rsidRPr="00DF05B0" w:rsidRDefault="00BA18A2" w:rsidP="00741DC5">
            <w:pPr>
              <w:jc w:val="both"/>
              <w:rPr>
                <w:rFonts w:eastAsia="Calibri"/>
                <w:color w:val="000000"/>
                <w:sz w:val="20"/>
              </w:rPr>
            </w:pPr>
            <w:r w:rsidRPr="00DF05B0">
              <w:rPr>
                <w:rFonts w:eastAsia="Calibri"/>
                <w:sz w:val="20"/>
              </w:rPr>
              <w:t>The trial judge charged the jury, putting the theory of Ms. Lennox’s case to them in the alternative that the City had either breached its written policy of repairing deeper faults on an urgent basis or had breached the unwritten policy of quickly responding to complaints received.  He also sent the jury away with a single question to answer: “. . . W</w:t>
            </w:r>
            <w:r w:rsidRPr="00DF05B0">
              <w:rPr>
                <w:rFonts w:eastAsia="Calibri"/>
                <w:color w:val="000000"/>
                <w:sz w:val="20"/>
              </w:rPr>
              <w:t>as there negligence on the part of the city's employees in carrying out their operational responsibilities in accordance with their written and unwritten sidewalk inspection and maintenance policies.”  Ms. Lennox’s action was dismissed at trial.  She appealed on the basis that the question to the jury had misled them as to what she was required to prove in order to succeed with her claim.</w:t>
            </w:r>
          </w:p>
          <w:p w:rsidR="00BA18A2" w:rsidRPr="00DF05B0" w:rsidRDefault="00BA18A2" w:rsidP="00741DC5">
            <w:pPr>
              <w:jc w:val="both"/>
              <w:rPr>
                <w:rFonts w:eastAsia="Calibri"/>
                <w:sz w:val="20"/>
              </w:rPr>
            </w:pPr>
          </w:p>
        </w:tc>
      </w:tr>
      <w:tr w:rsidR="00BA18A2" w:rsidRPr="00DF05B0" w:rsidTr="00741DC5">
        <w:tc>
          <w:tcPr>
            <w:tcW w:w="2427" w:type="pct"/>
          </w:tcPr>
          <w:p w:rsidR="00BA18A2" w:rsidRPr="00DF05B0" w:rsidRDefault="00BA18A2" w:rsidP="00741DC5">
            <w:pPr>
              <w:jc w:val="both"/>
              <w:rPr>
                <w:rFonts w:eastAsia="Calibri"/>
                <w:sz w:val="20"/>
              </w:rPr>
            </w:pPr>
            <w:r w:rsidRPr="00DF05B0">
              <w:rPr>
                <w:rFonts w:eastAsia="Calibri"/>
                <w:sz w:val="20"/>
              </w:rPr>
              <w:lastRenderedPageBreak/>
              <w:t>May 3, 2010</w:t>
            </w:r>
          </w:p>
          <w:p w:rsidR="00BA18A2" w:rsidRPr="00DF05B0" w:rsidRDefault="00BA18A2" w:rsidP="00741DC5">
            <w:pPr>
              <w:jc w:val="both"/>
              <w:rPr>
                <w:rFonts w:eastAsia="Calibri"/>
                <w:sz w:val="20"/>
              </w:rPr>
            </w:pPr>
            <w:r w:rsidRPr="00DF05B0">
              <w:rPr>
                <w:rFonts w:eastAsia="Calibri"/>
                <w:sz w:val="20"/>
              </w:rPr>
              <w:t>Supreme Court of British Columbia</w:t>
            </w:r>
          </w:p>
          <w:p w:rsidR="00BA18A2" w:rsidRPr="00DF05B0" w:rsidRDefault="00BA18A2" w:rsidP="00741DC5">
            <w:pPr>
              <w:jc w:val="both"/>
              <w:rPr>
                <w:rFonts w:eastAsia="Calibri"/>
                <w:sz w:val="20"/>
              </w:rPr>
            </w:pPr>
            <w:r w:rsidRPr="00DF05B0">
              <w:rPr>
                <w:rFonts w:eastAsia="Calibri"/>
                <w:sz w:val="20"/>
              </w:rPr>
              <w:t>(Sewell J.)</w:t>
            </w:r>
          </w:p>
          <w:p w:rsidR="00BA18A2" w:rsidRPr="00DF05B0" w:rsidRDefault="00BA18A2" w:rsidP="00741DC5">
            <w:pPr>
              <w:jc w:val="both"/>
              <w:rPr>
                <w:rFonts w:eastAsia="Calibri"/>
                <w:sz w:val="20"/>
              </w:rPr>
            </w:pPr>
            <w:r w:rsidRPr="00DF05B0">
              <w:rPr>
                <w:rFonts w:eastAsia="Calibri"/>
                <w:sz w:val="20"/>
              </w:rPr>
              <w:t>Unreported</w:t>
            </w:r>
          </w:p>
          <w:p w:rsidR="00BA18A2" w:rsidRPr="00DF05B0" w:rsidRDefault="00BA18A2" w:rsidP="00741DC5">
            <w:pPr>
              <w:jc w:val="both"/>
              <w:rPr>
                <w:rFonts w:eastAsia="Calibri"/>
                <w:sz w:val="20"/>
              </w:rPr>
            </w:pPr>
          </w:p>
        </w:tc>
        <w:tc>
          <w:tcPr>
            <w:tcW w:w="243" w:type="pct"/>
          </w:tcPr>
          <w:p w:rsidR="00BA18A2" w:rsidRPr="00DF05B0" w:rsidRDefault="00BA18A2" w:rsidP="00741DC5">
            <w:pPr>
              <w:jc w:val="both"/>
              <w:rPr>
                <w:rFonts w:eastAsia="Calibri"/>
                <w:sz w:val="20"/>
              </w:rPr>
            </w:pPr>
          </w:p>
        </w:tc>
        <w:tc>
          <w:tcPr>
            <w:tcW w:w="2330" w:type="pct"/>
          </w:tcPr>
          <w:p w:rsidR="00BA18A2" w:rsidRPr="00DF05B0" w:rsidRDefault="00BA18A2" w:rsidP="00741DC5">
            <w:pPr>
              <w:jc w:val="both"/>
              <w:rPr>
                <w:rFonts w:eastAsia="Calibri"/>
                <w:sz w:val="20"/>
              </w:rPr>
            </w:pPr>
            <w:r w:rsidRPr="00DF05B0">
              <w:rPr>
                <w:rFonts w:eastAsia="Calibri"/>
                <w:sz w:val="20"/>
              </w:rPr>
              <w:t>Respondent’s action dismissed</w:t>
            </w:r>
          </w:p>
          <w:p w:rsidR="00BA18A2" w:rsidRPr="00DF05B0" w:rsidRDefault="00BA18A2" w:rsidP="00741DC5">
            <w:pPr>
              <w:jc w:val="both"/>
              <w:rPr>
                <w:rFonts w:eastAsia="Calibri"/>
                <w:sz w:val="20"/>
              </w:rPr>
            </w:pPr>
          </w:p>
        </w:tc>
      </w:tr>
      <w:tr w:rsidR="00BA18A2" w:rsidRPr="00DF05B0" w:rsidTr="00741DC5">
        <w:tc>
          <w:tcPr>
            <w:tcW w:w="2427" w:type="pct"/>
          </w:tcPr>
          <w:p w:rsidR="00BA18A2" w:rsidRPr="00DF05B0" w:rsidRDefault="00BA18A2" w:rsidP="00741DC5">
            <w:pPr>
              <w:jc w:val="both"/>
              <w:rPr>
                <w:rFonts w:eastAsia="Calibri"/>
                <w:sz w:val="20"/>
              </w:rPr>
            </w:pPr>
            <w:r w:rsidRPr="00DF05B0">
              <w:rPr>
                <w:rFonts w:eastAsia="Calibri"/>
                <w:sz w:val="20"/>
              </w:rPr>
              <w:t>April 13, 2011</w:t>
            </w:r>
          </w:p>
          <w:p w:rsidR="00BA18A2" w:rsidRPr="00DF05B0" w:rsidRDefault="00BA18A2" w:rsidP="00741DC5">
            <w:pPr>
              <w:jc w:val="both"/>
              <w:rPr>
                <w:rFonts w:eastAsia="Calibri"/>
                <w:sz w:val="20"/>
              </w:rPr>
            </w:pPr>
            <w:r w:rsidRPr="00DF05B0">
              <w:rPr>
                <w:rFonts w:eastAsia="Calibri"/>
                <w:sz w:val="20"/>
              </w:rPr>
              <w:t>Court of Appeal for British Columbia (Vancouver)</w:t>
            </w:r>
          </w:p>
          <w:p w:rsidR="00BA18A2" w:rsidRPr="00DF05B0" w:rsidRDefault="00BA18A2" w:rsidP="00741DC5">
            <w:pPr>
              <w:jc w:val="both"/>
              <w:rPr>
                <w:rFonts w:eastAsia="Calibri"/>
                <w:sz w:val="20"/>
              </w:rPr>
            </w:pPr>
            <w:r w:rsidRPr="00DF05B0">
              <w:rPr>
                <w:rFonts w:eastAsia="Calibri"/>
                <w:sz w:val="20"/>
              </w:rPr>
              <w:t>(Low, Smith [dissenting] and Hinkson JJ.A.)</w:t>
            </w:r>
          </w:p>
          <w:p w:rsidR="00BA18A2" w:rsidRPr="00DF05B0" w:rsidRDefault="00BA18A2" w:rsidP="00741DC5">
            <w:pPr>
              <w:jc w:val="both"/>
              <w:rPr>
                <w:rFonts w:eastAsia="Calibri"/>
                <w:sz w:val="20"/>
              </w:rPr>
            </w:pPr>
            <w:r w:rsidRPr="00DF05B0">
              <w:rPr>
                <w:rFonts w:eastAsia="Calibri"/>
                <w:sz w:val="20"/>
              </w:rPr>
              <w:t>2011 BCCA 182</w:t>
            </w:r>
          </w:p>
          <w:p w:rsidR="00BA18A2" w:rsidRPr="00DF05B0" w:rsidRDefault="00BA18A2" w:rsidP="00741DC5">
            <w:pPr>
              <w:jc w:val="both"/>
              <w:rPr>
                <w:rFonts w:eastAsia="Calibri"/>
                <w:sz w:val="20"/>
              </w:rPr>
            </w:pPr>
          </w:p>
        </w:tc>
        <w:tc>
          <w:tcPr>
            <w:tcW w:w="243" w:type="pct"/>
          </w:tcPr>
          <w:p w:rsidR="00BA18A2" w:rsidRPr="00DF05B0" w:rsidRDefault="00BA18A2" w:rsidP="00741DC5">
            <w:pPr>
              <w:jc w:val="both"/>
              <w:rPr>
                <w:rFonts w:eastAsia="Calibri"/>
                <w:sz w:val="20"/>
              </w:rPr>
            </w:pPr>
          </w:p>
        </w:tc>
        <w:tc>
          <w:tcPr>
            <w:tcW w:w="2330" w:type="pct"/>
          </w:tcPr>
          <w:p w:rsidR="00BA18A2" w:rsidRPr="00DF05B0" w:rsidRDefault="00BA18A2" w:rsidP="00741DC5">
            <w:pPr>
              <w:jc w:val="both"/>
              <w:rPr>
                <w:rFonts w:eastAsia="Calibri"/>
                <w:sz w:val="20"/>
              </w:rPr>
            </w:pPr>
            <w:r w:rsidRPr="00DF05B0">
              <w:rPr>
                <w:rFonts w:eastAsia="Calibri"/>
                <w:sz w:val="20"/>
              </w:rPr>
              <w:t>Appeal allowed; new trial ordered</w:t>
            </w:r>
          </w:p>
          <w:p w:rsidR="00BA18A2" w:rsidRPr="00DF05B0" w:rsidRDefault="00BA18A2" w:rsidP="00741DC5">
            <w:pPr>
              <w:jc w:val="both"/>
              <w:rPr>
                <w:rFonts w:eastAsia="Calibri"/>
                <w:sz w:val="20"/>
              </w:rPr>
            </w:pPr>
          </w:p>
        </w:tc>
      </w:tr>
      <w:tr w:rsidR="00BA18A2" w:rsidRPr="00DF05B0" w:rsidTr="00741DC5">
        <w:tc>
          <w:tcPr>
            <w:tcW w:w="2427" w:type="pct"/>
          </w:tcPr>
          <w:p w:rsidR="00BA18A2" w:rsidRPr="00DF05B0" w:rsidRDefault="00BA18A2" w:rsidP="00741DC5">
            <w:pPr>
              <w:jc w:val="both"/>
              <w:rPr>
                <w:rFonts w:eastAsia="Calibri"/>
                <w:sz w:val="20"/>
              </w:rPr>
            </w:pPr>
            <w:r w:rsidRPr="00DF05B0">
              <w:rPr>
                <w:rFonts w:eastAsia="Calibri"/>
                <w:sz w:val="20"/>
              </w:rPr>
              <w:t>June 10, 2011</w:t>
            </w:r>
          </w:p>
          <w:p w:rsidR="00BA18A2" w:rsidRPr="00DF05B0" w:rsidRDefault="00BA18A2" w:rsidP="00741DC5">
            <w:pPr>
              <w:jc w:val="both"/>
              <w:rPr>
                <w:rFonts w:eastAsia="Calibri"/>
                <w:sz w:val="20"/>
              </w:rPr>
            </w:pPr>
            <w:r w:rsidRPr="00DF05B0">
              <w:rPr>
                <w:rFonts w:eastAsia="Calibri"/>
                <w:sz w:val="20"/>
              </w:rPr>
              <w:t>Supreme Court of Canada</w:t>
            </w:r>
          </w:p>
        </w:tc>
        <w:tc>
          <w:tcPr>
            <w:tcW w:w="243" w:type="pct"/>
          </w:tcPr>
          <w:p w:rsidR="00BA18A2" w:rsidRPr="00DF05B0" w:rsidRDefault="00BA18A2" w:rsidP="00741DC5">
            <w:pPr>
              <w:jc w:val="both"/>
              <w:rPr>
                <w:rFonts w:eastAsia="Calibri"/>
                <w:sz w:val="20"/>
              </w:rPr>
            </w:pPr>
          </w:p>
        </w:tc>
        <w:tc>
          <w:tcPr>
            <w:tcW w:w="2330" w:type="pct"/>
          </w:tcPr>
          <w:p w:rsidR="00BA18A2" w:rsidRPr="00DF05B0" w:rsidRDefault="00BA18A2" w:rsidP="00741DC5">
            <w:pPr>
              <w:jc w:val="both"/>
              <w:rPr>
                <w:rFonts w:eastAsia="Calibri"/>
                <w:sz w:val="20"/>
              </w:rPr>
            </w:pPr>
            <w:r w:rsidRPr="00DF05B0">
              <w:rPr>
                <w:rFonts w:eastAsia="Calibri"/>
                <w:sz w:val="20"/>
              </w:rPr>
              <w:t>Application for leave to appeal filed</w:t>
            </w:r>
          </w:p>
          <w:p w:rsidR="00BA18A2" w:rsidRPr="00DF05B0" w:rsidRDefault="00BA18A2" w:rsidP="00741DC5">
            <w:pPr>
              <w:jc w:val="both"/>
              <w:rPr>
                <w:rFonts w:eastAsia="Calibri"/>
                <w:sz w:val="20"/>
              </w:rPr>
            </w:pPr>
          </w:p>
        </w:tc>
      </w:tr>
    </w:tbl>
    <w:p w:rsidR="00BA18A2" w:rsidRDefault="00BA18A2" w:rsidP="00BA18A2">
      <w:pPr>
        <w:rPr>
          <w:sz w:val="20"/>
          <w:szCs w:val="20"/>
        </w:rPr>
      </w:pPr>
    </w:p>
    <w:p w:rsidR="00BA18A2" w:rsidRDefault="00460701" w:rsidP="00BA18A2">
      <w:pPr>
        <w:rPr>
          <w:sz w:val="20"/>
          <w:szCs w:val="20"/>
        </w:rPr>
      </w:pPr>
      <w:r w:rsidRPr="00460701">
        <w:rPr>
          <w:sz w:val="20"/>
          <w:szCs w:val="20"/>
          <w:lang w:val="fr-CA"/>
        </w:rPr>
        <w:pict>
          <v:rect id="_x0000_i1056" style="width:2in;height:1pt" o:hrpct="0" o:hralign="center" o:hrstd="t" o:hrnoshade="t" o:hr="t" fillcolor="black [3213]" stroked="f"/>
        </w:pict>
      </w:r>
    </w:p>
    <w:p w:rsidR="00BA18A2" w:rsidRDefault="00BA18A2" w:rsidP="00BA18A2">
      <w:pPr>
        <w:rPr>
          <w:sz w:val="20"/>
          <w:szCs w:val="20"/>
        </w:rPr>
      </w:pPr>
    </w:p>
    <w:p w:rsidR="00BA18A2" w:rsidRDefault="00BA18A2" w:rsidP="00BA18A2">
      <w:pPr>
        <w:rPr>
          <w:sz w:val="20"/>
          <w:szCs w:val="20"/>
        </w:rPr>
      </w:pPr>
      <w:r>
        <w:rPr>
          <w:sz w:val="20"/>
          <w:szCs w:val="20"/>
          <w:u w:val="single"/>
        </w:rPr>
        <w:t>RÉSUMÉ DE L’AFFAIRE</w:t>
      </w:r>
    </w:p>
    <w:p w:rsidR="00BA18A2" w:rsidRDefault="00BA18A2" w:rsidP="00BA18A2">
      <w:pPr>
        <w:rPr>
          <w:sz w:val="20"/>
          <w:szCs w:val="20"/>
        </w:rPr>
      </w:pPr>
    </w:p>
    <w:tbl>
      <w:tblPr>
        <w:tblW w:w="4952" w:type="pct"/>
        <w:tblLayout w:type="fixed"/>
        <w:tblCellMar>
          <w:left w:w="0" w:type="dxa"/>
          <w:bottom w:w="99" w:type="dxa"/>
          <w:right w:w="0" w:type="dxa"/>
        </w:tblCellMar>
        <w:tblLook w:val="00A0"/>
      </w:tblPr>
      <w:tblGrid>
        <w:gridCol w:w="4624"/>
        <w:gridCol w:w="463"/>
        <w:gridCol w:w="4440"/>
      </w:tblGrid>
      <w:tr w:rsidR="00BA18A2" w:rsidRPr="00BA18A2" w:rsidTr="00741DC5">
        <w:tc>
          <w:tcPr>
            <w:tcW w:w="5000" w:type="pct"/>
            <w:gridSpan w:val="3"/>
          </w:tcPr>
          <w:p w:rsidR="00BA18A2" w:rsidRPr="00DF05B0" w:rsidRDefault="00BA18A2" w:rsidP="00741DC5">
            <w:pPr>
              <w:jc w:val="both"/>
              <w:rPr>
                <w:rFonts w:eastAsia="Calibri"/>
                <w:sz w:val="20"/>
                <w:lang w:val="fr-CA"/>
              </w:rPr>
            </w:pPr>
            <w:r w:rsidRPr="00DF05B0">
              <w:rPr>
                <w:rFonts w:eastAsia="Calibri"/>
                <w:sz w:val="20"/>
                <w:lang w:val="fr-CA"/>
              </w:rPr>
              <w:t>Procédure civile — Appels — Procès par jury — Question soumise au jury — Le juge de première instance a donné des directives au jury et lui a soumis une question — La cour d'appel a conclu que la question avait pu induire le jury en erreur et a ordonné une nouvelle instruction — Quelle norme les cours d'appel doivent</w:t>
            </w:r>
            <w:r w:rsidRPr="00DF05B0">
              <w:rPr>
                <w:rFonts w:eastAsia="Calibri"/>
                <w:sz w:val="20"/>
                <w:lang w:val="fr-CA"/>
              </w:rPr>
              <w:noBreakHyphen/>
              <w:t>elles appliquer lorsqu'elle examine une directive ou une question erronée au jury pour déterminer si elle l'a induit en erreur?</w:t>
            </w:r>
          </w:p>
          <w:p w:rsidR="00BA18A2" w:rsidRPr="00DF05B0" w:rsidRDefault="00BA18A2" w:rsidP="00741DC5">
            <w:pPr>
              <w:jc w:val="both"/>
              <w:rPr>
                <w:rFonts w:eastAsia="Calibri"/>
                <w:sz w:val="20"/>
                <w:lang w:val="fr-CA"/>
              </w:rPr>
            </w:pPr>
          </w:p>
        </w:tc>
      </w:tr>
      <w:tr w:rsidR="00BA18A2" w:rsidRPr="00BA18A2" w:rsidTr="00741DC5">
        <w:tc>
          <w:tcPr>
            <w:tcW w:w="5000" w:type="pct"/>
            <w:gridSpan w:val="3"/>
          </w:tcPr>
          <w:p w:rsidR="00BA18A2" w:rsidRPr="00DF05B0" w:rsidRDefault="00BA18A2" w:rsidP="00741DC5">
            <w:pPr>
              <w:jc w:val="both"/>
              <w:rPr>
                <w:rFonts w:eastAsia="Calibri"/>
                <w:sz w:val="20"/>
                <w:lang w:val="fr-CA"/>
              </w:rPr>
            </w:pPr>
            <w:r w:rsidRPr="00DF05B0">
              <w:rPr>
                <w:rFonts w:eastAsia="Calibri"/>
                <w:sz w:val="20"/>
                <w:lang w:val="fr-CA"/>
              </w:rPr>
              <w:t xml:space="preserve">En 2006, Mme Lennox a trébuché et est tombée sur un trottoir municipal, subissant des blessures importantes, qu'elle attribue à une différence de niveau entre deux sections du trottoir.  Elle a intenté une action en négligence contre la Ville de New Westminster (« Ville »).  La Ville a nié toute responsabilité.  À l'instruction, le jury a été avisé que la Ville avait à la fois une politique écrite et une politique non écrite en matière d'inspection et d'entretien des trottoirs.  Le trottoir en cause devait être inspecté tous les trois ans et les inspecteurs devaient mesurer la grandeur ou la profondeur de toutes failles, fissures ou séparations dans le trottoir.  Conformément à la politique écrite, suivant la profondeur de la faille, les réparations étaient entreprises si les ressources le permettaient ou un échéancier était fixé pour avis public immédiat et attention dès que possible.  La politique non écrite était de réparer toute faille, quelle que soit sa profondeur, si la Ville recevait une plainte du public.  Le trottoir où Mme Lennox est tombée avait été inspecté seize mois auparavant, et trois failles avaient alors été signalées.  La preuve était contradictoire en ce qui concerne la profondeur de la faille qui aurait causé l'accident.  Le jury a également entendu des résidents de la rue témoigner qu'entre 2003 et 2005 ils s'étaient plaints à plusieurs reprises à la Ville de la condition dangereuse du trottoir en cause. </w:t>
            </w:r>
          </w:p>
          <w:p w:rsidR="00BA18A2" w:rsidRPr="00DF05B0" w:rsidRDefault="00BA18A2" w:rsidP="00741DC5">
            <w:pPr>
              <w:jc w:val="both"/>
              <w:rPr>
                <w:rFonts w:eastAsia="Calibri"/>
                <w:sz w:val="20"/>
                <w:lang w:val="fr-CA"/>
              </w:rPr>
            </w:pPr>
          </w:p>
          <w:p w:rsidR="00BA18A2" w:rsidRPr="00DF05B0" w:rsidRDefault="00BA18A2" w:rsidP="00741DC5">
            <w:pPr>
              <w:jc w:val="both"/>
              <w:rPr>
                <w:rFonts w:eastAsia="Calibri"/>
                <w:sz w:val="20"/>
                <w:lang w:val="fr-CA"/>
              </w:rPr>
            </w:pPr>
            <w:r w:rsidRPr="00DF05B0">
              <w:rPr>
                <w:rFonts w:eastAsia="Calibri"/>
                <w:sz w:val="20"/>
                <w:lang w:val="fr-CA"/>
              </w:rPr>
              <w:t>Le juge de première instance a donné des directives au jury, présentant la thèse de Mme Lennox en disant qu'elle soutenait que la Ville avait soit enfreint sa politique écrite de réparer les failles les plus profondes de façon urgente, soit enfreint la politique non écrite de répondre rapidement aux plaintes reçues.  Il a également renvoyé le jury en lui demandant de répondre à une seule question : « . . . Y a</w:t>
            </w:r>
            <w:r w:rsidRPr="00DF05B0">
              <w:rPr>
                <w:rFonts w:eastAsia="Calibri"/>
                <w:sz w:val="20"/>
                <w:lang w:val="fr-CA"/>
              </w:rPr>
              <w:noBreakHyphen/>
              <w:t>t</w:t>
            </w:r>
            <w:r w:rsidRPr="00DF05B0">
              <w:rPr>
                <w:rFonts w:eastAsia="Calibri"/>
                <w:sz w:val="20"/>
                <w:lang w:val="fr-CA"/>
              </w:rPr>
              <w:noBreakHyphen/>
              <w:t>il eu négligence de la part des employés de la Ville dans l'exécution de leurs responsabilités opérationnelles suivant les politiques écrites et non écrites concernant l'inspection et l'entretien des trottoirs? »  L'action de Mme Lennox a été rejetée à l'instruction.  Elle a interjeté appel au motif que la question soumise au jury l'avait induit en erreur concernant la question des éléments dont elle devait apporter la preuve pour pouvoir obtenir gain de cause.</w:t>
            </w:r>
          </w:p>
          <w:p w:rsidR="00BA18A2" w:rsidRPr="00DF05B0" w:rsidRDefault="00BA18A2" w:rsidP="00741DC5">
            <w:pPr>
              <w:jc w:val="both"/>
              <w:rPr>
                <w:rFonts w:eastAsia="Calibri"/>
                <w:sz w:val="20"/>
                <w:lang w:val="fr-CA"/>
              </w:rPr>
            </w:pPr>
          </w:p>
        </w:tc>
      </w:tr>
      <w:tr w:rsidR="00BA18A2" w:rsidRPr="00DF05B0" w:rsidTr="00741DC5">
        <w:tc>
          <w:tcPr>
            <w:tcW w:w="2427" w:type="pct"/>
          </w:tcPr>
          <w:p w:rsidR="00BA18A2" w:rsidRPr="00DF05B0" w:rsidRDefault="00BA18A2" w:rsidP="00741DC5">
            <w:pPr>
              <w:jc w:val="both"/>
              <w:rPr>
                <w:rFonts w:eastAsia="Calibri"/>
                <w:sz w:val="20"/>
                <w:lang w:val="fr-CA"/>
              </w:rPr>
            </w:pPr>
            <w:r w:rsidRPr="00DF05B0">
              <w:rPr>
                <w:rFonts w:eastAsia="Calibri"/>
                <w:sz w:val="20"/>
                <w:lang w:val="fr-CA"/>
              </w:rPr>
              <w:lastRenderedPageBreak/>
              <w:t>3 mai 2010</w:t>
            </w:r>
          </w:p>
          <w:p w:rsidR="00BA18A2" w:rsidRPr="00DF05B0" w:rsidRDefault="00BA18A2" w:rsidP="00741DC5">
            <w:pPr>
              <w:jc w:val="both"/>
              <w:rPr>
                <w:rFonts w:eastAsia="Calibri"/>
                <w:sz w:val="20"/>
                <w:lang w:val="fr-CA"/>
              </w:rPr>
            </w:pPr>
            <w:r w:rsidRPr="00DF05B0">
              <w:rPr>
                <w:rFonts w:eastAsia="Calibri"/>
                <w:sz w:val="20"/>
                <w:lang w:val="fr-CA"/>
              </w:rPr>
              <w:t>Cour suprême de la Colombie</w:t>
            </w:r>
            <w:r w:rsidRPr="00DF05B0">
              <w:rPr>
                <w:rFonts w:eastAsia="Calibri"/>
                <w:sz w:val="20"/>
                <w:lang w:val="fr-CA"/>
              </w:rPr>
              <w:noBreakHyphen/>
              <w:t>Britannique</w:t>
            </w:r>
          </w:p>
          <w:p w:rsidR="00BA18A2" w:rsidRPr="00DF05B0" w:rsidRDefault="00BA18A2" w:rsidP="00741DC5">
            <w:pPr>
              <w:jc w:val="both"/>
              <w:rPr>
                <w:rFonts w:eastAsia="Calibri"/>
                <w:sz w:val="20"/>
                <w:lang w:val="fr-CA"/>
              </w:rPr>
            </w:pPr>
            <w:r w:rsidRPr="00DF05B0">
              <w:rPr>
                <w:rFonts w:eastAsia="Calibri"/>
                <w:sz w:val="20"/>
                <w:lang w:val="fr-CA"/>
              </w:rPr>
              <w:t>(Juge Sewell)</w:t>
            </w:r>
          </w:p>
          <w:p w:rsidR="00BA18A2" w:rsidRPr="00DF05B0" w:rsidRDefault="00BA18A2" w:rsidP="00741DC5">
            <w:pPr>
              <w:jc w:val="both"/>
              <w:rPr>
                <w:rFonts w:eastAsia="Calibri"/>
                <w:sz w:val="20"/>
                <w:lang w:val="fr-CA"/>
              </w:rPr>
            </w:pPr>
            <w:r w:rsidRPr="00DF05B0">
              <w:rPr>
                <w:rFonts w:eastAsia="Calibri"/>
                <w:sz w:val="20"/>
                <w:lang w:val="fr-CA"/>
              </w:rPr>
              <w:t>inédit.</w:t>
            </w:r>
          </w:p>
          <w:p w:rsidR="00BA18A2" w:rsidRPr="00DF05B0" w:rsidRDefault="00BA18A2" w:rsidP="00741DC5">
            <w:pPr>
              <w:jc w:val="both"/>
              <w:rPr>
                <w:rFonts w:eastAsia="Calibri"/>
                <w:sz w:val="20"/>
                <w:lang w:val="fr-CA"/>
              </w:rPr>
            </w:pPr>
          </w:p>
        </w:tc>
        <w:tc>
          <w:tcPr>
            <w:tcW w:w="243" w:type="pct"/>
          </w:tcPr>
          <w:p w:rsidR="00BA18A2" w:rsidRPr="00DF05B0" w:rsidRDefault="00BA18A2" w:rsidP="00741DC5">
            <w:pPr>
              <w:jc w:val="both"/>
              <w:rPr>
                <w:rFonts w:eastAsia="Calibri"/>
                <w:sz w:val="20"/>
                <w:lang w:val="fr-CA"/>
              </w:rPr>
            </w:pPr>
          </w:p>
        </w:tc>
        <w:tc>
          <w:tcPr>
            <w:tcW w:w="2330" w:type="pct"/>
          </w:tcPr>
          <w:p w:rsidR="00BA18A2" w:rsidRPr="00DF05B0" w:rsidRDefault="00BA18A2" w:rsidP="00741DC5">
            <w:pPr>
              <w:jc w:val="both"/>
              <w:rPr>
                <w:rFonts w:eastAsia="Calibri"/>
                <w:sz w:val="20"/>
                <w:lang w:val="fr-CA"/>
              </w:rPr>
            </w:pPr>
            <w:r w:rsidRPr="00DF05B0">
              <w:rPr>
                <w:rFonts w:eastAsia="Calibri"/>
                <w:sz w:val="20"/>
                <w:lang w:val="fr-CA"/>
              </w:rPr>
              <w:t>Action de l'intimée rejetée</w:t>
            </w:r>
          </w:p>
          <w:p w:rsidR="00BA18A2" w:rsidRPr="00DF05B0" w:rsidRDefault="00BA18A2" w:rsidP="00741DC5">
            <w:pPr>
              <w:jc w:val="both"/>
              <w:rPr>
                <w:rFonts w:eastAsia="Calibri"/>
                <w:sz w:val="20"/>
                <w:lang w:val="fr-CA"/>
              </w:rPr>
            </w:pPr>
          </w:p>
        </w:tc>
      </w:tr>
      <w:tr w:rsidR="00BA18A2" w:rsidRPr="00DF05B0" w:rsidTr="00741DC5">
        <w:tc>
          <w:tcPr>
            <w:tcW w:w="2427" w:type="pct"/>
          </w:tcPr>
          <w:p w:rsidR="00BA18A2" w:rsidRPr="00DF05B0" w:rsidRDefault="00BA18A2" w:rsidP="00741DC5">
            <w:pPr>
              <w:jc w:val="both"/>
              <w:rPr>
                <w:rFonts w:eastAsia="Calibri"/>
                <w:sz w:val="20"/>
                <w:lang w:val="fr-CA"/>
              </w:rPr>
            </w:pPr>
            <w:r w:rsidRPr="00DF05B0">
              <w:rPr>
                <w:rFonts w:eastAsia="Calibri"/>
                <w:sz w:val="20"/>
                <w:lang w:val="fr-CA"/>
              </w:rPr>
              <w:t>13 avril 2011</w:t>
            </w:r>
          </w:p>
          <w:p w:rsidR="00BA18A2" w:rsidRPr="00DF05B0" w:rsidRDefault="00BA18A2" w:rsidP="00741DC5">
            <w:pPr>
              <w:jc w:val="both"/>
              <w:rPr>
                <w:rFonts w:eastAsia="Calibri"/>
                <w:sz w:val="20"/>
                <w:lang w:val="fr-CA"/>
              </w:rPr>
            </w:pPr>
            <w:r w:rsidRPr="00DF05B0">
              <w:rPr>
                <w:rFonts w:eastAsia="Calibri"/>
                <w:sz w:val="20"/>
                <w:lang w:val="fr-CA"/>
              </w:rPr>
              <w:t>Cour d'appel de la Colombie</w:t>
            </w:r>
            <w:r w:rsidRPr="00DF05B0">
              <w:rPr>
                <w:rFonts w:eastAsia="Calibri"/>
                <w:sz w:val="20"/>
                <w:lang w:val="fr-CA"/>
              </w:rPr>
              <w:noBreakHyphen/>
              <w:t>Britannique (Vancouver)</w:t>
            </w:r>
          </w:p>
          <w:p w:rsidR="00BA18A2" w:rsidRPr="00DF05B0" w:rsidRDefault="00BA18A2" w:rsidP="00741DC5">
            <w:pPr>
              <w:jc w:val="both"/>
              <w:rPr>
                <w:rFonts w:eastAsia="Calibri"/>
                <w:sz w:val="20"/>
              </w:rPr>
            </w:pPr>
            <w:r w:rsidRPr="00DF05B0">
              <w:rPr>
                <w:rFonts w:eastAsia="Calibri"/>
                <w:sz w:val="20"/>
              </w:rPr>
              <w:t>(Juges Low, Smith [dissident] et Hinkson)</w:t>
            </w:r>
          </w:p>
          <w:p w:rsidR="00BA18A2" w:rsidRPr="00DF05B0" w:rsidRDefault="00BA18A2" w:rsidP="00741DC5">
            <w:pPr>
              <w:jc w:val="both"/>
              <w:rPr>
                <w:rFonts w:eastAsia="Calibri"/>
                <w:sz w:val="20"/>
              </w:rPr>
            </w:pPr>
            <w:r w:rsidRPr="00DF05B0">
              <w:rPr>
                <w:rFonts w:eastAsia="Calibri"/>
                <w:sz w:val="20"/>
              </w:rPr>
              <w:t>2011 BCCA 182</w:t>
            </w:r>
          </w:p>
          <w:p w:rsidR="00BA18A2" w:rsidRPr="00DF05B0" w:rsidRDefault="00BA18A2" w:rsidP="00741DC5">
            <w:pPr>
              <w:jc w:val="both"/>
              <w:rPr>
                <w:rFonts w:eastAsia="Calibri"/>
                <w:sz w:val="20"/>
              </w:rPr>
            </w:pPr>
          </w:p>
        </w:tc>
        <w:tc>
          <w:tcPr>
            <w:tcW w:w="243" w:type="pct"/>
          </w:tcPr>
          <w:p w:rsidR="00BA18A2" w:rsidRPr="00DF05B0" w:rsidRDefault="00BA18A2" w:rsidP="00741DC5">
            <w:pPr>
              <w:jc w:val="both"/>
              <w:rPr>
                <w:rFonts w:eastAsia="Calibri"/>
                <w:sz w:val="20"/>
              </w:rPr>
            </w:pPr>
          </w:p>
        </w:tc>
        <w:tc>
          <w:tcPr>
            <w:tcW w:w="2330" w:type="pct"/>
          </w:tcPr>
          <w:p w:rsidR="00BA18A2" w:rsidRPr="00DF05B0" w:rsidRDefault="00BA18A2" w:rsidP="00741DC5">
            <w:pPr>
              <w:jc w:val="both"/>
              <w:rPr>
                <w:rFonts w:eastAsia="Calibri"/>
                <w:sz w:val="20"/>
                <w:lang w:val="fr-CA"/>
              </w:rPr>
            </w:pPr>
            <w:r w:rsidRPr="00DF05B0">
              <w:rPr>
                <w:rFonts w:eastAsia="Calibri"/>
                <w:sz w:val="20"/>
                <w:lang w:val="fr-CA"/>
              </w:rPr>
              <w:t>Appel accueilli; nouvelle instruction ordonnée</w:t>
            </w:r>
          </w:p>
          <w:p w:rsidR="00BA18A2" w:rsidRPr="00DF05B0" w:rsidRDefault="00BA18A2" w:rsidP="00741DC5">
            <w:pPr>
              <w:jc w:val="both"/>
              <w:rPr>
                <w:rFonts w:eastAsia="Calibri"/>
                <w:sz w:val="20"/>
                <w:lang w:val="fr-CA"/>
              </w:rPr>
            </w:pPr>
          </w:p>
        </w:tc>
      </w:tr>
      <w:tr w:rsidR="00BA18A2" w:rsidRPr="00DF05B0" w:rsidTr="00741DC5">
        <w:tc>
          <w:tcPr>
            <w:tcW w:w="2427" w:type="pct"/>
          </w:tcPr>
          <w:p w:rsidR="00BA18A2" w:rsidRPr="00DF05B0" w:rsidRDefault="00BA18A2" w:rsidP="00741DC5">
            <w:pPr>
              <w:jc w:val="both"/>
              <w:rPr>
                <w:rFonts w:eastAsia="Calibri"/>
                <w:sz w:val="20"/>
                <w:lang w:val="fr-CA"/>
              </w:rPr>
            </w:pPr>
            <w:r w:rsidRPr="00DF05B0">
              <w:rPr>
                <w:rFonts w:eastAsia="Calibri"/>
                <w:sz w:val="20"/>
                <w:lang w:val="fr-CA"/>
              </w:rPr>
              <w:t>10 juin 2011</w:t>
            </w:r>
          </w:p>
          <w:p w:rsidR="00BA18A2" w:rsidRPr="00DF05B0" w:rsidRDefault="00BA18A2" w:rsidP="00741DC5">
            <w:pPr>
              <w:jc w:val="both"/>
              <w:rPr>
                <w:rFonts w:eastAsia="Calibri"/>
                <w:sz w:val="20"/>
                <w:lang w:val="fr-CA"/>
              </w:rPr>
            </w:pPr>
            <w:r w:rsidRPr="00DF05B0">
              <w:rPr>
                <w:rFonts w:eastAsia="Calibri"/>
                <w:sz w:val="20"/>
                <w:lang w:val="fr-CA"/>
              </w:rPr>
              <w:t>Cour suprême du Canada</w:t>
            </w:r>
          </w:p>
        </w:tc>
        <w:tc>
          <w:tcPr>
            <w:tcW w:w="243" w:type="pct"/>
          </w:tcPr>
          <w:p w:rsidR="00BA18A2" w:rsidRPr="00DF05B0" w:rsidRDefault="00BA18A2" w:rsidP="00741DC5">
            <w:pPr>
              <w:jc w:val="both"/>
              <w:rPr>
                <w:rFonts w:eastAsia="Calibri"/>
                <w:sz w:val="20"/>
                <w:lang w:val="fr-CA"/>
              </w:rPr>
            </w:pPr>
          </w:p>
        </w:tc>
        <w:tc>
          <w:tcPr>
            <w:tcW w:w="2330" w:type="pct"/>
          </w:tcPr>
          <w:p w:rsidR="00BA18A2" w:rsidRPr="00DF05B0" w:rsidRDefault="00BA18A2" w:rsidP="00741DC5">
            <w:pPr>
              <w:jc w:val="both"/>
              <w:rPr>
                <w:rFonts w:eastAsia="Calibri"/>
                <w:sz w:val="20"/>
                <w:lang w:val="fr-CA"/>
              </w:rPr>
            </w:pPr>
            <w:r w:rsidRPr="00DF05B0">
              <w:rPr>
                <w:rFonts w:eastAsia="Calibri"/>
                <w:sz w:val="20"/>
                <w:lang w:val="fr-CA"/>
              </w:rPr>
              <w:t>Demande d’autorisation d’appel déposée.</w:t>
            </w:r>
          </w:p>
          <w:p w:rsidR="00BA18A2" w:rsidRPr="00DF05B0" w:rsidRDefault="00BA18A2" w:rsidP="00741DC5">
            <w:pPr>
              <w:jc w:val="both"/>
              <w:rPr>
                <w:rFonts w:eastAsia="Calibri"/>
                <w:sz w:val="20"/>
                <w:lang w:val="fr-CA"/>
              </w:rPr>
            </w:pPr>
          </w:p>
        </w:tc>
      </w:tr>
    </w:tbl>
    <w:p w:rsidR="00BA18A2" w:rsidRDefault="00BA18A2" w:rsidP="00BA18A2">
      <w:pPr>
        <w:rPr>
          <w:sz w:val="20"/>
          <w:szCs w:val="20"/>
        </w:rPr>
      </w:pPr>
    </w:p>
    <w:p w:rsidR="00BA18A2" w:rsidRDefault="00460701" w:rsidP="00BA18A2">
      <w:pPr>
        <w:rPr>
          <w:sz w:val="20"/>
          <w:szCs w:val="20"/>
          <w:lang w:val="fr-CA"/>
        </w:rPr>
      </w:pPr>
      <w:r w:rsidRPr="00460701">
        <w:rPr>
          <w:sz w:val="20"/>
          <w:szCs w:val="20"/>
          <w:lang w:val="fr-CA"/>
        </w:rPr>
        <w:pict>
          <v:rect id="_x0000_i1057" style="width:2in;height:1pt" o:hrpct="0" o:hralign="center" o:hrstd="t" o:hrnoshade="t" o:hr="t" fillcolor="black [3213]" stroked="f"/>
        </w:pict>
      </w:r>
    </w:p>
    <w:p w:rsidR="00BA18A2" w:rsidRDefault="00BA18A2" w:rsidP="00BA18A2">
      <w:pPr>
        <w:rPr>
          <w:sz w:val="20"/>
          <w:szCs w:val="2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1458"/>
        <w:gridCol w:w="8118"/>
      </w:tblGrid>
      <w:tr w:rsidR="00BA18A2" w:rsidRPr="004408EF" w:rsidTr="00741DC5">
        <w:trPr>
          <w:cantSplit/>
        </w:trPr>
        <w:tc>
          <w:tcPr>
            <w:tcW w:w="1458" w:type="dxa"/>
          </w:tcPr>
          <w:p w:rsidR="00BA18A2" w:rsidRPr="004408EF" w:rsidRDefault="00BA18A2" w:rsidP="00741DC5">
            <w:pPr>
              <w:rPr>
                <w:sz w:val="20"/>
                <w:szCs w:val="20"/>
              </w:rPr>
            </w:pPr>
            <w:r w:rsidRPr="004408EF">
              <w:rPr>
                <w:rStyle w:val="SCCFileNumberChar"/>
                <w:sz w:val="20"/>
                <w:szCs w:val="20"/>
              </w:rPr>
              <w:t>34323</w:t>
            </w:r>
          </w:p>
          <w:p w:rsidR="00BA18A2" w:rsidRPr="004408EF" w:rsidRDefault="00BA18A2" w:rsidP="00741DC5">
            <w:pPr>
              <w:rPr>
                <w:b/>
                <w:sz w:val="20"/>
                <w:szCs w:val="20"/>
                <w:lang w:val="fr-CA"/>
              </w:rPr>
            </w:pPr>
          </w:p>
        </w:tc>
        <w:tc>
          <w:tcPr>
            <w:tcW w:w="8118" w:type="dxa"/>
          </w:tcPr>
          <w:p w:rsidR="00BA18A2" w:rsidRPr="004408EF" w:rsidRDefault="00BA18A2" w:rsidP="00741DC5">
            <w:pPr>
              <w:rPr>
                <w:sz w:val="20"/>
                <w:szCs w:val="20"/>
              </w:rPr>
            </w:pPr>
            <w:r w:rsidRPr="00BA18A2">
              <w:rPr>
                <w:rStyle w:val="SCCLsocChar"/>
                <w:sz w:val="20"/>
                <w:szCs w:val="20"/>
                <w:lang w:val="en-CA"/>
              </w:rPr>
              <w:t>Sujenth Ulaganathan v. Her Majesty the Queen</w:t>
            </w:r>
            <w:r w:rsidRPr="004408EF">
              <w:rPr>
                <w:sz w:val="20"/>
                <w:szCs w:val="20"/>
              </w:rPr>
              <w:t xml:space="preserve"> (Ont.) (Criminal) (By Leave)</w:t>
            </w:r>
          </w:p>
          <w:p w:rsidR="00BA18A2" w:rsidRPr="004408EF" w:rsidRDefault="00BA18A2" w:rsidP="00741DC5">
            <w:pPr>
              <w:rPr>
                <w:sz w:val="20"/>
                <w:szCs w:val="20"/>
              </w:rPr>
            </w:pPr>
          </w:p>
        </w:tc>
      </w:tr>
      <w:tr w:rsidR="00BA18A2" w:rsidRPr="004408EF" w:rsidTr="00741DC5">
        <w:trPr>
          <w:cantSplit/>
        </w:trPr>
        <w:tc>
          <w:tcPr>
            <w:tcW w:w="1458" w:type="dxa"/>
          </w:tcPr>
          <w:p w:rsidR="00BA18A2" w:rsidRPr="004408EF" w:rsidRDefault="00BA18A2" w:rsidP="00741DC5">
            <w:pPr>
              <w:rPr>
                <w:sz w:val="20"/>
                <w:szCs w:val="20"/>
              </w:rPr>
            </w:pPr>
            <w:r w:rsidRPr="004408EF">
              <w:rPr>
                <w:sz w:val="20"/>
                <w:szCs w:val="20"/>
              </w:rPr>
              <w:t>Coram :</w:t>
            </w:r>
          </w:p>
        </w:tc>
        <w:tc>
          <w:tcPr>
            <w:tcW w:w="8118" w:type="dxa"/>
          </w:tcPr>
          <w:p w:rsidR="00BA18A2" w:rsidRPr="004408EF" w:rsidRDefault="00BA18A2" w:rsidP="00741DC5">
            <w:pPr>
              <w:rPr>
                <w:sz w:val="20"/>
                <w:szCs w:val="20"/>
              </w:rPr>
            </w:pPr>
            <w:r w:rsidRPr="00BA18A2">
              <w:rPr>
                <w:rStyle w:val="SCCCoramChar"/>
                <w:sz w:val="20"/>
                <w:lang w:val="en-CA"/>
              </w:rPr>
              <w:t>Binnie, Abella and Rothstein JJ.</w:t>
            </w:r>
          </w:p>
          <w:p w:rsidR="00BA18A2" w:rsidRPr="004408EF" w:rsidRDefault="00BA18A2" w:rsidP="00741DC5">
            <w:pPr>
              <w:rPr>
                <w:sz w:val="20"/>
                <w:szCs w:val="20"/>
                <w:u w:val="single"/>
              </w:rPr>
            </w:pPr>
          </w:p>
        </w:tc>
      </w:tr>
      <w:tr w:rsidR="00BA18A2" w:rsidRPr="00BA18A2" w:rsidTr="00741DC5">
        <w:trPr>
          <w:cantSplit/>
        </w:trPr>
        <w:tc>
          <w:tcPr>
            <w:tcW w:w="9576" w:type="dxa"/>
            <w:gridSpan w:val="2"/>
          </w:tcPr>
          <w:p w:rsidR="00BA18A2" w:rsidRPr="004408EF" w:rsidRDefault="00BA18A2" w:rsidP="00741DC5">
            <w:pPr>
              <w:pStyle w:val="SCCShortJudgment"/>
              <w:rPr>
                <w:szCs w:val="20"/>
              </w:rPr>
            </w:pPr>
            <w:r w:rsidRPr="004408EF">
              <w:rPr>
                <w:szCs w:val="20"/>
              </w:rPr>
              <w:t>The motion for an extension of time to serve and file the application for leave to appeal is granted.  The application for leave to appeal from the judgment of the Court of Appeal for Ontario, Number C50963, 2010 ONCA 625, dated September 29, 2010, is dismissed without costs.</w:t>
            </w:r>
          </w:p>
          <w:p w:rsidR="00BA18A2" w:rsidRPr="004408EF" w:rsidRDefault="00BA18A2" w:rsidP="00741DC5">
            <w:pPr>
              <w:pStyle w:val="SCCShortJudgment"/>
              <w:ind w:firstLine="0"/>
              <w:rPr>
                <w:szCs w:val="20"/>
              </w:rPr>
            </w:pPr>
          </w:p>
          <w:p w:rsidR="00BA18A2" w:rsidRPr="004408EF" w:rsidRDefault="00BA18A2" w:rsidP="00741DC5">
            <w:pPr>
              <w:pStyle w:val="SCCShortJudgment"/>
              <w:rPr>
                <w:szCs w:val="20"/>
                <w:lang w:val="fr-CA"/>
              </w:rPr>
            </w:pPr>
            <w:r w:rsidRPr="004408EF">
              <w:rPr>
                <w:szCs w:val="20"/>
                <w:lang w:val="fr-CA"/>
              </w:rPr>
              <w:t>La requête en prorogation du délai de signification et de dépôt de la demande d’autorisation d’appel est accordée.  La demande d’autorisation d’appel de l’arrêt de la Cour d’appel de l’Ontario, numéro C50963, 2010 ONCA 625, daté du 29 septembre 2010, est rejetée sans dépens.</w:t>
            </w:r>
          </w:p>
        </w:tc>
      </w:tr>
    </w:tbl>
    <w:p w:rsidR="00BA18A2" w:rsidRPr="00FF4617" w:rsidRDefault="00BA18A2" w:rsidP="00BA18A2">
      <w:pPr>
        <w:rPr>
          <w:sz w:val="20"/>
          <w:szCs w:val="20"/>
          <w:lang w:val="fr-CA"/>
        </w:rPr>
      </w:pPr>
    </w:p>
    <w:p w:rsidR="00BA18A2" w:rsidRDefault="00BA18A2" w:rsidP="00BA18A2">
      <w:pPr>
        <w:rPr>
          <w:sz w:val="20"/>
          <w:szCs w:val="20"/>
        </w:rPr>
      </w:pPr>
      <w:r>
        <w:rPr>
          <w:sz w:val="20"/>
          <w:szCs w:val="20"/>
          <w:u w:val="single"/>
        </w:rPr>
        <w:t>CASE SUMMARY</w:t>
      </w:r>
    </w:p>
    <w:p w:rsidR="00BA18A2" w:rsidRDefault="00BA18A2" w:rsidP="00BA18A2">
      <w:pPr>
        <w:rPr>
          <w:sz w:val="20"/>
          <w:szCs w:val="20"/>
        </w:rPr>
      </w:pPr>
    </w:p>
    <w:tbl>
      <w:tblPr>
        <w:tblW w:w="5000" w:type="pct"/>
        <w:tblLayout w:type="fixed"/>
        <w:tblCellMar>
          <w:left w:w="0" w:type="dxa"/>
          <w:bottom w:w="99" w:type="dxa"/>
          <w:right w:w="0" w:type="dxa"/>
        </w:tblCellMar>
        <w:tblLook w:val="04A0"/>
      </w:tblPr>
      <w:tblGrid>
        <w:gridCol w:w="4554"/>
        <w:gridCol w:w="514"/>
        <w:gridCol w:w="4459"/>
        <w:gridCol w:w="92"/>
      </w:tblGrid>
      <w:tr w:rsidR="00BA18A2" w:rsidRPr="00DF05B0" w:rsidTr="00741DC5">
        <w:trPr>
          <w:gridAfter w:val="1"/>
          <w:wAfter w:w="48" w:type="pct"/>
        </w:trPr>
        <w:tc>
          <w:tcPr>
            <w:tcW w:w="4952" w:type="pct"/>
            <w:gridSpan w:val="3"/>
          </w:tcPr>
          <w:p w:rsidR="00BA18A2" w:rsidRPr="00DF05B0" w:rsidRDefault="00BA18A2" w:rsidP="00741DC5">
            <w:pPr>
              <w:jc w:val="both"/>
              <w:rPr>
                <w:rFonts w:eastAsia="Calibri"/>
                <w:sz w:val="20"/>
              </w:rPr>
            </w:pPr>
            <w:r w:rsidRPr="00DF05B0">
              <w:rPr>
                <w:rFonts w:eastAsia="Calibri"/>
                <w:sz w:val="20"/>
              </w:rPr>
              <w:t>Criminal Law — Charge to jury — Party liability — Reasonable doubt — Whether jury charge on party liability was sufficient — Whether the charge to jury should have linked instructions on party liability to evidence of mistaken identity and spontaneous change in plan — Whether Court of Appeal erred in imputing understanding to the jury of how to apply the law of party liability to facts — Whether jury charge on reasonable doubt was sufficient.</w:t>
            </w:r>
          </w:p>
        </w:tc>
      </w:tr>
      <w:tr w:rsidR="00BA18A2" w:rsidRPr="00DF05B0" w:rsidTr="00741DC5">
        <w:trPr>
          <w:gridAfter w:val="1"/>
          <w:wAfter w:w="48" w:type="pct"/>
        </w:trPr>
        <w:tc>
          <w:tcPr>
            <w:tcW w:w="4952" w:type="pct"/>
            <w:gridSpan w:val="3"/>
          </w:tcPr>
          <w:p w:rsidR="00BA18A2" w:rsidRPr="00DF05B0" w:rsidRDefault="00BA18A2" w:rsidP="00741DC5">
            <w:pPr>
              <w:jc w:val="both"/>
              <w:rPr>
                <w:rFonts w:eastAsia="Calibri"/>
                <w:sz w:val="20"/>
              </w:rPr>
            </w:pPr>
          </w:p>
        </w:tc>
      </w:tr>
      <w:tr w:rsidR="00BA18A2" w:rsidRPr="00DF05B0" w:rsidTr="00741DC5">
        <w:trPr>
          <w:gridAfter w:val="1"/>
          <w:wAfter w:w="48" w:type="pct"/>
        </w:trPr>
        <w:tc>
          <w:tcPr>
            <w:tcW w:w="4952" w:type="pct"/>
            <w:gridSpan w:val="3"/>
          </w:tcPr>
          <w:p w:rsidR="00BA18A2" w:rsidRPr="00DF05B0" w:rsidRDefault="00BA18A2" w:rsidP="00741DC5">
            <w:pPr>
              <w:jc w:val="both"/>
              <w:rPr>
                <w:rFonts w:eastAsia="Calibri"/>
                <w:sz w:val="20"/>
              </w:rPr>
            </w:pPr>
            <w:r w:rsidRPr="00DF05B0">
              <w:rPr>
                <w:rFonts w:eastAsia="Calibri"/>
                <w:sz w:val="20"/>
              </w:rPr>
              <w:t xml:space="preserve">A group of assailants attacked and killed a man.  They then fled in three vehicles.  The Crown theorized that the group had plotted to murder another individual and killed the deceased either in a case of mistaken identity or spontaneously due to his friendship with their target.  </w:t>
            </w:r>
            <w:r w:rsidRPr="00DF05B0">
              <w:rPr>
                <w:rFonts w:eastAsia="Calibri"/>
                <w:color w:val="000000"/>
                <w:sz w:val="20"/>
              </w:rPr>
              <w:t>The Crown’s theory was that the applicant participated in the assault or was a get</w:t>
            </w:r>
            <w:r w:rsidRPr="00DF05B0">
              <w:rPr>
                <w:rFonts w:eastAsia="Calibri"/>
                <w:color w:val="000000"/>
                <w:sz w:val="20"/>
              </w:rPr>
              <w:noBreakHyphen/>
              <w:t xml:space="preserve">away driver.  The applicant did not testify but his defence counsel asserted that the applicant was not there or was merely a passenger in one of the vehicles.  </w:t>
            </w:r>
            <w:r w:rsidRPr="00DF05B0">
              <w:rPr>
                <w:rFonts w:eastAsia="Calibri"/>
                <w:sz w:val="20"/>
              </w:rPr>
              <w:t>A co</w:t>
            </w:r>
            <w:r w:rsidRPr="00DF05B0">
              <w:rPr>
                <w:rFonts w:eastAsia="Calibri"/>
                <w:sz w:val="20"/>
              </w:rPr>
              <w:noBreakHyphen/>
              <w:t>accused testified that the applicant was at the scene and drove</w:t>
            </w:r>
            <w:r w:rsidRPr="00DF05B0">
              <w:rPr>
                <w:rFonts w:eastAsia="Calibri"/>
                <w:color w:val="000000"/>
                <w:sz w:val="20"/>
              </w:rPr>
              <w:t xml:space="preserve"> one of the vehicles.  The applicant’s fingerprints were recovered from one of the get</w:t>
            </w:r>
            <w:r w:rsidRPr="00DF05B0">
              <w:rPr>
                <w:rFonts w:eastAsia="Calibri"/>
                <w:color w:val="000000"/>
                <w:sz w:val="20"/>
              </w:rPr>
              <w:noBreakHyphen/>
              <w:t xml:space="preserve">away vehicles.  </w:t>
            </w:r>
            <w:r w:rsidRPr="00DF05B0">
              <w:rPr>
                <w:rFonts w:eastAsia="Calibri"/>
                <w:sz w:val="20"/>
              </w:rPr>
              <w:t xml:space="preserve">The applicant was </w:t>
            </w:r>
            <w:r w:rsidRPr="00DF05B0">
              <w:rPr>
                <w:rFonts w:eastAsia="Calibri"/>
                <w:sz w:val="20"/>
              </w:rPr>
              <w:lastRenderedPageBreak/>
              <w:t>convicted of second degree murder by a jury.  On appeal, the applicant argued that the trial judge’s charge to the jury and a re</w:t>
            </w:r>
            <w:r w:rsidRPr="00DF05B0">
              <w:rPr>
                <w:rFonts w:eastAsia="Calibri"/>
                <w:sz w:val="20"/>
              </w:rPr>
              <w:noBreakHyphen/>
              <w:t>charge failed to instruct the jury properly on reasonable doubt and on party liability.  The Court of Appeal found no error in the jury charge and upheld the convictions.</w:t>
            </w:r>
          </w:p>
          <w:p w:rsidR="00BA18A2" w:rsidRPr="00DF05B0" w:rsidRDefault="00BA18A2" w:rsidP="00741DC5">
            <w:pPr>
              <w:jc w:val="both"/>
              <w:rPr>
                <w:rFonts w:eastAsia="Calibri"/>
                <w:sz w:val="20"/>
              </w:rPr>
            </w:pPr>
          </w:p>
        </w:tc>
      </w:tr>
      <w:tr w:rsidR="00BA18A2" w:rsidRPr="00DF05B0" w:rsidTr="00741DC5">
        <w:tblPrEx>
          <w:tblCellMar>
            <w:bottom w:w="0" w:type="dxa"/>
          </w:tblCellMar>
        </w:tblPrEx>
        <w:tc>
          <w:tcPr>
            <w:tcW w:w="2367" w:type="pct"/>
          </w:tcPr>
          <w:p w:rsidR="00BA18A2" w:rsidRPr="00DF05B0" w:rsidRDefault="00BA18A2" w:rsidP="00741DC5">
            <w:pPr>
              <w:jc w:val="both"/>
              <w:rPr>
                <w:rFonts w:eastAsia="Calibri"/>
                <w:sz w:val="20"/>
              </w:rPr>
            </w:pPr>
            <w:r w:rsidRPr="00DF05B0">
              <w:rPr>
                <w:rFonts w:eastAsia="Calibri"/>
                <w:sz w:val="20"/>
              </w:rPr>
              <w:lastRenderedPageBreak/>
              <w:t>December 16, 2006</w:t>
            </w:r>
          </w:p>
          <w:p w:rsidR="00BA18A2" w:rsidRPr="00DF05B0" w:rsidRDefault="00BA18A2" w:rsidP="00741DC5">
            <w:pPr>
              <w:jc w:val="both"/>
              <w:rPr>
                <w:rFonts w:eastAsia="Calibri"/>
                <w:sz w:val="20"/>
              </w:rPr>
            </w:pPr>
            <w:r w:rsidRPr="00DF05B0">
              <w:rPr>
                <w:rFonts w:eastAsia="Calibri"/>
                <w:sz w:val="20"/>
              </w:rPr>
              <w:t>Ontario Superior Court of Justice</w:t>
            </w:r>
          </w:p>
          <w:p w:rsidR="00BA18A2" w:rsidRPr="00DF05B0" w:rsidRDefault="00BA18A2" w:rsidP="00741DC5">
            <w:pPr>
              <w:jc w:val="both"/>
              <w:rPr>
                <w:rFonts w:eastAsia="Calibri"/>
                <w:sz w:val="20"/>
              </w:rPr>
            </w:pPr>
            <w:r w:rsidRPr="00DF05B0">
              <w:rPr>
                <w:rFonts w:eastAsia="Calibri"/>
                <w:sz w:val="20"/>
              </w:rPr>
              <w:t xml:space="preserve">(Ewaschuk J.) </w:t>
            </w:r>
          </w:p>
          <w:p w:rsidR="00BA18A2" w:rsidRPr="00DF05B0" w:rsidRDefault="00BA18A2" w:rsidP="00741DC5">
            <w:pPr>
              <w:jc w:val="both"/>
              <w:rPr>
                <w:rFonts w:eastAsia="Calibri"/>
                <w:sz w:val="20"/>
              </w:rPr>
            </w:pPr>
          </w:p>
        </w:tc>
        <w:tc>
          <w:tcPr>
            <w:tcW w:w="267" w:type="pct"/>
          </w:tcPr>
          <w:p w:rsidR="00BA18A2" w:rsidRPr="00DF05B0" w:rsidRDefault="00BA18A2" w:rsidP="00741DC5">
            <w:pPr>
              <w:jc w:val="both"/>
              <w:rPr>
                <w:rFonts w:eastAsia="Calibri"/>
                <w:sz w:val="20"/>
              </w:rPr>
            </w:pPr>
          </w:p>
        </w:tc>
        <w:tc>
          <w:tcPr>
            <w:tcW w:w="2366" w:type="pct"/>
            <w:gridSpan w:val="2"/>
          </w:tcPr>
          <w:p w:rsidR="00BA18A2" w:rsidRPr="00DF05B0" w:rsidRDefault="00BA18A2" w:rsidP="00741DC5">
            <w:pPr>
              <w:jc w:val="both"/>
              <w:rPr>
                <w:rFonts w:eastAsia="Calibri"/>
                <w:sz w:val="20"/>
              </w:rPr>
            </w:pPr>
            <w:r w:rsidRPr="00DF05B0">
              <w:rPr>
                <w:rFonts w:eastAsia="Calibri"/>
                <w:sz w:val="20"/>
              </w:rPr>
              <w:t>Conviction by jury of second degree murder</w:t>
            </w:r>
          </w:p>
          <w:p w:rsidR="00BA18A2" w:rsidRPr="00DF05B0" w:rsidRDefault="00BA18A2" w:rsidP="00741DC5">
            <w:pPr>
              <w:jc w:val="both"/>
              <w:rPr>
                <w:rFonts w:eastAsia="Calibri"/>
                <w:sz w:val="20"/>
              </w:rPr>
            </w:pPr>
          </w:p>
        </w:tc>
      </w:tr>
      <w:tr w:rsidR="00BA18A2" w:rsidRPr="00DF05B0" w:rsidTr="00741DC5">
        <w:tblPrEx>
          <w:tblCellMar>
            <w:bottom w:w="0" w:type="dxa"/>
          </w:tblCellMar>
        </w:tblPrEx>
        <w:tc>
          <w:tcPr>
            <w:tcW w:w="2367" w:type="pct"/>
          </w:tcPr>
          <w:p w:rsidR="00BA18A2" w:rsidRPr="00DF05B0" w:rsidRDefault="00BA18A2" w:rsidP="00741DC5">
            <w:pPr>
              <w:jc w:val="both"/>
              <w:rPr>
                <w:rFonts w:eastAsia="Calibri"/>
                <w:sz w:val="20"/>
              </w:rPr>
            </w:pPr>
            <w:r w:rsidRPr="00DF05B0">
              <w:rPr>
                <w:rFonts w:eastAsia="Calibri"/>
                <w:sz w:val="20"/>
              </w:rPr>
              <w:t>September 29, 2010</w:t>
            </w:r>
          </w:p>
          <w:p w:rsidR="00BA18A2" w:rsidRPr="00DF05B0" w:rsidRDefault="00BA18A2" w:rsidP="00741DC5">
            <w:pPr>
              <w:jc w:val="both"/>
              <w:rPr>
                <w:rFonts w:eastAsia="Calibri"/>
                <w:sz w:val="20"/>
              </w:rPr>
            </w:pPr>
            <w:r w:rsidRPr="00DF05B0">
              <w:rPr>
                <w:rFonts w:eastAsia="Calibri"/>
                <w:sz w:val="20"/>
              </w:rPr>
              <w:t>Court of Appeal for Ontario</w:t>
            </w:r>
          </w:p>
          <w:p w:rsidR="00BA18A2" w:rsidRPr="00DF05B0" w:rsidRDefault="00BA18A2" w:rsidP="00741DC5">
            <w:pPr>
              <w:jc w:val="both"/>
              <w:rPr>
                <w:rFonts w:eastAsia="Calibri"/>
                <w:sz w:val="20"/>
              </w:rPr>
            </w:pPr>
            <w:r w:rsidRPr="00DF05B0">
              <w:rPr>
                <w:rFonts w:eastAsia="Calibri"/>
                <w:sz w:val="20"/>
              </w:rPr>
              <w:t>(Doherty, Moldaver, Cronk JJ.A.)</w:t>
            </w:r>
          </w:p>
          <w:p w:rsidR="00BA18A2" w:rsidRPr="00DF05B0" w:rsidRDefault="00BA18A2" w:rsidP="00741DC5">
            <w:pPr>
              <w:jc w:val="both"/>
              <w:rPr>
                <w:rFonts w:eastAsia="Calibri"/>
                <w:color w:val="000000"/>
                <w:sz w:val="20"/>
              </w:rPr>
            </w:pPr>
            <w:r w:rsidRPr="00DF05B0">
              <w:rPr>
                <w:rFonts w:eastAsia="Calibri"/>
                <w:sz w:val="20"/>
              </w:rPr>
              <w:t xml:space="preserve">2010 ONCA 625; </w:t>
            </w:r>
            <w:r w:rsidRPr="00DF05B0">
              <w:rPr>
                <w:rFonts w:eastAsia="Calibri"/>
                <w:color w:val="000000"/>
                <w:sz w:val="20"/>
              </w:rPr>
              <w:t>C50963</w:t>
            </w:r>
          </w:p>
          <w:p w:rsidR="00BA18A2" w:rsidRPr="00DF05B0" w:rsidRDefault="00BA18A2" w:rsidP="00741DC5">
            <w:pPr>
              <w:jc w:val="both"/>
              <w:rPr>
                <w:rFonts w:eastAsia="Calibri"/>
                <w:sz w:val="20"/>
              </w:rPr>
            </w:pPr>
          </w:p>
        </w:tc>
        <w:tc>
          <w:tcPr>
            <w:tcW w:w="267" w:type="pct"/>
          </w:tcPr>
          <w:p w:rsidR="00BA18A2" w:rsidRPr="00DF05B0" w:rsidRDefault="00BA18A2" w:rsidP="00741DC5">
            <w:pPr>
              <w:jc w:val="both"/>
              <w:rPr>
                <w:rFonts w:eastAsia="Calibri"/>
                <w:sz w:val="20"/>
              </w:rPr>
            </w:pPr>
          </w:p>
        </w:tc>
        <w:tc>
          <w:tcPr>
            <w:tcW w:w="2366" w:type="pct"/>
            <w:gridSpan w:val="2"/>
          </w:tcPr>
          <w:p w:rsidR="00BA18A2" w:rsidRPr="00DF05B0" w:rsidRDefault="00BA18A2" w:rsidP="00741DC5">
            <w:pPr>
              <w:jc w:val="both"/>
              <w:rPr>
                <w:rFonts w:eastAsia="Calibri"/>
                <w:sz w:val="20"/>
              </w:rPr>
            </w:pPr>
            <w:r w:rsidRPr="00DF05B0">
              <w:rPr>
                <w:rFonts w:eastAsia="Calibri"/>
                <w:sz w:val="20"/>
              </w:rPr>
              <w:t>Appeal from conviction dismissed</w:t>
            </w:r>
          </w:p>
          <w:p w:rsidR="00BA18A2" w:rsidRPr="00DF05B0" w:rsidRDefault="00BA18A2" w:rsidP="00741DC5">
            <w:pPr>
              <w:jc w:val="both"/>
              <w:rPr>
                <w:rFonts w:eastAsia="Calibri"/>
                <w:sz w:val="20"/>
              </w:rPr>
            </w:pPr>
          </w:p>
        </w:tc>
      </w:tr>
      <w:tr w:rsidR="00BA18A2" w:rsidRPr="00DF05B0" w:rsidTr="00741DC5">
        <w:tblPrEx>
          <w:tblCellMar>
            <w:bottom w:w="0" w:type="dxa"/>
          </w:tblCellMar>
        </w:tblPrEx>
        <w:tc>
          <w:tcPr>
            <w:tcW w:w="2367" w:type="pct"/>
          </w:tcPr>
          <w:p w:rsidR="00BA18A2" w:rsidRPr="00DF05B0" w:rsidRDefault="00BA18A2" w:rsidP="00741DC5">
            <w:pPr>
              <w:jc w:val="both"/>
              <w:rPr>
                <w:rFonts w:eastAsia="Calibri"/>
                <w:sz w:val="20"/>
              </w:rPr>
            </w:pPr>
            <w:r w:rsidRPr="00DF05B0">
              <w:rPr>
                <w:rFonts w:eastAsia="Calibri"/>
                <w:sz w:val="20"/>
              </w:rPr>
              <w:t>June 17, 2011</w:t>
            </w:r>
          </w:p>
          <w:p w:rsidR="00BA18A2" w:rsidRPr="00DF05B0" w:rsidRDefault="00BA18A2" w:rsidP="00741DC5">
            <w:pPr>
              <w:jc w:val="both"/>
              <w:rPr>
                <w:rFonts w:eastAsia="Calibri"/>
                <w:sz w:val="20"/>
              </w:rPr>
            </w:pPr>
            <w:r w:rsidRPr="00DF05B0">
              <w:rPr>
                <w:rFonts w:eastAsia="Calibri"/>
                <w:sz w:val="20"/>
              </w:rPr>
              <w:t>Supreme Court of Canada</w:t>
            </w:r>
          </w:p>
          <w:p w:rsidR="00BA18A2" w:rsidRPr="00DF05B0" w:rsidRDefault="00BA18A2" w:rsidP="00741DC5">
            <w:pPr>
              <w:jc w:val="both"/>
              <w:rPr>
                <w:rFonts w:eastAsia="Calibri"/>
                <w:sz w:val="20"/>
              </w:rPr>
            </w:pPr>
          </w:p>
        </w:tc>
        <w:tc>
          <w:tcPr>
            <w:tcW w:w="267" w:type="pct"/>
          </w:tcPr>
          <w:p w:rsidR="00BA18A2" w:rsidRPr="00DF05B0" w:rsidRDefault="00BA18A2" w:rsidP="00741DC5">
            <w:pPr>
              <w:jc w:val="both"/>
              <w:rPr>
                <w:rFonts w:eastAsia="Calibri"/>
                <w:sz w:val="20"/>
              </w:rPr>
            </w:pPr>
          </w:p>
        </w:tc>
        <w:tc>
          <w:tcPr>
            <w:tcW w:w="2366" w:type="pct"/>
            <w:gridSpan w:val="2"/>
          </w:tcPr>
          <w:p w:rsidR="00BA18A2" w:rsidRPr="00DF05B0" w:rsidRDefault="00BA18A2" w:rsidP="00741DC5">
            <w:pPr>
              <w:jc w:val="both"/>
              <w:rPr>
                <w:rFonts w:eastAsia="Calibri"/>
                <w:sz w:val="20"/>
              </w:rPr>
            </w:pPr>
            <w:r w:rsidRPr="00DF05B0">
              <w:rPr>
                <w:rFonts w:eastAsia="Calibri"/>
                <w:sz w:val="20"/>
              </w:rPr>
              <w:t>Application for extension of time to serve and file application for leave to appeal and Application for leave to appeal filed</w:t>
            </w:r>
          </w:p>
        </w:tc>
      </w:tr>
    </w:tbl>
    <w:p w:rsidR="00BA18A2" w:rsidRDefault="00BA18A2" w:rsidP="00BA18A2">
      <w:pPr>
        <w:rPr>
          <w:sz w:val="20"/>
          <w:szCs w:val="20"/>
        </w:rPr>
      </w:pPr>
    </w:p>
    <w:p w:rsidR="00BA18A2" w:rsidRDefault="00460701" w:rsidP="00BA18A2">
      <w:pPr>
        <w:rPr>
          <w:sz w:val="20"/>
          <w:szCs w:val="20"/>
        </w:rPr>
      </w:pPr>
      <w:r w:rsidRPr="00460701">
        <w:rPr>
          <w:sz w:val="20"/>
          <w:szCs w:val="20"/>
          <w:lang w:val="fr-CA"/>
        </w:rPr>
        <w:pict>
          <v:rect id="_x0000_i1058" style="width:2in;height:1pt" o:hrpct="0" o:hralign="center" o:hrstd="t" o:hrnoshade="t" o:hr="t" fillcolor="black [3213]" stroked="f"/>
        </w:pict>
      </w:r>
    </w:p>
    <w:p w:rsidR="00BA18A2" w:rsidRDefault="00BA18A2" w:rsidP="00BA18A2">
      <w:pPr>
        <w:rPr>
          <w:sz w:val="20"/>
          <w:szCs w:val="20"/>
        </w:rPr>
      </w:pPr>
    </w:p>
    <w:p w:rsidR="00BA18A2" w:rsidRDefault="00BA18A2" w:rsidP="00BA18A2">
      <w:pPr>
        <w:rPr>
          <w:sz w:val="20"/>
          <w:szCs w:val="20"/>
        </w:rPr>
      </w:pPr>
      <w:r>
        <w:rPr>
          <w:sz w:val="20"/>
          <w:szCs w:val="20"/>
          <w:u w:val="single"/>
        </w:rPr>
        <w:t>RÉSUMÉ DE L’AFFAIRE</w:t>
      </w:r>
    </w:p>
    <w:p w:rsidR="00BA18A2" w:rsidRDefault="00BA18A2" w:rsidP="00BA18A2">
      <w:pPr>
        <w:rPr>
          <w:sz w:val="20"/>
          <w:szCs w:val="20"/>
        </w:rPr>
      </w:pPr>
    </w:p>
    <w:tbl>
      <w:tblPr>
        <w:tblW w:w="5000" w:type="pct"/>
        <w:tblLayout w:type="fixed"/>
        <w:tblCellMar>
          <w:left w:w="0" w:type="dxa"/>
          <w:bottom w:w="99" w:type="dxa"/>
          <w:right w:w="0" w:type="dxa"/>
        </w:tblCellMar>
        <w:tblLook w:val="04A0"/>
      </w:tblPr>
      <w:tblGrid>
        <w:gridCol w:w="4554"/>
        <w:gridCol w:w="514"/>
        <w:gridCol w:w="4459"/>
        <w:gridCol w:w="92"/>
      </w:tblGrid>
      <w:tr w:rsidR="00BA18A2" w:rsidRPr="00BA18A2" w:rsidTr="00741DC5">
        <w:trPr>
          <w:gridAfter w:val="1"/>
          <w:wAfter w:w="48" w:type="pct"/>
        </w:trPr>
        <w:tc>
          <w:tcPr>
            <w:tcW w:w="4952" w:type="pct"/>
            <w:gridSpan w:val="3"/>
          </w:tcPr>
          <w:p w:rsidR="00BA18A2" w:rsidRPr="00DF05B0" w:rsidRDefault="00BA18A2" w:rsidP="00741DC5">
            <w:pPr>
              <w:jc w:val="both"/>
              <w:rPr>
                <w:rFonts w:eastAsia="Calibri"/>
                <w:sz w:val="20"/>
                <w:lang w:val="fr-CA"/>
              </w:rPr>
            </w:pPr>
            <w:r w:rsidRPr="00DF05B0">
              <w:rPr>
                <w:rFonts w:eastAsia="Calibri"/>
                <w:sz w:val="20"/>
                <w:lang w:val="fr-CA"/>
              </w:rPr>
              <w:t>Droit criminel — Exposé au jury — Responsabilité du participant — Doute raisonnable — L’exposé au jury quant à la responsabilité du participant était-il suffisant? — Dans son exposé au jury, le juge de première instance aurait-il dû rattacher les directives portant sur la responsabilité du participant à la preuve relative à l’erreur sur la personne et au changement spontané de plan? — La Cour d’appel a-t-elle commis une erreur en expliquant au jury comment appliquer aux faits le droit relatif à la responsabilité du participant? — L’exposé au jury portant sur le doute raisonnable était-il suffisant?</w:t>
            </w:r>
          </w:p>
        </w:tc>
      </w:tr>
      <w:tr w:rsidR="00BA18A2" w:rsidRPr="00BA18A2" w:rsidTr="00741DC5">
        <w:trPr>
          <w:gridAfter w:val="1"/>
          <w:wAfter w:w="48" w:type="pct"/>
        </w:trPr>
        <w:tc>
          <w:tcPr>
            <w:tcW w:w="4952" w:type="pct"/>
            <w:gridSpan w:val="3"/>
          </w:tcPr>
          <w:p w:rsidR="00BA18A2" w:rsidRPr="00DF05B0" w:rsidRDefault="00BA18A2" w:rsidP="00741DC5">
            <w:pPr>
              <w:jc w:val="both"/>
              <w:rPr>
                <w:rFonts w:eastAsia="Calibri"/>
                <w:sz w:val="20"/>
                <w:lang w:val="fr-CA"/>
              </w:rPr>
            </w:pPr>
          </w:p>
        </w:tc>
      </w:tr>
      <w:tr w:rsidR="00BA18A2" w:rsidRPr="00BA18A2" w:rsidTr="00741DC5">
        <w:trPr>
          <w:gridAfter w:val="1"/>
          <w:wAfter w:w="48" w:type="pct"/>
        </w:trPr>
        <w:tc>
          <w:tcPr>
            <w:tcW w:w="4952" w:type="pct"/>
            <w:gridSpan w:val="3"/>
          </w:tcPr>
          <w:p w:rsidR="00BA18A2" w:rsidRPr="00DF05B0" w:rsidRDefault="00BA18A2" w:rsidP="00741DC5">
            <w:pPr>
              <w:jc w:val="both"/>
              <w:rPr>
                <w:rFonts w:eastAsia="Calibri"/>
                <w:sz w:val="20"/>
                <w:lang w:val="fr-CA"/>
              </w:rPr>
            </w:pPr>
            <w:r w:rsidRPr="00DF05B0">
              <w:rPr>
                <w:rFonts w:eastAsia="Calibri"/>
                <w:sz w:val="20"/>
                <w:lang w:val="fr-CA"/>
              </w:rPr>
              <w:t>Un groupe d’assaillants a agressé et tué un homme.  Ils se sont ensuite enfuis dans trois véhicules.  Le ministère public a émis la thèse que le groupe avait prévu assassiner une autre personne et a tué le défunt par erreur sur la personne ou spontanément en raison des liens d’amitié qu’il entretenait avec leur cible.  Selon la thèse du ministère public, le demandeur a participé à l’agression ou a conduit un des véhicules utilisés pour la fuite</w:t>
            </w:r>
            <w:r w:rsidRPr="00DF05B0">
              <w:rPr>
                <w:rFonts w:eastAsia="Calibri"/>
                <w:color w:val="000000"/>
                <w:sz w:val="20"/>
                <w:lang w:val="fr-CA"/>
              </w:rPr>
              <w:t>.  Le demandeur n’a pas témoigné, mais son avocat a affirmé qu’il ne se trouvait pas sur les lieux ou qu’il n’était qu’un passager dans l’un des véhicules.  Un c</w:t>
            </w:r>
            <w:r w:rsidRPr="00DF05B0">
              <w:rPr>
                <w:rFonts w:eastAsia="Calibri"/>
                <w:sz w:val="20"/>
                <w:lang w:val="fr-CA"/>
              </w:rPr>
              <w:t>oaccusé a affirmé dans son témoignage que le demandeur se trouvait sur les lieux et conduisait l’un des véhicules</w:t>
            </w:r>
            <w:r w:rsidRPr="00DF05B0">
              <w:rPr>
                <w:rFonts w:eastAsia="Calibri"/>
                <w:color w:val="000000"/>
                <w:sz w:val="20"/>
                <w:lang w:val="fr-CA"/>
              </w:rPr>
              <w:t>.  Les empreintes digitales du demandeur ont été prélevées sur l’un des véhicules ayant servi à prendre la fuite.  Le demandeur a été déclaré coupable, par un jury, de meurtre au deuxième degré</w:t>
            </w:r>
            <w:r w:rsidRPr="00DF05B0">
              <w:rPr>
                <w:rFonts w:eastAsia="Calibri"/>
                <w:sz w:val="20"/>
                <w:lang w:val="fr-CA"/>
              </w:rPr>
              <w:t>.  En appel, le demandeur a prétendu que le juge de première instance, dans son premier et deuxième exposé, n’a pas donné de directives appropriées au jury quant au doute raisonnable et quant à la responsabilité du participant.  La Cour d’appel a conclu que l’exposé au jury ne comportait aucune erreur et a confirmé les déclarations de culpabilité.</w:t>
            </w:r>
          </w:p>
          <w:p w:rsidR="00BA18A2" w:rsidRPr="00DF05B0" w:rsidRDefault="00BA18A2" w:rsidP="00741DC5">
            <w:pPr>
              <w:jc w:val="both"/>
              <w:rPr>
                <w:rFonts w:eastAsia="Calibri"/>
                <w:sz w:val="20"/>
                <w:lang w:val="fr-CA"/>
              </w:rPr>
            </w:pPr>
          </w:p>
        </w:tc>
      </w:tr>
      <w:tr w:rsidR="00BA18A2" w:rsidRPr="00BA18A2" w:rsidTr="00741DC5">
        <w:tblPrEx>
          <w:tblCellMar>
            <w:bottom w:w="0" w:type="dxa"/>
          </w:tblCellMar>
        </w:tblPrEx>
        <w:tc>
          <w:tcPr>
            <w:tcW w:w="2367" w:type="pct"/>
          </w:tcPr>
          <w:p w:rsidR="00BA18A2" w:rsidRPr="00DF05B0" w:rsidRDefault="00BA18A2" w:rsidP="00741DC5">
            <w:pPr>
              <w:jc w:val="both"/>
              <w:rPr>
                <w:rFonts w:eastAsia="Calibri"/>
                <w:sz w:val="20"/>
                <w:lang w:val="fr-CA"/>
              </w:rPr>
            </w:pPr>
            <w:r w:rsidRPr="00DF05B0">
              <w:rPr>
                <w:rFonts w:eastAsia="Calibri"/>
                <w:sz w:val="20"/>
                <w:lang w:val="fr-CA"/>
              </w:rPr>
              <w:t>16 décembre 2006</w:t>
            </w:r>
          </w:p>
          <w:p w:rsidR="00BA18A2" w:rsidRPr="00DF05B0" w:rsidRDefault="00BA18A2" w:rsidP="00741DC5">
            <w:pPr>
              <w:jc w:val="both"/>
              <w:rPr>
                <w:rFonts w:eastAsia="Calibri"/>
                <w:sz w:val="20"/>
                <w:lang w:val="fr-CA"/>
              </w:rPr>
            </w:pPr>
            <w:r w:rsidRPr="00DF05B0">
              <w:rPr>
                <w:rFonts w:eastAsia="Calibri"/>
                <w:sz w:val="20"/>
                <w:lang w:val="fr-CA"/>
              </w:rPr>
              <w:t>Cour supérieure de justice de l’Ontario</w:t>
            </w:r>
          </w:p>
          <w:p w:rsidR="00BA18A2" w:rsidRPr="00DF05B0" w:rsidRDefault="00BA18A2" w:rsidP="00741DC5">
            <w:pPr>
              <w:jc w:val="both"/>
              <w:rPr>
                <w:rFonts w:eastAsia="Calibri"/>
                <w:sz w:val="20"/>
                <w:lang w:val="fr-CA"/>
              </w:rPr>
            </w:pPr>
            <w:r w:rsidRPr="00DF05B0">
              <w:rPr>
                <w:rFonts w:eastAsia="Calibri"/>
                <w:sz w:val="20"/>
                <w:lang w:val="fr-CA"/>
              </w:rPr>
              <w:t xml:space="preserve">(Juge Ewaschuk) </w:t>
            </w:r>
          </w:p>
          <w:p w:rsidR="00BA18A2" w:rsidRPr="00DF05B0" w:rsidRDefault="00BA18A2" w:rsidP="00741DC5">
            <w:pPr>
              <w:jc w:val="both"/>
              <w:rPr>
                <w:rFonts w:eastAsia="Calibri"/>
                <w:sz w:val="20"/>
                <w:lang w:val="fr-CA"/>
              </w:rPr>
            </w:pPr>
          </w:p>
        </w:tc>
        <w:tc>
          <w:tcPr>
            <w:tcW w:w="267" w:type="pct"/>
          </w:tcPr>
          <w:p w:rsidR="00BA18A2" w:rsidRPr="00DF05B0" w:rsidRDefault="00BA18A2" w:rsidP="00741DC5">
            <w:pPr>
              <w:jc w:val="both"/>
              <w:rPr>
                <w:rFonts w:eastAsia="Calibri"/>
                <w:sz w:val="20"/>
                <w:lang w:val="fr-CA"/>
              </w:rPr>
            </w:pPr>
          </w:p>
        </w:tc>
        <w:tc>
          <w:tcPr>
            <w:tcW w:w="2366" w:type="pct"/>
            <w:gridSpan w:val="2"/>
          </w:tcPr>
          <w:p w:rsidR="00BA18A2" w:rsidRPr="00DF05B0" w:rsidRDefault="00BA18A2" w:rsidP="00741DC5">
            <w:pPr>
              <w:jc w:val="both"/>
              <w:rPr>
                <w:rFonts w:eastAsia="Calibri"/>
                <w:sz w:val="20"/>
                <w:lang w:val="fr-CA"/>
              </w:rPr>
            </w:pPr>
            <w:r w:rsidRPr="00DF05B0">
              <w:rPr>
                <w:rFonts w:eastAsia="Calibri"/>
                <w:sz w:val="20"/>
                <w:lang w:val="fr-CA"/>
              </w:rPr>
              <w:t>Déclaration de culpabilité par un jury de meurtre au deuxième degré</w:t>
            </w:r>
          </w:p>
          <w:p w:rsidR="00BA18A2" w:rsidRPr="00DF05B0" w:rsidRDefault="00BA18A2" w:rsidP="00741DC5">
            <w:pPr>
              <w:jc w:val="both"/>
              <w:rPr>
                <w:rFonts w:eastAsia="Calibri"/>
                <w:sz w:val="20"/>
                <w:lang w:val="fr-CA"/>
              </w:rPr>
            </w:pPr>
          </w:p>
        </w:tc>
      </w:tr>
      <w:tr w:rsidR="00BA18A2" w:rsidRPr="00BA18A2" w:rsidTr="00741DC5">
        <w:tblPrEx>
          <w:tblCellMar>
            <w:bottom w:w="0" w:type="dxa"/>
          </w:tblCellMar>
        </w:tblPrEx>
        <w:tc>
          <w:tcPr>
            <w:tcW w:w="2367" w:type="pct"/>
          </w:tcPr>
          <w:p w:rsidR="00BA18A2" w:rsidRPr="00DF05B0" w:rsidRDefault="00BA18A2" w:rsidP="00741DC5">
            <w:pPr>
              <w:jc w:val="both"/>
              <w:rPr>
                <w:rFonts w:eastAsia="Calibri"/>
                <w:sz w:val="20"/>
                <w:lang w:val="fr-CA"/>
              </w:rPr>
            </w:pPr>
            <w:r w:rsidRPr="00DF05B0">
              <w:rPr>
                <w:rFonts w:eastAsia="Calibri"/>
                <w:sz w:val="20"/>
                <w:lang w:val="fr-CA"/>
              </w:rPr>
              <w:t>29 septembre 2010</w:t>
            </w:r>
          </w:p>
          <w:p w:rsidR="00BA18A2" w:rsidRPr="00DF05B0" w:rsidRDefault="00BA18A2" w:rsidP="00741DC5">
            <w:pPr>
              <w:jc w:val="both"/>
              <w:rPr>
                <w:rFonts w:eastAsia="Calibri"/>
                <w:sz w:val="20"/>
                <w:lang w:val="fr-CA"/>
              </w:rPr>
            </w:pPr>
            <w:r w:rsidRPr="00DF05B0">
              <w:rPr>
                <w:rFonts w:eastAsia="Calibri"/>
                <w:sz w:val="20"/>
                <w:lang w:val="fr-CA"/>
              </w:rPr>
              <w:t>Cour d’appel de l’Ontario</w:t>
            </w:r>
          </w:p>
          <w:p w:rsidR="00BA18A2" w:rsidRPr="00DF05B0" w:rsidRDefault="00BA18A2" w:rsidP="00741DC5">
            <w:pPr>
              <w:jc w:val="both"/>
              <w:rPr>
                <w:rFonts w:eastAsia="Calibri"/>
                <w:sz w:val="20"/>
                <w:lang w:val="fr-CA"/>
              </w:rPr>
            </w:pPr>
            <w:r w:rsidRPr="00DF05B0">
              <w:rPr>
                <w:rFonts w:eastAsia="Calibri"/>
                <w:sz w:val="20"/>
                <w:lang w:val="fr-CA"/>
              </w:rPr>
              <w:t>(Juges Doherty, Moldaver et Cronk)</w:t>
            </w:r>
          </w:p>
          <w:p w:rsidR="00BA18A2" w:rsidRPr="00DF05B0" w:rsidRDefault="00BA18A2" w:rsidP="00741DC5">
            <w:pPr>
              <w:jc w:val="both"/>
              <w:rPr>
                <w:rFonts w:eastAsia="Calibri"/>
                <w:color w:val="000000"/>
                <w:sz w:val="20"/>
                <w:lang w:val="fr-CA"/>
              </w:rPr>
            </w:pPr>
            <w:r w:rsidRPr="00DF05B0">
              <w:rPr>
                <w:rFonts w:eastAsia="Calibri"/>
                <w:sz w:val="20"/>
                <w:lang w:val="fr-CA"/>
              </w:rPr>
              <w:t xml:space="preserve">2010 ONCA 625; </w:t>
            </w:r>
            <w:r w:rsidRPr="00DF05B0">
              <w:rPr>
                <w:rFonts w:eastAsia="Calibri"/>
                <w:color w:val="000000"/>
                <w:sz w:val="20"/>
                <w:lang w:val="fr-CA"/>
              </w:rPr>
              <w:t>C50963</w:t>
            </w:r>
          </w:p>
          <w:p w:rsidR="00BA18A2" w:rsidRPr="00DF05B0" w:rsidRDefault="00BA18A2" w:rsidP="00741DC5">
            <w:pPr>
              <w:jc w:val="both"/>
              <w:rPr>
                <w:rFonts w:eastAsia="Calibri"/>
                <w:sz w:val="20"/>
                <w:lang w:val="fr-CA"/>
              </w:rPr>
            </w:pPr>
          </w:p>
        </w:tc>
        <w:tc>
          <w:tcPr>
            <w:tcW w:w="267" w:type="pct"/>
          </w:tcPr>
          <w:p w:rsidR="00BA18A2" w:rsidRPr="00DF05B0" w:rsidRDefault="00BA18A2" w:rsidP="00741DC5">
            <w:pPr>
              <w:jc w:val="both"/>
              <w:rPr>
                <w:rFonts w:eastAsia="Calibri"/>
                <w:sz w:val="20"/>
                <w:lang w:val="fr-CA"/>
              </w:rPr>
            </w:pPr>
          </w:p>
        </w:tc>
        <w:tc>
          <w:tcPr>
            <w:tcW w:w="2366" w:type="pct"/>
            <w:gridSpan w:val="2"/>
          </w:tcPr>
          <w:p w:rsidR="00BA18A2" w:rsidRPr="00DF05B0" w:rsidRDefault="00BA18A2" w:rsidP="00741DC5">
            <w:pPr>
              <w:jc w:val="both"/>
              <w:rPr>
                <w:rFonts w:eastAsia="Calibri"/>
                <w:sz w:val="20"/>
                <w:lang w:val="fr-CA"/>
              </w:rPr>
            </w:pPr>
            <w:r w:rsidRPr="00DF05B0">
              <w:rPr>
                <w:rFonts w:eastAsia="Calibri"/>
                <w:sz w:val="20"/>
                <w:lang w:val="fr-CA"/>
              </w:rPr>
              <w:t>Appel interjeté contre la déclaration de culpabilité rejeté</w:t>
            </w:r>
          </w:p>
          <w:p w:rsidR="00BA18A2" w:rsidRPr="00DF05B0" w:rsidRDefault="00BA18A2" w:rsidP="00741DC5">
            <w:pPr>
              <w:jc w:val="both"/>
              <w:rPr>
                <w:rFonts w:eastAsia="Calibri"/>
                <w:sz w:val="20"/>
                <w:lang w:val="fr-CA"/>
              </w:rPr>
            </w:pPr>
          </w:p>
        </w:tc>
      </w:tr>
    </w:tbl>
    <w:p w:rsidR="00BA18A2" w:rsidRPr="00C425BA" w:rsidRDefault="00BA18A2" w:rsidP="00BA18A2">
      <w:pPr>
        <w:rPr>
          <w:lang w:val="fr-CA"/>
        </w:rPr>
      </w:pPr>
    </w:p>
    <w:p w:rsidR="00BA18A2" w:rsidRPr="00C425BA" w:rsidRDefault="00BA18A2" w:rsidP="00BA18A2">
      <w:pPr>
        <w:rPr>
          <w:lang w:val="fr-CA"/>
        </w:rPr>
      </w:pPr>
      <w:r w:rsidRPr="00C425BA">
        <w:rPr>
          <w:lang w:val="fr-CA"/>
        </w:rPr>
        <w:br w:type="page"/>
      </w:r>
    </w:p>
    <w:tbl>
      <w:tblPr>
        <w:tblW w:w="5000" w:type="pct"/>
        <w:tblLayout w:type="fixed"/>
        <w:tblCellMar>
          <w:left w:w="0" w:type="dxa"/>
          <w:right w:w="0" w:type="dxa"/>
        </w:tblCellMar>
        <w:tblLook w:val="04A0"/>
      </w:tblPr>
      <w:tblGrid>
        <w:gridCol w:w="4553"/>
        <w:gridCol w:w="514"/>
        <w:gridCol w:w="4552"/>
      </w:tblGrid>
      <w:tr w:rsidR="00BA18A2" w:rsidRPr="00BA18A2" w:rsidTr="00741DC5">
        <w:trPr>
          <w:cantSplit/>
        </w:trPr>
        <w:tc>
          <w:tcPr>
            <w:tcW w:w="2367" w:type="pct"/>
          </w:tcPr>
          <w:p w:rsidR="00BA18A2" w:rsidRPr="00DF05B0" w:rsidRDefault="00BA18A2" w:rsidP="00741DC5">
            <w:pPr>
              <w:jc w:val="both"/>
              <w:rPr>
                <w:rFonts w:eastAsia="Calibri"/>
                <w:sz w:val="20"/>
                <w:lang w:val="fr-CA"/>
              </w:rPr>
            </w:pPr>
            <w:r w:rsidRPr="00DF05B0">
              <w:rPr>
                <w:rFonts w:eastAsia="Calibri"/>
                <w:sz w:val="20"/>
                <w:lang w:val="fr-CA"/>
              </w:rPr>
              <w:lastRenderedPageBreak/>
              <w:t>17 juin 2011</w:t>
            </w:r>
          </w:p>
          <w:p w:rsidR="00BA18A2" w:rsidRPr="00DF05B0" w:rsidRDefault="00BA18A2" w:rsidP="00741DC5">
            <w:pPr>
              <w:jc w:val="both"/>
              <w:rPr>
                <w:rFonts w:eastAsia="Calibri"/>
                <w:sz w:val="20"/>
                <w:lang w:val="fr-CA"/>
              </w:rPr>
            </w:pPr>
            <w:r w:rsidRPr="00DF05B0">
              <w:rPr>
                <w:rFonts w:eastAsia="Calibri"/>
                <w:sz w:val="20"/>
                <w:lang w:val="fr-CA"/>
              </w:rPr>
              <w:t>Cour suprême du Canada</w:t>
            </w:r>
          </w:p>
          <w:p w:rsidR="00BA18A2" w:rsidRPr="00DF05B0" w:rsidRDefault="00BA18A2" w:rsidP="00741DC5">
            <w:pPr>
              <w:jc w:val="both"/>
              <w:rPr>
                <w:rFonts w:eastAsia="Calibri"/>
                <w:sz w:val="20"/>
                <w:lang w:val="fr-CA"/>
              </w:rPr>
            </w:pPr>
          </w:p>
        </w:tc>
        <w:tc>
          <w:tcPr>
            <w:tcW w:w="267" w:type="pct"/>
          </w:tcPr>
          <w:p w:rsidR="00BA18A2" w:rsidRPr="00DF05B0" w:rsidRDefault="00BA18A2" w:rsidP="00741DC5">
            <w:pPr>
              <w:jc w:val="both"/>
              <w:rPr>
                <w:rFonts w:eastAsia="Calibri"/>
                <w:sz w:val="20"/>
                <w:lang w:val="fr-CA"/>
              </w:rPr>
            </w:pPr>
          </w:p>
        </w:tc>
        <w:tc>
          <w:tcPr>
            <w:tcW w:w="2366" w:type="pct"/>
          </w:tcPr>
          <w:p w:rsidR="00BA18A2" w:rsidRPr="00DF05B0" w:rsidRDefault="00BA18A2" w:rsidP="00741DC5">
            <w:pPr>
              <w:jc w:val="both"/>
              <w:rPr>
                <w:rFonts w:eastAsia="Calibri"/>
                <w:sz w:val="20"/>
                <w:lang w:val="fr-CA"/>
              </w:rPr>
            </w:pPr>
            <w:r w:rsidRPr="00DF05B0">
              <w:rPr>
                <w:rFonts w:eastAsia="Calibri"/>
                <w:sz w:val="20"/>
                <w:lang w:val="fr-CA"/>
              </w:rPr>
              <w:t>Demande de prorogation du délai prévu pour la signification et le dépôt de la demande d’autorisation d’appel et demande d’autorisation d’appel déposées</w:t>
            </w:r>
          </w:p>
        </w:tc>
      </w:tr>
    </w:tbl>
    <w:p w:rsidR="00BA18A2" w:rsidRPr="00AB2E42" w:rsidRDefault="00BA18A2" w:rsidP="00BA18A2">
      <w:pPr>
        <w:rPr>
          <w:sz w:val="20"/>
          <w:szCs w:val="20"/>
          <w:lang w:val="fr-CA"/>
        </w:rPr>
      </w:pPr>
    </w:p>
    <w:p w:rsidR="00BA18A2" w:rsidRDefault="00460701" w:rsidP="00BA18A2">
      <w:pPr>
        <w:rPr>
          <w:sz w:val="20"/>
          <w:szCs w:val="20"/>
          <w:lang w:val="fr-CA"/>
        </w:rPr>
      </w:pPr>
      <w:r w:rsidRPr="00460701">
        <w:rPr>
          <w:sz w:val="20"/>
          <w:szCs w:val="20"/>
          <w:lang w:val="fr-CA"/>
        </w:rPr>
        <w:pict>
          <v:rect id="_x0000_i1059" style="width:2in;height:1pt" o:hrpct="0" o:hralign="center" o:hrstd="t" o:hrnoshade="t" o:hr="t" fillcolor="black [3213]" stroked="f"/>
        </w:pict>
      </w:r>
    </w:p>
    <w:p w:rsidR="00BA18A2" w:rsidRPr="001C46FC" w:rsidRDefault="00BA18A2" w:rsidP="00BA18A2">
      <w:pPr>
        <w:rPr>
          <w:sz w:val="20"/>
          <w:szCs w:val="20"/>
        </w:rPr>
      </w:pPr>
    </w:p>
    <w:p w:rsidR="00BA18A2" w:rsidRPr="00C50A5C" w:rsidRDefault="00BA18A2" w:rsidP="00BA18A2">
      <w:pPr>
        <w:rPr>
          <w:sz w:val="20"/>
          <w:szCs w:val="20"/>
          <w:lang w:val="fr-CA"/>
        </w:rPr>
      </w:pPr>
    </w:p>
    <w:p w:rsidR="008D292F" w:rsidRPr="00C50A5C" w:rsidRDefault="008D292F" w:rsidP="008D292F">
      <w:pPr>
        <w:rPr>
          <w:sz w:val="20"/>
          <w:szCs w:val="20"/>
        </w:rPr>
      </w:pPr>
    </w:p>
    <w:p w:rsidR="008D292F" w:rsidRPr="00C50A5C" w:rsidRDefault="008D292F" w:rsidP="008D292F">
      <w:pPr>
        <w:rPr>
          <w:sz w:val="20"/>
          <w:szCs w:val="20"/>
          <w:lang w:val="fr-CA"/>
        </w:rPr>
      </w:pPr>
    </w:p>
    <w:p w:rsidR="00890FEB" w:rsidRPr="00C50A5C" w:rsidRDefault="00890FEB" w:rsidP="008D292F">
      <w:pPr>
        <w:rPr>
          <w:sz w:val="20"/>
          <w:szCs w:val="20"/>
          <w:lang w:val="fr-CA"/>
        </w:rPr>
      </w:pPr>
    </w:p>
    <w:p w:rsidR="00890FEB" w:rsidRPr="00C50A5C" w:rsidRDefault="00890FEB" w:rsidP="008D292F">
      <w:pPr>
        <w:rPr>
          <w:b/>
          <w:sz w:val="20"/>
          <w:szCs w:val="20"/>
          <w:lang w:val="fr-CA"/>
        </w:rPr>
        <w:sectPr w:rsidR="00890FEB" w:rsidRPr="00C50A5C" w:rsidSect="008D292F">
          <w:headerReference w:type="even" r:id="rId22"/>
          <w:headerReference w:type="default" r:id="rId23"/>
          <w:footerReference w:type="even" r:id="rId24"/>
          <w:footerReference w:type="default" r:id="rId25"/>
          <w:headerReference w:type="first" r:id="rId26"/>
          <w:footerReference w:type="first" r:id="rId27"/>
          <w:pgSz w:w="12240" w:h="15840"/>
          <w:pgMar w:top="720" w:right="965" w:bottom="1080" w:left="1656" w:header="720" w:footer="965" w:gutter="0"/>
          <w:cols w:space="720"/>
          <w:titlePg/>
          <w:docGrid w:linePitch="326"/>
        </w:sectPr>
      </w:pPr>
    </w:p>
    <w:tbl>
      <w:tblPr>
        <w:tblW w:w="0" w:type="auto"/>
        <w:tblBorders>
          <w:bottom w:val="single" w:sz="8" w:space="0" w:color="auto"/>
        </w:tblBorders>
        <w:tblLayout w:type="fixed"/>
        <w:tblCellMar>
          <w:left w:w="0" w:type="dxa"/>
          <w:right w:w="0" w:type="dxa"/>
        </w:tblCellMar>
        <w:tblLook w:val="0000"/>
      </w:tblPr>
      <w:tblGrid>
        <w:gridCol w:w="4230"/>
        <w:gridCol w:w="1170"/>
        <w:gridCol w:w="4080"/>
      </w:tblGrid>
      <w:tr w:rsidR="00890FEB" w:rsidRPr="001D0D5F" w:rsidTr="00BA6468">
        <w:tc>
          <w:tcPr>
            <w:tcW w:w="4230" w:type="dxa"/>
            <w:shd w:val="clear" w:color="auto" w:fill="auto"/>
            <w:tcMar>
              <w:left w:w="0" w:type="dxa"/>
              <w:right w:w="0" w:type="dxa"/>
            </w:tcMar>
          </w:tcPr>
          <w:p w:rsidR="00890FEB" w:rsidRPr="001D0D5F" w:rsidRDefault="00890FEB" w:rsidP="00EB2B90">
            <w:pPr>
              <w:keepNext/>
              <w:keepLines/>
              <w:tabs>
                <w:tab w:val="left" w:pos="-1440"/>
                <w:tab w:val="left" w:pos="-720"/>
              </w:tabs>
              <w:jc w:val="both"/>
              <w:rPr>
                <w:szCs w:val="24"/>
              </w:rPr>
            </w:pPr>
            <w:r w:rsidRPr="001D0D5F">
              <w:rPr>
                <w:b/>
                <w:szCs w:val="24"/>
              </w:rPr>
              <w:lastRenderedPageBreak/>
              <w:t>MOTIONS</w:t>
            </w:r>
          </w:p>
        </w:tc>
        <w:tc>
          <w:tcPr>
            <w:tcW w:w="1170" w:type="dxa"/>
            <w:shd w:val="clear" w:color="auto" w:fill="auto"/>
            <w:tcMar>
              <w:left w:w="0" w:type="dxa"/>
              <w:right w:w="0" w:type="dxa"/>
            </w:tcMar>
          </w:tcPr>
          <w:p w:rsidR="00890FEB" w:rsidRPr="001D0D5F" w:rsidRDefault="00890FEB" w:rsidP="00890FEB">
            <w:pPr>
              <w:keepNext/>
              <w:keepLines/>
              <w:tabs>
                <w:tab w:val="left" w:pos="-1440"/>
                <w:tab w:val="left" w:pos="-720"/>
              </w:tabs>
              <w:jc w:val="center"/>
              <w:rPr>
                <w:szCs w:val="24"/>
              </w:rPr>
            </w:pPr>
          </w:p>
          <w:p w:rsidR="00890FEB" w:rsidRPr="001D0D5F" w:rsidRDefault="00890FEB" w:rsidP="00890FEB">
            <w:pPr>
              <w:keepNext/>
              <w:keepLines/>
              <w:tabs>
                <w:tab w:val="left" w:pos="-1440"/>
                <w:tab w:val="left" w:pos="-720"/>
              </w:tabs>
              <w:jc w:val="center"/>
              <w:rPr>
                <w:szCs w:val="24"/>
              </w:rPr>
            </w:pPr>
          </w:p>
        </w:tc>
        <w:tc>
          <w:tcPr>
            <w:tcW w:w="4080" w:type="dxa"/>
            <w:shd w:val="clear" w:color="auto" w:fill="auto"/>
            <w:tcMar>
              <w:left w:w="0" w:type="dxa"/>
              <w:right w:w="0" w:type="dxa"/>
            </w:tcMar>
          </w:tcPr>
          <w:p w:rsidR="00890FEB" w:rsidRPr="00BA6468" w:rsidRDefault="00890FEB" w:rsidP="00831CA9">
            <w:pPr>
              <w:keepNext/>
              <w:keepLines/>
              <w:tabs>
                <w:tab w:val="left" w:pos="-1440"/>
                <w:tab w:val="left" w:pos="-720"/>
              </w:tabs>
              <w:rPr>
                <w:szCs w:val="24"/>
                <w:lang w:val="fr-CA"/>
              </w:rPr>
            </w:pPr>
            <w:r w:rsidRPr="00BA6468">
              <w:rPr>
                <w:b/>
                <w:szCs w:val="24"/>
                <w:lang w:val="fr-CA"/>
              </w:rPr>
              <w:t>REQUÊTES</w:t>
            </w:r>
          </w:p>
        </w:tc>
      </w:tr>
    </w:tbl>
    <w:p w:rsidR="00890FEB" w:rsidRPr="00C50A5C" w:rsidRDefault="00890FEB" w:rsidP="00890FEB">
      <w:pPr>
        <w:rPr>
          <w:sz w:val="20"/>
          <w:szCs w:val="20"/>
        </w:rPr>
      </w:pPr>
    </w:p>
    <w:p w:rsidR="00890FEB" w:rsidRPr="00C50A5C" w:rsidRDefault="00890FEB" w:rsidP="00890FEB">
      <w:pPr>
        <w:tabs>
          <w:tab w:val="left" w:pos="-1440"/>
          <w:tab w:val="left" w:pos="-720"/>
        </w:tabs>
        <w:spacing w:line="-19" w:lineRule="auto"/>
        <w:jc w:val="both"/>
        <w:rPr>
          <w:sz w:val="20"/>
          <w:szCs w:val="20"/>
        </w:rPr>
      </w:pPr>
    </w:p>
    <w:p w:rsidR="005B137C" w:rsidRPr="0087076A" w:rsidRDefault="005B137C" w:rsidP="005B137C">
      <w:pPr>
        <w:tabs>
          <w:tab w:val="left" w:pos="-1440"/>
          <w:tab w:val="left" w:pos="-720"/>
        </w:tabs>
        <w:jc w:val="both"/>
        <w:rPr>
          <w:sz w:val="20"/>
          <w:szCs w:val="20"/>
        </w:rPr>
      </w:pPr>
      <w:r w:rsidRPr="0087076A">
        <w:rPr>
          <w:sz w:val="20"/>
          <w:szCs w:val="20"/>
        </w:rPr>
        <w:t>17.10.2011</w:t>
      </w:r>
    </w:p>
    <w:p w:rsidR="005B137C" w:rsidRPr="0087076A" w:rsidRDefault="005B137C" w:rsidP="005B137C">
      <w:pPr>
        <w:tabs>
          <w:tab w:val="left" w:pos="-1440"/>
          <w:tab w:val="left" w:pos="-720"/>
        </w:tabs>
        <w:jc w:val="both"/>
        <w:rPr>
          <w:sz w:val="20"/>
          <w:szCs w:val="20"/>
        </w:rPr>
      </w:pPr>
    </w:p>
    <w:p w:rsidR="005B137C" w:rsidRPr="0087076A" w:rsidRDefault="005B137C" w:rsidP="005B137C">
      <w:pPr>
        <w:jc w:val="both"/>
        <w:rPr>
          <w:sz w:val="20"/>
          <w:szCs w:val="20"/>
        </w:rPr>
      </w:pPr>
      <w:r w:rsidRPr="0087076A">
        <w:rPr>
          <w:sz w:val="20"/>
          <w:szCs w:val="20"/>
        </w:rPr>
        <w:t>Before / Devant:   THE REGISTRAR / LE REGISTRAIRE</w:t>
      </w:r>
    </w:p>
    <w:p w:rsidR="005B137C" w:rsidRPr="0087076A" w:rsidRDefault="005B137C" w:rsidP="005B137C">
      <w:pPr>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1170"/>
        <w:gridCol w:w="4327"/>
      </w:tblGrid>
      <w:tr w:rsidR="005B137C" w:rsidRPr="00191EFC" w:rsidTr="00741DC5">
        <w:tc>
          <w:tcPr>
            <w:tcW w:w="4338" w:type="dxa"/>
          </w:tcPr>
          <w:p w:rsidR="005B137C" w:rsidRPr="0087076A" w:rsidRDefault="00460701" w:rsidP="00741DC5">
            <w:pPr>
              <w:tabs>
                <w:tab w:val="left" w:pos="-1440"/>
                <w:tab w:val="left" w:pos="-720"/>
              </w:tabs>
              <w:jc w:val="both"/>
              <w:rPr>
                <w:b/>
                <w:sz w:val="20"/>
                <w:szCs w:val="20"/>
              </w:rPr>
            </w:pPr>
            <w:r w:rsidRPr="0087076A">
              <w:rPr>
                <w:sz w:val="20"/>
                <w:szCs w:val="20"/>
              </w:rPr>
              <w:fldChar w:fldCharType="begin"/>
            </w:r>
            <w:r w:rsidR="005B137C" w:rsidRPr="0087076A">
              <w:rPr>
                <w:sz w:val="20"/>
                <w:szCs w:val="20"/>
              </w:rPr>
              <w:instrText xml:space="preserve"> SEQ CHAPTER \h \r 1</w:instrText>
            </w:r>
            <w:r w:rsidRPr="0087076A">
              <w:rPr>
                <w:sz w:val="20"/>
                <w:szCs w:val="20"/>
              </w:rPr>
              <w:fldChar w:fldCharType="end"/>
            </w:r>
            <w:r w:rsidR="005B137C" w:rsidRPr="0087076A">
              <w:rPr>
                <w:b/>
                <w:bCs/>
                <w:sz w:val="20"/>
                <w:szCs w:val="20"/>
              </w:rPr>
              <w:t xml:space="preserve">Motion to extend the time to serve and file the respondent’s factum and book of authorities </w:t>
            </w:r>
          </w:p>
        </w:tc>
        <w:tc>
          <w:tcPr>
            <w:tcW w:w="1170" w:type="dxa"/>
          </w:tcPr>
          <w:p w:rsidR="005B137C" w:rsidRPr="0087076A" w:rsidRDefault="005B137C" w:rsidP="00741DC5">
            <w:pPr>
              <w:tabs>
                <w:tab w:val="left" w:pos="-1440"/>
                <w:tab w:val="left" w:pos="-720"/>
              </w:tabs>
              <w:jc w:val="both"/>
              <w:rPr>
                <w:sz w:val="20"/>
                <w:szCs w:val="20"/>
              </w:rPr>
            </w:pPr>
          </w:p>
          <w:p w:rsidR="005B137C" w:rsidRPr="0087076A" w:rsidRDefault="005B137C" w:rsidP="00741DC5">
            <w:pPr>
              <w:tabs>
                <w:tab w:val="left" w:pos="-1440"/>
                <w:tab w:val="left" w:pos="-720"/>
              </w:tabs>
              <w:jc w:val="both"/>
              <w:rPr>
                <w:sz w:val="20"/>
                <w:szCs w:val="20"/>
              </w:rPr>
            </w:pPr>
          </w:p>
          <w:p w:rsidR="005B137C" w:rsidRPr="0087076A" w:rsidRDefault="005B137C" w:rsidP="00741DC5">
            <w:pPr>
              <w:tabs>
                <w:tab w:val="left" w:pos="-1440"/>
                <w:tab w:val="left" w:pos="-720"/>
              </w:tabs>
              <w:jc w:val="both"/>
              <w:rPr>
                <w:sz w:val="20"/>
                <w:szCs w:val="20"/>
              </w:rPr>
            </w:pPr>
          </w:p>
          <w:p w:rsidR="005B137C" w:rsidRPr="0087076A" w:rsidRDefault="005B137C" w:rsidP="00741DC5">
            <w:pPr>
              <w:tabs>
                <w:tab w:val="left" w:pos="-1440"/>
                <w:tab w:val="left" w:pos="-720"/>
              </w:tabs>
              <w:jc w:val="both"/>
              <w:rPr>
                <w:sz w:val="20"/>
                <w:szCs w:val="20"/>
              </w:rPr>
            </w:pPr>
          </w:p>
        </w:tc>
        <w:tc>
          <w:tcPr>
            <w:tcW w:w="4327" w:type="dxa"/>
          </w:tcPr>
          <w:p w:rsidR="005B137C" w:rsidRPr="0087076A" w:rsidRDefault="00460701" w:rsidP="00741DC5">
            <w:pPr>
              <w:tabs>
                <w:tab w:val="left" w:pos="-1440"/>
                <w:tab w:val="left" w:pos="-720"/>
              </w:tabs>
              <w:jc w:val="both"/>
              <w:rPr>
                <w:b/>
                <w:sz w:val="20"/>
                <w:szCs w:val="20"/>
                <w:lang w:val="fr-CA"/>
              </w:rPr>
            </w:pPr>
            <w:r w:rsidRPr="0087076A">
              <w:rPr>
                <w:sz w:val="20"/>
                <w:szCs w:val="20"/>
              </w:rPr>
              <w:fldChar w:fldCharType="begin"/>
            </w:r>
            <w:r w:rsidR="005B137C" w:rsidRPr="0087076A">
              <w:rPr>
                <w:sz w:val="20"/>
                <w:szCs w:val="20"/>
                <w:lang w:val="fr-CA"/>
              </w:rPr>
              <w:instrText xml:space="preserve"> SEQ CHAPTER \h \r 1</w:instrText>
            </w:r>
            <w:r w:rsidRPr="0087076A">
              <w:rPr>
                <w:sz w:val="20"/>
                <w:szCs w:val="20"/>
              </w:rPr>
              <w:fldChar w:fldCharType="end"/>
            </w:r>
            <w:r w:rsidR="005B137C" w:rsidRPr="0087076A">
              <w:rPr>
                <w:b/>
                <w:bCs/>
                <w:sz w:val="20"/>
                <w:szCs w:val="20"/>
                <w:lang w:val="fr-CA"/>
              </w:rPr>
              <w:t xml:space="preserve">Requête en prorogation du délai de signification et de dépôt des mémoire et recueil de sources des intimées </w:t>
            </w:r>
            <w:r w:rsidRPr="0087076A">
              <w:rPr>
                <w:b/>
                <w:sz w:val="20"/>
                <w:szCs w:val="20"/>
              </w:rPr>
              <w:fldChar w:fldCharType="begin"/>
            </w:r>
            <w:r w:rsidR="005B137C" w:rsidRPr="0087076A">
              <w:rPr>
                <w:b/>
                <w:sz w:val="20"/>
                <w:szCs w:val="20"/>
                <w:lang w:val="fr-CA"/>
              </w:rPr>
              <w:instrText xml:space="preserve"> SEQ CHAPTER \h \r 1</w:instrText>
            </w:r>
            <w:r w:rsidRPr="0087076A">
              <w:rPr>
                <w:b/>
                <w:sz w:val="20"/>
                <w:szCs w:val="20"/>
              </w:rPr>
              <w:fldChar w:fldCharType="end"/>
            </w:r>
          </w:p>
        </w:tc>
      </w:tr>
      <w:tr w:rsidR="005B137C" w:rsidRPr="0087076A" w:rsidTr="00741DC5">
        <w:tc>
          <w:tcPr>
            <w:tcW w:w="4338" w:type="dxa"/>
          </w:tcPr>
          <w:p w:rsidR="005B137C" w:rsidRPr="0087076A" w:rsidRDefault="005B137C" w:rsidP="00741DC5">
            <w:pPr>
              <w:tabs>
                <w:tab w:val="left" w:pos="-1440"/>
                <w:tab w:val="left" w:pos="-720"/>
              </w:tabs>
              <w:jc w:val="both"/>
              <w:rPr>
                <w:sz w:val="20"/>
                <w:szCs w:val="20"/>
              </w:rPr>
            </w:pPr>
            <w:r w:rsidRPr="0087076A">
              <w:rPr>
                <w:sz w:val="20"/>
                <w:szCs w:val="20"/>
              </w:rPr>
              <w:t>Teva Canada Limited</w:t>
            </w:r>
          </w:p>
          <w:p w:rsidR="005B137C" w:rsidRPr="0087076A" w:rsidRDefault="005B137C" w:rsidP="00741DC5">
            <w:pPr>
              <w:tabs>
                <w:tab w:val="left" w:pos="-1440"/>
                <w:tab w:val="left" w:pos="-720"/>
              </w:tabs>
              <w:jc w:val="both"/>
              <w:rPr>
                <w:sz w:val="20"/>
                <w:szCs w:val="20"/>
              </w:rPr>
            </w:pPr>
          </w:p>
          <w:p w:rsidR="005B137C" w:rsidRPr="0087076A" w:rsidRDefault="005B137C" w:rsidP="00741DC5">
            <w:pPr>
              <w:tabs>
                <w:tab w:val="left" w:pos="-1440"/>
                <w:tab w:val="left" w:pos="-720"/>
              </w:tabs>
              <w:jc w:val="both"/>
              <w:rPr>
                <w:sz w:val="20"/>
                <w:szCs w:val="20"/>
              </w:rPr>
            </w:pPr>
            <w:r w:rsidRPr="0087076A">
              <w:rPr>
                <w:sz w:val="20"/>
                <w:szCs w:val="20"/>
              </w:rPr>
              <w:tab/>
              <w:t>v. (33951)</w:t>
            </w:r>
          </w:p>
          <w:p w:rsidR="005B137C" w:rsidRPr="0087076A" w:rsidRDefault="005B137C" w:rsidP="00741DC5">
            <w:pPr>
              <w:tabs>
                <w:tab w:val="left" w:pos="-1440"/>
                <w:tab w:val="left" w:pos="-720"/>
              </w:tabs>
              <w:jc w:val="both"/>
              <w:rPr>
                <w:sz w:val="20"/>
                <w:szCs w:val="20"/>
              </w:rPr>
            </w:pPr>
          </w:p>
          <w:p w:rsidR="005B137C" w:rsidRPr="0087076A" w:rsidRDefault="005B137C" w:rsidP="00741DC5">
            <w:pPr>
              <w:tabs>
                <w:tab w:val="left" w:pos="-1440"/>
                <w:tab w:val="left" w:pos="-720"/>
              </w:tabs>
              <w:jc w:val="both"/>
              <w:rPr>
                <w:sz w:val="20"/>
                <w:szCs w:val="20"/>
                <w:lang w:val="fr-CA"/>
              </w:rPr>
            </w:pPr>
            <w:r w:rsidRPr="0087076A">
              <w:rPr>
                <w:sz w:val="20"/>
                <w:szCs w:val="20"/>
              </w:rPr>
              <w:t xml:space="preserve">Pfizer Canada Inc. et al. </w:t>
            </w:r>
            <w:r w:rsidRPr="0087076A">
              <w:rPr>
                <w:sz w:val="20"/>
                <w:szCs w:val="20"/>
                <w:lang w:val="fr-CA"/>
              </w:rPr>
              <w:t>(F.C.)</w:t>
            </w:r>
          </w:p>
        </w:tc>
        <w:tc>
          <w:tcPr>
            <w:tcW w:w="1170" w:type="dxa"/>
          </w:tcPr>
          <w:p w:rsidR="005B137C" w:rsidRPr="0087076A" w:rsidRDefault="005B137C" w:rsidP="00741DC5">
            <w:pPr>
              <w:tabs>
                <w:tab w:val="left" w:pos="-1440"/>
                <w:tab w:val="left" w:pos="-720"/>
              </w:tabs>
              <w:jc w:val="both"/>
              <w:rPr>
                <w:sz w:val="20"/>
                <w:szCs w:val="20"/>
                <w:lang w:val="fr-CA"/>
              </w:rPr>
            </w:pPr>
          </w:p>
        </w:tc>
        <w:tc>
          <w:tcPr>
            <w:tcW w:w="4327" w:type="dxa"/>
          </w:tcPr>
          <w:p w:rsidR="005B137C" w:rsidRPr="0087076A" w:rsidRDefault="005B137C" w:rsidP="00741DC5">
            <w:pPr>
              <w:tabs>
                <w:tab w:val="left" w:pos="-1440"/>
                <w:tab w:val="left" w:pos="-720"/>
              </w:tabs>
              <w:jc w:val="both"/>
              <w:rPr>
                <w:sz w:val="20"/>
                <w:szCs w:val="20"/>
                <w:lang w:val="fr-CA"/>
              </w:rPr>
            </w:pPr>
          </w:p>
        </w:tc>
      </w:tr>
    </w:tbl>
    <w:p w:rsidR="005B137C" w:rsidRPr="0087076A" w:rsidRDefault="005B137C" w:rsidP="005B137C">
      <w:pPr>
        <w:jc w:val="both"/>
        <w:rPr>
          <w:sz w:val="20"/>
          <w:szCs w:val="20"/>
          <w:lang w:val="fr-CA"/>
        </w:rPr>
      </w:pPr>
    </w:p>
    <w:p w:rsidR="005B137C" w:rsidRPr="0087076A" w:rsidRDefault="005B137C" w:rsidP="005B137C">
      <w:pPr>
        <w:tabs>
          <w:tab w:val="left" w:pos="-1440"/>
          <w:tab w:val="left" w:pos="-720"/>
        </w:tabs>
        <w:jc w:val="both"/>
        <w:rPr>
          <w:sz w:val="20"/>
          <w:szCs w:val="20"/>
        </w:rPr>
      </w:pPr>
      <w:r w:rsidRPr="0087076A">
        <w:rPr>
          <w:b/>
          <w:sz w:val="20"/>
          <w:szCs w:val="20"/>
        </w:rPr>
        <w:t>GRANTED / ACCORDÉE</w:t>
      </w:r>
    </w:p>
    <w:p w:rsidR="005B137C" w:rsidRPr="0087076A" w:rsidRDefault="005B137C" w:rsidP="005B137C">
      <w:pPr>
        <w:tabs>
          <w:tab w:val="left" w:pos="-1440"/>
          <w:tab w:val="left" w:pos="-720"/>
        </w:tabs>
        <w:jc w:val="both"/>
        <w:rPr>
          <w:sz w:val="20"/>
          <w:szCs w:val="20"/>
        </w:rPr>
      </w:pPr>
    </w:p>
    <w:p w:rsidR="005B137C" w:rsidRPr="0087076A" w:rsidRDefault="005B137C" w:rsidP="005B137C">
      <w:pPr>
        <w:tabs>
          <w:tab w:val="left" w:pos="-1440"/>
          <w:tab w:val="left" w:pos="-720"/>
        </w:tabs>
        <w:spacing w:line="-19" w:lineRule="auto"/>
        <w:jc w:val="both"/>
        <w:rPr>
          <w:sz w:val="20"/>
          <w:szCs w:val="20"/>
          <w:lang w:val="fr-CA"/>
        </w:rPr>
      </w:pPr>
    </w:p>
    <w:p w:rsidR="005B137C" w:rsidRPr="0087076A" w:rsidRDefault="00460701" w:rsidP="005B137C">
      <w:pPr>
        <w:jc w:val="both"/>
        <w:rPr>
          <w:sz w:val="20"/>
          <w:szCs w:val="20"/>
          <w:lang w:val="fr-CA"/>
        </w:rPr>
      </w:pPr>
      <w:r w:rsidRPr="00460701">
        <w:rPr>
          <w:sz w:val="20"/>
          <w:szCs w:val="20"/>
          <w:lang w:val="fr-CA"/>
        </w:rPr>
        <w:pict>
          <v:rect id="_x0000_i1062" style="width:2in;height:1pt" o:hrpct="0" o:hralign="center" o:hrstd="t" o:hrnoshade="t" o:hr="t" fillcolor="black [3213]" stroked="f"/>
        </w:pict>
      </w:r>
    </w:p>
    <w:p w:rsidR="005B137C" w:rsidRPr="0087076A" w:rsidRDefault="005B137C" w:rsidP="005B137C">
      <w:pPr>
        <w:tabs>
          <w:tab w:val="left" w:pos="-1440"/>
          <w:tab w:val="left" w:pos="-720"/>
        </w:tabs>
        <w:jc w:val="both"/>
        <w:rPr>
          <w:sz w:val="20"/>
          <w:szCs w:val="20"/>
          <w:lang w:val="fr-CA"/>
        </w:rPr>
      </w:pPr>
    </w:p>
    <w:p w:rsidR="005B137C" w:rsidRPr="0087076A" w:rsidRDefault="005B137C" w:rsidP="005B137C">
      <w:pPr>
        <w:tabs>
          <w:tab w:val="left" w:pos="-1440"/>
          <w:tab w:val="left" w:pos="-720"/>
        </w:tabs>
        <w:jc w:val="both"/>
        <w:rPr>
          <w:sz w:val="20"/>
          <w:szCs w:val="20"/>
          <w:lang w:val="fr-CA"/>
        </w:rPr>
      </w:pPr>
      <w:r w:rsidRPr="0087076A">
        <w:rPr>
          <w:sz w:val="20"/>
          <w:szCs w:val="20"/>
          <w:lang w:val="fr-CA"/>
        </w:rPr>
        <w:t>17.10.2011</w:t>
      </w:r>
    </w:p>
    <w:p w:rsidR="005B137C" w:rsidRPr="0087076A" w:rsidRDefault="005B137C" w:rsidP="005B137C">
      <w:pPr>
        <w:tabs>
          <w:tab w:val="left" w:pos="-1440"/>
          <w:tab w:val="left" w:pos="-720"/>
        </w:tabs>
        <w:jc w:val="both"/>
        <w:rPr>
          <w:sz w:val="20"/>
          <w:szCs w:val="20"/>
          <w:lang w:val="fr-CA"/>
        </w:rPr>
      </w:pPr>
    </w:p>
    <w:p w:rsidR="005B137C" w:rsidRPr="0087076A" w:rsidRDefault="005B137C" w:rsidP="005B137C">
      <w:pPr>
        <w:tabs>
          <w:tab w:val="left" w:pos="-1440"/>
          <w:tab w:val="left" w:pos="-720"/>
        </w:tabs>
        <w:jc w:val="both"/>
        <w:rPr>
          <w:sz w:val="20"/>
          <w:szCs w:val="20"/>
          <w:lang w:val="fr-CA"/>
        </w:rPr>
      </w:pPr>
      <w:r w:rsidRPr="0087076A">
        <w:rPr>
          <w:sz w:val="20"/>
          <w:szCs w:val="20"/>
          <w:lang w:val="fr-CA"/>
        </w:rPr>
        <w:t xml:space="preserve">Before / Devant :   </w:t>
      </w:r>
      <w:r w:rsidRPr="0087076A">
        <w:rPr>
          <w:sz w:val="20"/>
          <w:szCs w:val="20"/>
        </w:rPr>
        <w:t>THE REGISTRAR / LE REGISTRAIRE</w:t>
      </w:r>
    </w:p>
    <w:p w:rsidR="005B137C" w:rsidRPr="0087076A" w:rsidRDefault="005B137C" w:rsidP="005B137C">
      <w:pPr>
        <w:tabs>
          <w:tab w:val="left" w:pos="-1440"/>
          <w:tab w:val="left" w:pos="-720"/>
        </w:tabs>
        <w:jc w:val="both"/>
        <w:rPr>
          <w:sz w:val="20"/>
          <w:szCs w:val="20"/>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2970"/>
        <w:gridCol w:w="1170"/>
        <w:gridCol w:w="4327"/>
      </w:tblGrid>
      <w:tr w:rsidR="005B137C" w:rsidRPr="005B137C" w:rsidTr="00741DC5">
        <w:tc>
          <w:tcPr>
            <w:tcW w:w="4338" w:type="dxa"/>
            <w:gridSpan w:val="2"/>
          </w:tcPr>
          <w:p w:rsidR="005B137C" w:rsidRPr="0087076A" w:rsidRDefault="005B137C" w:rsidP="00741DC5">
            <w:pPr>
              <w:rPr>
                <w:b/>
                <w:sz w:val="20"/>
                <w:szCs w:val="20"/>
              </w:rPr>
            </w:pPr>
            <w:r w:rsidRPr="0087076A">
              <w:rPr>
                <w:b/>
                <w:sz w:val="20"/>
                <w:szCs w:val="20"/>
              </w:rPr>
              <w:t xml:space="preserve">Order on interventions with respect to oral argument </w:t>
            </w:r>
            <w:r w:rsidR="00460701" w:rsidRPr="0087076A">
              <w:rPr>
                <w:b/>
                <w:sz w:val="20"/>
                <w:szCs w:val="20"/>
              </w:rPr>
              <w:fldChar w:fldCharType="begin"/>
            </w:r>
            <w:r w:rsidRPr="0087076A">
              <w:rPr>
                <w:b/>
                <w:sz w:val="20"/>
                <w:szCs w:val="20"/>
              </w:rPr>
              <w:instrText xml:space="preserve"> SEQ CHAPTER \h \r 1</w:instrText>
            </w:r>
            <w:r w:rsidR="00460701" w:rsidRPr="0087076A">
              <w:rPr>
                <w:b/>
                <w:sz w:val="20"/>
                <w:szCs w:val="20"/>
              </w:rPr>
              <w:fldChar w:fldCharType="end"/>
            </w:r>
          </w:p>
        </w:tc>
        <w:tc>
          <w:tcPr>
            <w:tcW w:w="1170" w:type="dxa"/>
          </w:tcPr>
          <w:p w:rsidR="005B137C" w:rsidRPr="0087076A" w:rsidRDefault="005B137C" w:rsidP="00741DC5">
            <w:pPr>
              <w:rPr>
                <w:sz w:val="20"/>
                <w:szCs w:val="20"/>
              </w:rPr>
            </w:pPr>
          </w:p>
          <w:p w:rsidR="005B137C" w:rsidRPr="0087076A" w:rsidRDefault="005B137C" w:rsidP="00741DC5">
            <w:pPr>
              <w:rPr>
                <w:sz w:val="20"/>
                <w:szCs w:val="20"/>
              </w:rPr>
            </w:pPr>
          </w:p>
          <w:p w:rsidR="005B137C" w:rsidRPr="0087076A" w:rsidRDefault="005B137C" w:rsidP="00741DC5">
            <w:pPr>
              <w:rPr>
                <w:sz w:val="20"/>
                <w:szCs w:val="20"/>
              </w:rPr>
            </w:pPr>
          </w:p>
        </w:tc>
        <w:tc>
          <w:tcPr>
            <w:tcW w:w="4327" w:type="dxa"/>
          </w:tcPr>
          <w:p w:rsidR="005B137C" w:rsidRPr="0087076A" w:rsidRDefault="005B137C" w:rsidP="00741DC5">
            <w:pPr>
              <w:rPr>
                <w:b/>
                <w:sz w:val="20"/>
                <w:szCs w:val="20"/>
                <w:lang w:val="fr-CA"/>
              </w:rPr>
            </w:pPr>
            <w:r w:rsidRPr="0087076A">
              <w:rPr>
                <w:b/>
                <w:sz w:val="20"/>
                <w:szCs w:val="20"/>
                <w:lang w:val="fr-CA"/>
              </w:rPr>
              <w:t>Ordonnance relative à la présentation d’une plaidoirie orale par les intervenantes</w:t>
            </w:r>
            <w:r w:rsidR="00460701" w:rsidRPr="0087076A">
              <w:rPr>
                <w:b/>
                <w:sz w:val="20"/>
                <w:szCs w:val="20"/>
              </w:rPr>
              <w:fldChar w:fldCharType="begin"/>
            </w:r>
            <w:r w:rsidRPr="0087076A">
              <w:rPr>
                <w:b/>
                <w:sz w:val="20"/>
                <w:szCs w:val="20"/>
                <w:lang w:val="fr-CA"/>
              </w:rPr>
              <w:instrText xml:space="preserve"> SEQ CHAPTER \h \r 1</w:instrText>
            </w:r>
            <w:r w:rsidR="00460701" w:rsidRPr="0087076A">
              <w:rPr>
                <w:b/>
                <w:sz w:val="20"/>
                <w:szCs w:val="20"/>
              </w:rPr>
              <w:fldChar w:fldCharType="end"/>
            </w:r>
          </w:p>
        </w:tc>
      </w:tr>
      <w:tr w:rsidR="005B137C" w:rsidRPr="0087076A" w:rsidTr="00741DC5">
        <w:tc>
          <w:tcPr>
            <w:tcW w:w="1368" w:type="dxa"/>
          </w:tcPr>
          <w:p w:rsidR="005B137C" w:rsidRPr="0087076A" w:rsidRDefault="005B137C" w:rsidP="00741DC5">
            <w:pPr>
              <w:rPr>
                <w:sz w:val="20"/>
                <w:szCs w:val="20"/>
              </w:rPr>
            </w:pPr>
            <w:r w:rsidRPr="0087076A">
              <w:rPr>
                <w:sz w:val="20"/>
                <w:szCs w:val="20"/>
              </w:rPr>
              <w:t>RE:</w:t>
            </w:r>
          </w:p>
        </w:tc>
        <w:tc>
          <w:tcPr>
            <w:tcW w:w="2970" w:type="dxa"/>
          </w:tcPr>
          <w:p w:rsidR="005B137C" w:rsidRPr="0087076A" w:rsidRDefault="005B137C" w:rsidP="00741DC5">
            <w:pPr>
              <w:rPr>
                <w:sz w:val="20"/>
                <w:szCs w:val="20"/>
              </w:rPr>
            </w:pPr>
            <w:r w:rsidRPr="0087076A">
              <w:rPr>
                <w:sz w:val="20"/>
                <w:szCs w:val="20"/>
              </w:rPr>
              <w:t>Criminal Lawyers' Association of Ontario;</w:t>
            </w:r>
          </w:p>
        </w:tc>
        <w:tc>
          <w:tcPr>
            <w:tcW w:w="1170" w:type="dxa"/>
          </w:tcPr>
          <w:p w:rsidR="005B137C" w:rsidRPr="0087076A" w:rsidRDefault="005B137C" w:rsidP="00741DC5">
            <w:pPr>
              <w:rPr>
                <w:sz w:val="20"/>
                <w:szCs w:val="20"/>
              </w:rPr>
            </w:pPr>
          </w:p>
        </w:tc>
        <w:tc>
          <w:tcPr>
            <w:tcW w:w="4327" w:type="dxa"/>
          </w:tcPr>
          <w:p w:rsidR="005B137C" w:rsidRPr="0087076A" w:rsidRDefault="005B137C" w:rsidP="00741DC5">
            <w:pPr>
              <w:rPr>
                <w:sz w:val="20"/>
                <w:szCs w:val="20"/>
              </w:rPr>
            </w:pPr>
          </w:p>
        </w:tc>
      </w:tr>
      <w:tr w:rsidR="005B137C" w:rsidRPr="0087076A" w:rsidTr="00741DC5">
        <w:tc>
          <w:tcPr>
            <w:tcW w:w="1368" w:type="dxa"/>
          </w:tcPr>
          <w:p w:rsidR="005B137C" w:rsidRPr="0087076A" w:rsidRDefault="005B137C" w:rsidP="00741DC5">
            <w:pPr>
              <w:rPr>
                <w:sz w:val="20"/>
                <w:szCs w:val="20"/>
              </w:rPr>
            </w:pPr>
          </w:p>
        </w:tc>
        <w:tc>
          <w:tcPr>
            <w:tcW w:w="2970" w:type="dxa"/>
          </w:tcPr>
          <w:p w:rsidR="005B137C" w:rsidRPr="0087076A" w:rsidRDefault="005B137C" w:rsidP="00741DC5">
            <w:pPr>
              <w:rPr>
                <w:sz w:val="20"/>
                <w:szCs w:val="20"/>
              </w:rPr>
            </w:pPr>
            <w:r w:rsidRPr="0087076A">
              <w:rPr>
                <w:sz w:val="20"/>
                <w:szCs w:val="20"/>
              </w:rPr>
              <w:t>Canadian Civil Liberties Association</w:t>
            </w:r>
          </w:p>
        </w:tc>
        <w:tc>
          <w:tcPr>
            <w:tcW w:w="1170" w:type="dxa"/>
          </w:tcPr>
          <w:p w:rsidR="005B137C" w:rsidRPr="0087076A" w:rsidRDefault="005B137C" w:rsidP="00741DC5">
            <w:pPr>
              <w:rPr>
                <w:sz w:val="20"/>
                <w:szCs w:val="20"/>
              </w:rPr>
            </w:pPr>
          </w:p>
        </w:tc>
        <w:tc>
          <w:tcPr>
            <w:tcW w:w="4327" w:type="dxa"/>
          </w:tcPr>
          <w:p w:rsidR="005B137C" w:rsidRPr="0087076A" w:rsidRDefault="005B137C" w:rsidP="00741DC5">
            <w:pPr>
              <w:rPr>
                <w:sz w:val="20"/>
                <w:szCs w:val="20"/>
              </w:rPr>
            </w:pPr>
          </w:p>
        </w:tc>
      </w:tr>
      <w:tr w:rsidR="005B137C" w:rsidRPr="0087076A" w:rsidTr="00741DC5">
        <w:tc>
          <w:tcPr>
            <w:tcW w:w="1368" w:type="dxa"/>
          </w:tcPr>
          <w:p w:rsidR="005B137C" w:rsidRPr="0087076A" w:rsidRDefault="005B137C" w:rsidP="00741DC5">
            <w:pPr>
              <w:rPr>
                <w:sz w:val="20"/>
                <w:szCs w:val="20"/>
              </w:rPr>
            </w:pPr>
          </w:p>
        </w:tc>
        <w:tc>
          <w:tcPr>
            <w:tcW w:w="2970" w:type="dxa"/>
          </w:tcPr>
          <w:p w:rsidR="005B137C" w:rsidRPr="0087076A" w:rsidRDefault="005B137C" w:rsidP="00741DC5">
            <w:pPr>
              <w:rPr>
                <w:sz w:val="20"/>
                <w:szCs w:val="20"/>
              </w:rPr>
            </w:pPr>
          </w:p>
        </w:tc>
        <w:tc>
          <w:tcPr>
            <w:tcW w:w="1170" w:type="dxa"/>
          </w:tcPr>
          <w:p w:rsidR="005B137C" w:rsidRPr="0087076A" w:rsidRDefault="005B137C" w:rsidP="00741DC5">
            <w:pPr>
              <w:rPr>
                <w:sz w:val="20"/>
                <w:szCs w:val="20"/>
              </w:rPr>
            </w:pPr>
          </w:p>
        </w:tc>
        <w:tc>
          <w:tcPr>
            <w:tcW w:w="4327" w:type="dxa"/>
          </w:tcPr>
          <w:p w:rsidR="005B137C" w:rsidRPr="0087076A" w:rsidRDefault="005B137C" w:rsidP="00741DC5">
            <w:pPr>
              <w:rPr>
                <w:sz w:val="20"/>
                <w:szCs w:val="20"/>
              </w:rPr>
            </w:pPr>
          </w:p>
        </w:tc>
      </w:tr>
      <w:tr w:rsidR="005B137C" w:rsidRPr="0087076A" w:rsidTr="00741DC5">
        <w:tc>
          <w:tcPr>
            <w:tcW w:w="1368" w:type="dxa"/>
          </w:tcPr>
          <w:p w:rsidR="005B137C" w:rsidRPr="0087076A" w:rsidRDefault="005B137C" w:rsidP="00741DC5">
            <w:pPr>
              <w:rPr>
                <w:sz w:val="20"/>
                <w:szCs w:val="20"/>
              </w:rPr>
            </w:pPr>
            <w:r w:rsidRPr="0087076A">
              <w:rPr>
                <w:sz w:val="20"/>
                <w:szCs w:val="20"/>
              </w:rPr>
              <w:t>IN / DANS :</w:t>
            </w:r>
          </w:p>
        </w:tc>
        <w:tc>
          <w:tcPr>
            <w:tcW w:w="2970" w:type="dxa"/>
          </w:tcPr>
          <w:p w:rsidR="005B137C" w:rsidRPr="0087076A" w:rsidRDefault="005B137C" w:rsidP="00741DC5">
            <w:pPr>
              <w:rPr>
                <w:sz w:val="20"/>
                <w:szCs w:val="20"/>
              </w:rPr>
            </w:pPr>
            <w:r w:rsidRPr="0087076A">
              <w:rPr>
                <w:sz w:val="20"/>
                <w:szCs w:val="20"/>
              </w:rPr>
              <w:t>Ewaryst Prokofiew</w:t>
            </w:r>
          </w:p>
          <w:p w:rsidR="005B137C" w:rsidRPr="0087076A" w:rsidRDefault="005B137C" w:rsidP="00741DC5">
            <w:pPr>
              <w:rPr>
                <w:sz w:val="20"/>
                <w:szCs w:val="20"/>
              </w:rPr>
            </w:pPr>
          </w:p>
        </w:tc>
        <w:tc>
          <w:tcPr>
            <w:tcW w:w="1170" w:type="dxa"/>
          </w:tcPr>
          <w:p w:rsidR="005B137C" w:rsidRPr="0087076A" w:rsidRDefault="005B137C" w:rsidP="00741DC5">
            <w:pPr>
              <w:rPr>
                <w:sz w:val="20"/>
                <w:szCs w:val="20"/>
              </w:rPr>
            </w:pPr>
          </w:p>
        </w:tc>
        <w:tc>
          <w:tcPr>
            <w:tcW w:w="4327" w:type="dxa"/>
          </w:tcPr>
          <w:p w:rsidR="005B137C" w:rsidRPr="0087076A" w:rsidRDefault="005B137C" w:rsidP="00741DC5">
            <w:pPr>
              <w:rPr>
                <w:sz w:val="20"/>
                <w:szCs w:val="20"/>
              </w:rPr>
            </w:pPr>
          </w:p>
        </w:tc>
      </w:tr>
      <w:tr w:rsidR="005B137C" w:rsidRPr="0087076A" w:rsidTr="00741DC5">
        <w:tc>
          <w:tcPr>
            <w:tcW w:w="1368" w:type="dxa"/>
          </w:tcPr>
          <w:p w:rsidR="005B137C" w:rsidRPr="0087076A" w:rsidRDefault="005B137C" w:rsidP="00741DC5">
            <w:pPr>
              <w:rPr>
                <w:sz w:val="20"/>
                <w:szCs w:val="20"/>
              </w:rPr>
            </w:pPr>
          </w:p>
        </w:tc>
        <w:tc>
          <w:tcPr>
            <w:tcW w:w="2970" w:type="dxa"/>
          </w:tcPr>
          <w:p w:rsidR="005B137C" w:rsidRPr="0087076A" w:rsidRDefault="005B137C" w:rsidP="00741DC5">
            <w:pPr>
              <w:rPr>
                <w:sz w:val="20"/>
                <w:szCs w:val="20"/>
              </w:rPr>
            </w:pPr>
            <w:r w:rsidRPr="0087076A">
              <w:rPr>
                <w:sz w:val="20"/>
                <w:szCs w:val="20"/>
              </w:rPr>
              <w:tab/>
              <w:t>v. (33754)</w:t>
            </w:r>
          </w:p>
          <w:p w:rsidR="005B137C" w:rsidRPr="0087076A" w:rsidRDefault="005B137C" w:rsidP="00741DC5">
            <w:pPr>
              <w:rPr>
                <w:sz w:val="20"/>
                <w:szCs w:val="20"/>
              </w:rPr>
            </w:pPr>
          </w:p>
        </w:tc>
        <w:tc>
          <w:tcPr>
            <w:tcW w:w="1170" w:type="dxa"/>
          </w:tcPr>
          <w:p w:rsidR="005B137C" w:rsidRPr="0087076A" w:rsidRDefault="005B137C" w:rsidP="00741DC5">
            <w:pPr>
              <w:rPr>
                <w:sz w:val="20"/>
                <w:szCs w:val="20"/>
              </w:rPr>
            </w:pPr>
          </w:p>
        </w:tc>
        <w:tc>
          <w:tcPr>
            <w:tcW w:w="4327" w:type="dxa"/>
          </w:tcPr>
          <w:p w:rsidR="005B137C" w:rsidRPr="0087076A" w:rsidRDefault="005B137C" w:rsidP="00741DC5">
            <w:pPr>
              <w:rPr>
                <w:sz w:val="20"/>
                <w:szCs w:val="20"/>
              </w:rPr>
            </w:pPr>
          </w:p>
        </w:tc>
      </w:tr>
      <w:tr w:rsidR="005B137C" w:rsidRPr="0087076A" w:rsidTr="00741DC5">
        <w:tc>
          <w:tcPr>
            <w:tcW w:w="1368" w:type="dxa"/>
          </w:tcPr>
          <w:p w:rsidR="005B137C" w:rsidRPr="0087076A" w:rsidRDefault="005B137C" w:rsidP="00741DC5">
            <w:pPr>
              <w:rPr>
                <w:sz w:val="20"/>
                <w:szCs w:val="20"/>
              </w:rPr>
            </w:pPr>
          </w:p>
        </w:tc>
        <w:tc>
          <w:tcPr>
            <w:tcW w:w="2970" w:type="dxa"/>
          </w:tcPr>
          <w:p w:rsidR="005B137C" w:rsidRPr="0087076A" w:rsidRDefault="005B137C" w:rsidP="00741DC5">
            <w:pPr>
              <w:jc w:val="both"/>
              <w:rPr>
                <w:sz w:val="20"/>
                <w:szCs w:val="20"/>
              </w:rPr>
            </w:pPr>
            <w:r w:rsidRPr="0087076A">
              <w:rPr>
                <w:sz w:val="20"/>
                <w:szCs w:val="20"/>
              </w:rPr>
              <w:t>Her Majesty the Queen (Crim.) (Ont.)</w:t>
            </w:r>
          </w:p>
        </w:tc>
        <w:tc>
          <w:tcPr>
            <w:tcW w:w="1170" w:type="dxa"/>
          </w:tcPr>
          <w:p w:rsidR="005B137C" w:rsidRPr="0087076A" w:rsidRDefault="005B137C" w:rsidP="00741DC5">
            <w:pPr>
              <w:rPr>
                <w:sz w:val="20"/>
                <w:szCs w:val="20"/>
              </w:rPr>
            </w:pPr>
          </w:p>
        </w:tc>
        <w:tc>
          <w:tcPr>
            <w:tcW w:w="4327" w:type="dxa"/>
          </w:tcPr>
          <w:p w:rsidR="005B137C" w:rsidRPr="0087076A" w:rsidRDefault="005B137C" w:rsidP="00741DC5">
            <w:pPr>
              <w:rPr>
                <w:sz w:val="20"/>
                <w:szCs w:val="20"/>
              </w:rPr>
            </w:pPr>
          </w:p>
        </w:tc>
      </w:tr>
    </w:tbl>
    <w:p w:rsidR="005B137C" w:rsidRPr="0087076A" w:rsidRDefault="005B137C" w:rsidP="005B137C">
      <w:pPr>
        <w:tabs>
          <w:tab w:val="left" w:pos="-1440"/>
          <w:tab w:val="left" w:pos="-720"/>
        </w:tabs>
        <w:jc w:val="both"/>
        <w:rPr>
          <w:sz w:val="20"/>
          <w:szCs w:val="20"/>
        </w:rPr>
      </w:pPr>
    </w:p>
    <w:p w:rsidR="005B137C" w:rsidRPr="0087076A" w:rsidRDefault="00460701" w:rsidP="005B137C">
      <w:pPr>
        <w:jc w:val="both"/>
        <w:rPr>
          <w:sz w:val="20"/>
          <w:szCs w:val="20"/>
        </w:rPr>
      </w:pPr>
      <w:r w:rsidRPr="0087076A">
        <w:rPr>
          <w:sz w:val="20"/>
          <w:szCs w:val="20"/>
        </w:rPr>
        <w:fldChar w:fldCharType="begin"/>
      </w:r>
      <w:r w:rsidR="005B137C" w:rsidRPr="0087076A">
        <w:rPr>
          <w:sz w:val="20"/>
          <w:szCs w:val="20"/>
        </w:rPr>
        <w:instrText xml:space="preserve"> SEQ CHAPTER \h \r 1</w:instrText>
      </w:r>
      <w:r w:rsidRPr="0087076A">
        <w:rPr>
          <w:sz w:val="20"/>
          <w:szCs w:val="20"/>
        </w:rPr>
        <w:fldChar w:fldCharType="end"/>
      </w:r>
      <w:r w:rsidR="005B137C" w:rsidRPr="0087076A">
        <w:rPr>
          <w:b/>
          <w:bCs/>
          <w:sz w:val="20"/>
          <w:szCs w:val="20"/>
        </w:rPr>
        <w:t>FURTHER TO THE ORDERS</w:t>
      </w:r>
      <w:r w:rsidR="005B137C" w:rsidRPr="0087076A">
        <w:rPr>
          <w:sz w:val="20"/>
          <w:szCs w:val="20"/>
        </w:rPr>
        <w:t xml:space="preserve"> dated July 28, 2011, and September 12, 2011, granting leave to intervene to the Criminal Lawyers' Association of Ontario and the Canadian Civil Liberties Association;</w:t>
      </w:r>
    </w:p>
    <w:p w:rsidR="005B137C" w:rsidRPr="0087076A" w:rsidRDefault="005B137C" w:rsidP="005B137C">
      <w:pPr>
        <w:jc w:val="both"/>
        <w:rPr>
          <w:sz w:val="20"/>
          <w:szCs w:val="20"/>
        </w:rPr>
      </w:pPr>
    </w:p>
    <w:p w:rsidR="005B137C" w:rsidRPr="0087076A" w:rsidRDefault="005B137C" w:rsidP="005B137C">
      <w:pPr>
        <w:spacing w:line="233" w:lineRule="auto"/>
        <w:jc w:val="both"/>
        <w:rPr>
          <w:sz w:val="20"/>
          <w:szCs w:val="20"/>
        </w:rPr>
      </w:pPr>
      <w:r w:rsidRPr="0087076A">
        <w:rPr>
          <w:b/>
          <w:bCs/>
          <w:sz w:val="20"/>
          <w:szCs w:val="20"/>
        </w:rPr>
        <w:t xml:space="preserve">IT IS HEREBY FURTHER ORDERED THAT </w:t>
      </w:r>
      <w:r w:rsidRPr="0087076A">
        <w:rPr>
          <w:sz w:val="20"/>
          <w:szCs w:val="20"/>
        </w:rPr>
        <w:t>the interveners are granted permission to present oral argument not exceeding ten (10) minutes at the hearing of this appeal.</w:t>
      </w:r>
    </w:p>
    <w:p w:rsidR="005B137C" w:rsidRPr="0087076A" w:rsidRDefault="005B137C" w:rsidP="005B137C">
      <w:pPr>
        <w:tabs>
          <w:tab w:val="left" w:pos="-1440"/>
          <w:tab w:val="left" w:pos="-720"/>
        </w:tabs>
        <w:jc w:val="both"/>
        <w:rPr>
          <w:sz w:val="20"/>
          <w:szCs w:val="20"/>
        </w:rPr>
      </w:pPr>
    </w:p>
    <w:p w:rsidR="005B137C" w:rsidRPr="0087076A" w:rsidRDefault="005B137C" w:rsidP="005B137C">
      <w:pPr>
        <w:tabs>
          <w:tab w:val="left" w:pos="-1440"/>
          <w:tab w:val="left" w:pos="-720"/>
        </w:tabs>
        <w:jc w:val="both"/>
        <w:rPr>
          <w:sz w:val="20"/>
          <w:szCs w:val="20"/>
        </w:rPr>
      </w:pPr>
    </w:p>
    <w:p w:rsidR="005B137C" w:rsidRPr="0087076A" w:rsidRDefault="005B137C" w:rsidP="005B137C">
      <w:pPr>
        <w:tabs>
          <w:tab w:val="left" w:pos="-1440"/>
          <w:tab w:val="left" w:pos="-720"/>
        </w:tabs>
        <w:jc w:val="both"/>
        <w:rPr>
          <w:sz w:val="20"/>
          <w:szCs w:val="20"/>
        </w:rPr>
      </w:pPr>
    </w:p>
    <w:p w:rsidR="005B137C" w:rsidRPr="0087076A" w:rsidRDefault="005B137C" w:rsidP="005B137C">
      <w:pPr>
        <w:jc w:val="both"/>
        <w:rPr>
          <w:sz w:val="20"/>
          <w:szCs w:val="20"/>
          <w:lang w:val="fr-CA"/>
        </w:rPr>
      </w:pPr>
      <w:r w:rsidRPr="0087076A">
        <w:rPr>
          <w:b/>
          <w:sz w:val="20"/>
          <w:szCs w:val="20"/>
          <w:lang w:val="fr-CA"/>
        </w:rPr>
        <w:t>À LA SUITE DES ORDONNANCES</w:t>
      </w:r>
      <w:r w:rsidRPr="0087076A">
        <w:rPr>
          <w:sz w:val="20"/>
          <w:szCs w:val="20"/>
          <w:lang w:val="fr-CA"/>
        </w:rPr>
        <w:t xml:space="preserve"> datées du 28 juillet 2011 et du 12 septembre 2011, autorisant la Criminal Lawyers’ Association of Ontario et l’Association canadienne des libertés civiles à intervenir; </w:t>
      </w:r>
      <w:r w:rsidR="00460701" w:rsidRPr="0087076A">
        <w:rPr>
          <w:sz w:val="20"/>
          <w:szCs w:val="20"/>
        </w:rPr>
        <w:fldChar w:fldCharType="begin"/>
      </w:r>
      <w:r w:rsidRPr="0087076A">
        <w:rPr>
          <w:sz w:val="20"/>
          <w:szCs w:val="20"/>
          <w:lang w:val="fr-CA"/>
        </w:rPr>
        <w:instrText xml:space="preserve"> SEQ CHAPTER \h \r 1</w:instrText>
      </w:r>
      <w:r w:rsidR="00460701" w:rsidRPr="0087076A">
        <w:rPr>
          <w:sz w:val="20"/>
          <w:szCs w:val="20"/>
        </w:rPr>
        <w:fldChar w:fldCharType="end"/>
      </w:r>
    </w:p>
    <w:p w:rsidR="005B137C" w:rsidRPr="0087076A" w:rsidRDefault="005B137C" w:rsidP="005B137C">
      <w:pPr>
        <w:jc w:val="both"/>
        <w:rPr>
          <w:sz w:val="20"/>
          <w:szCs w:val="20"/>
          <w:lang w:val="fr-CA"/>
        </w:rPr>
      </w:pPr>
    </w:p>
    <w:p w:rsidR="005B137C" w:rsidRPr="0087076A" w:rsidRDefault="005B137C" w:rsidP="005B137C">
      <w:pPr>
        <w:tabs>
          <w:tab w:val="left" w:pos="-1440"/>
          <w:tab w:val="left" w:pos="-720"/>
        </w:tabs>
        <w:jc w:val="both"/>
        <w:rPr>
          <w:sz w:val="20"/>
          <w:szCs w:val="20"/>
          <w:lang w:val="fr-CA"/>
        </w:rPr>
      </w:pPr>
      <w:r w:rsidRPr="0087076A">
        <w:rPr>
          <w:b/>
          <w:bCs/>
          <w:sz w:val="20"/>
          <w:szCs w:val="20"/>
          <w:lang w:val="fr-CA"/>
        </w:rPr>
        <w:t>IL EST EN OUTRE ORDONNÉ QUE</w:t>
      </w:r>
      <w:r w:rsidRPr="0087076A">
        <w:rPr>
          <w:bCs/>
          <w:sz w:val="20"/>
          <w:szCs w:val="20"/>
          <w:lang w:val="fr-CA"/>
        </w:rPr>
        <w:t xml:space="preserve"> ces intervenantes pourront présenter une plaidoirie orale d’au plus dix (10) minutes lors de l’audition de l’appel.</w:t>
      </w:r>
    </w:p>
    <w:p w:rsidR="005B137C" w:rsidRPr="0087076A" w:rsidRDefault="005B137C" w:rsidP="005B137C">
      <w:pPr>
        <w:tabs>
          <w:tab w:val="left" w:pos="-1440"/>
          <w:tab w:val="left" w:pos="-720"/>
        </w:tabs>
        <w:jc w:val="both"/>
        <w:rPr>
          <w:sz w:val="20"/>
          <w:szCs w:val="20"/>
          <w:lang w:val="fr-CA"/>
        </w:rPr>
      </w:pPr>
    </w:p>
    <w:p w:rsidR="005B137C" w:rsidRPr="0087076A" w:rsidRDefault="00460701" w:rsidP="005B137C">
      <w:pPr>
        <w:tabs>
          <w:tab w:val="left" w:pos="-1440"/>
          <w:tab w:val="left" w:pos="-720"/>
        </w:tabs>
        <w:jc w:val="both"/>
        <w:rPr>
          <w:sz w:val="20"/>
          <w:szCs w:val="20"/>
        </w:rPr>
      </w:pPr>
      <w:r w:rsidRPr="00460701">
        <w:rPr>
          <w:sz w:val="20"/>
          <w:szCs w:val="20"/>
          <w:lang w:val="fr-CA"/>
        </w:rPr>
        <w:pict>
          <v:rect id="_x0000_i1063" style="width:2in;height:1pt" o:hrpct="0" o:hralign="center" o:hrstd="t" o:hrnoshade="t" o:hr="t" fillcolor="black [3213]" stroked="f"/>
        </w:pict>
      </w:r>
    </w:p>
    <w:p w:rsidR="005B137C" w:rsidRPr="0087076A" w:rsidRDefault="005B137C" w:rsidP="005B137C">
      <w:pPr>
        <w:tabs>
          <w:tab w:val="left" w:pos="-1440"/>
          <w:tab w:val="left" w:pos="-720"/>
        </w:tabs>
        <w:jc w:val="both"/>
        <w:rPr>
          <w:sz w:val="20"/>
          <w:szCs w:val="20"/>
        </w:rPr>
      </w:pPr>
    </w:p>
    <w:p w:rsidR="005B137C" w:rsidRPr="0087076A" w:rsidRDefault="005B137C" w:rsidP="005B137C">
      <w:pPr>
        <w:rPr>
          <w:sz w:val="20"/>
          <w:szCs w:val="20"/>
          <w:lang w:val="fr-CA"/>
        </w:rPr>
      </w:pPr>
      <w:r w:rsidRPr="0087076A">
        <w:rPr>
          <w:sz w:val="20"/>
          <w:szCs w:val="20"/>
          <w:lang w:val="fr-CA"/>
        </w:rPr>
        <w:br w:type="page"/>
      </w:r>
    </w:p>
    <w:p w:rsidR="005B137C" w:rsidRPr="0087076A" w:rsidRDefault="005B137C" w:rsidP="005B137C">
      <w:pPr>
        <w:tabs>
          <w:tab w:val="left" w:pos="-1440"/>
          <w:tab w:val="left" w:pos="-720"/>
        </w:tabs>
        <w:jc w:val="both"/>
        <w:rPr>
          <w:sz w:val="20"/>
          <w:szCs w:val="20"/>
          <w:lang w:val="fr-CA"/>
        </w:rPr>
      </w:pPr>
      <w:r w:rsidRPr="0087076A">
        <w:rPr>
          <w:sz w:val="20"/>
          <w:szCs w:val="20"/>
          <w:lang w:val="fr-CA"/>
        </w:rPr>
        <w:lastRenderedPageBreak/>
        <w:t>17.10.2011</w:t>
      </w:r>
    </w:p>
    <w:p w:rsidR="005B137C" w:rsidRPr="0087076A" w:rsidRDefault="005B137C" w:rsidP="005B137C">
      <w:pPr>
        <w:tabs>
          <w:tab w:val="left" w:pos="-1440"/>
          <w:tab w:val="left" w:pos="-720"/>
        </w:tabs>
        <w:jc w:val="both"/>
        <w:rPr>
          <w:sz w:val="20"/>
          <w:szCs w:val="20"/>
          <w:lang w:val="fr-CA"/>
        </w:rPr>
      </w:pPr>
    </w:p>
    <w:p w:rsidR="005B137C" w:rsidRPr="0087076A" w:rsidRDefault="005B137C" w:rsidP="005B137C">
      <w:pPr>
        <w:tabs>
          <w:tab w:val="left" w:pos="-1440"/>
          <w:tab w:val="left" w:pos="-720"/>
        </w:tabs>
        <w:jc w:val="both"/>
        <w:rPr>
          <w:sz w:val="20"/>
          <w:szCs w:val="20"/>
          <w:lang w:val="fr-CA"/>
        </w:rPr>
      </w:pPr>
      <w:r w:rsidRPr="0087076A">
        <w:rPr>
          <w:sz w:val="20"/>
          <w:szCs w:val="20"/>
          <w:lang w:val="fr-CA"/>
        </w:rPr>
        <w:t>Before / Devant :   CROMWELL J. / LE JUGE CROMWELL</w:t>
      </w:r>
    </w:p>
    <w:p w:rsidR="005B137C" w:rsidRPr="0087076A" w:rsidRDefault="005B137C" w:rsidP="005B137C">
      <w:pPr>
        <w:tabs>
          <w:tab w:val="left" w:pos="-1440"/>
          <w:tab w:val="left" w:pos="-720"/>
        </w:tabs>
        <w:jc w:val="both"/>
        <w:rPr>
          <w:sz w:val="20"/>
          <w:szCs w:val="20"/>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2970"/>
        <w:gridCol w:w="1170"/>
        <w:gridCol w:w="4327"/>
      </w:tblGrid>
      <w:tr w:rsidR="005B137C" w:rsidRPr="005B137C" w:rsidTr="00741DC5">
        <w:tc>
          <w:tcPr>
            <w:tcW w:w="4338" w:type="dxa"/>
            <w:gridSpan w:val="2"/>
          </w:tcPr>
          <w:p w:rsidR="005B137C" w:rsidRPr="0087076A" w:rsidRDefault="005B137C" w:rsidP="00741DC5">
            <w:pPr>
              <w:rPr>
                <w:b/>
                <w:sz w:val="20"/>
                <w:szCs w:val="20"/>
              </w:rPr>
            </w:pPr>
            <w:r w:rsidRPr="0087076A">
              <w:rPr>
                <w:b/>
                <w:sz w:val="20"/>
                <w:szCs w:val="20"/>
              </w:rPr>
              <w:t xml:space="preserve">Order on interventions with respect to oral argument </w:t>
            </w:r>
            <w:r w:rsidR="00460701" w:rsidRPr="0087076A">
              <w:rPr>
                <w:b/>
                <w:sz w:val="20"/>
                <w:szCs w:val="20"/>
              </w:rPr>
              <w:fldChar w:fldCharType="begin"/>
            </w:r>
            <w:r w:rsidRPr="0087076A">
              <w:rPr>
                <w:b/>
                <w:sz w:val="20"/>
                <w:szCs w:val="20"/>
              </w:rPr>
              <w:instrText xml:space="preserve"> SEQ CHAPTER \h \r 1</w:instrText>
            </w:r>
            <w:r w:rsidR="00460701" w:rsidRPr="0087076A">
              <w:rPr>
                <w:b/>
                <w:sz w:val="20"/>
                <w:szCs w:val="20"/>
              </w:rPr>
              <w:fldChar w:fldCharType="end"/>
            </w:r>
          </w:p>
        </w:tc>
        <w:tc>
          <w:tcPr>
            <w:tcW w:w="1170" w:type="dxa"/>
          </w:tcPr>
          <w:p w:rsidR="005B137C" w:rsidRPr="0087076A" w:rsidRDefault="005B137C" w:rsidP="00741DC5">
            <w:pPr>
              <w:rPr>
                <w:sz w:val="20"/>
                <w:szCs w:val="20"/>
              </w:rPr>
            </w:pPr>
          </w:p>
          <w:p w:rsidR="005B137C" w:rsidRPr="0087076A" w:rsidRDefault="005B137C" w:rsidP="00741DC5">
            <w:pPr>
              <w:rPr>
                <w:sz w:val="20"/>
                <w:szCs w:val="20"/>
              </w:rPr>
            </w:pPr>
          </w:p>
          <w:p w:rsidR="005B137C" w:rsidRPr="0087076A" w:rsidRDefault="005B137C" w:rsidP="00741DC5">
            <w:pPr>
              <w:rPr>
                <w:sz w:val="20"/>
                <w:szCs w:val="20"/>
              </w:rPr>
            </w:pPr>
          </w:p>
        </w:tc>
        <w:tc>
          <w:tcPr>
            <w:tcW w:w="4327" w:type="dxa"/>
          </w:tcPr>
          <w:p w:rsidR="005B137C" w:rsidRPr="0087076A" w:rsidRDefault="005B137C" w:rsidP="00741DC5">
            <w:pPr>
              <w:rPr>
                <w:b/>
                <w:sz w:val="20"/>
                <w:szCs w:val="20"/>
                <w:lang w:val="fr-CA"/>
              </w:rPr>
            </w:pPr>
            <w:r w:rsidRPr="0087076A">
              <w:rPr>
                <w:b/>
                <w:sz w:val="20"/>
                <w:szCs w:val="20"/>
                <w:lang w:val="fr-CA"/>
              </w:rPr>
              <w:t>Ordonnance relative à la présentation d’une plaidoirie orale par les intervenantes</w:t>
            </w:r>
            <w:r w:rsidR="00460701" w:rsidRPr="0087076A">
              <w:rPr>
                <w:b/>
                <w:sz w:val="20"/>
                <w:szCs w:val="20"/>
              </w:rPr>
              <w:fldChar w:fldCharType="begin"/>
            </w:r>
            <w:r w:rsidRPr="0087076A">
              <w:rPr>
                <w:b/>
                <w:sz w:val="20"/>
                <w:szCs w:val="20"/>
                <w:lang w:val="fr-CA"/>
              </w:rPr>
              <w:instrText xml:space="preserve"> SEQ CHAPTER \h \r 1</w:instrText>
            </w:r>
            <w:r w:rsidR="00460701" w:rsidRPr="0087076A">
              <w:rPr>
                <w:b/>
                <w:sz w:val="20"/>
                <w:szCs w:val="20"/>
              </w:rPr>
              <w:fldChar w:fldCharType="end"/>
            </w:r>
          </w:p>
        </w:tc>
      </w:tr>
      <w:tr w:rsidR="005B137C" w:rsidRPr="0087076A" w:rsidTr="00741DC5">
        <w:tc>
          <w:tcPr>
            <w:tcW w:w="1368" w:type="dxa"/>
          </w:tcPr>
          <w:p w:rsidR="005B137C" w:rsidRPr="0087076A" w:rsidRDefault="005B137C" w:rsidP="00741DC5">
            <w:pPr>
              <w:rPr>
                <w:sz w:val="20"/>
                <w:szCs w:val="20"/>
              </w:rPr>
            </w:pPr>
            <w:r w:rsidRPr="0087076A">
              <w:rPr>
                <w:sz w:val="20"/>
                <w:szCs w:val="20"/>
              </w:rPr>
              <w:t>RE:</w:t>
            </w:r>
          </w:p>
        </w:tc>
        <w:tc>
          <w:tcPr>
            <w:tcW w:w="2970" w:type="dxa"/>
          </w:tcPr>
          <w:p w:rsidR="005B137C" w:rsidRPr="0087076A" w:rsidRDefault="005B137C" w:rsidP="00741DC5">
            <w:pPr>
              <w:rPr>
                <w:sz w:val="20"/>
                <w:szCs w:val="20"/>
              </w:rPr>
            </w:pPr>
            <w:r w:rsidRPr="0087076A">
              <w:rPr>
                <w:sz w:val="20"/>
                <w:szCs w:val="20"/>
              </w:rPr>
              <w:t>Her Majesty the Queen in right of British Columbia;</w:t>
            </w:r>
          </w:p>
        </w:tc>
        <w:tc>
          <w:tcPr>
            <w:tcW w:w="1170" w:type="dxa"/>
          </w:tcPr>
          <w:p w:rsidR="005B137C" w:rsidRPr="0087076A" w:rsidRDefault="005B137C" w:rsidP="00741DC5">
            <w:pPr>
              <w:rPr>
                <w:sz w:val="20"/>
                <w:szCs w:val="20"/>
              </w:rPr>
            </w:pPr>
          </w:p>
        </w:tc>
        <w:tc>
          <w:tcPr>
            <w:tcW w:w="4327" w:type="dxa"/>
          </w:tcPr>
          <w:p w:rsidR="005B137C" w:rsidRPr="0087076A" w:rsidRDefault="005B137C" w:rsidP="00741DC5">
            <w:pPr>
              <w:rPr>
                <w:sz w:val="20"/>
                <w:szCs w:val="20"/>
              </w:rPr>
            </w:pPr>
          </w:p>
        </w:tc>
      </w:tr>
      <w:tr w:rsidR="005B137C" w:rsidRPr="0087076A" w:rsidTr="00741DC5">
        <w:tc>
          <w:tcPr>
            <w:tcW w:w="1368" w:type="dxa"/>
          </w:tcPr>
          <w:p w:rsidR="005B137C" w:rsidRPr="0087076A" w:rsidRDefault="005B137C" w:rsidP="00741DC5">
            <w:pPr>
              <w:rPr>
                <w:sz w:val="20"/>
                <w:szCs w:val="20"/>
              </w:rPr>
            </w:pPr>
          </w:p>
        </w:tc>
        <w:tc>
          <w:tcPr>
            <w:tcW w:w="2970" w:type="dxa"/>
          </w:tcPr>
          <w:p w:rsidR="005B137C" w:rsidRPr="0087076A" w:rsidRDefault="005B137C" w:rsidP="00741DC5">
            <w:pPr>
              <w:rPr>
                <w:sz w:val="20"/>
                <w:szCs w:val="20"/>
              </w:rPr>
            </w:pPr>
            <w:r w:rsidRPr="0087076A">
              <w:rPr>
                <w:sz w:val="20"/>
                <w:szCs w:val="20"/>
              </w:rPr>
              <w:t>Friends of the Earth Canada</w:t>
            </w:r>
          </w:p>
        </w:tc>
        <w:tc>
          <w:tcPr>
            <w:tcW w:w="1170" w:type="dxa"/>
          </w:tcPr>
          <w:p w:rsidR="005B137C" w:rsidRPr="0087076A" w:rsidRDefault="005B137C" w:rsidP="00741DC5">
            <w:pPr>
              <w:rPr>
                <w:sz w:val="20"/>
                <w:szCs w:val="20"/>
              </w:rPr>
            </w:pPr>
          </w:p>
        </w:tc>
        <w:tc>
          <w:tcPr>
            <w:tcW w:w="4327" w:type="dxa"/>
          </w:tcPr>
          <w:p w:rsidR="005B137C" w:rsidRPr="0087076A" w:rsidRDefault="005B137C" w:rsidP="00741DC5">
            <w:pPr>
              <w:rPr>
                <w:sz w:val="20"/>
                <w:szCs w:val="20"/>
              </w:rPr>
            </w:pPr>
          </w:p>
        </w:tc>
      </w:tr>
      <w:tr w:rsidR="005B137C" w:rsidRPr="0087076A" w:rsidTr="00741DC5">
        <w:tc>
          <w:tcPr>
            <w:tcW w:w="1368" w:type="dxa"/>
          </w:tcPr>
          <w:p w:rsidR="005B137C" w:rsidRPr="0087076A" w:rsidRDefault="005B137C" w:rsidP="00741DC5">
            <w:pPr>
              <w:rPr>
                <w:sz w:val="20"/>
                <w:szCs w:val="20"/>
              </w:rPr>
            </w:pPr>
          </w:p>
        </w:tc>
        <w:tc>
          <w:tcPr>
            <w:tcW w:w="2970" w:type="dxa"/>
          </w:tcPr>
          <w:p w:rsidR="005B137C" w:rsidRPr="0087076A" w:rsidRDefault="005B137C" w:rsidP="00741DC5">
            <w:pPr>
              <w:rPr>
                <w:sz w:val="20"/>
                <w:szCs w:val="20"/>
              </w:rPr>
            </w:pPr>
          </w:p>
        </w:tc>
        <w:tc>
          <w:tcPr>
            <w:tcW w:w="1170" w:type="dxa"/>
          </w:tcPr>
          <w:p w:rsidR="005B137C" w:rsidRPr="0087076A" w:rsidRDefault="005B137C" w:rsidP="00741DC5">
            <w:pPr>
              <w:rPr>
                <w:sz w:val="20"/>
                <w:szCs w:val="20"/>
              </w:rPr>
            </w:pPr>
          </w:p>
        </w:tc>
        <w:tc>
          <w:tcPr>
            <w:tcW w:w="4327" w:type="dxa"/>
          </w:tcPr>
          <w:p w:rsidR="005B137C" w:rsidRPr="0087076A" w:rsidRDefault="005B137C" w:rsidP="00741DC5">
            <w:pPr>
              <w:rPr>
                <w:sz w:val="20"/>
                <w:szCs w:val="20"/>
              </w:rPr>
            </w:pPr>
          </w:p>
        </w:tc>
      </w:tr>
      <w:tr w:rsidR="005B137C" w:rsidRPr="0087076A" w:rsidTr="00741DC5">
        <w:tc>
          <w:tcPr>
            <w:tcW w:w="1368" w:type="dxa"/>
          </w:tcPr>
          <w:p w:rsidR="005B137C" w:rsidRPr="0087076A" w:rsidRDefault="005B137C" w:rsidP="00741DC5">
            <w:pPr>
              <w:rPr>
                <w:sz w:val="20"/>
                <w:szCs w:val="20"/>
              </w:rPr>
            </w:pPr>
            <w:r w:rsidRPr="0087076A">
              <w:rPr>
                <w:sz w:val="20"/>
                <w:szCs w:val="20"/>
              </w:rPr>
              <w:t>IN / DANS :</w:t>
            </w:r>
          </w:p>
        </w:tc>
        <w:tc>
          <w:tcPr>
            <w:tcW w:w="2970" w:type="dxa"/>
          </w:tcPr>
          <w:p w:rsidR="005B137C" w:rsidRPr="0087076A" w:rsidRDefault="005B137C" w:rsidP="00741DC5">
            <w:pPr>
              <w:rPr>
                <w:sz w:val="20"/>
                <w:szCs w:val="20"/>
              </w:rPr>
            </w:pPr>
            <w:r w:rsidRPr="0087076A">
              <w:rPr>
                <w:sz w:val="20"/>
                <w:szCs w:val="20"/>
              </w:rPr>
              <w:t>Her Majesty the Queen in Right of the Province of Newfoundland and Labrador</w:t>
            </w:r>
          </w:p>
          <w:p w:rsidR="005B137C" w:rsidRPr="0087076A" w:rsidRDefault="005B137C" w:rsidP="00741DC5">
            <w:pPr>
              <w:rPr>
                <w:sz w:val="20"/>
                <w:szCs w:val="20"/>
              </w:rPr>
            </w:pPr>
          </w:p>
        </w:tc>
        <w:tc>
          <w:tcPr>
            <w:tcW w:w="1170" w:type="dxa"/>
          </w:tcPr>
          <w:p w:rsidR="005B137C" w:rsidRPr="0087076A" w:rsidRDefault="005B137C" w:rsidP="00741DC5">
            <w:pPr>
              <w:rPr>
                <w:sz w:val="20"/>
                <w:szCs w:val="20"/>
              </w:rPr>
            </w:pPr>
          </w:p>
        </w:tc>
        <w:tc>
          <w:tcPr>
            <w:tcW w:w="4327" w:type="dxa"/>
          </w:tcPr>
          <w:p w:rsidR="005B137C" w:rsidRPr="0087076A" w:rsidRDefault="005B137C" w:rsidP="00741DC5">
            <w:pPr>
              <w:rPr>
                <w:sz w:val="20"/>
                <w:szCs w:val="20"/>
              </w:rPr>
            </w:pPr>
          </w:p>
        </w:tc>
      </w:tr>
      <w:tr w:rsidR="005B137C" w:rsidRPr="0087076A" w:rsidTr="00741DC5">
        <w:tc>
          <w:tcPr>
            <w:tcW w:w="1368" w:type="dxa"/>
          </w:tcPr>
          <w:p w:rsidR="005B137C" w:rsidRPr="0087076A" w:rsidRDefault="005B137C" w:rsidP="00741DC5">
            <w:pPr>
              <w:rPr>
                <w:sz w:val="20"/>
                <w:szCs w:val="20"/>
              </w:rPr>
            </w:pPr>
          </w:p>
        </w:tc>
        <w:tc>
          <w:tcPr>
            <w:tcW w:w="2970" w:type="dxa"/>
          </w:tcPr>
          <w:p w:rsidR="005B137C" w:rsidRPr="0087076A" w:rsidRDefault="005B137C" w:rsidP="00741DC5">
            <w:pPr>
              <w:rPr>
                <w:sz w:val="20"/>
                <w:szCs w:val="20"/>
              </w:rPr>
            </w:pPr>
            <w:r w:rsidRPr="0087076A">
              <w:rPr>
                <w:sz w:val="20"/>
                <w:szCs w:val="20"/>
              </w:rPr>
              <w:tab/>
              <w:t>v. (33797)</w:t>
            </w:r>
          </w:p>
          <w:p w:rsidR="005B137C" w:rsidRPr="0087076A" w:rsidRDefault="005B137C" w:rsidP="00741DC5">
            <w:pPr>
              <w:rPr>
                <w:sz w:val="20"/>
                <w:szCs w:val="20"/>
              </w:rPr>
            </w:pPr>
          </w:p>
        </w:tc>
        <w:tc>
          <w:tcPr>
            <w:tcW w:w="1170" w:type="dxa"/>
          </w:tcPr>
          <w:p w:rsidR="005B137C" w:rsidRPr="0087076A" w:rsidRDefault="005B137C" w:rsidP="00741DC5">
            <w:pPr>
              <w:rPr>
                <w:sz w:val="20"/>
                <w:szCs w:val="20"/>
              </w:rPr>
            </w:pPr>
          </w:p>
        </w:tc>
        <w:tc>
          <w:tcPr>
            <w:tcW w:w="4327" w:type="dxa"/>
          </w:tcPr>
          <w:p w:rsidR="005B137C" w:rsidRPr="0087076A" w:rsidRDefault="005B137C" w:rsidP="00741DC5">
            <w:pPr>
              <w:rPr>
                <w:sz w:val="20"/>
                <w:szCs w:val="20"/>
              </w:rPr>
            </w:pPr>
          </w:p>
        </w:tc>
      </w:tr>
      <w:tr w:rsidR="005B137C" w:rsidRPr="005B137C" w:rsidTr="00741DC5">
        <w:tc>
          <w:tcPr>
            <w:tcW w:w="1368" w:type="dxa"/>
          </w:tcPr>
          <w:p w:rsidR="005B137C" w:rsidRPr="0087076A" w:rsidRDefault="005B137C" w:rsidP="00741DC5">
            <w:pPr>
              <w:rPr>
                <w:sz w:val="20"/>
                <w:szCs w:val="20"/>
              </w:rPr>
            </w:pPr>
          </w:p>
        </w:tc>
        <w:tc>
          <w:tcPr>
            <w:tcW w:w="2970" w:type="dxa"/>
          </w:tcPr>
          <w:p w:rsidR="005B137C" w:rsidRPr="0087076A" w:rsidRDefault="005B137C" w:rsidP="00741DC5">
            <w:pPr>
              <w:jc w:val="both"/>
              <w:rPr>
                <w:sz w:val="20"/>
                <w:szCs w:val="20"/>
                <w:lang w:val="fr-CA"/>
              </w:rPr>
            </w:pPr>
            <w:r w:rsidRPr="0087076A">
              <w:rPr>
                <w:sz w:val="20"/>
                <w:szCs w:val="20"/>
                <w:lang w:val="fr-CA"/>
              </w:rPr>
              <w:t>Abitibibowater Inc. et al. (Que.)</w:t>
            </w:r>
          </w:p>
        </w:tc>
        <w:tc>
          <w:tcPr>
            <w:tcW w:w="1170" w:type="dxa"/>
          </w:tcPr>
          <w:p w:rsidR="005B137C" w:rsidRPr="0087076A" w:rsidRDefault="005B137C" w:rsidP="00741DC5">
            <w:pPr>
              <w:rPr>
                <w:sz w:val="20"/>
                <w:szCs w:val="20"/>
                <w:lang w:val="fr-CA"/>
              </w:rPr>
            </w:pPr>
          </w:p>
        </w:tc>
        <w:tc>
          <w:tcPr>
            <w:tcW w:w="4327" w:type="dxa"/>
          </w:tcPr>
          <w:p w:rsidR="005B137C" w:rsidRPr="0087076A" w:rsidRDefault="005B137C" w:rsidP="00741DC5">
            <w:pPr>
              <w:rPr>
                <w:sz w:val="20"/>
                <w:szCs w:val="20"/>
                <w:lang w:val="fr-CA"/>
              </w:rPr>
            </w:pPr>
          </w:p>
        </w:tc>
      </w:tr>
    </w:tbl>
    <w:p w:rsidR="005B137C" w:rsidRPr="0087076A" w:rsidRDefault="005B137C" w:rsidP="005B137C">
      <w:pPr>
        <w:tabs>
          <w:tab w:val="left" w:pos="-1440"/>
          <w:tab w:val="left" w:pos="-720"/>
        </w:tabs>
        <w:jc w:val="both"/>
        <w:rPr>
          <w:sz w:val="20"/>
          <w:szCs w:val="20"/>
          <w:lang w:val="fr-CA"/>
        </w:rPr>
      </w:pPr>
    </w:p>
    <w:p w:rsidR="005B137C" w:rsidRPr="0087076A" w:rsidRDefault="00460701" w:rsidP="005B137C">
      <w:pPr>
        <w:jc w:val="both"/>
        <w:rPr>
          <w:sz w:val="20"/>
          <w:szCs w:val="20"/>
        </w:rPr>
      </w:pPr>
      <w:r w:rsidRPr="0087076A">
        <w:rPr>
          <w:sz w:val="20"/>
          <w:szCs w:val="20"/>
        </w:rPr>
        <w:fldChar w:fldCharType="begin"/>
      </w:r>
      <w:r w:rsidR="005B137C" w:rsidRPr="0087076A">
        <w:rPr>
          <w:sz w:val="20"/>
          <w:szCs w:val="20"/>
        </w:rPr>
        <w:instrText xml:space="preserve"> SEQ CHAPTER \h \r 1</w:instrText>
      </w:r>
      <w:r w:rsidRPr="0087076A">
        <w:rPr>
          <w:sz w:val="20"/>
          <w:szCs w:val="20"/>
        </w:rPr>
        <w:fldChar w:fldCharType="end"/>
      </w:r>
      <w:r w:rsidR="005B137C" w:rsidRPr="0087076A">
        <w:rPr>
          <w:b/>
          <w:bCs/>
          <w:sz w:val="20"/>
          <w:szCs w:val="20"/>
        </w:rPr>
        <w:t>FURTHER TO THE ORDER</w:t>
      </w:r>
      <w:r w:rsidR="005B137C" w:rsidRPr="0087076A">
        <w:rPr>
          <w:sz w:val="20"/>
          <w:szCs w:val="20"/>
        </w:rPr>
        <w:t xml:space="preserve"> dated August 8, 2011, granting leave to intervene to Her Majesty the Queen in right of British Columbia and the Friends of the Earth Canada;</w:t>
      </w:r>
    </w:p>
    <w:p w:rsidR="005B137C" w:rsidRPr="0087076A" w:rsidRDefault="005B137C" w:rsidP="005B137C">
      <w:pPr>
        <w:jc w:val="both"/>
        <w:rPr>
          <w:sz w:val="20"/>
          <w:szCs w:val="20"/>
        </w:rPr>
      </w:pPr>
    </w:p>
    <w:p w:rsidR="005B137C" w:rsidRPr="0087076A" w:rsidRDefault="005B137C" w:rsidP="005B137C">
      <w:pPr>
        <w:spacing w:line="233" w:lineRule="auto"/>
        <w:jc w:val="both"/>
        <w:rPr>
          <w:sz w:val="20"/>
          <w:szCs w:val="20"/>
        </w:rPr>
      </w:pPr>
      <w:r w:rsidRPr="0087076A">
        <w:rPr>
          <w:b/>
          <w:bCs/>
          <w:sz w:val="20"/>
          <w:szCs w:val="20"/>
        </w:rPr>
        <w:t xml:space="preserve">IT IS HEREBY FURTHER ORDERED THAT </w:t>
      </w:r>
      <w:r w:rsidRPr="0087076A">
        <w:rPr>
          <w:sz w:val="20"/>
          <w:szCs w:val="20"/>
        </w:rPr>
        <w:t>the interveners are granted permission to present oral argument not exceeding ten (10) minutes at the hearing of this appeal.</w:t>
      </w:r>
    </w:p>
    <w:p w:rsidR="005B137C" w:rsidRPr="0087076A" w:rsidRDefault="005B137C" w:rsidP="005B137C">
      <w:pPr>
        <w:tabs>
          <w:tab w:val="left" w:pos="-1440"/>
          <w:tab w:val="left" w:pos="-720"/>
        </w:tabs>
        <w:jc w:val="both"/>
        <w:rPr>
          <w:sz w:val="20"/>
          <w:szCs w:val="20"/>
        </w:rPr>
      </w:pPr>
    </w:p>
    <w:p w:rsidR="005B137C" w:rsidRPr="0087076A" w:rsidRDefault="005B137C" w:rsidP="005B137C">
      <w:pPr>
        <w:tabs>
          <w:tab w:val="left" w:pos="-1440"/>
          <w:tab w:val="left" w:pos="-720"/>
        </w:tabs>
        <w:jc w:val="both"/>
        <w:rPr>
          <w:sz w:val="20"/>
          <w:szCs w:val="20"/>
        </w:rPr>
      </w:pPr>
    </w:p>
    <w:p w:rsidR="005B137C" w:rsidRPr="0087076A" w:rsidRDefault="005B137C" w:rsidP="005B137C">
      <w:pPr>
        <w:tabs>
          <w:tab w:val="left" w:pos="-1440"/>
          <w:tab w:val="left" w:pos="-720"/>
        </w:tabs>
        <w:jc w:val="both"/>
        <w:rPr>
          <w:sz w:val="20"/>
          <w:szCs w:val="20"/>
        </w:rPr>
      </w:pPr>
    </w:p>
    <w:p w:rsidR="005B137C" w:rsidRPr="0087076A" w:rsidRDefault="005B137C" w:rsidP="005B137C">
      <w:pPr>
        <w:jc w:val="both"/>
        <w:rPr>
          <w:sz w:val="20"/>
          <w:szCs w:val="20"/>
          <w:lang w:val="fr-CA"/>
        </w:rPr>
      </w:pPr>
      <w:r w:rsidRPr="0087076A">
        <w:rPr>
          <w:b/>
          <w:sz w:val="20"/>
          <w:szCs w:val="20"/>
          <w:lang w:val="fr-CA"/>
        </w:rPr>
        <w:t>À LA SUITE DE L’ORDONNANCE</w:t>
      </w:r>
      <w:r w:rsidRPr="0087076A">
        <w:rPr>
          <w:sz w:val="20"/>
          <w:szCs w:val="20"/>
          <w:lang w:val="fr-CA"/>
        </w:rPr>
        <w:t xml:space="preserve"> datée du 8 août 2011, autorisant Sa Majesté la Reine du chef de la Colombie-Britannique et les Ami(e)s de la Terre Canada à intervenir; </w:t>
      </w:r>
      <w:r w:rsidR="00460701" w:rsidRPr="0087076A">
        <w:rPr>
          <w:sz w:val="20"/>
          <w:szCs w:val="20"/>
        </w:rPr>
        <w:fldChar w:fldCharType="begin"/>
      </w:r>
      <w:r w:rsidRPr="0087076A">
        <w:rPr>
          <w:sz w:val="20"/>
          <w:szCs w:val="20"/>
          <w:lang w:val="fr-CA"/>
        </w:rPr>
        <w:instrText xml:space="preserve"> SEQ CHAPTER \h \r 1</w:instrText>
      </w:r>
      <w:r w:rsidR="00460701" w:rsidRPr="0087076A">
        <w:rPr>
          <w:sz w:val="20"/>
          <w:szCs w:val="20"/>
        </w:rPr>
        <w:fldChar w:fldCharType="end"/>
      </w:r>
    </w:p>
    <w:p w:rsidR="005B137C" w:rsidRPr="0087076A" w:rsidRDefault="005B137C" w:rsidP="005B137C">
      <w:pPr>
        <w:jc w:val="both"/>
        <w:rPr>
          <w:sz w:val="20"/>
          <w:szCs w:val="20"/>
          <w:lang w:val="fr-CA"/>
        </w:rPr>
      </w:pPr>
    </w:p>
    <w:p w:rsidR="005B137C" w:rsidRPr="0087076A" w:rsidRDefault="005B137C" w:rsidP="005B137C">
      <w:pPr>
        <w:tabs>
          <w:tab w:val="left" w:pos="-1440"/>
          <w:tab w:val="left" w:pos="-720"/>
        </w:tabs>
        <w:jc w:val="both"/>
        <w:rPr>
          <w:sz w:val="20"/>
          <w:szCs w:val="20"/>
          <w:lang w:val="fr-CA"/>
        </w:rPr>
      </w:pPr>
      <w:r w:rsidRPr="0087076A">
        <w:rPr>
          <w:b/>
          <w:bCs/>
          <w:sz w:val="20"/>
          <w:szCs w:val="20"/>
          <w:lang w:val="fr-CA"/>
        </w:rPr>
        <w:t xml:space="preserve">IL EST EN OUTRE ORDONNÉ QUE </w:t>
      </w:r>
      <w:r w:rsidRPr="0087076A">
        <w:rPr>
          <w:sz w:val="20"/>
          <w:szCs w:val="20"/>
          <w:lang w:val="fr-CA"/>
        </w:rPr>
        <w:t>ces intervenantes pourront présenter une plaidoirie orale d’au plus dix (10) minutes lors de l’audition de l’appel.</w:t>
      </w:r>
    </w:p>
    <w:p w:rsidR="005B137C" w:rsidRPr="0087076A" w:rsidRDefault="005B137C" w:rsidP="005B137C">
      <w:pPr>
        <w:tabs>
          <w:tab w:val="left" w:pos="-1440"/>
          <w:tab w:val="left" w:pos="-720"/>
        </w:tabs>
        <w:jc w:val="both"/>
        <w:rPr>
          <w:sz w:val="20"/>
          <w:szCs w:val="20"/>
          <w:lang w:val="fr-CA"/>
        </w:rPr>
      </w:pPr>
    </w:p>
    <w:p w:rsidR="005B137C" w:rsidRPr="0087076A" w:rsidRDefault="00460701" w:rsidP="005B137C">
      <w:pPr>
        <w:tabs>
          <w:tab w:val="left" w:pos="-1440"/>
          <w:tab w:val="left" w:pos="-720"/>
        </w:tabs>
        <w:jc w:val="both"/>
        <w:rPr>
          <w:sz w:val="20"/>
          <w:szCs w:val="20"/>
        </w:rPr>
      </w:pPr>
      <w:r w:rsidRPr="00460701">
        <w:rPr>
          <w:sz w:val="20"/>
          <w:szCs w:val="20"/>
          <w:lang w:val="fr-CA"/>
        </w:rPr>
        <w:pict>
          <v:rect id="_x0000_i1064" style="width:2in;height:1pt" o:hrpct="0" o:hralign="center" o:hrstd="t" o:hrnoshade="t" o:hr="t" fillcolor="black [3213]" stroked="f"/>
        </w:pict>
      </w:r>
    </w:p>
    <w:p w:rsidR="005B137C" w:rsidRPr="0087076A" w:rsidRDefault="005B137C" w:rsidP="005B137C">
      <w:pPr>
        <w:tabs>
          <w:tab w:val="left" w:pos="-1440"/>
          <w:tab w:val="left" w:pos="-720"/>
        </w:tabs>
        <w:jc w:val="both"/>
        <w:rPr>
          <w:sz w:val="20"/>
          <w:szCs w:val="20"/>
        </w:rPr>
      </w:pPr>
    </w:p>
    <w:p w:rsidR="005B137C" w:rsidRPr="0087076A" w:rsidRDefault="005B137C" w:rsidP="005B137C">
      <w:pPr>
        <w:tabs>
          <w:tab w:val="left" w:pos="-1440"/>
          <w:tab w:val="left" w:pos="-720"/>
        </w:tabs>
        <w:jc w:val="both"/>
        <w:rPr>
          <w:sz w:val="20"/>
          <w:szCs w:val="20"/>
        </w:rPr>
      </w:pPr>
      <w:r w:rsidRPr="0087076A">
        <w:rPr>
          <w:sz w:val="20"/>
          <w:szCs w:val="20"/>
        </w:rPr>
        <w:t>18.10.2011</w:t>
      </w:r>
    </w:p>
    <w:p w:rsidR="005B137C" w:rsidRPr="0087076A" w:rsidRDefault="005B137C" w:rsidP="005B137C">
      <w:pPr>
        <w:tabs>
          <w:tab w:val="left" w:pos="-1440"/>
          <w:tab w:val="left" w:pos="-720"/>
        </w:tabs>
        <w:jc w:val="both"/>
        <w:rPr>
          <w:sz w:val="20"/>
          <w:szCs w:val="20"/>
        </w:rPr>
      </w:pPr>
    </w:p>
    <w:p w:rsidR="005B137C" w:rsidRPr="0087076A" w:rsidRDefault="005B137C" w:rsidP="005B137C">
      <w:pPr>
        <w:jc w:val="both"/>
        <w:rPr>
          <w:sz w:val="20"/>
          <w:szCs w:val="20"/>
        </w:rPr>
      </w:pPr>
      <w:r w:rsidRPr="0087076A">
        <w:rPr>
          <w:sz w:val="20"/>
          <w:szCs w:val="20"/>
        </w:rPr>
        <w:t>Before / Devant:   THE REGISTRAR / LE REGISTRAIRE</w:t>
      </w:r>
    </w:p>
    <w:p w:rsidR="005B137C" w:rsidRPr="0087076A" w:rsidRDefault="005B137C" w:rsidP="005B137C">
      <w:pPr>
        <w:jc w:val="both"/>
        <w:rPr>
          <w:sz w:val="20"/>
          <w:szCs w:val="20"/>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1170"/>
        <w:gridCol w:w="4327"/>
      </w:tblGrid>
      <w:tr w:rsidR="005B137C" w:rsidRPr="005B137C" w:rsidTr="00741DC5">
        <w:trPr>
          <w:trHeight w:val="151"/>
        </w:trPr>
        <w:tc>
          <w:tcPr>
            <w:tcW w:w="4338" w:type="dxa"/>
          </w:tcPr>
          <w:p w:rsidR="005B137C" w:rsidRPr="0087076A" w:rsidRDefault="00460701" w:rsidP="00741DC5">
            <w:pPr>
              <w:tabs>
                <w:tab w:val="left" w:pos="-1440"/>
                <w:tab w:val="left" w:pos="-720"/>
              </w:tabs>
              <w:jc w:val="both"/>
              <w:rPr>
                <w:sz w:val="20"/>
                <w:szCs w:val="20"/>
              </w:rPr>
            </w:pPr>
            <w:r w:rsidRPr="0087076A">
              <w:rPr>
                <w:sz w:val="20"/>
                <w:szCs w:val="20"/>
              </w:rPr>
              <w:fldChar w:fldCharType="begin"/>
            </w:r>
            <w:r w:rsidR="005B137C" w:rsidRPr="0087076A">
              <w:rPr>
                <w:sz w:val="20"/>
                <w:szCs w:val="20"/>
              </w:rPr>
              <w:instrText xml:space="preserve"> SEQ CHAPTER \h \r 1</w:instrText>
            </w:r>
            <w:r w:rsidRPr="0087076A">
              <w:rPr>
                <w:sz w:val="20"/>
                <w:szCs w:val="20"/>
              </w:rPr>
              <w:fldChar w:fldCharType="end"/>
            </w:r>
            <w:r w:rsidRPr="0087076A">
              <w:rPr>
                <w:sz w:val="20"/>
                <w:szCs w:val="20"/>
              </w:rPr>
              <w:fldChar w:fldCharType="begin"/>
            </w:r>
            <w:r w:rsidR="005B137C" w:rsidRPr="0087076A">
              <w:rPr>
                <w:sz w:val="20"/>
                <w:szCs w:val="20"/>
              </w:rPr>
              <w:instrText xml:space="preserve"> SEQ CHAPTER \h \r 1</w:instrText>
            </w:r>
            <w:r w:rsidRPr="0087076A">
              <w:rPr>
                <w:sz w:val="20"/>
                <w:szCs w:val="20"/>
              </w:rPr>
              <w:fldChar w:fldCharType="end"/>
            </w:r>
            <w:r w:rsidR="005B137C" w:rsidRPr="0087076A">
              <w:rPr>
                <w:b/>
                <w:bCs/>
                <w:sz w:val="20"/>
                <w:szCs w:val="20"/>
              </w:rPr>
              <w:t>Motion to permit the applicant to file a single joint application for leave to appeal</w:t>
            </w:r>
          </w:p>
        </w:tc>
        <w:tc>
          <w:tcPr>
            <w:tcW w:w="1170" w:type="dxa"/>
          </w:tcPr>
          <w:p w:rsidR="005B137C" w:rsidRPr="0087076A" w:rsidRDefault="005B137C" w:rsidP="00741DC5">
            <w:pPr>
              <w:jc w:val="both"/>
              <w:rPr>
                <w:sz w:val="20"/>
                <w:szCs w:val="20"/>
              </w:rPr>
            </w:pPr>
          </w:p>
          <w:p w:rsidR="005B137C" w:rsidRPr="0087076A" w:rsidRDefault="005B137C" w:rsidP="00741DC5">
            <w:pPr>
              <w:jc w:val="both"/>
              <w:rPr>
                <w:sz w:val="20"/>
                <w:szCs w:val="20"/>
              </w:rPr>
            </w:pPr>
          </w:p>
          <w:p w:rsidR="005B137C" w:rsidRPr="0087076A" w:rsidRDefault="005B137C" w:rsidP="00741DC5">
            <w:pPr>
              <w:jc w:val="both"/>
              <w:rPr>
                <w:sz w:val="20"/>
                <w:szCs w:val="20"/>
              </w:rPr>
            </w:pPr>
          </w:p>
        </w:tc>
        <w:tc>
          <w:tcPr>
            <w:tcW w:w="4327" w:type="dxa"/>
          </w:tcPr>
          <w:p w:rsidR="005B137C" w:rsidRPr="0087076A" w:rsidRDefault="00460701" w:rsidP="00741DC5">
            <w:pPr>
              <w:jc w:val="both"/>
              <w:rPr>
                <w:b/>
                <w:sz w:val="20"/>
                <w:szCs w:val="20"/>
                <w:lang w:val="fr-CA"/>
              </w:rPr>
            </w:pPr>
            <w:r w:rsidRPr="0087076A">
              <w:rPr>
                <w:sz w:val="20"/>
                <w:szCs w:val="20"/>
              </w:rPr>
              <w:fldChar w:fldCharType="begin"/>
            </w:r>
            <w:r w:rsidR="005B137C" w:rsidRPr="0087076A">
              <w:rPr>
                <w:sz w:val="20"/>
                <w:szCs w:val="20"/>
                <w:lang w:val="fr-CA"/>
              </w:rPr>
              <w:instrText xml:space="preserve"> SEQ CHAPTER \h \r 1</w:instrText>
            </w:r>
            <w:r w:rsidRPr="0087076A">
              <w:rPr>
                <w:sz w:val="20"/>
                <w:szCs w:val="20"/>
              </w:rPr>
              <w:fldChar w:fldCharType="end"/>
            </w:r>
            <w:r w:rsidR="005B137C" w:rsidRPr="0087076A">
              <w:rPr>
                <w:b/>
                <w:bCs/>
                <w:sz w:val="20"/>
                <w:szCs w:val="20"/>
                <w:lang w:val="fr-CA"/>
              </w:rPr>
              <w:t>Requête de la demanderesse en vue de présenter une demande d’autorisation</w:t>
            </w:r>
            <w:r w:rsidRPr="0087076A">
              <w:rPr>
                <w:b/>
                <w:sz w:val="20"/>
                <w:szCs w:val="20"/>
              </w:rPr>
              <w:fldChar w:fldCharType="begin"/>
            </w:r>
            <w:r w:rsidR="005B137C" w:rsidRPr="0087076A">
              <w:rPr>
                <w:b/>
                <w:sz w:val="20"/>
                <w:szCs w:val="20"/>
                <w:lang w:val="fr-CA"/>
              </w:rPr>
              <w:instrText xml:space="preserve"> SEQ CHAPTER \h \r 1</w:instrText>
            </w:r>
            <w:r w:rsidRPr="0087076A">
              <w:rPr>
                <w:b/>
                <w:sz w:val="20"/>
                <w:szCs w:val="20"/>
              </w:rPr>
              <w:fldChar w:fldCharType="end"/>
            </w:r>
            <w:r w:rsidRPr="0087076A">
              <w:rPr>
                <w:b/>
                <w:sz w:val="20"/>
                <w:szCs w:val="20"/>
              </w:rPr>
              <w:fldChar w:fldCharType="begin"/>
            </w:r>
            <w:r w:rsidR="005B137C" w:rsidRPr="0087076A">
              <w:rPr>
                <w:b/>
                <w:sz w:val="20"/>
                <w:szCs w:val="20"/>
                <w:lang w:val="fr-CA"/>
              </w:rPr>
              <w:instrText xml:space="preserve"> SEQ CHAPTER \h \r 1</w:instrText>
            </w:r>
            <w:r w:rsidRPr="0087076A">
              <w:rPr>
                <w:b/>
                <w:sz w:val="20"/>
                <w:szCs w:val="20"/>
              </w:rPr>
              <w:fldChar w:fldCharType="end"/>
            </w:r>
            <w:r w:rsidRPr="0087076A">
              <w:rPr>
                <w:b/>
                <w:sz w:val="20"/>
                <w:szCs w:val="20"/>
              </w:rPr>
              <w:fldChar w:fldCharType="begin"/>
            </w:r>
            <w:r w:rsidR="005B137C" w:rsidRPr="0087076A">
              <w:rPr>
                <w:b/>
                <w:sz w:val="20"/>
                <w:szCs w:val="20"/>
                <w:lang w:val="fr-CA"/>
              </w:rPr>
              <w:instrText xml:space="preserve"> SEQ CHAPTER \h \r 1</w:instrText>
            </w:r>
            <w:r w:rsidRPr="0087076A">
              <w:rPr>
                <w:b/>
                <w:sz w:val="20"/>
                <w:szCs w:val="20"/>
              </w:rPr>
              <w:fldChar w:fldCharType="end"/>
            </w:r>
          </w:p>
        </w:tc>
      </w:tr>
      <w:tr w:rsidR="005B137C" w:rsidRPr="0087076A" w:rsidTr="00741DC5">
        <w:trPr>
          <w:trHeight w:val="150"/>
        </w:trPr>
        <w:tc>
          <w:tcPr>
            <w:tcW w:w="4338" w:type="dxa"/>
          </w:tcPr>
          <w:p w:rsidR="005B137C" w:rsidRPr="0087076A" w:rsidRDefault="005B137C" w:rsidP="00741DC5">
            <w:pPr>
              <w:tabs>
                <w:tab w:val="left" w:pos="-1440"/>
                <w:tab w:val="left" w:pos="-720"/>
              </w:tabs>
              <w:jc w:val="both"/>
              <w:rPr>
                <w:sz w:val="20"/>
                <w:szCs w:val="20"/>
                <w:lang w:val="fr-CA"/>
              </w:rPr>
            </w:pPr>
            <w:r w:rsidRPr="0087076A">
              <w:rPr>
                <w:sz w:val="20"/>
                <w:szCs w:val="20"/>
                <w:lang w:val="fr-CA"/>
              </w:rPr>
              <w:t>Public Mobile</w:t>
            </w:r>
          </w:p>
          <w:p w:rsidR="005B137C" w:rsidRPr="0087076A" w:rsidRDefault="005B137C" w:rsidP="00741DC5">
            <w:pPr>
              <w:tabs>
                <w:tab w:val="left" w:pos="-1440"/>
                <w:tab w:val="left" w:pos="-720"/>
              </w:tabs>
              <w:jc w:val="both"/>
              <w:rPr>
                <w:sz w:val="20"/>
                <w:szCs w:val="20"/>
                <w:lang w:val="fr-CA"/>
              </w:rPr>
            </w:pPr>
          </w:p>
          <w:p w:rsidR="005B137C" w:rsidRPr="0087076A" w:rsidRDefault="005B137C" w:rsidP="00741DC5">
            <w:pPr>
              <w:tabs>
                <w:tab w:val="left" w:pos="-1440"/>
                <w:tab w:val="left" w:pos="-720"/>
              </w:tabs>
              <w:jc w:val="both"/>
              <w:rPr>
                <w:sz w:val="20"/>
                <w:szCs w:val="20"/>
                <w:lang w:val="fr-CA"/>
              </w:rPr>
            </w:pPr>
            <w:r w:rsidRPr="0087076A">
              <w:rPr>
                <w:sz w:val="20"/>
                <w:szCs w:val="20"/>
                <w:lang w:val="fr-CA"/>
              </w:rPr>
              <w:tab/>
              <w:t>v. (34418)</w:t>
            </w:r>
          </w:p>
          <w:p w:rsidR="005B137C" w:rsidRPr="0087076A" w:rsidRDefault="005B137C" w:rsidP="00741DC5">
            <w:pPr>
              <w:tabs>
                <w:tab w:val="left" w:pos="-1440"/>
                <w:tab w:val="left" w:pos="-720"/>
              </w:tabs>
              <w:jc w:val="both"/>
              <w:rPr>
                <w:sz w:val="20"/>
                <w:szCs w:val="20"/>
                <w:lang w:val="fr-CA"/>
              </w:rPr>
            </w:pPr>
          </w:p>
          <w:p w:rsidR="005B137C" w:rsidRPr="0087076A" w:rsidRDefault="005B137C" w:rsidP="00741DC5">
            <w:pPr>
              <w:tabs>
                <w:tab w:val="left" w:pos="-1440"/>
                <w:tab w:val="left" w:pos="-720"/>
              </w:tabs>
              <w:jc w:val="both"/>
              <w:rPr>
                <w:sz w:val="20"/>
                <w:szCs w:val="20"/>
                <w:lang w:val="fr-CA"/>
              </w:rPr>
            </w:pPr>
            <w:r w:rsidRPr="0087076A">
              <w:rPr>
                <w:sz w:val="20"/>
                <w:szCs w:val="20"/>
                <w:lang w:val="fr-CA"/>
              </w:rPr>
              <w:t>Globalive Wireless Management Corp. et al. (F.C.)</w:t>
            </w:r>
          </w:p>
        </w:tc>
        <w:tc>
          <w:tcPr>
            <w:tcW w:w="1170" w:type="dxa"/>
          </w:tcPr>
          <w:p w:rsidR="005B137C" w:rsidRPr="0087076A" w:rsidRDefault="005B137C" w:rsidP="00741DC5">
            <w:pPr>
              <w:jc w:val="both"/>
              <w:rPr>
                <w:sz w:val="20"/>
                <w:szCs w:val="20"/>
                <w:lang w:val="fr-CA"/>
              </w:rPr>
            </w:pPr>
          </w:p>
        </w:tc>
        <w:tc>
          <w:tcPr>
            <w:tcW w:w="4327" w:type="dxa"/>
          </w:tcPr>
          <w:p w:rsidR="005B137C" w:rsidRPr="0087076A" w:rsidRDefault="005B137C" w:rsidP="00741DC5">
            <w:pPr>
              <w:jc w:val="both"/>
              <w:rPr>
                <w:sz w:val="20"/>
                <w:szCs w:val="20"/>
                <w:lang w:val="fr-CA"/>
              </w:rPr>
            </w:pPr>
          </w:p>
        </w:tc>
      </w:tr>
    </w:tbl>
    <w:p w:rsidR="005B137C" w:rsidRPr="0087076A" w:rsidRDefault="005B137C" w:rsidP="005B137C">
      <w:pPr>
        <w:tabs>
          <w:tab w:val="left" w:pos="-1440"/>
          <w:tab w:val="left" w:pos="-720"/>
        </w:tabs>
        <w:jc w:val="both"/>
        <w:rPr>
          <w:sz w:val="20"/>
          <w:szCs w:val="20"/>
          <w:lang w:val="fr-CA"/>
        </w:rPr>
      </w:pPr>
    </w:p>
    <w:p w:rsidR="005B137C" w:rsidRPr="0087076A" w:rsidRDefault="005B137C" w:rsidP="005B137C">
      <w:pPr>
        <w:tabs>
          <w:tab w:val="left" w:pos="-1440"/>
          <w:tab w:val="left" w:pos="-720"/>
        </w:tabs>
        <w:jc w:val="both"/>
        <w:rPr>
          <w:sz w:val="20"/>
          <w:szCs w:val="20"/>
          <w:lang w:val="fr-CA"/>
        </w:rPr>
      </w:pPr>
      <w:r w:rsidRPr="0087076A">
        <w:rPr>
          <w:b/>
          <w:sz w:val="20"/>
          <w:szCs w:val="20"/>
          <w:lang w:val="fr-CA"/>
        </w:rPr>
        <w:t>GRANTED / ACCORDÉE</w:t>
      </w:r>
    </w:p>
    <w:p w:rsidR="005B137C" w:rsidRPr="0087076A" w:rsidRDefault="005B137C" w:rsidP="005B137C">
      <w:pPr>
        <w:tabs>
          <w:tab w:val="left" w:pos="-1440"/>
          <w:tab w:val="left" w:pos="-720"/>
        </w:tabs>
        <w:jc w:val="both"/>
        <w:rPr>
          <w:sz w:val="20"/>
          <w:szCs w:val="20"/>
          <w:lang w:val="fr-CA"/>
        </w:rPr>
      </w:pPr>
    </w:p>
    <w:p w:rsidR="005B137C" w:rsidRPr="0087076A" w:rsidRDefault="005B137C" w:rsidP="005B137C">
      <w:pPr>
        <w:jc w:val="both"/>
        <w:rPr>
          <w:sz w:val="20"/>
          <w:szCs w:val="20"/>
        </w:rPr>
      </w:pPr>
      <w:r w:rsidRPr="0087076A">
        <w:rPr>
          <w:b/>
          <w:bCs/>
          <w:sz w:val="20"/>
          <w:szCs w:val="20"/>
        </w:rPr>
        <w:t>UPON APPLICATION</w:t>
      </w:r>
      <w:r w:rsidRPr="0087076A">
        <w:rPr>
          <w:sz w:val="20"/>
          <w:szCs w:val="20"/>
        </w:rPr>
        <w:t xml:space="preserve"> by the applicant for an order allowing the applicant to file a single joint application for leave to appeal from two judgments of the Federal Court of Appeal File Numbers A-78-11 and A-79-11;</w:t>
      </w:r>
    </w:p>
    <w:p w:rsidR="005B137C" w:rsidRPr="0087076A" w:rsidRDefault="005B137C" w:rsidP="005B137C">
      <w:pPr>
        <w:rPr>
          <w:b/>
          <w:bCs/>
          <w:sz w:val="20"/>
          <w:szCs w:val="20"/>
        </w:rPr>
      </w:pPr>
    </w:p>
    <w:p w:rsidR="005B137C" w:rsidRPr="0087076A" w:rsidRDefault="005B137C" w:rsidP="005B137C">
      <w:pPr>
        <w:rPr>
          <w:sz w:val="20"/>
          <w:szCs w:val="20"/>
        </w:rPr>
      </w:pPr>
      <w:r w:rsidRPr="0087076A">
        <w:rPr>
          <w:b/>
          <w:bCs/>
          <w:sz w:val="20"/>
          <w:szCs w:val="20"/>
        </w:rPr>
        <w:t>AND HAVING READ</w:t>
      </w:r>
      <w:r w:rsidRPr="0087076A">
        <w:rPr>
          <w:sz w:val="20"/>
          <w:szCs w:val="20"/>
        </w:rPr>
        <w:t xml:space="preserve"> the material filed;</w:t>
      </w:r>
    </w:p>
    <w:p w:rsidR="005B137C" w:rsidRPr="0087076A" w:rsidRDefault="005B137C" w:rsidP="005B137C">
      <w:pPr>
        <w:rPr>
          <w:sz w:val="20"/>
          <w:szCs w:val="20"/>
        </w:rPr>
      </w:pPr>
    </w:p>
    <w:p w:rsidR="005B137C" w:rsidRPr="0087076A" w:rsidRDefault="005B137C" w:rsidP="005B137C">
      <w:pPr>
        <w:rPr>
          <w:b/>
          <w:bCs/>
          <w:sz w:val="20"/>
          <w:szCs w:val="20"/>
        </w:rPr>
      </w:pPr>
      <w:r w:rsidRPr="0087076A">
        <w:rPr>
          <w:b/>
          <w:bCs/>
          <w:sz w:val="20"/>
          <w:szCs w:val="20"/>
        </w:rPr>
        <w:lastRenderedPageBreak/>
        <w:t>IT IS HEREBY ORDERED THAT:</w:t>
      </w:r>
    </w:p>
    <w:p w:rsidR="005B137C" w:rsidRPr="0087076A" w:rsidRDefault="005B137C" w:rsidP="005B137C">
      <w:pPr>
        <w:rPr>
          <w:b/>
          <w:bCs/>
          <w:sz w:val="20"/>
          <w:szCs w:val="20"/>
        </w:rPr>
      </w:pPr>
    </w:p>
    <w:p w:rsidR="005B137C" w:rsidRPr="0087076A" w:rsidRDefault="005B137C" w:rsidP="005B137C">
      <w:pPr>
        <w:ind w:left="360"/>
        <w:rPr>
          <w:bCs/>
          <w:sz w:val="20"/>
          <w:szCs w:val="20"/>
          <w:lang w:val="fr-CA"/>
        </w:rPr>
      </w:pPr>
      <w:r w:rsidRPr="0087076A">
        <w:rPr>
          <w:bCs/>
          <w:sz w:val="20"/>
          <w:szCs w:val="20"/>
          <w:lang w:val="fr-CA"/>
        </w:rPr>
        <w:t>The motion is granted</w:t>
      </w:r>
    </w:p>
    <w:p w:rsidR="005B137C" w:rsidRPr="0087076A" w:rsidRDefault="005B137C" w:rsidP="005B137C">
      <w:pPr>
        <w:tabs>
          <w:tab w:val="left" w:pos="-1440"/>
          <w:tab w:val="left" w:pos="-720"/>
        </w:tabs>
        <w:jc w:val="both"/>
        <w:rPr>
          <w:sz w:val="20"/>
          <w:szCs w:val="20"/>
          <w:lang w:val="fr-CA"/>
        </w:rPr>
      </w:pPr>
    </w:p>
    <w:p w:rsidR="005B137C" w:rsidRPr="0087076A" w:rsidRDefault="005B137C" w:rsidP="005B137C">
      <w:pPr>
        <w:tabs>
          <w:tab w:val="left" w:pos="-1440"/>
          <w:tab w:val="left" w:pos="-720"/>
        </w:tabs>
        <w:jc w:val="both"/>
        <w:rPr>
          <w:sz w:val="20"/>
          <w:szCs w:val="20"/>
          <w:lang w:val="fr-CA"/>
        </w:rPr>
      </w:pPr>
    </w:p>
    <w:p w:rsidR="005B137C" w:rsidRPr="0087076A" w:rsidRDefault="005B137C" w:rsidP="005B137C">
      <w:pPr>
        <w:tabs>
          <w:tab w:val="left" w:pos="-1440"/>
          <w:tab w:val="left" w:pos="-720"/>
        </w:tabs>
        <w:jc w:val="both"/>
        <w:rPr>
          <w:sz w:val="20"/>
          <w:szCs w:val="20"/>
          <w:lang w:val="fr-CA"/>
        </w:rPr>
      </w:pPr>
    </w:p>
    <w:p w:rsidR="005B137C" w:rsidRPr="0087076A" w:rsidRDefault="005B137C" w:rsidP="005B13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lang w:val="fr-CA"/>
        </w:rPr>
      </w:pPr>
      <w:r w:rsidRPr="0087076A">
        <w:rPr>
          <w:b/>
          <w:bCs/>
          <w:sz w:val="20"/>
          <w:szCs w:val="20"/>
          <w:lang w:val="fr-CA"/>
        </w:rPr>
        <w:t>À LA SUITE D’UNE REQUÊTE</w:t>
      </w:r>
      <w:r w:rsidRPr="0087076A">
        <w:rPr>
          <w:sz w:val="20"/>
          <w:szCs w:val="20"/>
          <w:lang w:val="fr-CA"/>
        </w:rPr>
        <w:t xml:space="preserve"> présentée par la demanderesse sollicitant la permission de présenter une seule demande d’autorisation des deux jugements de la Cour d’appel fédérale dans les dossiers A-78-11 et A-79-11;</w:t>
      </w:r>
    </w:p>
    <w:p w:rsidR="005B137C" w:rsidRPr="0087076A" w:rsidRDefault="005B137C" w:rsidP="005B13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lang w:val="fr-CA"/>
        </w:rPr>
      </w:pPr>
    </w:p>
    <w:p w:rsidR="005B137C" w:rsidRPr="0087076A" w:rsidRDefault="005B137C" w:rsidP="005B13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lang w:val="fr-CA"/>
        </w:rPr>
      </w:pPr>
      <w:r w:rsidRPr="0087076A">
        <w:rPr>
          <w:b/>
          <w:bCs/>
          <w:sz w:val="20"/>
          <w:szCs w:val="20"/>
          <w:lang w:val="fr-CA"/>
        </w:rPr>
        <w:t xml:space="preserve">APRÈS EXAMEN </w:t>
      </w:r>
      <w:r w:rsidRPr="0087076A">
        <w:rPr>
          <w:bCs/>
          <w:sz w:val="20"/>
          <w:szCs w:val="20"/>
          <w:lang w:val="fr-CA"/>
        </w:rPr>
        <w:t>des documents déposés</w:t>
      </w:r>
      <w:r w:rsidRPr="0087076A">
        <w:rPr>
          <w:sz w:val="20"/>
          <w:szCs w:val="20"/>
          <w:lang w:val="fr-CA"/>
        </w:rPr>
        <w:t>;</w:t>
      </w:r>
    </w:p>
    <w:p w:rsidR="005B137C" w:rsidRPr="0087076A" w:rsidRDefault="005B137C" w:rsidP="005B13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lang w:val="fr-CA"/>
        </w:rPr>
      </w:pPr>
    </w:p>
    <w:p w:rsidR="005B137C" w:rsidRPr="0087076A" w:rsidRDefault="005B137C" w:rsidP="005B13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lang w:val="fr-CA"/>
        </w:rPr>
      </w:pPr>
      <w:r w:rsidRPr="0087076A">
        <w:rPr>
          <w:b/>
          <w:bCs/>
          <w:sz w:val="20"/>
          <w:szCs w:val="20"/>
          <w:lang w:val="fr-CA"/>
        </w:rPr>
        <w:t>IL EST ORDONNÉ CE QUI SUIT :</w:t>
      </w:r>
    </w:p>
    <w:p w:rsidR="005B137C" w:rsidRPr="0087076A" w:rsidRDefault="005B137C" w:rsidP="005B13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lang w:val="fr-CA"/>
        </w:rPr>
      </w:pPr>
    </w:p>
    <w:p w:rsidR="005B137C" w:rsidRPr="0087076A" w:rsidRDefault="005B137C" w:rsidP="005B13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szCs w:val="20"/>
          <w:lang w:val="fr-CA"/>
        </w:rPr>
      </w:pPr>
      <w:r w:rsidRPr="0087076A">
        <w:rPr>
          <w:b/>
          <w:bCs/>
          <w:sz w:val="20"/>
          <w:szCs w:val="20"/>
          <w:lang w:val="fr-CA"/>
        </w:rPr>
        <w:tab/>
      </w:r>
      <w:r w:rsidRPr="0087076A">
        <w:rPr>
          <w:sz w:val="20"/>
          <w:szCs w:val="20"/>
          <w:lang w:val="fr-CA"/>
        </w:rPr>
        <w:t>La requête est accordée.</w:t>
      </w:r>
    </w:p>
    <w:p w:rsidR="005B137C" w:rsidRPr="0087076A" w:rsidRDefault="005B137C" w:rsidP="005B137C">
      <w:pPr>
        <w:tabs>
          <w:tab w:val="left" w:pos="-1440"/>
          <w:tab w:val="left" w:pos="-720"/>
        </w:tabs>
        <w:jc w:val="both"/>
        <w:rPr>
          <w:sz w:val="20"/>
          <w:szCs w:val="20"/>
          <w:lang w:val="fr-CA"/>
        </w:rPr>
      </w:pPr>
    </w:p>
    <w:p w:rsidR="005B137C" w:rsidRPr="0087076A" w:rsidRDefault="005B137C" w:rsidP="005B137C">
      <w:pPr>
        <w:tabs>
          <w:tab w:val="left" w:pos="-1440"/>
          <w:tab w:val="left" w:pos="-720"/>
        </w:tabs>
        <w:spacing w:line="-19" w:lineRule="auto"/>
        <w:jc w:val="both"/>
        <w:rPr>
          <w:sz w:val="20"/>
          <w:szCs w:val="20"/>
          <w:lang w:val="fr-CA"/>
        </w:rPr>
      </w:pPr>
    </w:p>
    <w:p w:rsidR="005B137C" w:rsidRPr="0087076A" w:rsidRDefault="00460701" w:rsidP="005B137C">
      <w:pPr>
        <w:tabs>
          <w:tab w:val="left" w:pos="-1440"/>
          <w:tab w:val="left" w:pos="-720"/>
        </w:tabs>
        <w:jc w:val="both"/>
        <w:rPr>
          <w:sz w:val="20"/>
          <w:szCs w:val="20"/>
          <w:lang w:val="fr-CA"/>
        </w:rPr>
      </w:pPr>
      <w:r w:rsidRPr="00460701">
        <w:rPr>
          <w:sz w:val="20"/>
          <w:szCs w:val="20"/>
          <w:lang w:val="fr-CA"/>
        </w:rPr>
        <w:pict>
          <v:rect id="_x0000_i1065" style="width:2in;height:1pt" o:hrpct="0" o:hralign="center" o:hrstd="t" o:hrnoshade="t" o:hr="t" fillcolor="black [3213]" stroked="f"/>
        </w:pict>
      </w:r>
    </w:p>
    <w:p w:rsidR="005B137C" w:rsidRPr="0087076A" w:rsidRDefault="005B137C" w:rsidP="005B137C">
      <w:pPr>
        <w:rPr>
          <w:sz w:val="20"/>
          <w:szCs w:val="20"/>
          <w:lang w:val="fr-CA"/>
        </w:rPr>
      </w:pPr>
    </w:p>
    <w:p w:rsidR="005B137C" w:rsidRPr="0087076A" w:rsidRDefault="005B137C" w:rsidP="005B137C">
      <w:pPr>
        <w:tabs>
          <w:tab w:val="left" w:pos="-1440"/>
          <w:tab w:val="left" w:pos="-720"/>
        </w:tabs>
        <w:jc w:val="both"/>
        <w:rPr>
          <w:sz w:val="20"/>
          <w:szCs w:val="20"/>
          <w:lang w:val="fr-CA"/>
        </w:rPr>
      </w:pPr>
      <w:r w:rsidRPr="0087076A">
        <w:rPr>
          <w:sz w:val="20"/>
          <w:szCs w:val="20"/>
          <w:lang w:val="fr-CA"/>
        </w:rPr>
        <w:t>18.10.2011</w:t>
      </w:r>
    </w:p>
    <w:p w:rsidR="005B137C" w:rsidRPr="0087076A" w:rsidRDefault="005B137C" w:rsidP="005B137C">
      <w:pPr>
        <w:tabs>
          <w:tab w:val="left" w:pos="-1440"/>
          <w:tab w:val="left" w:pos="-720"/>
        </w:tabs>
        <w:jc w:val="both"/>
        <w:rPr>
          <w:sz w:val="20"/>
          <w:szCs w:val="20"/>
          <w:lang w:val="fr-CA"/>
        </w:rPr>
      </w:pPr>
    </w:p>
    <w:p w:rsidR="005B137C" w:rsidRPr="0087076A" w:rsidRDefault="005B137C" w:rsidP="005B137C">
      <w:pPr>
        <w:tabs>
          <w:tab w:val="left" w:pos="-1440"/>
          <w:tab w:val="left" w:pos="-720"/>
        </w:tabs>
        <w:jc w:val="both"/>
        <w:rPr>
          <w:sz w:val="20"/>
          <w:szCs w:val="20"/>
          <w:lang w:val="fr-CA"/>
        </w:rPr>
      </w:pPr>
      <w:r w:rsidRPr="0087076A">
        <w:rPr>
          <w:sz w:val="20"/>
          <w:szCs w:val="20"/>
          <w:lang w:val="fr-CA"/>
        </w:rPr>
        <w:t>Before / Devant :   THE REGISTRAR / LE REGISTRAIRE</w:t>
      </w:r>
    </w:p>
    <w:p w:rsidR="005B137C" w:rsidRPr="0087076A" w:rsidRDefault="005B137C" w:rsidP="005B137C">
      <w:pPr>
        <w:tabs>
          <w:tab w:val="left" w:pos="-1440"/>
          <w:tab w:val="left" w:pos="-720"/>
        </w:tabs>
        <w:jc w:val="both"/>
        <w:rPr>
          <w:sz w:val="20"/>
          <w:szCs w:val="20"/>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1170"/>
        <w:gridCol w:w="4327"/>
      </w:tblGrid>
      <w:tr w:rsidR="005B137C" w:rsidRPr="005B137C" w:rsidTr="00741DC5">
        <w:tc>
          <w:tcPr>
            <w:tcW w:w="4338" w:type="dxa"/>
          </w:tcPr>
          <w:p w:rsidR="005B137C" w:rsidRPr="0087076A" w:rsidRDefault="00460701" w:rsidP="00741DC5">
            <w:pPr>
              <w:tabs>
                <w:tab w:val="left" w:pos="-1440"/>
                <w:tab w:val="left" w:pos="-720"/>
              </w:tabs>
              <w:jc w:val="both"/>
              <w:rPr>
                <w:sz w:val="20"/>
                <w:szCs w:val="20"/>
              </w:rPr>
            </w:pPr>
            <w:r w:rsidRPr="0087076A">
              <w:rPr>
                <w:sz w:val="20"/>
                <w:szCs w:val="20"/>
              </w:rPr>
              <w:fldChar w:fldCharType="begin"/>
            </w:r>
            <w:r w:rsidR="005B137C" w:rsidRPr="0087076A">
              <w:rPr>
                <w:sz w:val="20"/>
                <w:szCs w:val="20"/>
              </w:rPr>
              <w:instrText xml:space="preserve"> SEQ CHAPTER \h \r 1</w:instrText>
            </w:r>
            <w:r w:rsidRPr="0087076A">
              <w:rPr>
                <w:sz w:val="20"/>
                <w:szCs w:val="20"/>
              </w:rPr>
              <w:fldChar w:fldCharType="end"/>
            </w:r>
            <w:r w:rsidR="005B137C" w:rsidRPr="0087076A">
              <w:rPr>
                <w:b/>
                <w:bCs/>
                <w:sz w:val="20"/>
                <w:szCs w:val="20"/>
              </w:rPr>
              <w:t>Motion to file additional document</w:t>
            </w:r>
            <w:r w:rsidR="005B137C" w:rsidRPr="0087076A">
              <w:rPr>
                <w:sz w:val="20"/>
                <w:szCs w:val="20"/>
              </w:rPr>
              <w:t xml:space="preserve"> </w:t>
            </w:r>
            <w:r w:rsidR="005B137C" w:rsidRPr="0087076A">
              <w:rPr>
                <w:b/>
                <w:bCs/>
                <w:sz w:val="20"/>
                <w:szCs w:val="20"/>
              </w:rPr>
              <w:t xml:space="preserve">pursuant to Rule 32(2) of the </w:t>
            </w:r>
            <w:r w:rsidR="005B137C" w:rsidRPr="0087076A">
              <w:rPr>
                <w:b/>
                <w:bCs/>
                <w:i/>
                <w:iCs/>
                <w:sz w:val="20"/>
                <w:szCs w:val="20"/>
              </w:rPr>
              <w:t>Rules of the Supreme Court of Canada</w:t>
            </w:r>
          </w:p>
        </w:tc>
        <w:tc>
          <w:tcPr>
            <w:tcW w:w="1170" w:type="dxa"/>
          </w:tcPr>
          <w:p w:rsidR="005B137C" w:rsidRPr="0087076A" w:rsidRDefault="005B137C" w:rsidP="00741DC5">
            <w:pPr>
              <w:tabs>
                <w:tab w:val="left" w:pos="-1440"/>
                <w:tab w:val="left" w:pos="-720"/>
              </w:tabs>
              <w:jc w:val="both"/>
              <w:rPr>
                <w:sz w:val="20"/>
                <w:szCs w:val="20"/>
              </w:rPr>
            </w:pPr>
          </w:p>
          <w:p w:rsidR="005B137C" w:rsidRPr="0087076A" w:rsidRDefault="005B137C" w:rsidP="00741DC5">
            <w:pPr>
              <w:tabs>
                <w:tab w:val="left" w:pos="-1440"/>
                <w:tab w:val="left" w:pos="-720"/>
              </w:tabs>
              <w:jc w:val="both"/>
              <w:rPr>
                <w:sz w:val="20"/>
                <w:szCs w:val="20"/>
              </w:rPr>
            </w:pPr>
          </w:p>
          <w:p w:rsidR="005B137C" w:rsidRPr="0087076A" w:rsidRDefault="005B137C" w:rsidP="00741DC5">
            <w:pPr>
              <w:tabs>
                <w:tab w:val="left" w:pos="-1440"/>
                <w:tab w:val="left" w:pos="-720"/>
              </w:tabs>
              <w:jc w:val="both"/>
              <w:rPr>
                <w:sz w:val="20"/>
                <w:szCs w:val="20"/>
              </w:rPr>
            </w:pPr>
          </w:p>
          <w:p w:rsidR="005B137C" w:rsidRPr="0087076A" w:rsidRDefault="005B137C" w:rsidP="00741DC5">
            <w:pPr>
              <w:tabs>
                <w:tab w:val="left" w:pos="-1440"/>
                <w:tab w:val="left" w:pos="-720"/>
              </w:tabs>
              <w:jc w:val="both"/>
              <w:rPr>
                <w:sz w:val="20"/>
                <w:szCs w:val="20"/>
              </w:rPr>
            </w:pPr>
          </w:p>
        </w:tc>
        <w:tc>
          <w:tcPr>
            <w:tcW w:w="4327" w:type="dxa"/>
          </w:tcPr>
          <w:p w:rsidR="005B137C" w:rsidRPr="0087076A" w:rsidRDefault="00460701" w:rsidP="00741DC5">
            <w:pPr>
              <w:tabs>
                <w:tab w:val="left" w:pos="-1440"/>
                <w:tab w:val="left" w:pos="-720"/>
              </w:tabs>
              <w:jc w:val="both"/>
              <w:rPr>
                <w:sz w:val="20"/>
                <w:szCs w:val="20"/>
                <w:lang w:val="fr-CA"/>
              </w:rPr>
            </w:pPr>
            <w:r w:rsidRPr="0087076A">
              <w:rPr>
                <w:sz w:val="20"/>
                <w:szCs w:val="20"/>
              </w:rPr>
              <w:fldChar w:fldCharType="begin"/>
            </w:r>
            <w:r w:rsidR="005B137C" w:rsidRPr="0087076A">
              <w:rPr>
                <w:sz w:val="20"/>
                <w:szCs w:val="20"/>
                <w:lang w:val="fr-CA"/>
              </w:rPr>
              <w:instrText xml:space="preserve"> SEQ CHAPTER \h \r 1</w:instrText>
            </w:r>
            <w:r w:rsidRPr="0087076A">
              <w:rPr>
                <w:sz w:val="20"/>
                <w:szCs w:val="20"/>
              </w:rPr>
              <w:fldChar w:fldCharType="end"/>
            </w:r>
            <w:r w:rsidRPr="0087076A">
              <w:rPr>
                <w:sz w:val="20"/>
                <w:szCs w:val="20"/>
              </w:rPr>
              <w:fldChar w:fldCharType="begin"/>
            </w:r>
            <w:r w:rsidR="005B137C" w:rsidRPr="0087076A">
              <w:rPr>
                <w:sz w:val="20"/>
                <w:szCs w:val="20"/>
                <w:lang w:val="fr-CA"/>
              </w:rPr>
              <w:instrText xml:space="preserve"> SEQ CHAPTER \h \r 1</w:instrText>
            </w:r>
            <w:r w:rsidRPr="0087076A">
              <w:rPr>
                <w:sz w:val="20"/>
                <w:szCs w:val="20"/>
              </w:rPr>
              <w:fldChar w:fldCharType="end"/>
            </w:r>
            <w:r w:rsidR="005B137C" w:rsidRPr="0087076A">
              <w:rPr>
                <w:b/>
                <w:bCs/>
                <w:sz w:val="20"/>
                <w:szCs w:val="20"/>
                <w:lang w:val="fr-CA"/>
              </w:rPr>
              <w:t>Requête en vue de déposer un document supplémentaire</w:t>
            </w:r>
            <w:r w:rsidR="005B137C" w:rsidRPr="0087076A">
              <w:rPr>
                <w:sz w:val="20"/>
                <w:szCs w:val="20"/>
                <w:lang w:val="fr-CA"/>
              </w:rPr>
              <w:t xml:space="preserve"> </w:t>
            </w:r>
            <w:r w:rsidR="005B137C" w:rsidRPr="0087076A">
              <w:rPr>
                <w:b/>
                <w:bCs/>
                <w:sz w:val="20"/>
                <w:szCs w:val="20"/>
                <w:lang w:val="fr-CA"/>
              </w:rPr>
              <w:t xml:space="preserve">en vertu du paragraphe 32(2) des </w:t>
            </w:r>
            <w:r w:rsidR="005B137C" w:rsidRPr="0087076A">
              <w:rPr>
                <w:b/>
                <w:bCs/>
                <w:i/>
                <w:iCs/>
                <w:sz w:val="20"/>
                <w:szCs w:val="20"/>
                <w:lang w:val="fr-CA"/>
              </w:rPr>
              <w:t>Règles de la Cour suprême du Canada</w:t>
            </w:r>
          </w:p>
        </w:tc>
      </w:tr>
      <w:tr w:rsidR="005B137C" w:rsidRPr="0087076A" w:rsidTr="00741DC5">
        <w:tc>
          <w:tcPr>
            <w:tcW w:w="4338" w:type="dxa"/>
          </w:tcPr>
          <w:p w:rsidR="005B137C" w:rsidRPr="0087076A" w:rsidRDefault="005B137C" w:rsidP="00741DC5">
            <w:pPr>
              <w:tabs>
                <w:tab w:val="left" w:pos="-1440"/>
                <w:tab w:val="left" w:pos="-720"/>
              </w:tabs>
              <w:jc w:val="both"/>
              <w:rPr>
                <w:sz w:val="20"/>
                <w:szCs w:val="20"/>
              </w:rPr>
            </w:pPr>
            <w:r w:rsidRPr="0087076A">
              <w:rPr>
                <w:sz w:val="20"/>
                <w:szCs w:val="20"/>
              </w:rPr>
              <w:t>Vivek Gupta</w:t>
            </w:r>
          </w:p>
          <w:p w:rsidR="005B137C" w:rsidRPr="0087076A" w:rsidRDefault="005B137C" w:rsidP="00741DC5">
            <w:pPr>
              <w:tabs>
                <w:tab w:val="left" w:pos="-1440"/>
                <w:tab w:val="left" w:pos="-720"/>
              </w:tabs>
              <w:jc w:val="both"/>
              <w:rPr>
                <w:sz w:val="20"/>
                <w:szCs w:val="20"/>
              </w:rPr>
            </w:pPr>
          </w:p>
          <w:p w:rsidR="005B137C" w:rsidRPr="0087076A" w:rsidRDefault="005B137C" w:rsidP="00741DC5">
            <w:pPr>
              <w:tabs>
                <w:tab w:val="left" w:pos="-1440"/>
                <w:tab w:val="left" w:pos="-720"/>
              </w:tabs>
              <w:jc w:val="both"/>
              <w:rPr>
                <w:sz w:val="20"/>
                <w:szCs w:val="20"/>
              </w:rPr>
            </w:pPr>
            <w:r w:rsidRPr="0087076A">
              <w:rPr>
                <w:sz w:val="20"/>
                <w:szCs w:val="20"/>
              </w:rPr>
              <w:tab/>
              <w:t>v. (34313)</w:t>
            </w:r>
          </w:p>
          <w:p w:rsidR="005B137C" w:rsidRPr="0087076A" w:rsidRDefault="005B137C" w:rsidP="00741DC5">
            <w:pPr>
              <w:tabs>
                <w:tab w:val="left" w:pos="-1440"/>
                <w:tab w:val="left" w:pos="-720"/>
              </w:tabs>
              <w:jc w:val="both"/>
              <w:rPr>
                <w:sz w:val="20"/>
                <w:szCs w:val="20"/>
              </w:rPr>
            </w:pPr>
          </w:p>
          <w:p w:rsidR="005B137C" w:rsidRPr="0087076A" w:rsidRDefault="005B137C" w:rsidP="00741DC5">
            <w:pPr>
              <w:tabs>
                <w:tab w:val="left" w:pos="-1440"/>
                <w:tab w:val="left" w:pos="-720"/>
              </w:tabs>
              <w:jc w:val="both"/>
              <w:rPr>
                <w:sz w:val="20"/>
                <w:szCs w:val="20"/>
              </w:rPr>
            </w:pPr>
            <w:r w:rsidRPr="0087076A">
              <w:rPr>
                <w:sz w:val="20"/>
                <w:szCs w:val="20"/>
              </w:rPr>
              <w:t>Her Majesty the Queen (Crim.) (Ont.)</w:t>
            </w:r>
          </w:p>
        </w:tc>
        <w:tc>
          <w:tcPr>
            <w:tcW w:w="1170" w:type="dxa"/>
          </w:tcPr>
          <w:p w:rsidR="005B137C" w:rsidRPr="0087076A" w:rsidRDefault="005B137C" w:rsidP="00741DC5">
            <w:pPr>
              <w:tabs>
                <w:tab w:val="left" w:pos="-1440"/>
                <w:tab w:val="left" w:pos="-720"/>
              </w:tabs>
              <w:jc w:val="both"/>
              <w:rPr>
                <w:sz w:val="20"/>
                <w:szCs w:val="20"/>
              </w:rPr>
            </w:pPr>
          </w:p>
        </w:tc>
        <w:tc>
          <w:tcPr>
            <w:tcW w:w="4327" w:type="dxa"/>
          </w:tcPr>
          <w:p w:rsidR="005B137C" w:rsidRPr="0087076A" w:rsidRDefault="005B137C" w:rsidP="00741DC5">
            <w:pPr>
              <w:tabs>
                <w:tab w:val="left" w:pos="-1440"/>
                <w:tab w:val="left" w:pos="-720"/>
              </w:tabs>
              <w:jc w:val="both"/>
              <w:rPr>
                <w:sz w:val="20"/>
                <w:szCs w:val="20"/>
              </w:rPr>
            </w:pPr>
          </w:p>
        </w:tc>
      </w:tr>
    </w:tbl>
    <w:p w:rsidR="005B137C" w:rsidRPr="0087076A" w:rsidRDefault="005B137C" w:rsidP="005B137C">
      <w:pPr>
        <w:tabs>
          <w:tab w:val="left" w:pos="-1440"/>
          <w:tab w:val="left" w:pos="-720"/>
        </w:tabs>
        <w:jc w:val="both"/>
        <w:rPr>
          <w:b/>
          <w:sz w:val="20"/>
          <w:szCs w:val="20"/>
        </w:rPr>
      </w:pPr>
    </w:p>
    <w:p w:rsidR="005B137C" w:rsidRPr="0087076A" w:rsidRDefault="005B137C" w:rsidP="005B137C">
      <w:pPr>
        <w:tabs>
          <w:tab w:val="left" w:pos="-1440"/>
          <w:tab w:val="left" w:pos="-720"/>
        </w:tabs>
        <w:jc w:val="both"/>
        <w:rPr>
          <w:b/>
          <w:sz w:val="20"/>
          <w:szCs w:val="20"/>
        </w:rPr>
      </w:pPr>
      <w:r w:rsidRPr="0087076A">
        <w:rPr>
          <w:b/>
          <w:sz w:val="20"/>
          <w:szCs w:val="20"/>
        </w:rPr>
        <w:t>DISMISSED / REJETÉE</w:t>
      </w:r>
    </w:p>
    <w:p w:rsidR="005B137C" w:rsidRPr="0087076A" w:rsidRDefault="005B137C" w:rsidP="005B137C">
      <w:pPr>
        <w:tabs>
          <w:tab w:val="left" w:pos="-1440"/>
          <w:tab w:val="left" w:pos="-720"/>
        </w:tabs>
        <w:jc w:val="both"/>
        <w:rPr>
          <w:sz w:val="20"/>
          <w:szCs w:val="20"/>
        </w:rPr>
      </w:pPr>
    </w:p>
    <w:p w:rsidR="005B137C" w:rsidRPr="0087076A" w:rsidRDefault="005B137C" w:rsidP="005B137C">
      <w:pPr>
        <w:jc w:val="both"/>
        <w:rPr>
          <w:sz w:val="20"/>
          <w:szCs w:val="20"/>
        </w:rPr>
      </w:pPr>
      <w:r w:rsidRPr="0087076A">
        <w:rPr>
          <w:b/>
          <w:sz w:val="20"/>
          <w:szCs w:val="20"/>
        </w:rPr>
        <w:t>UPON APPLICATION</w:t>
      </w:r>
      <w:r w:rsidRPr="0087076A">
        <w:rPr>
          <w:sz w:val="20"/>
          <w:szCs w:val="20"/>
        </w:rPr>
        <w:t xml:space="preserve"> </w:t>
      </w:r>
      <w:r w:rsidR="00460701" w:rsidRPr="0087076A">
        <w:rPr>
          <w:sz w:val="20"/>
          <w:szCs w:val="20"/>
        </w:rPr>
        <w:fldChar w:fldCharType="begin"/>
      </w:r>
      <w:r w:rsidRPr="0087076A">
        <w:rPr>
          <w:sz w:val="20"/>
          <w:szCs w:val="20"/>
        </w:rPr>
        <w:instrText xml:space="preserve"> SEQ CHAPTER \h \r 1</w:instrText>
      </w:r>
      <w:r w:rsidR="00460701" w:rsidRPr="0087076A">
        <w:rPr>
          <w:sz w:val="20"/>
          <w:szCs w:val="20"/>
        </w:rPr>
        <w:fldChar w:fldCharType="end"/>
      </w:r>
      <w:r w:rsidRPr="0087076A">
        <w:rPr>
          <w:sz w:val="20"/>
          <w:szCs w:val="20"/>
        </w:rPr>
        <w:t>made on behalf of the Applicant pursuant to the provisions of Rule 32(2) for an order to file additional material namely a Constitutional Question</w:t>
      </w:r>
      <w:r w:rsidRPr="0087076A">
        <w:rPr>
          <w:i/>
          <w:sz w:val="20"/>
          <w:szCs w:val="20"/>
        </w:rPr>
        <w:t xml:space="preserve"> </w:t>
      </w:r>
      <w:r w:rsidRPr="0087076A">
        <w:rPr>
          <w:sz w:val="20"/>
          <w:szCs w:val="20"/>
        </w:rPr>
        <w:t>to be submitted to the leave panel;</w:t>
      </w:r>
    </w:p>
    <w:p w:rsidR="005B137C" w:rsidRPr="0087076A" w:rsidRDefault="005B137C" w:rsidP="005B137C">
      <w:pPr>
        <w:rPr>
          <w:sz w:val="20"/>
          <w:szCs w:val="20"/>
        </w:rPr>
      </w:pPr>
    </w:p>
    <w:p w:rsidR="005B137C" w:rsidRPr="0087076A" w:rsidRDefault="00460701" w:rsidP="005B137C">
      <w:pPr>
        <w:rPr>
          <w:sz w:val="20"/>
          <w:szCs w:val="20"/>
        </w:rPr>
      </w:pPr>
      <w:r w:rsidRPr="0087076A">
        <w:rPr>
          <w:sz w:val="20"/>
          <w:szCs w:val="20"/>
        </w:rPr>
        <w:fldChar w:fldCharType="begin"/>
      </w:r>
      <w:r w:rsidR="005B137C" w:rsidRPr="0087076A">
        <w:rPr>
          <w:sz w:val="20"/>
          <w:szCs w:val="20"/>
        </w:rPr>
        <w:instrText xml:space="preserve"> SEQ CHAPTER \h \r 1</w:instrText>
      </w:r>
      <w:r w:rsidRPr="0087076A">
        <w:rPr>
          <w:sz w:val="20"/>
          <w:szCs w:val="20"/>
        </w:rPr>
        <w:fldChar w:fldCharType="end"/>
      </w:r>
      <w:r w:rsidR="005B137C" w:rsidRPr="0087076A">
        <w:rPr>
          <w:b/>
          <w:bCs/>
          <w:sz w:val="20"/>
          <w:szCs w:val="20"/>
        </w:rPr>
        <w:t>AND HAVING READ</w:t>
      </w:r>
      <w:r w:rsidR="005B137C" w:rsidRPr="0087076A">
        <w:rPr>
          <w:sz w:val="20"/>
          <w:szCs w:val="20"/>
        </w:rPr>
        <w:t xml:space="preserve"> the material filed;</w:t>
      </w:r>
    </w:p>
    <w:p w:rsidR="005B137C" w:rsidRPr="0087076A" w:rsidRDefault="005B137C" w:rsidP="005B137C">
      <w:pPr>
        <w:rPr>
          <w:sz w:val="20"/>
          <w:szCs w:val="20"/>
        </w:rPr>
      </w:pPr>
    </w:p>
    <w:p w:rsidR="005B137C" w:rsidRPr="0087076A" w:rsidRDefault="005B137C" w:rsidP="005B137C">
      <w:pPr>
        <w:rPr>
          <w:b/>
          <w:sz w:val="20"/>
          <w:szCs w:val="20"/>
        </w:rPr>
      </w:pPr>
      <w:r w:rsidRPr="0087076A">
        <w:rPr>
          <w:b/>
          <w:sz w:val="20"/>
          <w:szCs w:val="20"/>
        </w:rPr>
        <w:t>IT IS HEREBY ORDERED THAT:</w:t>
      </w:r>
    </w:p>
    <w:p w:rsidR="005B137C" w:rsidRPr="0087076A" w:rsidRDefault="005B137C" w:rsidP="005B137C">
      <w:pPr>
        <w:pStyle w:val="ListParagraph"/>
        <w:ind w:left="360"/>
        <w:rPr>
          <w:sz w:val="20"/>
          <w:szCs w:val="20"/>
        </w:rPr>
      </w:pPr>
    </w:p>
    <w:p w:rsidR="005B137C" w:rsidRPr="0087076A" w:rsidRDefault="005B137C" w:rsidP="005B137C">
      <w:pPr>
        <w:pStyle w:val="ListParagraph"/>
        <w:ind w:left="360"/>
        <w:rPr>
          <w:sz w:val="20"/>
          <w:szCs w:val="20"/>
          <w:lang w:val="fr-CA"/>
        </w:rPr>
      </w:pPr>
      <w:r w:rsidRPr="0087076A">
        <w:rPr>
          <w:sz w:val="20"/>
          <w:szCs w:val="20"/>
          <w:lang w:val="fr-CA"/>
        </w:rPr>
        <w:t>The motion is dismissed.</w:t>
      </w:r>
    </w:p>
    <w:p w:rsidR="005B137C" w:rsidRPr="0087076A" w:rsidRDefault="005B137C" w:rsidP="005B137C">
      <w:pPr>
        <w:jc w:val="both"/>
        <w:rPr>
          <w:sz w:val="20"/>
          <w:szCs w:val="20"/>
          <w:lang w:val="fr-CA"/>
        </w:rPr>
      </w:pPr>
    </w:p>
    <w:p w:rsidR="005B137C" w:rsidRPr="0087076A" w:rsidRDefault="005B137C" w:rsidP="005B137C">
      <w:pPr>
        <w:tabs>
          <w:tab w:val="left" w:pos="-1440"/>
          <w:tab w:val="left" w:pos="-720"/>
        </w:tabs>
        <w:jc w:val="both"/>
        <w:rPr>
          <w:sz w:val="20"/>
          <w:szCs w:val="20"/>
          <w:lang w:val="fr-CA"/>
        </w:rPr>
      </w:pPr>
    </w:p>
    <w:p w:rsidR="005B137C" w:rsidRPr="0087076A" w:rsidRDefault="005B137C" w:rsidP="005B137C">
      <w:pPr>
        <w:tabs>
          <w:tab w:val="left" w:pos="-1440"/>
          <w:tab w:val="left" w:pos="-720"/>
        </w:tabs>
        <w:jc w:val="both"/>
        <w:rPr>
          <w:sz w:val="20"/>
          <w:szCs w:val="20"/>
          <w:lang w:val="fr-CA"/>
        </w:rPr>
      </w:pPr>
    </w:p>
    <w:p w:rsidR="005B137C" w:rsidRPr="0087076A" w:rsidRDefault="005B137C" w:rsidP="005B137C">
      <w:pPr>
        <w:jc w:val="both"/>
        <w:rPr>
          <w:sz w:val="20"/>
          <w:szCs w:val="20"/>
          <w:lang w:val="fr-CA"/>
        </w:rPr>
      </w:pPr>
      <w:r w:rsidRPr="0087076A">
        <w:rPr>
          <w:b/>
          <w:sz w:val="20"/>
          <w:szCs w:val="20"/>
          <w:lang w:val="fr-CA"/>
        </w:rPr>
        <w:t>À LA SUITE D’UNE REQUÊTE</w:t>
      </w:r>
      <w:r w:rsidRPr="0087076A">
        <w:rPr>
          <w:sz w:val="20"/>
          <w:szCs w:val="20"/>
          <w:lang w:val="fr-CA"/>
        </w:rPr>
        <w:t xml:space="preserve"> présentée au nom du demandeur sollicitant la permission de déposer un document supplémentaire en vertu du paragraphe 32(2) des </w:t>
      </w:r>
      <w:r w:rsidRPr="0087076A">
        <w:rPr>
          <w:i/>
          <w:sz w:val="20"/>
          <w:szCs w:val="20"/>
          <w:lang w:val="fr-CA"/>
        </w:rPr>
        <w:t>Règles</w:t>
      </w:r>
      <w:r w:rsidRPr="0087076A">
        <w:rPr>
          <w:sz w:val="20"/>
          <w:szCs w:val="20"/>
          <w:lang w:val="fr-CA"/>
        </w:rPr>
        <w:t>, soit une question constitutionnelle à soumettre à la formation saisie de la demande d’autorisation</w:t>
      </w:r>
      <w:r w:rsidR="00460701" w:rsidRPr="0087076A">
        <w:rPr>
          <w:sz w:val="20"/>
          <w:szCs w:val="20"/>
          <w:lang w:val="fr-CA"/>
        </w:rPr>
        <w:fldChar w:fldCharType="begin"/>
      </w:r>
      <w:r w:rsidRPr="0087076A">
        <w:rPr>
          <w:sz w:val="20"/>
          <w:szCs w:val="20"/>
          <w:lang w:val="fr-CA"/>
        </w:rPr>
        <w:instrText xml:space="preserve"> SEQ CHAPTER \h \r 1</w:instrText>
      </w:r>
      <w:r w:rsidR="00460701" w:rsidRPr="0087076A">
        <w:rPr>
          <w:sz w:val="20"/>
          <w:szCs w:val="20"/>
          <w:lang w:val="fr-CA"/>
        </w:rPr>
        <w:fldChar w:fldCharType="end"/>
      </w:r>
      <w:r w:rsidRPr="0087076A">
        <w:rPr>
          <w:sz w:val="20"/>
          <w:szCs w:val="20"/>
          <w:lang w:val="fr-CA"/>
        </w:rPr>
        <w:t>;</w:t>
      </w:r>
    </w:p>
    <w:p w:rsidR="005B137C" w:rsidRPr="0087076A" w:rsidRDefault="005B137C" w:rsidP="005B137C">
      <w:pPr>
        <w:rPr>
          <w:sz w:val="20"/>
          <w:szCs w:val="20"/>
          <w:lang w:val="fr-CA"/>
        </w:rPr>
      </w:pPr>
    </w:p>
    <w:p w:rsidR="005B137C" w:rsidRPr="0087076A" w:rsidRDefault="005B137C" w:rsidP="005B137C">
      <w:pPr>
        <w:rPr>
          <w:sz w:val="20"/>
          <w:szCs w:val="20"/>
          <w:lang w:val="fr-CA"/>
        </w:rPr>
      </w:pPr>
      <w:r w:rsidRPr="0087076A">
        <w:rPr>
          <w:b/>
          <w:sz w:val="20"/>
          <w:szCs w:val="20"/>
          <w:lang w:val="fr-CA"/>
        </w:rPr>
        <w:t>APRÈS EXAMEN</w:t>
      </w:r>
      <w:r w:rsidR="00460701" w:rsidRPr="0087076A">
        <w:rPr>
          <w:b/>
          <w:sz w:val="20"/>
          <w:szCs w:val="20"/>
          <w:lang w:val="fr-CA"/>
        </w:rPr>
        <w:fldChar w:fldCharType="begin"/>
      </w:r>
      <w:r w:rsidRPr="0087076A">
        <w:rPr>
          <w:b/>
          <w:sz w:val="20"/>
          <w:szCs w:val="20"/>
          <w:lang w:val="fr-CA"/>
        </w:rPr>
        <w:instrText xml:space="preserve"> SEQ CHAPTER \h \r 1</w:instrText>
      </w:r>
      <w:r w:rsidR="00460701" w:rsidRPr="0087076A">
        <w:rPr>
          <w:b/>
          <w:sz w:val="20"/>
          <w:szCs w:val="20"/>
          <w:lang w:val="fr-CA"/>
        </w:rPr>
        <w:fldChar w:fldCharType="end"/>
      </w:r>
      <w:r w:rsidRPr="0087076A">
        <w:rPr>
          <w:sz w:val="20"/>
          <w:szCs w:val="20"/>
          <w:lang w:val="fr-CA"/>
        </w:rPr>
        <w:t xml:space="preserve"> des documents déposés;</w:t>
      </w:r>
    </w:p>
    <w:p w:rsidR="005B137C" w:rsidRPr="0087076A" w:rsidRDefault="005B137C" w:rsidP="005B137C">
      <w:pPr>
        <w:rPr>
          <w:sz w:val="20"/>
          <w:szCs w:val="20"/>
          <w:lang w:val="fr-CA"/>
        </w:rPr>
      </w:pPr>
    </w:p>
    <w:p w:rsidR="005B137C" w:rsidRPr="0087076A" w:rsidRDefault="005B137C" w:rsidP="005B137C">
      <w:pPr>
        <w:rPr>
          <w:b/>
          <w:sz w:val="20"/>
          <w:szCs w:val="20"/>
          <w:lang w:val="fr-CA"/>
        </w:rPr>
      </w:pPr>
      <w:r w:rsidRPr="0087076A">
        <w:rPr>
          <w:b/>
          <w:sz w:val="20"/>
          <w:szCs w:val="20"/>
          <w:lang w:val="fr-CA"/>
        </w:rPr>
        <w:t>IL EST ORDONNÉ CE QUI SUIT :</w:t>
      </w:r>
    </w:p>
    <w:p w:rsidR="005B137C" w:rsidRPr="0087076A" w:rsidRDefault="005B137C" w:rsidP="005B137C">
      <w:pPr>
        <w:pStyle w:val="ListParagraph"/>
        <w:ind w:left="360"/>
        <w:rPr>
          <w:sz w:val="20"/>
          <w:szCs w:val="20"/>
          <w:lang w:val="fr-CA"/>
        </w:rPr>
      </w:pPr>
    </w:p>
    <w:p w:rsidR="005B137C" w:rsidRPr="0087076A" w:rsidRDefault="005B137C" w:rsidP="005B137C">
      <w:pPr>
        <w:pStyle w:val="ListParagraph"/>
        <w:ind w:left="360"/>
        <w:rPr>
          <w:sz w:val="20"/>
          <w:szCs w:val="20"/>
          <w:lang w:val="fr-CA"/>
        </w:rPr>
      </w:pPr>
      <w:r w:rsidRPr="0087076A">
        <w:rPr>
          <w:sz w:val="20"/>
          <w:szCs w:val="20"/>
          <w:lang w:val="fr-CA"/>
        </w:rPr>
        <w:t>La requête est rejetée.</w:t>
      </w:r>
    </w:p>
    <w:p w:rsidR="005B137C" w:rsidRPr="0087076A" w:rsidRDefault="005B137C" w:rsidP="005B137C">
      <w:pPr>
        <w:tabs>
          <w:tab w:val="left" w:pos="-1440"/>
          <w:tab w:val="left" w:pos="-720"/>
        </w:tabs>
        <w:jc w:val="both"/>
        <w:rPr>
          <w:sz w:val="20"/>
          <w:szCs w:val="20"/>
        </w:rPr>
      </w:pPr>
    </w:p>
    <w:p w:rsidR="005B137C" w:rsidRPr="0087076A" w:rsidRDefault="005B137C" w:rsidP="005B137C">
      <w:pPr>
        <w:tabs>
          <w:tab w:val="left" w:pos="-1440"/>
          <w:tab w:val="left" w:pos="-720"/>
        </w:tabs>
        <w:spacing w:line="-19" w:lineRule="auto"/>
        <w:jc w:val="both"/>
        <w:rPr>
          <w:sz w:val="20"/>
          <w:szCs w:val="20"/>
          <w:lang w:val="fr-CA"/>
        </w:rPr>
      </w:pPr>
    </w:p>
    <w:p w:rsidR="005B137C" w:rsidRPr="0087076A" w:rsidRDefault="00460701" w:rsidP="005B137C">
      <w:pPr>
        <w:tabs>
          <w:tab w:val="left" w:pos="-1440"/>
          <w:tab w:val="left" w:pos="-720"/>
        </w:tabs>
        <w:jc w:val="both"/>
        <w:rPr>
          <w:sz w:val="20"/>
          <w:szCs w:val="20"/>
        </w:rPr>
      </w:pPr>
      <w:r w:rsidRPr="00460701">
        <w:rPr>
          <w:sz w:val="20"/>
          <w:szCs w:val="20"/>
          <w:lang w:val="fr-CA"/>
        </w:rPr>
        <w:pict>
          <v:rect id="_x0000_i1066" style="width:2in;height:1pt" o:hrpct="0" o:hralign="center" o:hrstd="t" o:hrnoshade="t" o:hr="t" fillcolor="black [3213]" stroked="f"/>
        </w:pict>
      </w:r>
    </w:p>
    <w:p w:rsidR="005B137C" w:rsidRPr="0087076A" w:rsidRDefault="005B137C" w:rsidP="005B137C">
      <w:pPr>
        <w:tabs>
          <w:tab w:val="left" w:pos="-1440"/>
          <w:tab w:val="left" w:pos="-720"/>
        </w:tabs>
        <w:jc w:val="both"/>
        <w:rPr>
          <w:sz w:val="20"/>
          <w:szCs w:val="20"/>
          <w:lang w:val="fr-CA"/>
        </w:rPr>
      </w:pPr>
      <w:r w:rsidRPr="0087076A">
        <w:rPr>
          <w:sz w:val="20"/>
          <w:szCs w:val="20"/>
          <w:lang w:val="fr-CA"/>
        </w:rPr>
        <w:lastRenderedPageBreak/>
        <w:t>18.10.2011</w:t>
      </w:r>
    </w:p>
    <w:p w:rsidR="005B137C" w:rsidRPr="0087076A" w:rsidRDefault="005B137C" w:rsidP="005B137C">
      <w:pPr>
        <w:tabs>
          <w:tab w:val="left" w:pos="-1440"/>
          <w:tab w:val="left" w:pos="-720"/>
        </w:tabs>
        <w:jc w:val="both"/>
        <w:rPr>
          <w:sz w:val="20"/>
          <w:szCs w:val="20"/>
          <w:lang w:val="fr-CA"/>
        </w:rPr>
      </w:pPr>
    </w:p>
    <w:p w:rsidR="005B137C" w:rsidRPr="0087076A" w:rsidRDefault="005B137C" w:rsidP="005B137C">
      <w:pPr>
        <w:tabs>
          <w:tab w:val="left" w:pos="-1440"/>
          <w:tab w:val="left" w:pos="-720"/>
        </w:tabs>
        <w:jc w:val="both"/>
        <w:rPr>
          <w:sz w:val="20"/>
          <w:szCs w:val="20"/>
          <w:lang w:val="fr-CA"/>
        </w:rPr>
      </w:pPr>
      <w:r w:rsidRPr="0087076A">
        <w:rPr>
          <w:sz w:val="20"/>
          <w:szCs w:val="20"/>
          <w:lang w:val="fr-CA"/>
        </w:rPr>
        <w:t>Before / Devant :   THE REGISTRAR / LE REGISTRAIRE</w:t>
      </w:r>
    </w:p>
    <w:p w:rsidR="005B137C" w:rsidRPr="0087076A" w:rsidRDefault="005B137C" w:rsidP="005B137C">
      <w:pPr>
        <w:tabs>
          <w:tab w:val="left" w:pos="-1440"/>
          <w:tab w:val="left" w:pos="-720"/>
        </w:tabs>
        <w:jc w:val="both"/>
        <w:rPr>
          <w:sz w:val="20"/>
          <w:szCs w:val="20"/>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8"/>
        <w:gridCol w:w="1170"/>
        <w:gridCol w:w="4327"/>
      </w:tblGrid>
      <w:tr w:rsidR="005B137C" w:rsidRPr="005B137C" w:rsidTr="00741DC5">
        <w:tc>
          <w:tcPr>
            <w:tcW w:w="4338" w:type="dxa"/>
          </w:tcPr>
          <w:p w:rsidR="005B137C" w:rsidRPr="0087076A" w:rsidRDefault="00460701" w:rsidP="00741DC5">
            <w:pPr>
              <w:tabs>
                <w:tab w:val="left" w:pos="-1440"/>
                <w:tab w:val="left" w:pos="-720"/>
              </w:tabs>
              <w:jc w:val="both"/>
              <w:rPr>
                <w:sz w:val="20"/>
                <w:szCs w:val="20"/>
              </w:rPr>
            </w:pPr>
            <w:r w:rsidRPr="0087076A">
              <w:rPr>
                <w:sz w:val="20"/>
                <w:szCs w:val="20"/>
              </w:rPr>
              <w:fldChar w:fldCharType="begin"/>
            </w:r>
            <w:r w:rsidR="005B137C" w:rsidRPr="0087076A">
              <w:rPr>
                <w:sz w:val="20"/>
                <w:szCs w:val="20"/>
              </w:rPr>
              <w:instrText xml:space="preserve"> SEQ CHAPTER \h \r 1</w:instrText>
            </w:r>
            <w:r w:rsidRPr="0087076A">
              <w:rPr>
                <w:sz w:val="20"/>
                <w:szCs w:val="20"/>
              </w:rPr>
              <w:fldChar w:fldCharType="end"/>
            </w:r>
            <w:r w:rsidR="005B137C" w:rsidRPr="0087076A">
              <w:rPr>
                <w:b/>
                <w:bCs/>
                <w:sz w:val="20"/>
                <w:szCs w:val="20"/>
              </w:rPr>
              <w:t>Motion to file additional document</w:t>
            </w:r>
            <w:r w:rsidR="005B137C" w:rsidRPr="0087076A">
              <w:rPr>
                <w:sz w:val="20"/>
                <w:szCs w:val="20"/>
              </w:rPr>
              <w:t xml:space="preserve"> </w:t>
            </w:r>
            <w:r w:rsidR="005B137C" w:rsidRPr="0087076A">
              <w:rPr>
                <w:b/>
                <w:bCs/>
                <w:sz w:val="20"/>
                <w:szCs w:val="20"/>
              </w:rPr>
              <w:t xml:space="preserve">pursuant to Rule 32(2) of the </w:t>
            </w:r>
            <w:r w:rsidR="005B137C" w:rsidRPr="0087076A">
              <w:rPr>
                <w:b/>
                <w:bCs/>
                <w:i/>
                <w:iCs/>
                <w:sz w:val="20"/>
                <w:szCs w:val="20"/>
              </w:rPr>
              <w:t>Rules of the Supreme Court of Canada</w:t>
            </w:r>
          </w:p>
        </w:tc>
        <w:tc>
          <w:tcPr>
            <w:tcW w:w="1170" w:type="dxa"/>
          </w:tcPr>
          <w:p w:rsidR="005B137C" w:rsidRPr="0087076A" w:rsidRDefault="005B137C" w:rsidP="00741DC5">
            <w:pPr>
              <w:tabs>
                <w:tab w:val="left" w:pos="-1440"/>
                <w:tab w:val="left" w:pos="-720"/>
              </w:tabs>
              <w:jc w:val="both"/>
              <w:rPr>
                <w:sz w:val="20"/>
                <w:szCs w:val="20"/>
              </w:rPr>
            </w:pPr>
          </w:p>
          <w:p w:rsidR="005B137C" w:rsidRPr="0087076A" w:rsidRDefault="005B137C" w:rsidP="00741DC5">
            <w:pPr>
              <w:tabs>
                <w:tab w:val="left" w:pos="-1440"/>
                <w:tab w:val="left" w:pos="-720"/>
              </w:tabs>
              <w:jc w:val="both"/>
              <w:rPr>
                <w:sz w:val="20"/>
                <w:szCs w:val="20"/>
              </w:rPr>
            </w:pPr>
          </w:p>
          <w:p w:rsidR="005B137C" w:rsidRPr="0087076A" w:rsidRDefault="005B137C" w:rsidP="00741DC5">
            <w:pPr>
              <w:tabs>
                <w:tab w:val="left" w:pos="-1440"/>
                <w:tab w:val="left" w:pos="-720"/>
              </w:tabs>
              <w:jc w:val="both"/>
              <w:rPr>
                <w:sz w:val="20"/>
                <w:szCs w:val="20"/>
              </w:rPr>
            </w:pPr>
          </w:p>
          <w:p w:rsidR="005B137C" w:rsidRPr="0087076A" w:rsidRDefault="005B137C" w:rsidP="00741DC5">
            <w:pPr>
              <w:tabs>
                <w:tab w:val="left" w:pos="-1440"/>
                <w:tab w:val="left" w:pos="-720"/>
              </w:tabs>
              <w:jc w:val="both"/>
              <w:rPr>
                <w:sz w:val="20"/>
                <w:szCs w:val="20"/>
              </w:rPr>
            </w:pPr>
          </w:p>
        </w:tc>
        <w:tc>
          <w:tcPr>
            <w:tcW w:w="4327" w:type="dxa"/>
          </w:tcPr>
          <w:p w:rsidR="005B137C" w:rsidRPr="0087076A" w:rsidRDefault="00460701" w:rsidP="00741DC5">
            <w:pPr>
              <w:tabs>
                <w:tab w:val="left" w:pos="-1440"/>
                <w:tab w:val="left" w:pos="-720"/>
              </w:tabs>
              <w:jc w:val="both"/>
              <w:rPr>
                <w:sz w:val="20"/>
                <w:szCs w:val="20"/>
                <w:lang w:val="fr-CA"/>
              </w:rPr>
            </w:pPr>
            <w:r w:rsidRPr="0087076A">
              <w:rPr>
                <w:sz w:val="20"/>
                <w:szCs w:val="20"/>
              </w:rPr>
              <w:fldChar w:fldCharType="begin"/>
            </w:r>
            <w:r w:rsidR="005B137C" w:rsidRPr="0087076A">
              <w:rPr>
                <w:sz w:val="20"/>
                <w:szCs w:val="20"/>
                <w:lang w:val="fr-CA"/>
              </w:rPr>
              <w:instrText xml:space="preserve"> SEQ CHAPTER \h \r 1</w:instrText>
            </w:r>
            <w:r w:rsidRPr="0087076A">
              <w:rPr>
                <w:sz w:val="20"/>
                <w:szCs w:val="20"/>
              </w:rPr>
              <w:fldChar w:fldCharType="end"/>
            </w:r>
            <w:r w:rsidRPr="0087076A">
              <w:rPr>
                <w:sz w:val="20"/>
                <w:szCs w:val="20"/>
              </w:rPr>
              <w:fldChar w:fldCharType="begin"/>
            </w:r>
            <w:r w:rsidR="005B137C" w:rsidRPr="0087076A">
              <w:rPr>
                <w:sz w:val="20"/>
                <w:szCs w:val="20"/>
                <w:lang w:val="fr-CA"/>
              </w:rPr>
              <w:instrText xml:space="preserve"> SEQ CHAPTER \h \r 1</w:instrText>
            </w:r>
            <w:r w:rsidRPr="0087076A">
              <w:rPr>
                <w:sz w:val="20"/>
                <w:szCs w:val="20"/>
              </w:rPr>
              <w:fldChar w:fldCharType="end"/>
            </w:r>
            <w:r w:rsidR="005B137C" w:rsidRPr="0087076A">
              <w:rPr>
                <w:b/>
                <w:bCs/>
                <w:sz w:val="20"/>
                <w:szCs w:val="20"/>
                <w:lang w:val="fr-CA"/>
              </w:rPr>
              <w:t>Requête en vue de déposer un document supplémentaire</w:t>
            </w:r>
            <w:r w:rsidR="005B137C" w:rsidRPr="0087076A">
              <w:rPr>
                <w:sz w:val="20"/>
                <w:szCs w:val="20"/>
                <w:lang w:val="fr-CA"/>
              </w:rPr>
              <w:t xml:space="preserve"> </w:t>
            </w:r>
            <w:r w:rsidR="005B137C" w:rsidRPr="0087076A">
              <w:rPr>
                <w:b/>
                <w:bCs/>
                <w:sz w:val="20"/>
                <w:szCs w:val="20"/>
                <w:lang w:val="fr-CA"/>
              </w:rPr>
              <w:t xml:space="preserve">en vertu du paragraphe 32(2) des </w:t>
            </w:r>
            <w:r w:rsidR="005B137C" w:rsidRPr="0087076A">
              <w:rPr>
                <w:b/>
                <w:bCs/>
                <w:i/>
                <w:iCs/>
                <w:sz w:val="20"/>
                <w:szCs w:val="20"/>
                <w:lang w:val="fr-CA"/>
              </w:rPr>
              <w:t>Règles de la Cour suprême du Canada</w:t>
            </w:r>
          </w:p>
        </w:tc>
      </w:tr>
      <w:tr w:rsidR="005B137C" w:rsidRPr="0087076A" w:rsidTr="00741DC5">
        <w:tc>
          <w:tcPr>
            <w:tcW w:w="4338" w:type="dxa"/>
          </w:tcPr>
          <w:p w:rsidR="005B137C" w:rsidRPr="0087076A" w:rsidRDefault="005B137C" w:rsidP="00741DC5">
            <w:pPr>
              <w:tabs>
                <w:tab w:val="left" w:pos="-1440"/>
                <w:tab w:val="left" w:pos="-720"/>
              </w:tabs>
              <w:jc w:val="both"/>
              <w:rPr>
                <w:sz w:val="20"/>
                <w:szCs w:val="20"/>
              </w:rPr>
            </w:pPr>
            <w:r w:rsidRPr="0087076A">
              <w:rPr>
                <w:sz w:val="20"/>
                <w:szCs w:val="20"/>
              </w:rPr>
              <w:t>M-Systems Flash Disk Pioneers Ltd.</w:t>
            </w:r>
          </w:p>
          <w:p w:rsidR="005B137C" w:rsidRPr="0087076A" w:rsidRDefault="005B137C" w:rsidP="00741DC5">
            <w:pPr>
              <w:tabs>
                <w:tab w:val="left" w:pos="-1440"/>
                <w:tab w:val="left" w:pos="-720"/>
              </w:tabs>
              <w:jc w:val="both"/>
              <w:rPr>
                <w:sz w:val="20"/>
                <w:szCs w:val="20"/>
              </w:rPr>
            </w:pPr>
          </w:p>
          <w:p w:rsidR="005B137C" w:rsidRPr="0087076A" w:rsidRDefault="005B137C" w:rsidP="00741DC5">
            <w:pPr>
              <w:tabs>
                <w:tab w:val="left" w:pos="-1440"/>
                <w:tab w:val="left" w:pos="-720"/>
              </w:tabs>
              <w:jc w:val="both"/>
              <w:rPr>
                <w:sz w:val="20"/>
                <w:szCs w:val="20"/>
              </w:rPr>
            </w:pPr>
            <w:r w:rsidRPr="0087076A">
              <w:rPr>
                <w:sz w:val="20"/>
                <w:szCs w:val="20"/>
              </w:rPr>
              <w:tab/>
              <w:t>v. (34275)</w:t>
            </w:r>
          </w:p>
          <w:p w:rsidR="005B137C" w:rsidRPr="0087076A" w:rsidRDefault="005B137C" w:rsidP="00741DC5">
            <w:pPr>
              <w:tabs>
                <w:tab w:val="left" w:pos="-1440"/>
                <w:tab w:val="left" w:pos="-720"/>
              </w:tabs>
              <w:jc w:val="both"/>
              <w:rPr>
                <w:sz w:val="20"/>
                <w:szCs w:val="20"/>
              </w:rPr>
            </w:pPr>
          </w:p>
          <w:p w:rsidR="005B137C" w:rsidRPr="0087076A" w:rsidRDefault="005B137C" w:rsidP="00741DC5">
            <w:pPr>
              <w:tabs>
                <w:tab w:val="left" w:pos="-1440"/>
                <w:tab w:val="left" w:pos="-720"/>
              </w:tabs>
              <w:jc w:val="both"/>
              <w:rPr>
                <w:sz w:val="20"/>
                <w:szCs w:val="20"/>
              </w:rPr>
            </w:pPr>
            <w:r w:rsidRPr="0087076A">
              <w:rPr>
                <w:sz w:val="20"/>
                <w:szCs w:val="20"/>
              </w:rPr>
              <w:t>Commissioner of Patents (Attorney General of Canda) (F.C.)</w:t>
            </w:r>
          </w:p>
        </w:tc>
        <w:tc>
          <w:tcPr>
            <w:tcW w:w="1170" w:type="dxa"/>
          </w:tcPr>
          <w:p w:rsidR="005B137C" w:rsidRPr="0087076A" w:rsidRDefault="005B137C" w:rsidP="00741DC5">
            <w:pPr>
              <w:tabs>
                <w:tab w:val="left" w:pos="-1440"/>
                <w:tab w:val="left" w:pos="-720"/>
              </w:tabs>
              <w:jc w:val="both"/>
              <w:rPr>
                <w:sz w:val="20"/>
                <w:szCs w:val="20"/>
              </w:rPr>
            </w:pPr>
          </w:p>
        </w:tc>
        <w:tc>
          <w:tcPr>
            <w:tcW w:w="4327" w:type="dxa"/>
          </w:tcPr>
          <w:p w:rsidR="005B137C" w:rsidRPr="0087076A" w:rsidRDefault="005B137C" w:rsidP="00741DC5">
            <w:pPr>
              <w:tabs>
                <w:tab w:val="left" w:pos="-1440"/>
                <w:tab w:val="left" w:pos="-720"/>
              </w:tabs>
              <w:jc w:val="both"/>
              <w:rPr>
                <w:sz w:val="20"/>
                <w:szCs w:val="20"/>
              </w:rPr>
            </w:pPr>
          </w:p>
        </w:tc>
      </w:tr>
    </w:tbl>
    <w:p w:rsidR="005B137C" w:rsidRPr="0087076A" w:rsidRDefault="005B137C" w:rsidP="005B137C">
      <w:pPr>
        <w:tabs>
          <w:tab w:val="left" w:pos="-1440"/>
          <w:tab w:val="left" w:pos="-720"/>
        </w:tabs>
        <w:jc w:val="both"/>
        <w:rPr>
          <w:b/>
          <w:sz w:val="20"/>
          <w:szCs w:val="20"/>
        </w:rPr>
      </w:pPr>
    </w:p>
    <w:p w:rsidR="005B137C" w:rsidRPr="0087076A" w:rsidRDefault="005B137C" w:rsidP="005B137C">
      <w:pPr>
        <w:tabs>
          <w:tab w:val="left" w:pos="-1440"/>
          <w:tab w:val="left" w:pos="-720"/>
        </w:tabs>
        <w:jc w:val="both"/>
        <w:rPr>
          <w:b/>
          <w:sz w:val="20"/>
          <w:szCs w:val="20"/>
        </w:rPr>
      </w:pPr>
      <w:r w:rsidRPr="0087076A">
        <w:rPr>
          <w:b/>
          <w:sz w:val="20"/>
          <w:szCs w:val="20"/>
        </w:rPr>
        <w:t>DISMISSED / REJETÉE</w:t>
      </w:r>
    </w:p>
    <w:p w:rsidR="005B137C" w:rsidRPr="0087076A" w:rsidRDefault="005B137C" w:rsidP="005B137C">
      <w:pPr>
        <w:tabs>
          <w:tab w:val="left" w:pos="-1440"/>
          <w:tab w:val="left" w:pos="-720"/>
        </w:tabs>
        <w:jc w:val="both"/>
        <w:rPr>
          <w:sz w:val="20"/>
          <w:szCs w:val="20"/>
        </w:rPr>
      </w:pPr>
    </w:p>
    <w:p w:rsidR="005B137C" w:rsidRPr="0087076A" w:rsidRDefault="005B137C" w:rsidP="005B137C">
      <w:pPr>
        <w:jc w:val="both"/>
        <w:rPr>
          <w:sz w:val="20"/>
          <w:szCs w:val="20"/>
        </w:rPr>
      </w:pPr>
      <w:r w:rsidRPr="0087076A">
        <w:rPr>
          <w:b/>
          <w:sz w:val="20"/>
          <w:szCs w:val="20"/>
        </w:rPr>
        <w:t>UPON APPLICATION</w:t>
      </w:r>
      <w:r w:rsidRPr="0087076A">
        <w:rPr>
          <w:sz w:val="20"/>
          <w:szCs w:val="20"/>
        </w:rPr>
        <w:t xml:space="preserve"> </w:t>
      </w:r>
      <w:r w:rsidR="00460701" w:rsidRPr="0087076A">
        <w:rPr>
          <w:sz w:val="20"/>
          <w:szCs w:val="20"/>
        </w:rPr>
        <w:fldChar w:fldCharType="begin"/>
      </w:r>
      <w:r w:rsidRPr="0087076A">
        <w:rPr>
          <w:sz w:val="20"/>
          <w:szCs w:val="20"/>
        </w:rPr>
        <w:instrText xml:space="preserve"> SEQ CHAPTER \h \r 1</w:instrText>
      </w:r>
      <w:r w:rsidR="00460701" w:rsidRPr="0087076A">
        <w:rPr>
          <w:sz w:val="20"/>
          <w:szCs w:val="20"/>
        </w:rPr>
        <w:fldChar w:fldCharType="end"/>
      </w:r>
      <w:r w:rsidRPr="0087076A">
        <w:rPr>
          <w:sz w:val="20"/>
          <w:szCs w:val="20"/>
        </w:rPr>
        <w:t xml:space="preserve">made on behalf of the Applicant pursuant to the provisions of Rule 32(2) for an order to file additional material namely the judgment in </w:t>
      </w:r>
      <w:r w:rsidRPr="0087076A">
        <w:rPr>
          <w:i/>
          <w:sz w:val="20"/>
          <w:szCs w:val="20"/>
        </w:rPr>
        <w:t>Corlac Inc. v. Weatherford  Canada Inc.,</w:t>
      </w:r>
      <w:r w:rsidRPr="0087076A">
        <w:rPr>
          <w:sz w:val="20"/>
          <w:szCs w:val="20"/>
        </w:rPr>
        <w:t xml:space="preserve"> 2011 FCA 228,</w:t>
      </w:r>
      <w:r w:rsidRPr="0087076A">
        <w:rPr>
          <w:i/>
          <w:sz w:val="20"/>
          <w:szCs w:val="20"/>
        </w:rPr>
        <w:t xml:space="preserve"> </w:t>
      </w:r>
      <w:r w:rsidRPr="0087076A">
        <w:rPr>
          <w:sz w:val="20"/>
          <w:szCs w:val="20"/>
        </w:rPr>
        <w:t xml:space="preserve">and to submit the notice of application for leave to appeal in </w:t>
      </w:r>
      <w:r w:rsidRPr="0087076A">
        <w:rPr>
          <w:i/>
          <w:sz w:val="20"/>
          <w:szCs w:val="20"/>
        </w:rPr>
        <w:t>Corlac Inc. v. Weatherford  Canada Inc.</w:t>
      </w:r>
      <w:r w:rsidRPr="0087076A">
        <w:rPr>
          <w:sz w:val="20"/>
          <w:szCs w:val="20"/>
        </w:rPr>
        <w:t xml:space="preserve"> (SCC file No. 34459) to the panel reviewing the application for leave to appeal herein.;</w:t>
      </w:r>
    </w:p>
    <w:p w:rsidR="005B137C" w:rsidRPr="0087076A" w:rsidRDefault="005B137C" w:rsidP="005B137C">
      <w:pPr>
        <w:rPr>
          <w:sz w:val="20"/>
          <w:szCs w:val="20"/>
        </w:rPr>
      </w:pPr>
    </w:p>
    <w:p w:rsidR="005B137C" w:rsidRPr="0087076A" w:rsidRDefault="00460701" w:rsidP="005B137C">
      <w:pPr>
        <w:rPr>
          <w:sz w:val="20"/>
          <w:szCs w:val="20"/>
        </w:rPr>
      </w:pPr>
      <w:r w:rsidRPr="0087076A">
        <w:rPr>
          <w:sz w:val="20"/>
          <w:szCs w:val="20"/>
        </w:rPr>
        <w:fldChar w:fldCharType="begin"/>
      </w:r>
      <w:r w:rsidR="005B137C" w:rsidRPr="0087076A">
        <w:rPr>
          <w:sz w:val="20"/>
          <w:szCs w:val="20"/>
        </w:rPr>
        <w:instrText xml:space="preserve"> SEQ CHAPTER \h \r 1</w:instrText>
      </w:r>
      <w:r w:rsidRPr="0087076A">
        <w:rPr>
          <w:sz w:val="20"/>
          <w:szCs w:val="20"/>
        </w:rPr>
        <w:fldChar w:fldCharType="end"/>
      </w:r>
      <w:r w:rsidR="005B137C" w:rsidRPr="0087076A">
        <w:rPr>
          <w:b/>
          <w:bCs/>
          <w:sz w:val="20"/>
          <w:szCs w:val="20"/>
        </w:rPr>
        <w:t>AND HAVING READ</w:t>
      </w:r>
      <w:r w:rsidR="005B137C" w:rsidRPr="0087076A">
        <w:rPr>
          <w:sz w:val="20"/>
          <w:szCs w:val="20"/>
        </w:rPr>
        <w:t xml:space="preserve"> the material filed;</w:t>
      </w:r>
    </w:p>
    <w:p w:rsidR="005B137C" w:rsidRPr="0087076A" w:rsidRDefault="005B137C" w:rsidP="005B137C">
      <w:pPr>
        <w:rPr>
          <w:sz w:val="20"/>
          <w:szCs w:val="20"/>
        </w:rPr>
      </w:pPr>
    </w:p>
    <w:p w:rsidR="005B137C" w:rsidRPr="0087076A" w:rsidRDefault="005B137C" w:rsidP="005B137C">
      <w:pPr>
        <w:rPr>
          <w:b/>
          <w:sz w:val="20"/>
          <w:szCs w:val="20"/>
        </w:rPr>
      </w:pPr>
      <w:r w:rsidRPr="0087076A">
        <w:rPr>
          <w:b/>
          <w:sz w:val="20"/>
          <w:szCs w:val="20"/>
        </w:rPr>
        <w:t>IT IS HEREBY ORDERED THAT:</w:t>
      </w:r>
    </w:p>
    <w:p w:rsidR="005B137C" w:rsidRPr="0087076A" w:rsidRDefault="005B137C" w:rsidP="005B137C">
      <w:pPr>
        <w:pStyle w:val="ListParagraph"/>
        <w:ind w:left="360"/>
        <w:rPr>
          <w:sz w:val="20"/>
          <w:szCs w:val="20"/>
        </w:rPr>
      </w:pPr>
    </w:p>
    <w:p w:rsidR="005B137C" w:rsidRPr="0087076A" w:rsidRDefault="005B137C" w:rsidP="005B137C">
      <w:pPr>
        <w:pStyle w:val="ListParagraph"/>
        <w:ind w:left="360"/>
        <w:rPr>
          <w:sz w:val="20"/>
          <w:szCs w:val="20"/>
          <w:lang w:val="fr-CA"/>
        </w:rPr>
      </w:pPr>
      <w:r w:rsidRPr="0087076A">
        <w:rPr>
          <w:sz w:val="20"/>
          <w:szCs w:val="20"/>
          <w:lang w:val="fr-CA"/>
        </w:rPr>
        <w:t>The motion is dismissed.</w:t>
      </w:r>
    </w:p>
    <w:p w:rsidR="005B137C" w:rsidRPr="0087076A" w:rsidRDefault="005B137C" w:rsidP="005B137C">
      <w:pPr>
        <w:jc w:val="both"/>
        <w:rPr>
          <w:sz w:val="20"/>
          <w:szCs w:val="20"/>
          <w:lang w:val="fr-CA"/>
        </w:rPr>
      </w:pPr>
    </w:p>
    <w:p w:rsidR="005B137C" w:rsidRPr="0087076A" w:rsidRDefault="005B137C" w:rsidP="005B137C">
      <w:pPr>
        <w:jc w:val="both"/>
        <w:rPr>
          <w:sz w:val="20"/>
          <w:szCs w:val="20"/>
          <w:lang w:val="fr-CA"/>
        </w:rPr>
      </w:pPr>
    </w:p>
    <w:p w:rsidR="005B137C" w:rsidRPr="0087076A" w:rsidRDefault="005B137C" w:rsidP="005B137C">
      <w:pPr>
        <w:jc w:val="both"/>
        <w:rPr>
          <w:sz w:val="20"/>
          <w:szCs w:val="20"/>
          <w:lang w:val="fr-CA"/>
        </w:rPr>
      </w:pPr>
    </w:p>
    <w:p w:rsidR="005B137C" w:rsidRPr="0087076A" w:rsidRDefault="005B137C" w:rsidP="005B137C">
      <w:pPr>
        <w:jc w:val="both"/>
        <w:rPr>
          <w:sz w:val="20"/>
          <w:szCs w:val="20"/>
          <w:lang w:val="fr-CA"/>
        </w:rPr>
      </w:pPr>
      <w:r w:rsidRPr="0087076A">
        <w:rPr>
          <w:b/>
          <w:sz w:val="20"/>
          <w:szCs w:val="20"/>
          <w:lang w:val="fr-CA"/>
        </w:rPr>
        <w:t>À LA SUITE D’UNE REQUÊTE</w:t>
      </w:r>
      <w:r w:rsidRPr="0087076A">
        <w:rPr>
          <w:sz w:val="20"/>
          <w:szCs w:val="20"/>
          <w:lang w:val="fr-CA"/>
        </w:rPr>
        <w:t xml:space="preserve"> présentée au nom de la demanderesse sollicitant la permission de déposer un document supplémentaire en vertu du paragraphe 32(2) des </w:t>
      </w:r>
      <w:r w:rsidRPr="0087076A">
        <w:rPr>
          <w:i/>
          <w:sz w:val="20"/>
          <w:szCs w:val="20"/>
          <w:lang w:val="fr-CA"/>
        </w:rPr>
        <w:t>Règles</w:t>
      </w:r>
      <w:r w:rsidRPr="0087076A">
        <w:rPr>
          <w:sz w:val="20"/>
          <w:szCs w:val="20"/>
          <w:lang w:val="fr-CA"/>
        </w:rPr>
        <w:t xml:space="preserve">, soit le jugement </w:t>
      </w:r>
      <w:r w:rsidR="00460701" w:rsidRPr="0087076A">
        <w:rPr>
          <w:sz w:val="20"/>
          <w:szCs w:val="20"/>
          <w:lang w:val="fr-CA"/>
        </w:rPr>
        <w:fldChar w:fldCharType="begin"/>
      </w:r>
      <w:r w:rsidRPr="0087076A">
        <w:rPr>
          <w:sz w:val="20"/>
          <w:szCs w:val="20"/>
          <w:lang w:val="fr-CA"/>
        </w:rPr>
        <w:instrText xml:space="preserve"> SEQ CHAPTER \h \r 1</w:instrText>
      </w:r>
      <w:r w:rsidR="00460701" w:rsidRPr="0087076A">
        <w:rPr>
          <w:sz w:val="20"/>
          <w:szCs w:val="20"/>
          <w:lang w:val="fr-CA"/>
        </w:rPr>
        <w:fldChar w:fldCharType="end"/>
      </w:r>
      <w:r w:rsidRPr="0087076A">
        <w:rPr>
          <w:i/>
          <w:sz w:val="20"/>
          <w:szCs w:val="20"/>
          <w:lang w:val="fr-CA"/>
        </w:rPr>
        <w:t>Corlac Inc. c. Weatherford  Canada Inc.,</w:t>
      </w:r>
      <w:r w:rsidRPr="0087076A">
        <w:rPr>
          <w:sz w:val="20"/>
          <w:szCs w:val="20"/>
          <w:lang w:val="fr-CA"/>
        </w:rPr>
        <w:t xml:space="preserve"> 2011 CAF 228,</w:t>
      </w:r>
      <w:r w:rsidRPr="0087076A">
        <w:rPr>
          <w:i/>
          <w:sz w:val="20"/>
          <w:szCs w:val="20"/>
          <w:lang w:val="fr-CA"/>
        </w:rPr>
        <w:t xml:space="preserve"> </w:t>
      </w:r>
      <w:r w:rsidRPr="0087076A">
        <w:rPr>
          <w:sz w:val="20"/>
          <w:szCs w:val="20"/>
          <w:lang w:val="fr-CA"/>
        </w:rPr>
        <w:t xml:space="preserve">et visant à ce que l’avis de demande d’autorisation d’appel dans </w:t>
      </w:r>
      <w:r w:rsidRPr="0087076A">
        <w:rPr>
          <w:i/>
          <w:sz w:val="20"/>
          <w:szCs w:val="20"/>
          <w:lang w:val="fr-CA"/>
        </w:rPr>
        <w:t>Corlac Inc. c. Weatherford  Canada Inc.</w:t>
      </w:r>
      <w:r w:rsidRPr="0087076A">
        <w:rPr>
          <w:sz w:val="20"/>
          <w:szCs w:val="20"/>
          <w:lang w:val="fr-CA"/>
        </w:rPr>
        <w:t xml:space="preserve"> (n</w:t>
      </w:r>
      <w:r w:rsidRPr="0087076A">
        <w:rPr>
          <w:sz w:val="20"/>
          <w:szCs w:val="20"/>
          <w:vertAlign w:val="superscript"/>
          <w:lang w:val="fr-CA"/>
        </w:rPr>
        <w:t>o</w:t>
      </w:r>
      <w:r w:rsidRPr="0087076A">
        <w:rPr>
          <w:sz w:val="20"/>
          <w:szCs w:val="20"/>
          <w:lang w:val="fr-CA"/>
        </w:rPr>
        <w:t xml:space="preserve"> de dossier de la CSC 34459) soit présenté à la formation saisie de la demande d’autorisation d’appel dans le présent dossier;</w:t>
      </w:r>
    </w:p>
    <w:p w:rsidR="005B137C" w:rsidRPr="0087076A" w:rsidRDefault="005B137C" w:rsidP="005B137C">
      <w:pPr>
        <w:rPr>
          <w:sz w:val="20"/>
          <w:szCs w:val="20"/>
          <w:lang w:val="fr-CA"/>
        </w:rPr>
      </w:pPr>
    </w:p>
    <w:p w:rsidR="005B137C" w:rsidRPr="0087076A" w:rsidRDefault="005B137C" w:rsidP="005B137C">
      <w:pPr>
        <w:rPr>
          <w:sz w:val="20"/>
          <w:szCs w:val="20"/>
          <w:lang w:val="fr-CA"/>
        </w:rPr>
      </w:pPr>
      <w:r w:rsidRPr="0087076A">
        <w:rPr>
          <w:b/>
          <w:sz w:val="20"/>
          <w:szCs w:val="20"/>
          <w:lang w:val="fr-CA"/>
        </w:rPr>
        <w:t>APRÈS EXAMEN</w:t>
      </w:r>
      <w:r w:rsidRPr="0087076A">
        <w:rPr>
          <w:sz w:val="20"/>
          <w:szCs w:val="20"/>
          <w:lang w:val="fr-CA"/>
        </w:rPr>
        <w:t xml:space="preserve"> des documents déposés</w:t>
      </w:r>
      <w:r w:rsidR="00460701" w:rsidRPr="0087076A">
        <w:rPr>
          <w:sz w:val="20"/>
          <w:szCs w:val="20"/>
          <w:lang w:val="fr-CA"/>
        </w:rPr>
        <w:fldChar w:fldCharType="begin"/>
      </w:r>
      <w:r w:rsidRPr="0087076A">
        <w:rPr>
          <w:sz w:val="20"/>
          <w:szCs w:val="20"/>
          <w:lang w:val="fr-CA"/>
        </w:rPr>
        <w:instrText xml:space="preserve"> SEQ CHAPTER \h \r 1</w:instrText>
      </w:r>
      <w:r w:rsidR="00460701" w:rsidRPr="0087076A">
        <w:rPr>
          <w:sz w:val="20"/>
          <w:szCs w:val="20"/>
          <w:lang w:val="fr-CA"/>
        </w:rPr>
        <w:fldChar w:fldCharType="end"/>
      </w:r>
      <w:r w:rsidRPr="0087076A">
        <w:rPr>
          <w:sz w:val="20"/>
          <w:szCs w:val="20"/>
          <w:lang w:val="fr-CA"/>
        </w:rPr>
        <w:t>;</w:t>
      </w:r>
    </w:p>
    <w:p w:rsidR="005B137C" w:rsidRPr="0087076A" w:rsidRDefault="005B137C" w:rsidP="005B137C">
      <w:pPr>
        <w:rPr>
          <w:sz w:val="20"/>
          <w:szCs w:val="20"/>
          <w:lang w:val="fr-CA"/>
        </w:rPr>
      </w:pPr>
    </w:p>
    <w:p w:rsidR="005B137C" w:rsidRPr="0087076A" w:rsidRDefault="005B137C" w:rsidP="005B137C">
      <w:pPr>
        <w:rPr>
          <w:b/>
          <w:sz w:val="20"/>
          <w:szCs w:val="20"/>
          <w:lang w:val="fr-CA"/>
        </w:rPr>
      </w:pPr>
      <w:r w:rsidRPr="0087076A">
        <w:rPr>
          <w:b/>
          <w:sz w:val="20"/>
          <w:szCs w:val="20"/>
          <w:lang w:val="fr-CA"/>
        </w:rPr>
        <w:t>IL EST ORDONNÉ CE QUI SUIT :</w:t>
      </w:r>
    </w:p>
    <w:p w:rsidR="005B137C" w:rsidRPr="0087076A" w:rsidRDefault="005B137C" w:rsidP="005B137C">
      <w:pPr>
        <w:pStyle w:val="ListParagraph"/>
        <w:ind w:left="360"/>
        <w:rPr>
          <w:sz w:val="20"/>
          <w:szCs w:val="20"/>
          <w:lang w:val="fr-CA"/>
        </w:rPr>
      </w:pPr>
    </w:p>
    <w:p w:rsidR="005B137C" w:rsidRPr="0087076A" w:rsidRDefault="005B137C" w:rsidP="005B137C">
      <w:pPr>
        <w:pStyle w:val="ListParagraph"/>
        <w:ind w:left="360"/>
        <w:rPr>
          <w:sz w:val="20"/>
          <w:szCs w:val="20"/>
          <w:lang w:val="fr-CA"/>
        </w:rPr>
      </w:pPr>
      <w:r w:rsidRPr="0087076A">
        <w:rPr>
          <w:sz w:val="20"/>
          <w:szCs w:val="20"/>
          <w:lang w:val="fr-CA"/>
        </w:rPr>
        <w:t>La requête est rejetée.</w:t>
      </w:r>
    </w:p>
    <w:p w:rsidR="005B137C" w:rsidRPr="0087076A" w:rsidRDefault="005B137C" w:rsidP="005B137C">
      <w:pPr>
        <w:jc w:val="both"/>
        <w:rPr>
          <w:sz w:val="20"/>
          <w:szCs w:val="20"/>
        </w:rPr>
      </w:pPr>
    </w:p>
    <w:p w:rsidR="005B137C" w:rsidRPr="0087076A" w:rsidRDefault="005B137C" w:rsidP="005B137C">
      <w:pPr>
        <w:tabs>
          <w:tab w:val="left" w:pos="-1440"/>
          <w:tab w:val="left" w:pos="-720"/>
        </w:tabs>
        <w:spacing w:line="-19" w:lineRule="auto"/>
        <w:jc w:val="both"/>
        <w:rPr>
          <w:sz w:val="20"/>
          <w:szCs w:val="20"/>
        </w:rPr>
      </w:pPr>
    </w:p>
    <w:p w:rsidR="005B137C" w:rsidRPr="0087076A" w:rsidRDefault="00460701" w:rsidP="005B137C">
      <w:pPr>
        <w:tabs>
          <w:tab w:val="left" w:pos="-1440"/>
          <w:tab w:val="left" w:pos="-720"/>
        </w:tabs>
        <w:jc w:val="both"/>
        <w:rPr>
          <w:sz w:val="20"/>
          <w:szCs w:val="20"/>
        </w:rPr>
      </w:pPr>
      <w:r w:rsidRPr="00460701">
        <w:rPr>
          <w:sz w:val="20"/>
          <w:szCs w:val="20"/>
          <w:lang w:val="fr-CA"/>
        </w:rPr>
        <w:pict>
          <v:rect id="_x0000_i1067" style="width:2in;height:1pt" o:hrpct="0" o:hralign="center" o:hrstd="t" o:hrnoshade="t" o:hr="t" fillcolor="black [3213]" stroked="f"/>
        </w:pict>
      </w:r>
    </w:p>
    <w:p w:rsidR="005B137C" w:rsidRPr="0087076A" w:rsidRDefault="005B137C" w:rsidP="005B137C">
      <w:pPr>
        <w:rPr>
          <w:sz w:val="20"/>
          <w:szCs w:val="20"/>
          <w:lang w:val="fr-CA"/>
        </w:rPr>
      </w:pPr>
      <w:r w:rsidRPr="0087076A">
        <w:rPr>
          <w:sz w:val="20"/>
          <w:szCs w:val="20"/>
          <w:lang w:val="fr-CA"/>
        </w:rPr>
        <w:br w:type="page"/>
      </w:r>
    </w:p>
    <w:p w:rsidR="005B137C" w:rsidRPr="0087076A" w:rsidRDefault="005B137C" w:rsidP="005B137C">
      <w:pPr>
        <w:tabs>
          <w:tab w:val="left" w:pos="-1440"/>
          <w:tab w:val="left" w:pos="-720"/>
        </w:tabs>
        <w:jc w:val="both"/>
        <w:rPr>
          <w:sz w:val="20"/>
          <w:szCs w:val="20"/>
          <w:lang w:val="fr-CA"/>
        </w:rPr>
      </w:pPr>
      <w:r w:rsidRPr="0087076A">
        <w:rPr>
          <w:sz w:val="20"/>
          <w:szCs w:val="20"/>
          <w:lang w:val="fr-CA"/>
        </w:rPr>
        <w:lastRenderedPageBreak/>
        <w:t>19.10.2011</w:t>
      </w:r>
    </w:p>
    <w:p w:rsidR="005B137C" w:rsidRPr="0087076A" w:rsidRDefault="005B137C" w:rsidP="005B137C">
      <w:pPr>
        <w:tabs>
          <w:tab w:val="left" w:pos="-1440"/>
          <w:tab w:val="left" w:pos="-720"/>
        </w:tabs>
        <w:jc w:val="both"/>
        <w:rPr>
          <w:sz w:val="20"/>
          <w:szCs w:val="20"/>
          <w:lang w:val="fr-CA"/>
        </w:rPr>
      </w:pPr>
    </w:p>
    <w:p w:rsidR="005B137C" w:rsidRPr="0087076A" w:rsidRDefault="005B137C" w:rsidP="005B137C">
      <w:pPr>
        <w:tabs>
          <w:tab w:val="left" w:pos="-1440"/>
          <w:tab w:val="left" w:pos="-720"/>
        </w:tabs>
        <w:jc w:val="both"/>
        <w:rPr>
          <w:sz w:val="20"/>
          <w:szCs w:val="20"/>
          <w:lang w:val="fr-CA"/>
        </w:rPr>
      </w:pPr>
      <w:r w:rsidRPr="0087076A">
        <w:rPr>
          <w:sz w:val="20"/>
          <w:szCs w:val="20"/>
          <w:lang w:val="fr-CA"/>
        </w:rPr>
        <w:t>Before / Devant :   CROMWELL J. / LE JUGE CROMWELL</w:t>
      </w:r>
    </w:p>
    <w:p w:rsidR="005B137C" w:rsidRPr="0087076A" w:rsidRDefault="005B137C" w:rsidP="005B137C">
      <w:pPr>
        <w:tabs>
          <w:tab w:val="left" w:pos="-1440"/>
          <w:tab w:val="left" w:pos="-720"/>
        </w:tabs>
        <w:jc w:val="both"/>
        <w:rPr>
          <w:sz w:val="20"/>
          <w:szCs w:val="20"/>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2970"/>
        <w:gridCol w:w="1170"/>
        <w:gridCol w:w="4327"/>
      </w:tblGrid>
      <w:tr w:rsidR="005B137C" w:rsidRPr="005B137C" w:rsidTr="00741DC5">
        <w:tc>
          <w:tcPr>
            <w:tcW w:w="4338" w:type="dxa"/>
            <w:gridSpan w:val="2"/>
          </w:tcPr>
          <w:p w:rsidR="005B137C" w:rsidRPr="0087076A" w:rsidRDefault="005B137C" w:rsidP="00741DC5">
            <w:pPr>
              <w:rPr>
                <w:b/>
                <w:sz w:val="20"/>
                <w:szCs w:val="20"/>
              </w:rPr>
            </w:pPr>
            <w:r w:rsidRPr="0087076A">
              <w:rPr>
                <w:b/>
                <w:sz w:val="20"/>
                <w:szCs w:val="20"/>
              </w:rPr>
              <w:t>Order on interventions with respect to oral argument</w:t>
            </w:r>
          </w:p>
        </w:tc>
        <w:tc>
          <w:tcPr>
            <w:tcW w:w="1170" w:type="dxa"/>
          </w:tcPr>
          <w:p w:rsidR="005B137C" w:rsidRPr="0087076A" w:rsidRDefault="005B137C" w:rsidP="00741DC5">
            <w:pPr>
              <w:rPr>
                <w:sz w:val="20"/>
                <w:szCs w:val="20"/>
              </w:rPr>
            </w:pPr>
          </w:p>
          <w:p w:rsidR="005B137C" w:rsidRPr="0087076A" w:rsidRDefault="005B137C" w:rsidP="00741DC5">
            <w:pPr>
              <w:rPr>
                <w:sz w:val="20"/>
                <w:szCs w:val="20"/>
              </w:rPr>
            </w:pPr>
          </w:p>
          <w:p w:rsidR="005B137C" w:rsidRPr="0087076A" w:rsidRDefault="005B137C" w:rsidP="00741DC5">
            <w:pPr>
              <w:rPr>
                <w:sz w:val="20"/>
                <w:szCs w:val="20"/>
              </w:rPr>
            </w:pPr>
          </w:p>
        </w:tc>
        <w:tc>
          <w:tcPr>
            <w:tcW w:w="4327" w:type="dxa"/>
          </w:tcPr>
          <w:p w:rsidR="005B137C" w:rsidRPr="0087076A" w:rsidRDefault="00460701" w:rsidP="00741DC5">
            <w:pPr>
              <w:rPr>
                <w:b/>
                <w:sz w:val="20"/>
                <w:szCs w:val="20"/>
                <w:lang w:val="fr-CA"/>
              </w:rPr>
            </w:pPr>
            <w:r w:rsidRPr="0087076A">
              <w:rPr>
                <w:sz w:val="20"/>
                <w:szCs w:val="20"/>
              </w:rPr>
              <w:fldChar w:fldCharType="begin"/>
            </w:r>
            <w:r w:rsidR="005B137C" w:rsidRPr="0087076A">
              <w:rPr>
                <w:sz w:val="20"/>
                <w:szCs w:val="20"/>
                <w:lang w:val="fr-CA"/>
              </w:rPr>
              <w:instrText xml:space="preserve"> SEQ CHAPTER \h \r 1</w:instrText>
            </w:r>
            <w:r w:rsidRPr="0087076A">
              <w:rPr>
                <w:sz w:val="20"/>
                <w:szCs w:val="20"/>
              </w:rPr>
              <w:fldChar w:fldCharType="end"/>
            </w:r>
            <w:r w:rsidR="005B137C" w:rsidRPr="0087076A">
              <w:rPr>
                <w:b/>
                <w:sz w:val="20"/>
                <w:szCs w:val="20"/>
                <w:lang w:val="fr-CA"/>
              </w:rPr>
              <w:t>Ordonnance relative à la présentation d’une plaidoirie orale par les intervenantes</w:t>
            </w:r>
            <w:r w:rsidR="005B137C" w:rsidRPr="0087076A">
              <w:rPr>
                <w:sz w:val="20"/>
                <w:szCs w:val="20"/>
                <w:lang w:val="fr-CA"/>
              </w:rPr>
              <w:t xml:space="preserve"> </w:t>
            </w:r>
            <w:r w:rsidRPr="0087076A">
              <w:rPr>
                <w:sz w:val="20"/>
                <w:szCs w:val="20"/>
              </w:rPr>
              <w:fldChar w:fldCharType="begin"/>
            </w:r>
            <w:r w:rsidR="005B137C" w:rsidRPr="0087076A">
              <w:rPr>
                <w:sz w:val="20"/>
                <w:szCs w:val="20"/>
                <w:lang w:val="fr-CA"/>
              </w:rPr>
              <w:instrText xml:space="preserve"> SEQ CHAPTER \h \r 1</w:instrText>
            </w:r>
            <w:r w:rsidRPr="0087076A">
              <w:rPr>
                <w:sz w:val="20"/>
                <w:szCs w:val="20"/>
              </w:rPr>
              <w:fldChar w:fldCharType="end"/>
            </w:r>
          </w:p>
        </w:tc>
      </w:tr>
      <w:tr w:rsidR="005B137C" w:rsidRPr="0087076A" w:rsidTr="00741DC5">
        <w:tc>
          <w:tcPr>
            <w:tcW w:w="1368" w:type="dxa"/>
          </w:tcPr>
          <w:p w:rsidR="005B137C" w:rsidRPr="0087076A" w:rsidRDefault="005B137C" w:rsidP="00741DC5">
            <w:pPr>
              <w:rPr>
                <w:sz w:val="20"/>
                <w:szCs w:val="20"/>
              </w:rPr>
            </w:pPr>
            <w:r w:rsidRPr="0087076A">
              <w:rPr>
                <w:sz w:val="20"/>
                <w:szCs w:val="20"/>
              </w:rPr>
              <w:t>RE:</w:t>
            </w:r>
          </w:p>
        </w:tc>
        <w:tc>
          <w:tcPr>
            <w:tcW w:w="2970" w:type="dxa"/>
          </w:tcPr>
          <w:p w:rsidR="005B137C" w:rsidRPr="0087076A" w:rsidRDefault="005B137C" w:rsidP="00741DC5">
            <w:pPr>
              <w:rPr>
                <w:sz w:val="20"/>
                <w:szCs w:val="20"/>
              </w:rPr>
            </w:pPr>
            <w:r w:rsidRPr="0087076A">
              <w:rPr>
                <w:sz w:val="20"/>
                <w:szCs w:val="20"/>
              </w:rPr>
              <w:t>Criminal Lawyers' Association (Ontario);</w:t>
            </w:r>
          </w:p>
        </w:tc>
        <w:tc>
          <w:tcPr>
            <w:tcW w:w="1170" w:type="dxa"/>
          </w:tcPr>
          <w:p w:rsidR="005B137C" w:rsidRPr="0087076A" w:rsidRDefault="005B137C" w:rsidP="00741DC5">
            <w:pPr>
              <w:rPr>
                <w:sz w:val="20"/>
                <w:szCs w:val="20"/>
              </w:rPr>
            </w:pPr>
          </w:p>
        </w:tc>
        <w:tc>
          <w:tcPr>
            <w:tcW w:w="4327" w:type="dxa"/>
          </w:tcPr>
          <w:p w:rsidR="005B137C" w:rsidRPr="0087076A" w:rsidRDefault="005B137C" w:rsidP="00741DC5">
            <w:pPr>
              <w:rPr>
                <w:sz w:val="20"/>
                <w:szCs w:val="20"/>
              </w:rPr>
            </w:pPr>
          </w:p>
        </w:tc>
      </w:tr>
      <w:tr w:rsidR="005B137C" w:rsidRPr="0087076A" w:rsidTr="00741DC5">
        <w:tc>
          <w:tcPr>
            <w:tcW w:w="1368" w:type="dxa"/>
          </w:tcPr>
          <w:p w:rsidR="005B137C" w:rsidRPr="0087076A" w:rsidRDefault="005B137C" w:rsidP="00741DC5">
            <w:pPr>
              <w:rPr>
                <w:sz w:val="20"/>
                <w:szCs w:val="20"/>
              </w:rPr>
            </w:pPr>
          </w:p>
        </w:tc>
        <w:tc>
          <w:tcPr>
            <w:tcW w:w="2970" w:type="dxa"/>
          </w:tcPr>
          <w:p w:rsidR="005B137C" w:rsidRPr="0087076A" w:rsidRDefault="005B137C" w:rsidP="00741DC5">
            <w:pPr>
              <w:rPr>
                <w:sz w:val="20"/>
                <w:szCs w:val="20"/>
              </w:rPr>
            </w:pPr>
            <w:r w:rsidRPr="0087076A">
              <w:rPr>
                <w:sz w:val="20"/>
                <w:szCs w:val="20"/>
              </w:rPr>
              <w:t>British Columbia Civil Liberties Association;</w:t>
            </w:r>
          </w:p>
        </w:tc>
        <w:tc>
          <w:tcPr>
            <w:tcW w:w="1170" w:type="dxa"/>
          </w:tcPr>
          <w:p w:rsidR="005B137C" w:rsidRPr="0087076A" w:rsidRDefault="005B137C" w:rsidP="00741DC5">
            <w:pPr>
              <w:rPr>
                <w:sz w:val="20"/>
                <w:szCs w:val="20"/>
              </w:rPr>
            </w:pPr>
          </w:p>
        </w:tc>
        <w:tc>
          <w:tcPr>
            <w:tcW w:w="4327" w:type="dxa"/>
          </w:tcPr>
          <w:p w:rsidR="005B137C" w:rsidRPr="0087076A" w:rsidRDefault="005B137C" w:rsidP="00741DC5">
            <w:pPr>
              <w:rPr>
                <w:sz w:val="20"/>
                <w:szCs w:val="20"/>
              </w:rPr>
            </w:pPr>
          </w:p>
        </w:tc>
      </w:tr>
      <w:tr w:rsidR="005B137C" w:rsidRPr="0087076A" w:rsidTr="00741DC5">
        <w:tc>
          <w:tcPr>
            <w:tcW w:w="1368" w:type="dxa"/>
          </w:tcPr>
          <w:p w:rsidR="005B137C" w:rsidRPr="0087076A" w:rsidRDefault="005B137C" w:rsidP="00741DC5">
            <w:pPr>
              <w:rPr>
                <w:sz w:val="20"/>
                <w:szCs w:val="20"/>
              </w:rPr>
            </w:pPr>
          </w:p>
        </w:tc>
        <w:tc>
          <w:tcPr>
            <w:tcW w:w="2970" w:type="dxa"/>
          </w:tcPr>
          <w:p w:rsidR="005B137C" w:rsidRPr="0087076A" w:rsidRDefault="005B137C" w:rsidP="00741DC5">
            <w:pPr>
              <w:rPr>
                <w:sz w:val="20"/>
                <w:szCs w:val="20"/>
              </w:rPr>
            </w:pPr>
            <w:r w:rsidRPr="0087076A">
              <w:rPr>
                <w:sz w:val="20"/>
                <w:szCs w:val="20"/>
              </w:rPr>
              <w:t>Canadian Civil Liberties Association</w:t>
            </w:r>
          </w:p>
        </w:tc>
        <w:tc>
          <w:tcPr>
            <w:tcW w:w="1170" w:type="dxa"/>
          </w:tcPr>
          <w:p w:rsidR="005B137C" w:rsidRPr="0087076A" w:rsidRDefault="005B137C" w:rsidP="00741DC5">
            <w:pPr>
              <w:rPr>
                <w:sz w:val="20"/>
                <w:szCs w:val="20"/>
              </w:rPr>
            </w:pPr>
          </w:p>
        </w:tc>
        <w:tc>
          <w:tcPr>
            <w:tcW w:w="4327" w:type="dxa"/>
          </w:tcPr>
          <w:p w:rsidR="005B137C" w:rsidRPr="0087076A" w:rsidRDefault="005B137C" w:rsidP="00741DC5">
            <w:pPr>
              <w:rPr>
                <w:sz w:val="20"/>
                <w:szCs w:val="20"/>
              </w:rPr>
            </w:pPr>
          </w:p>
        </w:tc>
      </w:tr>
      <w:tr w:rsidR="005B137C" w:rsidRPr="0087076A" w:rsidTr="00741DC5">
        <w:tc>
          <w:tcPr>
            <w:tcW w:w="1368" w:type="dxa"/>
          </w:tcPr>
          <w:p w:rsidR="005B137C" w:rsidRPr="0087076A" w:rsidRDefault="005B137C" w:rsidP="00741DC5">
            <w:pPr>
              <w:rPr>
                <w:sz w:val="20"/>
                <w:szCs w:val="20"/>
              </w:rPr>
            </w:pPr>
          </w:p>
        </w:tc>
        <w:tc>
          <w:tcPr>
            <w:tcW w:w="2970" w:type="dxa"/>
          </w:tcPr>
          <w:p w:rsidR="005B137C" w:rsidRPr="0087076A" w:rsidRDefault="005B137C" w:rsidP="00741DC5">
            <w:pPr>
              <w:rPr>
                <w:sz w:val="20"/>
                <w:szCs w:val="20"/>
              </w:rPr>
            </w:pPr>
          </w:p>
        </w:tc>
        <w:tc>
          <w:tcPr>
            <w:tcW w:w="1170" w:type="dxa"/>
          </w:tcPr>
          <w:p w:rsidR="005B137C" w:rsidRPr="0087076A" w:rsidRDefault="005B137C" w:rsidP="00741DC5">
            <w:pPr>
              <w:rPr>
                <w:sz w:val="20"/>
                <w:szCs w:val="20"/>
              </w:rPr>
            </w:pPr>
          </w:p>
        </w:tc>
        <w:tc>
          <w:tcPr>
            <w:tcW w:w="4327" w:type="dxa"/>
          </w:tcPr>
          <w:p w:rsidR="005B137C" w:rsidRPr="0087076A" w:rsidRDefault="005B137C" w:rsidP="00741DC5">
            <w:pPr>
              <w:rPr>
                <w:sz w:val="20"/>
                <w:szCs w:val="20"/>
              </w:rPr>
            </w:pPr>
          </w:p>
        </w:tc>
      </w:tr>
      <w:tr w:rsidR="005B137C" w:rsidRPr="0087076A" w:rsidTr="00741DC5">
        <w:tc>
          <w:tcPr>
            <w:tcW w:w="1368" w:type="dxa"/>
          </w:tcPr>
          <w:p w:rsidR="005B137C" w:rsidRPr="0087076A" w:rsidRDefault="005B137C" w:rsidP="00741DC5">
            <w:pPr>
              <w:rPr>
                <w:sz w:val="20"/>
                <w:szCs w:val="20"/>
              </w:rPr>
            </w:pPr>
            <w:r w:rsidRPr="0087076A">
              <w:rPr>
                <w:sz w:val="20"/>
                <w:szCs w:val="20"/>
              </w:rPr>
              <w:t>IN / DANS :</w:t>
            </w:r>
          </w:p>
        </w:tc>
        <w:tc>
          <w:tcPr>
            <w:tcW w:w="2970" w:type="dxa"/>
          </w:tcPr>
          <w:p w:rsidR="005B137C" w:rsidRPr="0087076A" w:rsidRDefault="005B137C" w:rsidP="00741DC5">
            <w:pPr>
              <w:rPr>
                <w:sz w:val="20"/>
                <w:szCs w:val="20"/>
              </w:rPr>
            </w:pPr>
            <w:r w:rsidRPr="0087076A">
              <w:rPr>
                <w:sz w:val="20"/>
                <w:szCs w:val="20"/>
              </w:rPr>
              <w:t>Her Majesty the Queen</w:t>
            </w:r>
          </w:p>
          <w:p w:rsidR="005B137C" w:rsidRPr="0087076A" w:rsidRDefault="005B137C" w:rsidP="00741DC5">
            <w:pPr>
              <w:rPr>
                <w:sz w:val="20"/>
                <w:szCs w:val="20"/>
              </w:rPr>
            </w:pPr>
          </w:p>
        </w:tc>
        <w:tc>
          <w:tcPr>
            <w:tcW w:w="1170" w:type="dxa"/>
          </w:tcPr>
          <w:p w:rsidR="005B137C" w:rsidRPr="0087076A" w:rsidRDefault="005B137C" w:rsidP="00741DC5">
            <w:pPr>
              <w:rPr>
                <w:sz w:val="20"/>
                <w:szCs w:val="20"/>
              </w:rPr>
            </w:pPr>
          </w:p>
        </w:tc>
        <w:tc>
          <w:tcPr>
            <w:tcW w:w="4327" w:type="dxa"/>
          </w:tcPr>
          <w:p w:rsidR="005B137C" w:rsidRPr="0087076A" w:rsidRDefault="005B137C" w:rsidP="00741DC5">
            <w:pPr>
              <w:rPr>
                <w:sz w:val="20"/>
                <w:szCs w:val="20"/>
              </w:rPr>
            </w:pPr>
          </w:p>
        </w:tc>
      </w:tr>
      <w:tr w:rsidR="005B137C" w:rsidRPr="0087076A" w:rsidTr="00741DC5">
        <w:tc>
          <w:tcPr>
            <w:tcW w:w="1368" w:type="dxa"/>
          </w:tcPr>
          <w:p w:rsidR="005B137C" w:rsidRPr="0087076A" w:rsidRDefault="005B137C" w:rsidP="00741DC5">
            <w:pPr>
              <w:rPr>
                <w:sz w:val="20"/>
                <w:szCs w:val="20"/>
              </w:rPr>
            </w:pPr>
          </w:p>
        </w:tc>
        <w:tc>
          <w:tcPr>
            <w:tcW w:w="2970" w:type="dxa"/>
          </w:tcPr>
          <w:p w:rsidR="005B137C" w:rsidRPr="0087076A" w:rsidRDefault="005B137C" w:rsidP="00741DC5">
            <w:pPr>
              <w:rPr>
                <w:sz w:val="20"/>
                <w:szCs w:val="20"/>
              </w:rPr>
            </w:pPr>
            <w:r w:rsidRPr="0087076A">
              <w:rPr>
                <w:sz w:val="20"/>
                <w:szCs w:val="20"/>
              </w:rPr>
              <w:tab/>
              <w:t>v. (33751)</w:t>
            </w:r>
          </w:p>
          <w:p w:rsidR="005B137C" w:rsidRPr="0087076A" w:rsidRDefault="005B137C" w:rsidP="00741DC5">
            <w:pPr>
              <w:rPr>
                <w:sz w:val="20"/>
                <w:szCs w:val="20"/>
              </w:rPr>
            </w:pPr>
          </w:p>
        </w:tc>
        <w:tc>
          <w:tcPr>
            <w:tcW w:w="1170" w:type="dxa"/>
          </w:tcPr>
          <w:p w:rsidR="005B137C" w:rsidRPr="0087076A" w:rsidRDefault="005B137C" w:rsidP="00741DC5">
            <w:pPr>
              <w:rPr>
                <w:sz w:val="20"/>
                <w:szCs w:val="20"/>
              </w:rPr>
            </w:pPr>
          </w:p>
        </w:tc>
        <w:tc>
          <w:tcPr>
            <w:tcW w:w="4327" w:type="dxa"/>
          </w:tcPr>
          <w:p w:rsidR="005B137C" w:rsidRPr="0087076A" w:rsidRDefault="005B137C" w:rsidP="00741DC5">
            <w:pPr>
              <w:rPr>
                <w:sz w:val="20"/>
                <w:szCs w:val="20"/>
              </w:rPr>
            </w:pPr>
          </w:p>
        </w:tc>
      </w:tr>
      <w:tr w:rsidR="005B137C" w:rsidRPr="0087076A" w:rsidTr="00741DC5">
        <w:tc>
          <w:tcPr>
            <w:tcW w:w="1368" w:type="dxa"/>
          </w:tcPr>
          <w:p w:rsidR="005B137C" w:rsidRPr="0087076A" w:rsidRDefault="005B137C" w:rsidP="00741DC5">
            <w:pPr>
              <w:rPr>
                <w:sz w:val="20"/>
                <w:szCs w:val="20"/>
              </w:rPr>
            </w:pPr>
          </w:p>
        </w:tc>
        <w:tc>
          <w:tcPr>
            <w:tcW w:w="2970" w:type="dxa"/>
          </w:tcPr>
          <w:p w:rsidR="005B137C" w:rsidRPr="0087076A" w:rsidRDefault="005B137C" w:rsidP="00741DC5">
            <w:pPr>
              <w:jc w:val="both"/>
              <w:rPr>
                <w:sz w:val="20"/>
                <w:szCs w:val="20"/>
                <w:lang w:val="fr-CA"/>
              </w:rPr>
            </w:pPr>
            <w:r w:rsidRPr="0087076A">
              <w:rPr>
                <w:sz w:val="20"/>
                <w:szCs w:val="20"/>
              </w:rPr>
              <w:t xml:space="preserve">Yat Fung Albert Tse et al. </w:t>
            </w:r>
            <w:r w:rsidRPr="0087076A">
              <w:rPr>
                <w:sz w:val="20"/>
                <w:szCs w:val="20"/>
                <w:lang w:val="fr-CA"/>
              </w:rPr>
              <w:t>(B.C.)</w:t>
            </w:r>
          </w:p>
        </w:tc>
        <w:tc>
          <w:tcPr>
            <w:tcW w:w="1170" w:type="dxa"/>
          </w:tcPr>
          <w:p w:rsidR="005B137C" w:rsidRPr="0087076A" w:rsidRDefault="005B137C" w:rsidP="00741DC5">
            <w:pPr>
              <w:rPr>
                <w:sz w:val="20"/>
                <w:szCs w:val="20"/>
                <w:lang w:val="fr-CA"/>
              </w:rPr>
            </w:pPr>
          </w:p>
        </w:tc>
        <w:tc>
          <w:tcPr>
            <w:tcW w:w="4327" w:type="dxa"/>
          </w:tcPr>
          <w:p w:rsidR="005B137C" w:rsidRPr="0087076A" w:rsidRDefault="005B137C" w:rsidP="00741DC5">
            <w:pPr>
              <w:rPr>
                <w:sz w:val="20"/>
                <w:szCs w:val="20"/>
                <w:lang w:val="fr-CA"/>
              </w:rPr>
            </w:pPr>
          </w:p>
        </w:tc>
      </w:tr>
    </w:tbl>
    <w:p w:rsidR="005B137C" w:rsidRPr="0087076A" w:rsidRDefault="005B137C" w:rsidP="005B137C">
      <w:pPr>
        <w:tabs>
          <w:tab w:val="left" w:pos="-1440"/>
          <w:tab w:val="left" w:pos="-720"/>
        </w:tabs>
        <w:jc w:val="both"/>
        <w:rPr>
          <w:sz w:val="20"/>
          <w:szCs w:val="20"/>
          <w:lang w:val="fr-CA"/>
        </w:rPr>
      </w:pPr>
    </w:p>
    <w:p w:rsidR="005B137C" w:rsidRPr="0087076A" w:rsidRDefault="00460701" w:rsidP="005B137C">
      <w:pPr>
        <w:jc w:val="both"/>
        <w:rPr>
          <w:sz w:val="20"/>
          <w:szCs w:val="20"/>
        </w:rPr>
      </w:pPr>
      <w:r w:rsidRPr="0087076A">
        <w:rPr>
          <w:sz w:val="20"/>
          <w:szCs w:val="20"/>
        </w:rPr>
        <w:fldChar w:fldCharType="begin"/>
      </w:r>
      <w:r w:rsidR="005B137C" w:rsidRPr="0087076A">
        <w:rPr>
          <w:sz w:val="20"/>
          <w:szCs w:val="20"/>
        </w:rPr>
        <w:instrText xml:space="preserve"> SEQ CHAPTER \h \r 1</w:instrText>
      </w:r>
      <w:r w:rsidRPr="0087076A">
        <w:rPr>
          <w:sz w:val="20"/>
          <w:szCs w:val="20"/>
        </w:rPr>
        <w:fldChar w:fldCharType="end"/>
      </w:r>
      <w:r w:rsidR="005B137C" w:rsidRPr="0087076A">
        <w:rPr>
          <w:b/>
          <w:bCs/>
          <w:sz w:val="20"/>
          <w:szCs w:val="20"/>
        </w:rPr>
        <w:t>FURTHER TO THE ORDER</w:t>
      </w:r>
      <w:r w:rsidR="005B137C" w:rsidRPr="0087076A">
        <w:rPr>
          <w:sz w:val="20"/>
          <w:szCs w:val="20"/>
        </w:rPr>
        <w:t xml:space="preserve"> dated August 10, 2011, granting leave to intervene to the Criminal Lawyers' Association (Ontario), the British Columbia Civil Liberties Association and the Canadian Civil Liberties Association;</w:t>
      </w:r>
    </w:p>
    <w:p w:rsidR="005B137C" w:rsidRPr="0087076A" w:rsidRDefault="005B137C" w:rsidP="005B137C">
      <w:pPr>
        <w:rPr>
          <w:sz w:val="20"/>
          <w:szCs w:val="20"/>
        </w:rPr>
      </w:pPr>
    </w:p>
    <w:p w:rsidR="005B137C" w:rsidRPr="0087076A" w:rsidRDefault="005B137C" w:rsidP="005B137C">
      <w:pPr>
        <w:spacing w:line="233" w:lineRule="auto"/>
        <w:jc w:val="both"/>
        <w:rPr>
          <w:sz w:val="20"/>
          <w:szCs w:val="20"/>
        </w:rPr>
      </w:pPr>
      <w:r w:rsidRPr="0087076A">
        <w:rPr>
          <w:b/>
          <w:bCs/>
          <w:sz w:val="20"/>
          <w:szCs w:val="20"/>
        </w:rPr>
        <w:t xml:space="preserve">IT IS HEREBY FURTHER ORDERED THAT </w:t>
      </w:r>
      <w:r w:rsidRPr="0087076A">
        <w:rPr>
          <w:sz w:val="20"/>
          <w:szCs w:val="20"/>
        </w:rPr>
        <w:t>the interveners are granted permission to present oral argument not exceeding ten (10) minutes at the hearing of this appeal.</w:t>
      </w:r>
    </w:p>
    <w:p w:rsidR="005B137C" w:rsidRPr="0087076A" w:rsidRDefault="005B137C" w:rsidP="005B137C">
      <w:pPr>
        <w:spacing w:line="233" w:lineRule="auto"/>
        <w:jc w:val="both"/>
        <w:rPr>
          <w:sz w:val="20"/>
          <w:szCs w:val="20"/>
        </w:rPr>
      </w:pPr>
    </w:p>
    <w:p w:rsidR="005B137C" w:rsidRPr="0087076A" w:rsidRDefault="005B137C" w:rsidP="005B137C">
      <w:pPr>
        <w:spacing w:line="233" w:lineRule="auto"/>
        <w:jc w:val="both"/>
        <w:rPr>
          <w:sz w:val="20"/>
          <w:szCs w:val="20"/>
        </w:rPr>
      </w:pPr>
    </w:p>
    <w:p w:rsidR="005B137C" w:rsidRPr="0087076A" w:rsidRDefault="005B137C" w:rsidP="005B137C">
      <w:pPr>
        <w:spacing w:line="233" w:lineRule="auto"/>
        <w:jc w:val="both"/>
        <w:rPr>
          <w:sz w:val="20"/>
          <w:szCs w:val="20"/>
        </w:rPr>
      </w:pPr>
    </w:p>
    <w:p w:rsidR="005B137C" w:rsidRPr="0087076A" w:rsidRDefault="005B137C" w:rsidP="005B137C">
      <w:pPr>
        <w:jc w:val="both"/>
        <w:rPr>
          <w:sz w:val="20"/>
          <w:szCs w:val="20"/>
          <w:lang w:val="fr-CA"/>
        </w:rPr>
      </w:pPr>
      <w:r w:rsidRPr="0087076A">
        <w:rPr>
          <w:b/>
          <w:sz w:val="20"/>
          <w:szCs w:val="20"/>
          <w:lang w:val="fr-CA"/>
        </w:rPr>
        <w:t>À LA SUITE DE L’ORDONNANCE</w:t>
      </w:r>
      <w:r w:rsidRPr="0087076A">
        <w:rPr>
          <w:sz w:val="20"/>
          <w:szCs w:val="20"/>
          <w:lang w:val="fr-CA"/>
        </w:rPr>
        <w:t xml:space="preserve"> datée du 10 août 2011, autorisant la Criminal Lawyers’ Association (Ontario), l’Association des libertés civiles de la Colombie-Britannique et l’Association canadienne des libertés civiles à intervenir; </w:t>
      </w:r>
      <w:r w:rsidR="00460701" w:rsidRPr="0087076A">
        <w:rPr>
          <w:sz w:val="20"/>
          <w:szCs w:val="20"/>
        </w:rPr>
        <w:fldChar w:fldCharType="begin"/>
      </w:r>
      <w:r w:rsidRPr="0087076A">
        <w:rPr>
          <w:sz w:val="20"/>
          <w:szCs w:val="20"/>
          <w:lang w:val="fr-CA"/>
        </w:rPr>
        <w:instrText xml:space="preserve"> SEQ CHAPTER \h \r 1</w:instrText>
      </w:r>
      <w:r w:rsidR="00460701" w:rsidRPr="0087076A">
        <w:rPr>
          <w:sz w:val="20"/>
          <w:szCs w:val="20"/>
        </w:rPr>
        <w:fldChar w:fldCharType="end"/>
      </w:r>
    </w:p>
    <w:p w:rsidR="005B137C" w:rsidRPr="0087076A" w:rsidRDefault="005B137C" w:rsidP="005B137C">
      <w:pPr>
        <w:rPr>
          <w:sz w:val="20"/>
          <w:szCs w:val="20"/>
          <w:lang w:val="fr-CA"/>
        </w:rPr>
      </w:pPr>
    </w:p>
    <w:p w:rsidR="005B137C" w:rsidRPr="0087076A" w:rsidRDefault="005B137C" w:rsidP="005B137C">
      <w:pPr>
        <w:spacing w:line="233" w:lineRule="auto"/>
        <w:jc w:val="both"/>
        <w:rPr>
          <w:sz w:val="20"/>
          <w:szCs w:val="20"/>
          <w:lang w:val="fr-CA"/>
        </w:rPr>
      </w:pPr>
      <w:r w:rsidRPr="0087076A">
        <w:rPr>
          <w:b/>
          <w:bCs/>
          <w:sz w:val="20"/>
          <w:szCs w:val="20"/>
          <w:lang w:val="fr-CA"/>
        </w:rPr>
        <w:t xml:space="preserve">IL EST EN OUTRE ORDONNÉ QUE </w:t>
      </w:r>
      <w:r w:rsidRPr="0087076A">
        <w:rPr>
          <w:bCs/>
          <w:sz w:val="20"/>
          <w:szCs w:val="20"/>
          <w:lang w:val="fr-CA"/>
        </w:rPr>
        <w:t>ces intervenantes pourront présenter une plaidoirie orale d’au plus dix (10) minutes lors de l’audition de l’appel.</w:t>
      </w:r>
    </w:p>
    <w:p w:rsidR="005B137C" w:rsidRPr="0087076A" w:rsidRDefault="005B137C" w:rsidP="005B137C">
      <w:pPr>
        <w:spacing w:line="233" w:lineRule="auto"/>
        <w:rPr>
          <w:sz w:val="20"/>
          <w:szCs w:val="20"/>
          <w:lang w:val="fr-CA"/>
        </w:rPr>
      </w:pPr>
    </w:p>
    <w:p w:rsidR="005B137C" w:rsidRPr="0087076A" w:rsidRDefault="00460701" w:rsidP="005B137C">
      <w:pPr>
        <w:tabs>
          <w:tab w:val="left" w:pos="-1440"/>
          <w:tab w:val="left" w:pos="-720"/>
        </w:tabs>
        <w:jc w:val="both"/>
        <w:rPr>
          <w:sz w:val="20"/>
          <w:szCs w:val="20"/>
          <w:lang w:val="fr-CA"/>
        </w:rPr>
      </w:pPr>
      <w:r w:rsidRPr="00460701">
        <w:rPr>
          <w:sz w:val="20"/>
          <w:szCs w:val="20"/>
          <w:lang w:val="fr-CA"/>
        </w:rPr>
        <w:pict>
          <v:rect id="_x0000_i1068" style="width:2in;height:1pt" o:hrpct="0" o:hralign="center" o:hrstd="t" o:hrnoshade="t" o:hr="t" fillcolor="black [3213]" stroked="f"/>
        </w:pict>
      </w:r>
    </w:p>
    <w:p w:rsidR="005B137C" w:rsidRPr="0087076A" w:rsidRDefault="005B137C" w:rsidP="005B137C">
      <w:pPr>
        <w:rPr>
          <w:sz w:val="20"/>
          <w:szCs w:val="20"/>
          <w:lang w:val="fr-CA"/>
        </w:rPr>
      </w:pPr>
    </w:p>
    <w:p w:rsidR="005B137C" w:rsidRPr="0087076A" w:rsidRDefault="005B137C" w:rsidP="005B137C">
      <w:pPr>
        <w:tabs>
          <w:tab w:val="left" w:pos="-720"/>
        </w:tabs>
        <w:jc w:val="both"/>
        <w:rPr>
          <w:sz w:val="20"/>
          <w:szCs w:val="20"/>
          <w:lang w:val="fr-CA"/>
        </w:rPr>
      </w:pPr>
      <w:r w:rsidRPr="0087076A">
        <w:rPr>
          <w:sz w:val="20"/>
          <w:szCs w:val="20"/>
          <w:lang w:val="fr-CA"/>
        </w:rPr>
        <w:t>21.10.2011</w:t>
      </w:r>
    </w:p>
    <w:p w:rsidR="005B137C" w:rsidRPr="0087076A" w:rsidRDefault="005B137C" w:rsidP="005B137C">
      <w:pPr>
        <w:tabs>
          <w:tab w:val="left" w:pos="-1440"/>
          <w:tab w:val="left" w:pos="-720"/>
        </w:tabs>
        <w:jc w:val="both"/>
        <w:rPr>
          <w:sz w:val="20"/>
          <w:szCs w:val="20"/>
          <w:lang w:val="fr-CA"/>
        </w:rPr>
      </w:pPr>
    </w:p>
    <w:p w:rsidR="005B137C" w:rsidRPr="0087076A" w:rsidRDefault="005B137C" w:rsidP="005B137C">
      <w:pPr>
        <w:tabs>
          <w:tab w:val="left" w:pos="-1440"/>
          <w:tab w:val="left" w:pos="-720"/>
        </w:tabs>
        <w:jc w:val="both"/>
        <w:rPr>
          <w:sz w:val="20"/>
          <w:szCs w:val="20"/>
          <w:lang w:val="fr-CA"/>
        </w:rPr>
      </w:pPr>
      <w:r w:rsidRPr="0087076A">
        <w:rPr>
          <w:sz w:val="20"/>
          <w:szCs w:val="20"/>
          <w:lang w:val="fr-CA"/>
        </w:rPr>
        <w:t>Before / Devant :   CROMWELL J. / LE JUGE CROMWELL</w:t>
      </w:r>
    </w:p>
    <w:p w:rsidR="005B137C" w:rsidRPr="0087076A" w:rsidRDefault="005B137C" w:rsidP="005B137C">
      <w:pPr>
        <w:tabs>
          <w:tab w:val="left" w:pos="-1440"/>
          <w:tab w:val="left" w:pos="-720"/>
        </w:tabs>
        <w:jc w:val="both"/>
        <w:rPr>
          <w:sz w:val="20"/>
          <w:szCs w:val="20"/>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2970"/>
        <w:gridCol w:w="1170"/>
        <w:gridCol w:w="4327"/>
      </w:tblGrid>
      <w:tr w:rsidR="005B137C" w:rsidRPr="0087076A" w:rsidTr="00741DC5">
        <w:tc>
          <w:tcPr>
            <w:tcW w:w="4338" w:type="dxa"/>
            <w:gridSpan w:val="2"/>
          </w:tcPr>
          <w:p w:rsidR="005B137C" w:rsidRPr="0087076A" w:rsidRDefault="00460701" w:rsidP="00741DC5">
            <w:pPr>
              <w:rPr>
                <w:b/>
                <w:sz w:val="20"/>
                <w:szCs w:val="20"/>
              </w:rPr>
            </w:pPr>
            <w:r w:rsidRPr="0087076A">
              <w:rPr>
                <w:sz w:val="20"/>
                <w:szCs w:val="20"/>
              </w:rPr>
              <w:fldChar w:fldCharType="begin"/>
            </w:r>
            <w:r w:rsidR="005B137C" w:rsidRPr="0087076A">
              <w:rPr>
                <w:sz w:val="20"/>
                <w:szCs w:val="20"/>
              </w:rPr>
              <w:instrText xml:space="preserve"> SEQ CHAPTER \h \r 1</w:instrText>
            </w:r>
            <w:r w:rsidRPr="0087076A">
              <w:rPr>
                <w:sz w:val="20"/>
                <w:szCs w:val="20"/>
              </w:rPr>
              <w:fldChar w:fldCharType="end"/>
            </w:r>
            <w:r w:rsidR="005B137C" w:rsidRPr="0087076A">
              <w:rPr>
                <w:b/>
                <w:sz w:val="20"/>
                <w:szCs w:val="20"/>
              </w:rPr>
              <w:t>Motion for leave to intervene</w:t>
            </w:r>
          </w:p>
        </w:tc>
        <w:tc>
          <w:tcPr>
            <w:tcW w:w="1170" w:type="dxa"/>
          </w:tcPr>
          <w:p w:rsidR="005B137C" w:rsidRPr="0087076A" w:rsidRDefault="005B137C" w:rsidP="00741DC5">
            <w:pPr>
              <w:rPr>
                <w:sz w:val="20"/>
                <w:szCs w:val="20"/>
              </w:rPr>
            </w:pPr>
          </w:p>
          <w:p w:rsidR="005B137C" w:rsidRPr="0087076A" w:rsidRDefault="005B137C" w:rsidP="00741DC5">
            <w:pPr>
              <w:rPr>
                <w:sz w:val="20"/>
                <w:szCs w:val="20"/>
              </w:rPr>
            </w:pPr>
          </w:p>
        </w:tc>
        <w:tc>
          <w:tcPr>
            <w:tcW w:w="4327" w:type="dxa"/>
          </w:tcPr>
          <w:p w:rsidR="005B137C" w:rsidRPr="0087076A" w:rsidRDefault="005B137C" w:rsidP="00741DC5">
            <w:pPr>
              <w:rPr>
                <w:b/>
                <w:sz w:val="20"/>
                <w:szCs w:val="20"/>
                <w:lang w:val="fr-CA"/>
              </w:rPr>
            </w:pPr>
            <w:r w:rsidRPr="0087076A">
              <w:rPr>
                <w:b/>
                <w:bCs/>
                <w:sz w:val="20"/>
                <w:szCs w:val="20"/>
                <w:lang w:val="fr-CA"/>
              </w:rPr>
              <w:t>Requête en autorisation d’intervenir</w:t>
            </w:r>
            <w:r w:rsidR="00460701" w:rsidRPr="0087076A">
              <w:rPr>
                <w:sz w:val="20"/>
                <w:szCs w:val="20"/>
              </w:rPr>
              <w:fldChar w:fldCharType="begin"/>
            </w:r>
            <w:r w:rsidRPr="0087076A">
              <w:rPr>
                <w:sz w:val="20"/>
                <w:szCs w:val="20"/>
                <w:lang w:val="fr-CA"/>
              </w:rPr>
              <w:instrText xml:space="preserve"> SEQ CHAPTER \h \r 1</w:instrText>
            </w:r>
            <w:r w:rsidR="00460701" w:rsidRPr="0087076A">
              <w:rPr>
                <w:sz w:val="20"/>
                <w:szCs w:val="20"/>
              </w:rPr>
              <w:fldChar w:fldCharType="end"/>
            </w:r>
          </w:p>
        </w:tc>
      </w:tr>
      <w:tr w:rsidR="005B137C" w:rsidRPr="005B137C" w:rsidTr="00741DC5">
        <w:tc>
          <w:tcPr>
            <w:tcW w:w="1368" w:type="dxa"/>
          </w:tcPr>
          <w:p w:rsidR="005B137C" w:rsidRPr="0087076A" w:rsidRDefault="005B137C" w:rsidP="00741DC5">
            <w:pPr>
              <w:rPr>
                <w:sz w:val="20"/>
                <w:szCs w:val="20"/>
              </w:rPr>
            </w:pPr>
            <w:r w:rsidRPr="0087076A">
              <w:rPr>
                <w:sz w:val="20"/>
                <w:szCs w:val="20"/>
              </w:rPr>
              <w:t>BY / PAR</w:t>
            </w:r>
          </w:p>
        </w:tc>
        <w:tc>
          <w:tcPr>
            <w:tcW w:w="2970" w:type="dxa"/>
          </w:tcPr>
          <w:p w:rsidR="005B137C" w:rsidRPr="0087076A" w:rsidRDefault="005B137C" w:rsidP="00741DC5">
            <w:pPr>
              <w:rPr>
                <w:sz w:val="20"/>
                <w:szCs w:val="20"/>
                <w:lang w:val="fr-CA"/>
              </w:rPr>
            </w:pPr>
            <w:r w:rsidRPr="0087076A">
              <w:rPr>
                <w:sz w:val="20"/>
                <w:szCs w:val="20"/>
                <w:lang w:val="fr-CA"/>
              </w:rPr>
              <w:t>Women's Legal Education and Action Fund / Fonds d'action et d'éducation juridiques pour les femmes</w:t>
            </w:r>
          </w:p>
        </w:tc>
        <w:tc>
          <w:tcPr>
            <w:tcW w:w="1170" w:type="dxa"/>
          </w:tcPr>
          <w:p w:rsidR="005B137C" w:rsidRPr="0087076A" w:rsidRDefault="005B137C" w:rsidP="00741DC5">
            <w:pPr>
              <w:rPr>
                <w:sz w:val="20"/>
                <w:szCs w:val="20"/>
                <w:lang w:val="fr-CA"/>
              </w:rPr>
            </w:pPr>
          </w:p>
        </w:tc>
        <w:tc>
          <w:tcPr>
            <w:tcW w:w="4327" w:type="dxa"/>
          </w:tcPr>
          <w:p w:rsidR="005B137C" w:rsidRPr="0087076A" w:rsidRDefault="005B137C" w:rsidP="00741DC5">
            <w:pPr>
              <w:rPr>
                <w:sz w:val="20"/>
                <w:szCs w:val="20"/>
                <w:lang w:val="fr-CA"/>
              </w:rPr>
            </w:pPr>
          </w:p>
        </w:tc>
      </w:tr>
      <w:tr w:rsidR="005B137C" w:rsidRPr="005B137C" w:rsidTr="00741DC5">
        <w:tc>
          <w:tcPr>
            <w:tcW w:w="1368" w:type="dxa"/>
          </w:tcPr>
          <w:p w:rsidR="005B137C" w:rsidRPr="0087076A" w:rsidRDefault="005B137C" w:rsidP="00741DC5">
            <w:pPr>
              <w:rPr>
                <w:sz w:val="20"/>
                <w:szCs w:val="20"/>
                <w:lang w:val="fr-CA"/>
              </w:rPr>
            </w:pPr>
          </w:p>
        </w:tc>
        <w:tc>
          <w:tcPr>
            <w:tcW w:w="2970" w:type="dxa"/>
          </w:tcPr>
          <w:p w:rsidR="005B137C" w:rsidRPr="0087076A" w:rsidRDefault="005B137C" w:rsidP="00741DC5">
            <w:pPr>
              <w:rPr>
                <w:sz w:val="20"/>
                <w:szCs w:val="20"/>
                <w:lang w:val="fr-CA"/>
              </w:rPr>
            </w:pPr>
          </w:p>
        </w:tc>
        <w:tc>
          <w:tcPr>
            <w:tcW w:w="1170" w:type="dxa"/>
          </w:tcPr>
          <w:p w:rsidR="005B137C" w:rsidRPr="0087076A" w:rsidRDefault="005B137C" w:rsidP="00741DC5">
            <w:pPr>
              <w:rPr>
                <w:sz w:val="20"/>
                <w:szCs w:val="20"/>
                <w:lang w:val="fr-CA"/>
              </w:rPr>
            </w:pPr>
          </w:p>
        </w:tc>
        <w:tc>
          <w:tcPr>
            <w:tcW w:w="4327" w:type="dxa"/>
          </w:tcPr>
          <w:p w:rsidR="005B137C" w:rsidRPr="0087076A" w:rsidRDefault="005B137C" w:rsidP="00741DC5">
            <w:pPr>
              <w:rPr>
                <w:sz w:val="20"/>
                <w:szCs w:val="20"/>
                <w:lang w:val="fr-CA"/>
              </w:rPr>
            </w:pPr>
          </w:p>
        </w:tc>
      </w:tr>
      <w:tr w:rsidR="005B137C" w:rsidRPr="005B137C" w:rsidTr="00741DC5">
        <w:tc>
          <w:tcPr>
            <w:tcW w:w="1368" w:type="dxa"/>
          </w:tcPr>
          <w:p w:rsidR="005B137C" w:rsidRPr="0087076A" w:rsidRDefault="005B137C" w:rsidP="00741DC5">
            <w:pPr>
              <w:rPr>
                <w:sz w:val="20"/>
                <w:szCs w:val="20"/>
              </w:rPr>
            </w:pPr>
            <w:r w:rsidRPr="0087076A">
              <w:rPr>
                <w:sz w:val="20"/>
                <w:szCs w:val="20"/>
              </w:rPr>
              <w:t>IN / DANS :</w:t>
            </w:r>
          </w:p>
        </w:tc>
        <w:tc>
          <w:tcPr>
            <w:tcW w:w="2970" w:type="dxa"/>
          </w:tcPr>
          <w:p w:rsidR="005B137C" w:rsidRPr="0087076A" w:rsidRDefault="005B137C" w:rsidP="00741DC5">
            <w:pPr>
              <w:rPr>
                <w:sz w:val="20"/>
                <w:szCs w:val="20"/>
                <w:lang w:val="fr-CA"/>
              </w:rPr>
            </w:pPr>
            <w:r w:rsidRPr="0087076A">
              <w:rPr>
                <w:sz w:val="20"/>
                <w:szCs w:val="20"/>
                <w:lang w:val="fr-CA"/>
              </w:rPr>
              <w:t>Procureur général du Québec et autres</w:t>
            </w:r>
          </w:p>
          <w:p w:rsidR="005B137C" w:rsidRPr="0087076A" w:rsidRDefault="005B137C" w:rsidP="00741DC5">
            <w:pPr>
              <w:rPr>
                <w:sz w:val="20"/>
                <w:szCs w:val="20"/>
                <w:lang w:val="fr-CA"/>
              </w:rPr>
            </w:pPr>
          </w:p>
        </w:tc>
        <w:tc>
          <w:tcPr>
            <w:tcW w:w="1170" w:type="dxa"/>
          </w:tcPr>
          <w:p w:rsidR="005B137C" w:rsidRPr="0087076A" w:rsidRDefault="005B137C" w:rsidP="00741DC5">
            <w:pPr>
              <w:rPr>
                <w:sz w:val="20"/>
                <w:szCs w:val="20"/>
                <w:lang w:val="fr-CA"/>
              </w:rPr>
            </w:pPr>
          </w:p>
        </w:tc>
        <w:tc>
          <w:tcPr>
            <w:tcW w:w="4327" w:type="dxa"/>
          </w:tcPr>
          <w:p w:rsidR="005B137C" w:rsidRPr="0087076A" w:rsidRDefault="005B137C" w:rsidP="00741DC5">
            <w:pPr>
              <w:rPr>
                <w:sz w:val="20"/>
                <w:szCs w:val="20"/>
                <w:lang w:val="fr-CA"/>
              </w:rPr>
            </w:pPr>
          </w:p>
        </w:tc>
      </w:tr>
      <w:tr w:rsidR="005B137C" w:rsidRPr="0087076A" w:rsidTr="00741DC5">
        <w:tc>
          <w:tcPr>
            <w:tcW w:w="1368" w:type="dxa"/>
          </w:tcPr>
          <w:p w:rsidR="005B137C" w:rsidRPr="0087076A" w:rsidRDefault="005B137C" w:rsidP="00741DC5">
            <w:pPr>
              <w:rPr>
                <w:sz w:val="20"/>
                <w:szCs w:val="20"/>
                <w:lang w:val="fr-CA"/>
              </w:rPr>
            </w:pPr>
          </w:p>
        </w:tc>
        <w:tc>
          <w:tcPr>
            <w:tcW w:w="2970" w:type="dxa"/>
          </w:tcPr>
          <w:p w:rsidR="005B137C" w:rsidRPr="0087076A" w:rsidRDefault="005B137C" w:rsidP="00741DC5">
            <w:pPr>
              <w:rPr>
                <w:sz w:val="20"/>
                <w:szCs w:val="20"/>
              </w:rPr>
            </w:pPr>
            <w:r w:rsidRPr="0087076A">
              <w:rPr>
                <w:sz w:val="20"/>
                <w:szCs w:val="20"/>
                <w:lang w:val="fr-CA"/>
              </w:rPr>
              <w:tab/>
            </w:r>
            <w:r w:rsidRPr="0087076A">
              <w:rPr>
                <w:sz w:val="20"/>
                <w:szCs w:val="20"/>
              </w:rPr>
              <w:t>c. (33990)</w:t>
            </w:r>
          </w:p>
          <w:p w:rsidR="005B137C" w:rsidRPr="0087076A" w:rsidRDefault="005B137C" w:rsidP="00741DC5">
            <w:pPr>
              <w:rPr>
                <w:sz w:val="20"/>
                <w:szCs w:val="20"/>
              </w:rPr>
            </w:pPr>
          </w:p>
        </w:tc>
        <w:tc>
          <w:tcPr>
            <w:tcW w:w="1170" w:type="dxa"/>
          </w:tcPr>
          <w:p w:rsidR="005B137C" w:rsidRPr="0087076A" w:rsidRDefault="005B137C" w:rsidP="00741DC5">
            <w:pPr>
              <w:rPr>
                <w:sz w:val="20"/>
                <w:szCs w:val="20"/>
              </w:rPr>
            </w:pPr>
          </w:p>
        </w:tc>
        <w:tc>
          <w:tcPr>
            <w:tcW w:w="4327" w:type="dxa"/>
          </w:tcPr>
          <w:p w:rsidR="005B137C" w:rsidRPr="0087076A" w:rsidRDefault="005B137C" w:rsidP="00741DC5">
            <w:pPr>
              <w:rPr>
                <w:sz w:val="20"/>
                <w:szCs w:val="20"/>
              </w:rPr>
            </w:pPr>
          </w:p>
        </w:tc>
      </w:tr>
      <w:tr w:rsidR="005B137C" w:rsidRPr="0087076A" w:rsidTr="00741DC5">
        <w:tc>
          <w:tcPr>
            <w:tcW w:w="1368" w:type="dxa"/>
          </w:tcPr>
          <w:p w:rsidR="005B137C" w:rsidRPr="0087076A" w:rsidRDefault="005B137C" w:rsidP="00741DC5">
            <w:pPr>
              <w:rPr>
                <w:sz w:val="20"/>
                <w:szCs w:val="20"/>
              </w:rPr>
            </w:pPr>
          </w:p>
        </w:tc>
        <w:tc>
          <w:tcPr>
            <w:tcW w:w="2970" w:type="dxa"/>
          </w:tcPr>
          <w:p w:rsidR="005B137C" w:rsidRPr="0087076A" w:rsidRDefault="005B137C" w:rsidP="00741DC5">
            <w:pPr>
              <w:jc w:val="both"/>
              <w:rPr>
                <w:sz w:val="20"/>
                <w:szCs w:val="20"/>
                <w:lang w:val="fr-CA"/>
              </w:rPr>
            </w:pPr>
            <w:r w:rsidRPr="0087076A">
              <w:rPr>
                <w:sz w:val="20"/>
                <w:szCs w:val="20"/>
                <w:lang w:val="fr-CA"/>
              </w:rPr>
              <w:t>A et autres (Qc)</w:t>
            </w:r>
          </w:p>
        </w:tc>
        <w:tc>
          <w:tcPr>
            <w:tcW w:w="1170" w:type="dxa"/>
          </w:tcPr>
          <w:p w:rsidR="005B137C" w:rsidRPr="0087076A" w:rsidRDefault="005B137C" w:rsidP="00741DC5">
            <w:pPr>
              <w:rPr>
                <w:sz w:val="20"/>
                <w:szCs w:val="20"/>
                <w:lang w:val="fr-CA"/>
              </w:rPr>
            </w:pPr>
          </w:p>
        </w:tc>
        <w:tc>
          <w:tcPr>
            <w:tcW w:w="4327" w:type="dxa"/>
          </w:tcPr>
          <w:p w:rsidR="005B137C" w:rsidRPr="0087076A" w:rsidRDefault="005B137C" w:rsidP="00741DC5">
            <w:pPr>
              <w:rPr>
                <w:sz w:val="20"/>
                <w:szCs w:val="20"/>
                <w:lang w:val="fr-CA"/>
              </w:rPr>
            </w:pPr>
          </w:p>
        </w:tc>
      </w:tr>
    </w:tbl>
    <w:p w:rsidR="005B137C" w:rsidRPr="0087076A" w:rsidRDefault="005B137C" w:rsidP="005B137C">
      <w:pPr>
        <w:tabs>
          <w:tab w:val="left" w:pos="-1440"/>
          <w:tab w:val="left" w:pos="-720"/>
        </w:tabs>
        <w:jc w:val="both"/>
        <w:rPr>
          <w:sz w:val="20"/>
          <w:szCs w:val="20"/>
          <w:lang w:val="fr-CA"/>
        </w:rPr>
      </w:pPr>
    </w:p>
    <w:p w:rsidR="005B137C" w:rsidRPr="0087076A" w:rsidRDefault="005B137C" w:rsidP="005B137C">
      <w:pPr>
        <w:rPr>
          <w:b/>
          <w:sz w:val="20"/>
          <w:szCs w:val="20"/>
          <w:lang w:val="fr-CA"/>
        </w:rPr>
      </w:pPr>
      <w:r w:rsidRPr="0087076A">
        <w:rPr>
          <w:b/>
          <w:sz w:val="20"/>
          <w:szCs w:val="20"/>
          <w:lang w:val="fr-CA"/>
        </w:rPr>
        <w:br w:type="page"/>
      </w:r>
    </w:p>
    <w:p w:rsidR="005B137C" w:rsidRPr="0087076A" w:rsidRDefault="005B137C" w:rsidP="005B137C">
      <w:pPr>
        <w:tabs>
          <w:tab w:val="left" w:pos="-1440"/>
          <w:tab w:val="left" w:pos="-720"/>
        </w:tabs>
        <w:jc w:val="both"/>
        <w:rPr>
          <w:b/>
          <w:sz w:val="20"/>
          <w:szCs w:val="20"/>
          <w:lang w:val="fr-CA"/>
        </w:rPr>
      </w:pPr>
      <w:r w:rsidRPr="0087076A">
        <w:rPr>
          <w:b/>
          <w:sz w:val="20"/>
          <w:szCs w:val="20"/>
          <w:lang w:val="fr-CA"/>
        </w:rPr>
        <w:lastRenderedPageBreak/>
        <w:t>GRANTED / ACCORDÉE</w:t>
      </w:r>
    </w:p>
    <w:p w:rsidR="005B137C" w:rsidRPr="0087076A" w:rsidRDefault="005B137C" w:rsidP="005B137C">
      <w:pPr>
        <w:tabs>
          <w:tab w:val="left" w:pos="-1440"/>
          <w:tab w:val="left" w:pos="-720"/>
        </w:tabs>
        <w:jc w:val="both"/>
        <w:rPr>
          <w:b/>
          <w:sz w:val="20"/>
          <w:szCs w:val="20"/>
          <w:lang w:val="fr-CA"/>
        </w:rPr>
      </w:pPr>
    </w:p>
    <w:p w:rsidR="005B137C" w:rsidRPr="0087076A" w:rsidRDefault="005B137C" w:rsidP="005B137C">
      <w:pPr>
        <w:spacing w:line="233" w:lineRule="auto"/>
        <w:jc w:val="both"/>
        <w:rPr>
          <w:sz w:val="20"/>
          <w:szCs w:val="20"/>
        </w:rPr>
      </w:pPr>
      <w:r w:rsidRPr="0087076A">
        <w:rPr>
          <w:b/>
          <w:bCs/>
          <w:sz w:val="20"/>
          <w:szCs w:val="20"/>
        </w:rPr>
        <w:t xml:space="preserve">UPON APPLICATION </w:t>
      </w:r>
      <w:r w:rsidRPr="0087076A">
        <w:rPr>
          <w:sz w:val="20"/>
          <w:szCs w:val="20"/>
        </w:rPr>
        <w:t>by the Women's Legal Education and Action Fund for leave to intervene in the above appeal;</w:t>
      </w:r>
    </w:p>
    <w:p w:rsidR="005B137C" w:rsidRPr="0087076A" w:rsidRDefault="005B137C" w:rsidP="005B137C">
      <w:pPr>
        <w:spacing w:line="233" w:lineRule="auto"/>
        <w:rPr>
          <w:sz w:val="20"/>
          <w:szCs w:val="20"/>
        </w:rPr>
      </w:pPr>
    </w:p>
    <w:p w:rsidR="005B137C" w:rsidRPr="0087076A" w:rsidRDefault="005B137C" w:rsidP="005B137C">
      <w:pPr>
        <w:spacing w:line="233" w:lineRule="auto"/>
        <w:rPr>
          <w:sz w:val="20"/>
          <w:szCs w:val="20"/>
        </w:rPr>
      </w:pPr>
      <w:r w:rsidRPr="0087076A">
        <w:rPr>
          <w:b/>
          <w:bCs/>
          <w:sz w:val="20"/>
          <w:szCs w:val="20"/>
        </w:rPr>
        <w:t>AND THE MATERIAL FILED</w:t>
      </w:r>
      <w:r w:rsidRPr="0087076A">
        <w:rPr>
          <w:sz w:val="20"/>
          <w:szCs w:val="20"/>
        </w:rPr>
        <w:t xml:space="preserve"> having been read;</w:t>
      </w:r>
    </w:p>
    <w:p w:rsidR="005B137C" w:rsidRPr="0087076A" w:rsidRDefault="005B137C" w:rsidP="005B137C">
      <w:pPr>
        <w:spacing w:line="233" w:lineRule="auto"/>
        <w:rPr>
          <w:sz w:val="20"/>
          <w:szCs w:val="20"/>
        </w:rPr>
      </w:pPr>
    </w:p>
    <w:p w:rsidR="005B137C" w:rsidRPr="0087076A" w:rsidRDefault="005B137C" w:rsidP="005B137C">
      <w:pPr>
        <w:spacing w:line="233" w:lineRule="auto"/>
        <w:rPr>
          <w:sz w:val="20"/>
          <w:szCs w:val="20"/>
        </w:rPr>
      </w:pPr>
      <w:r w:rsidRPr="0087076A">
        <w:rPr>
          <w:b/>
          <w:bCs/>
          <w:sz w:val="20"/>
          <w:szCs w:val="20"/>
        </w:rPr>
        <w:t>IT IS HEREBY ORDERED THAT:</w:t>
      </w:r>
    </w:p>
    <w:p w:rsidR="005B137C" w:rsidRPr="0087076A" w:rsidRDefault="005B137C" w:rsidP="005B137C">
      <w:pPr>
        <w:spacing w:line="233" w:lineRule="auto"/>
        <w:rPr>
          <w:sz w:val="20"/>
          <w:szCs w:val="20"/>
        </w:rPr>
      </w:pPr>
    </w:p>
    <w:p w:rsidR="005B137C" w:rsidRPr="0087076A" w:rsidRDefault="005B137C" w:rsidP="005B137C">
      <w:pPr>
        <w:spacing w:line="233" w:lineRule="auto"/>
        <w:jc w:val="both"/>
        <w:rPr>
          <w:sz w:val="20"/>
          <w:szCs w:val="20"/>
        </w:rPr>
      </w:pPr>
      <w:r w:rsidRPr="0087076A">
        <w:rPr>
          <w:sz w:val="20"/>
          <w:szCs w:val="20"/>
        </w:rPr>
        <w:t>The motion for leave to intervene of the Women's Legal Education and Action Fund is granted and the said intervener shall be entitled to serve and file a factum not to exceed 10 pages in length.</w:t>
      </w:r>
    </w:p>
    <w:p w:rsidR="005B137C" w:rsidRPr="0087076A" w:rsidRDefault="005B137C" w:rsidP="005B137C">
      <w:pPr>
        <w:spacing w:line="233" w:lineRule="auto"/>
        <w:rPr>
          <w:sz w:val="20"/>
          <w:szCs w:val="20"/>
        </w:rPr>
      </w:pPr>
    </w:p>
    <w:p w:rsidR="005B137C" w:rsidRPr="0087076A" w:rsidRDefault="005B137C" w:rsidP="005B137C">
      <w:pPr>
        <w:spacing w:line="233" w:lineRule="auto"/>
        <w:jc w:val="both"/>
        <w:rPr>
          <w:sz w:val="20"/>
          <w:szCs w:val="20"/>
        </w:rPr>
      </w:pPr>
      <w:r w:rsidRPr="0087076A">
        <w:rPr>
          <w:sz w:val="20"/>
          <w:szCs w:val="20"/>
        </w:rPr>
        <w:t>The request to present oral argument is deferred to a date following receipt and consideration of the written arguments of the parties and the intervener.</w:t>
      </w:r>
    </w:p>
    <w:p w:rsidR="005B137C" w:rsidRPr="0087076A" w:rsidRDefault="005B137C" w:rsidP="005B137C">
      <w:pPr>
        <w:spacing w:line="233" w:lineRule="auto"/>
        <w:rPr>
          <w:sz w:val="20"/>
          <w:szCs w:val="20"/>
        </w:rPr>
      </w:pPr>
    </w:p>
    <w:p w:rsidR="005B137C" w:rsidRPr="0087076A" w:rsidRDefault="005B137C" w:rsidP="005B137C">
      <w:pPr>
        <w:spacing w:line="233" w:lineRule="auto"/>
        <w:jc w:val="both"/>
        <w:rPr>
          <w:sz w:val="20"/>
          <w:szCs w:val="20"/>
        </w:rPr>
      </w:pPr>
      <w:r w:rsidRPr="0087076A">
        <w:rPr>
          <w:sz w:val="20"/>
          <w:szCs w:val="20"/>
        </w:rPr>
        <w:t>The intervener shall not be entitled to raise new issues or to adduce further evidence or otherwise to supplement the record of the parties.</w:t>
      </w:r>
    </w:p>
    <w:p w:rsidR="005B137C" w:rsidRPr="0087076A" w:rsidRDefault="005B137C" w:rsidP="005B137C">
      <w:pPr>
        <w:spacing w:line="233" w:lineRule="auto"/>
        <w:rPr>
          <w:sz w:val="20"/>
          <w:szCs w:val="20"/>
        </w:rPr>
      </w:pPr>
    </w:p>
    <w:p w:rsidR="005B137C" w:rsidRPr="0087076A" w:rsidRDefault="005B137C" w:rsidP="005B137C">
      <w:pPr>
        <w:spacing w:line="233" w:lineRule="auto"/>
        <w:jc w:val="both"/>
        <w:rPr>
          <w:sz w:val="20"/>
          <w:szCs w:val="20"/>
        </w:rPr>
      </w:pPr>
      <w:r w:rsidRPr="0087076A">
        <w:rPr>
          <w:sz w:val="20"/>
          <w:szCs w:val="20"/>
        </w:rPr>
        <w:t>Pursuant to Rule 59(1)(</w:t>
      </w:r>
      <w:r w:rsidRPr="0087076A">
        <w:rPr>
          <w:i/>
          <w:iCs/>
          <w:sz w:val="20"/>
          <w:szCs w:val="20"/>
        </w:rPr>
        <w:t>a</w:t>
      </w:r>
      <w:r w:rsidRPr="0087076A">
        <w:rPr>
          <w:sz w:val="20"/>
          <w:szCs w:val="20"/>
        </w:rPr>
        <w:t xml:space="preserve">) of the </w:t>
      </w:r>
      <w:r w:rsidRPr="0087076A">
        <w:rPr>
          <w:i/>
          <w:iCs/>
          <w:sz w:val="20"/>
          <w:szCs w:val="20"/>
        </w:rPr>
        <w:t>Rules of the Supreme Court of Canada</w:t>
      </w:r>
      <w:r w:rsidRPr="0087076A">
        <w:rPr>
          <w:sz w:val="20"/>
          <w:szCs w:val="20"/>
        </w:rPr>
        <w:t>, the intervener shall pay to the appellants and respondents any additional disbursements occasioned to the appellants and respondents by its intervention.</w:t>
      </w:r>
    </w:p>
    <w:p w:rsidR="005B137C" w:rsidRPr="0087076A" w:rsidRDefault="005B137C" w:rsidP="005B137C">
      <w:pPr>
        <w:spacing w:line="233" w:lineRule="auto"/>
        <w:rPr>
          <w:sz w:val="20"/>
          <w:szCs w:val="20"/>
        </w:rPr>
      </w:pPr>
    </w:p>
    <w:p w:rsidR="005B137C" w:rsidRPr="0087076A" w:rsidRDefault="005B137C" w:rsidP="005B137C">
      <w:pPr>
        <w:spacing w:line="233" w:lineRule="auto"/>
        <w:rPr>
          <w:sz w:val="20"/>
          <w:szCs w:val="20"/>
        </w:rPr>
      </w:pPr>
    </w:p>
    <w:p w:rsidR="005B137C" w:rsidRPr="0087076A" w:rsidRDefault="005B137C" w:rsidP="005B137C">
      <w:pPr>
        <w:spacing w:line="233" w:lineRule="auto"/>
        <w:rPr>
          <w:sz w:val="20"/>
          <w:szCs w:val="20"/>
        </w:rPr>
      </w:pPr>
    </w:p>
    <w:p w:rsidR="005B137C" w:rsidRPr="0087076A" w:rsidRDefault="005B137C" w:rsidP="005B137C">
      <w:pPr>
        <w:spacing w:line="233" w:lineRule="auto"/>
        <w:jc w:val="both"/>
        <w:rPr>
          <w:sz w:val="20"/>
          <w:szCs w:val="20"/>
          <w:lang w:val="fr-FR"/>
        </w:rPr>
      </w:pPr>
      <w:r w:rsidRPr="0087076A">
        <w:rPr>
          <w:b/>
          <w:bCs/>
          <w:sz w:val="20"/>
          <w:szCs w:val="20"/>
          <w:lang w:val="fr-CA"/>
        </w:rPr>
        <w:t xml:space="preserve">À LA SUITE DE LA DEMANDE </w:t>
      </w:r>
      <w:r w:rsidRPr="0087076A">
        <w:rPr>
          <w:sz w:val="20"/>
          <w:szCs w:val="20"/>
          <w:lang w:val="fr-CA"/>
        </w:rPr>
        <w:t>présentée par le Fonds d'action et d'éducation juridiques pour les femmes en vue d’intervenir dans l’appel;</w:t>
      </w:r>
    </w:p>
    <w:p w:rsidR="005B137C" w:rsidRPr="0087076A" w:rsidRDefault="005B137C" w:rsidP="005B137C">
      <w:pPr>
        <w:spacing w:line="233" w:lineRule="auto"/>
        <w:jc w:val="both"/>
        <w:rPr>
          <w:sz w:val="20"/>
          <w:szCs w:val="20"/>
          <w:lang w:val="fr-CA"/>
        </w:rPr>
      </w:pPr>
    </w:p>
    <w:p w:rsidR="005B137C" w:rsidRPr="0087076A" w:rsidRDefault="005B137C" w:rsidP="005B137C">
      <w:pPr>
        <w:spacing w:line="233" w:lineRule="auto"/>
        <w:jc w:val="both"/>
        <w:rPr>
          <w:sz w:val="20"/>
          <w:szCs w:val="20"/>
          <w:lang w:val="fr-CA"/>
        </w:rPr>
      </w:pPr>
      <w:r w:rsidRPr="0087076A">
        <w:rPr>
          <w:b/>
          <w:bCs/>
          <w:sz w:val="20"/>
          <w:szCs w:val="20"/>
          <w:lang w:val="fr-CA"/>
        </w:rPr>
        <w:t xml:space="preserve">ET APRÈS EXAMEN </w:t>
      </w:r>
      <w:r w:rsidRPr="0087076A">
        <w:rPr>
          <w:sz w:val="20"/>
          <w:szCs w:val="20"/>
          <w:lang w:val="fr-CA"/>
        </w:rPr>
        <w:t xml:space="preserve">des documents déposés; </w:t>
      </w:r>
    </w:p>
    <w:p w:rsidR="005B137C" w:rsidRPr="0087076A" w:rsidRDefault="005B137C" w:rsidP="005B137C">
      <w:pPr>
        <w:spacing w:line="233" w:lineRule="auto"/>
        <w:jc w:val="both"/>
        <w:rPr>
          <w:sz w:val="20"/>
          <w:szCs w:val="20"/>
          <w:lang w:val="fr-CA"/>
        </w:rPr>
      </w:pPr>
    </w:p>
    <w:p w:rsidR="005B137C" w:rsidRPr="0087076A" w:rsidRDefault="005B137C" w:rsidP="005B137C">
      <w:pPr>
        <w:spacing w:line="233" w:lineRule="auto"/>
        <w:jc w:val="both"/>
        <w:rPr>
          <w:sz w:val="20"/>
          <w:szCs w:val="20"/>
          <w:lang w:val="fr-CA"/>
        </w:rPr>
      </w:pPr>
      <w:r w:rsidRPr="0087076A">
        <w:rPr>
          <w:b/>
          <w:bCs/>
          <w:sz w:val="20"/>
          <w:szCs w:val="20"/>
          <w:lang w:val="fr-CA"/>
        </w:rPr>
        <w:t xml:space="preserve">IL EST ORDONNÉ CE QUI SUIT : </w:t>
      </w:r>
    </w:p>
    <w:p w:rsidR="005B137C" w:rsidRPr="0087076A" w:rsidRDefault="005B137C" w:rsidP="005B137C">
      <w:pPr>
        <w:spacing w:line="233" w:lineRule="auto"/>
        <w:jc w:val="both"/>
        <w:rPr>
          <w:sz w:val="20"/>
          <w:szCs w:val="20"/>
          <w:lang w:val="fr-CA"/>
        </w:rPr>
      </w:pPr>
    </w:p>
    <w:p w:rsidR="005B137C" w:rsidRPr="0087076A" w:rsidRDefault="005B137C" w:rsidP="005B137C">
      <w:pPr>
        <w:spacing w:line="233" w:lineRule="auto"/>
        <w:jc w:val="both"/>
        <w:rPr>
          <w:sz w:val="20"/>
          <w:szCs w:val="20"/>
          <w:lang w:val="fr-CA"/>
        </w:rPr>
      </w:pPr>
      <w:r w:rsidRPr="0087076A">
        <w:rPr>
          <w:sz w:val="20"/>
          <w:szCs w:val="20"/>
          <w:lang w:val="fr-CA"/>
        </w:rPr>
        <w:t xml:space="preserve">La requête </w:t>
      </w:r>
      <w:r w:rsidR="00460701" w:rsidRPr="0087076A">
        <w:rPr>
          <w:sz w:val="20"/>
          <w:szCs w:val="20"/>
        </w:rPr>
        <w:fldChar w:fldCharType="begin"/>
      </w:r>
      <w:r w:rsidRPr="0087076A">
        <w:rPr>
          <w:sz w:val="20"/>
          <w:szCs w:val="20"/>
          <w:lang w:val="fr-FR"/>
        </w:rPr>
        <w:instrText xml:space="preserve"> SEQ CHAPTER \h \r 1</w:instrText>
      </w:r>
      <w:r w:rsidR="00460701" w:rsidRPr="0087076A">
        <w:rPr>
          <w:sz w:val="20"/>
          <w:szCs w:val="20"/>
        </w:rPr>
        <w:fldChar w:fldCharType="end"/>
      </w:r>
      <w:r w:rsidRPr="0087076A">
        <w:rPr>
          <w:sz w:val="20"/>
          <w:szCs w:val="20"/>
          <w:lang w:val="fr-CA"/>
        </w:rPr>
        <w:t xml:space="preserve">en autorisation d’intervenir du </w:t>
      </w:r>
      <w:r w:rsidR="00460701" w:rsidRPr="0087076A">
        <w:rPr>
          <w:sz w:val="20"/>
          <w:szCs w:val="20"/>
        </w:rPr>
        <w:fldChar w:fldCharType="begin"/>
      </w:r>
      <w:r w:rsidRPr="0087076A">
        <w:rPr>
          <w:sz w:val="20"/>
          <w:szCs w:val="20"/>
          <w:lang w:val="fr-FR"/>
        </w:rPr>
        <w:instrText xml:space="preserve"> SEQ CHAPTER \h \r 1</w:instrText>
      </w:r>
      <w:r w:rsidR="00460701" w:rsidRPr="0087076A">
        <w:rPr>
          <w:sz w:val="20"/>
          <w:szCs w:val="20"/>
        </w:rPr>
        <w:fldChar w:fldCharType="end"/>
      </w:r>
      <w:r w:rsidRPr="0087076A">
        <w:rPr>
          <w:sz w:val="20"/>
          <w:szCs w:val="20"/>
          <w:lang w:val="fr-FR"/>
        </w:rPr>
        <w:t xml:space="preserve">Fonds d'action et d'éducation juridiques pour les femmes </w:t>
      </w:r>
      <w:r w:rsidRPr="0087076A">
        <w:rPr>
          <w:sz w:val="20"/>
          <w:szCs w:val="20"/>
          <w:lang w:val="fr-CA"/>
        </w:rPr>
        <w:t>est accueillie et cette intervenante pourra signifier et déposer un mémoire d’au plus 10 pages.</w:t>
      </w:r>
    </w:p>
    <w:p w:rsidR="005B137C" w:rsidRPr="0087076A" w:rsidRDefault="005B137C" w:rsidP="005B137C">
      <w:pPr>
        <w:spacing w:line="233" w:lineRule="auto"/>
        <w:jc w:val="both"/>
        <w:rPr>
          <w:sz w:val="20"/>
          <w:szCs w:val="20"/>
          <w:lang w:val="fr-CA"/>
        </w:rPr>
      </w:pPr>
    </w:p>
    <w:p w:rsidR="005B137C" w:rsidRPr="0087076A" w:rsidRDefault="005B137C" w:rsidP="005B137C">
      <w:pPr>
        <w:spacing w:line="225" w:lineRule="auto"/>
        <w:jc w:val="both"/>
        <w:rPr>
          <w:sz w:val="20"/>
          <w:szCs w:val="20"/>
          <w:lang w:val="fr-CA"/>
        </w:rPr>
      </w:pPr>
      <w:r w:rsidRPr="0087076A">
        <w:rPr>
          <w:sz w:val="20"/>
          <w:szCs w:val="20"/>
          <w:lang w:val="fr-CA"/>
        </w:rPr>
        <w:t xml:space="preserve">La décision sur la demande en vue de présenter une plaidoirie orale sera rendue après réception et examen des arguments écrits des parties et de l’intervenante. </w:t>
      </w:r>
    </w:p>
    <w:p w:rsidR="005B137C" w:rsidRPr="0087076A" w:rsidRDefault="005B137C" w:rsidP="005B137C">
      <w:pPr>
        <w:spacing w:line="233" w:lineRule="auto"/>
        <w:jc w:val="both"/>
        <w:rPr>
          <w:color w:val="000000" w:themeColor="text1"/>
          <w:sz w:val="20"/>
          <w:szCs w:val="20"/>
          <w:lang w:val="fr-CA" w:eastAsia="fr-FR"/>
        </w:rPr>
      </w:pPr>
    </w:p>
    <w:p w:rsidR="005B137C" w:rsidRPr="0087076A" w:rsidRDefault="00460701" w:rsidP="005B137C">
      <w:pPr>
        <w:spacing w:line="233" w:lineRule="auto"/>
        <w:jc w:val="both"/>
        <w:rPr>
          <w:sz w:val="20"/>
          <w:szCs w:val="20"/>
          <w:lang w:val="fr-CA"/>
        </w:rPr>
      </w:pPr>
      <w:r w:rsidRPr="0087076A">
        <w:rPr>
          <w:sz w:val="20"/>
          <w:szCs w:val="20"/>
        </w:rPr>
        <w:fldChar w:fldCharType="begin"/>
      </w:r>
      <w:r w:rsidR="005B137C" w:rsidRPr="0087076A">
        <w:rPr>
          <w:sz w:val="20"/>
          <w:szCs w:val="20"/>
          <w:lang w:val="fr-FR"/>
        </w:rPr>
        <w:instrText xml:space="preserve"> SEQ CHAPTER \h \r 1</w:instrText>
      </w:r>
      <w:r w:rsidRPr="0087076A">
        <w:rPr>
          <w:sz w:val="20"/>
          <w:szCs w:val="20"/>
        </w:rPr>
        <w:fldChar w:fldCharType="end"/>
      </w:r>
      <w:r w:rsidR="005B137C" w:rsidRPr="0087076A">
        <w:rPr>
          <w:sz w:val="20"/>
          <w:szCs w:val="20"/>
          <w:lang w:val="fr-CA"/>
        </w:rPr>
        <w:t>L’intervenante n’a pas le droit de soulever de nouvelles questions, de produire d'autres éléments de preuve ni de compléter de quelque autre façon le dossier des parties.</w:t>
      </w:r>
    </w:p>
    <w:p w:rsidR="005B137C" w:rsidRPr="0087076A" w:rsidRDefault="005B137C" w:rsidP="005B137C">
      <w:pPr>
        <w:spacing w:line="233" w:lineRule="auto"/>
        <w:rPr>
          <w:sz w:val="20"/>
          <w:szCs w:val="20"/>
          <w:lang w:val="fr-CA"/>
        </w:rPr>
      </w:pPr>
    </w:p>
    <w:p w:rsidR="005B137C" w:rsidRPr="0087076A" w:rsidRDefault="00460701" w:rsidP="005B137C">
      <w:pPr>
        <w:spacing w:line="233" w:lineRule="auto"/>
        <w:jc w:val="both"/>
        <w:rPr>
          <w:sz w:val="20"/>
          <w:szCs w:val="20"/>
          <w:lang w:val="fr-CA"/>
        </w:rPr>
      </w:pPr>
      <w:r w:rsidRPr="0087076A">
        <w:rPr>
          <w:sz w:val="20"/>
          <w:szCs w:val="20"/>
        </w:rPr>
        <w:fldChar w:fldCharType="begin"/>
      </w:r>
      <w:r w:rsidR="005B137C" w:rsidRPr="0087076A">
        <w:rPr>
          <w:sz w:val="20"/>
          <w:szCs w:val="20"/>
          <w:lang w:val="fr-FR"/>
        </w:rPr>
        <w:instrText xml:space="preserve"> SEQ CHAPTER \h \r 1</w:instrText>
      </w:r>
      <w:r w:rsidRPr="0087076A">
        <w:rPr>
          <w:sz w:val="20"/>
          <w:szCs w:val="20"/>
        </w:rPr>
        <w:fldChar w:fldCharType="end"/>
      </w:r>
      <w:r w:rsidR="005B137C" w:rsidRPr="0087076A">
        <w:rPr>
          <w:sz w:val="20"/>
          <w:szCs w:val="20"/>
          <w:lang w:val="fr-CA"/>
        </w:rPr>
        <w:t>Conformément à l'alinéa 59(1)(</w:t>
      </w:r>
      <w:r w:rsidR="005B137C" w:rsidRPr="0087076A">
        <w:rPr>
          <w:i/>
          <w:iCs/>
          <w:sz w:val="20"/>
          <w:szCs w:val="20"/>
          <w:lang w:val="fr-CA"/>
        </w:rPr>
        <w:t>a</w:t>
      </w:r>
      <w:r w:rsidR="005B137C" w:rsidRPr="0087076A">
        <w:rPr>
          <w:sz w:val="20"/>
          <w:szCs w:val="20"/>
          <w:lang w:val="fr-CA"/>
        </w:rPr>
        <w:t xml:space="preserve">) des </w:t>
      </w:r>
      <w:r w:rsidR="005B137C" w:rsidRPr="0087076A">
        <w:rPr>
          <w:i/>
          <w:iCs/>
          <w:sz w:val="20"/>
          <w:szCs w:val="20"/>
          <w:lang w:val="fr-CA"/>
        </w:rPr>
        <w:t>Règles de la Cour suprême du Canada</w:t>
      </w:r>
      <w:r w:rsidR="005B137C" w:rsidRPr="0087076A">
        <w:rPr>
          <w:sz w:val="20"/>
          <w:szCs w:val="20"/>
          <w:lang w:val="fr-CA"/>
        </w:rPr>
        <w:t>, l’intervenante paiera aux appelants et aux intimés tous débours supplémentaires résultant de son intervention.</w:t>
      </w:r>
    </w:p>
    <w:p w:rsidR="005B137C" w:rsidRPr="0087076A" w:rsidRDefault="005B137C" w:rsidP="005B137C">
      <w:pPr>
        <w:tabs>
          <w:tab w:val="left" w:pos="-1440"/>
          <w:tab w:val="left" w:pos="-720"/>
        </w:tabs>
        <w:jc w:val="both"/>
        <w:rPr>
          <w:sz w:val="20"/>
          <w:szCs w:val="20"/>
          <w:lang w:val="fr-CA"/>
        </w:rPr>
      </w:pPr>
    </w:p>
    <w:p w:rsidR="005B137C" w:rsidRPr="0087076A" w:rsidRDefault="00460701" w:rsidP="005B137C">
      <w:pPr>
        <w:tabs>
          <w:tab w:val="left" w:pos="-1440"/>
          <w:tab w:val="left" w:pos="-720"/>
        </w:tabs>
        <w:jc w:val="both"/>
        <w:rPr>
          <w:sz w:val="20"/>
          <w:szCs w:val="20"/>
          <w:lang w:val="fr-CA"/>
        </w:rPr>
      </w:pPr>
      <w:r w:rsidRPr="00460701">
        <w:rPr>
          <w:sz w:val="20"/>
          <w:szCs w:val="20"/>
          <w:lang w:val="fr-CA"/>
        </w:rPr>
        <w:pict>
          <v:rect id="_x0000_i1069" style="width:2in;height:1pt" o:hrpct="0" o:hralign="center" o:hrstd="t" o:hrnoshade="t" o:hr="t" fillcolor="black [3213]" stroked="f"/>
        </w:pict>
      </w:r>
    </w:p>
    <w:p w:rsidR="005B137C" w:rsidRPr="0087076A" w:rsidRDefault="005B137C" w:rsidP="005B137C">
      <w:pPr>
        <w:tabs>
          <w:tab w:val="left" w:pos="-1440"/>
          <w:tab w:val="left" w:pos="-720"/>
        </w:tabs>
        <w:jc w:val="both"/>
        <w:rPr>
          <w:sz w:val="20"/>
          <w:szCs w:val="20"/>
          <w:lang w:val="fr-CA"/>
        </w:rPr>
      </w:pPr>
    </w:p>
    <w:p w:rsidR="00831CA9" w:rsidRPr="00C50A5C" w:rsidRDefault="00831CA9" w:rsidP="00831CA9">
      <w:pPr>
        <w:jc w:val="both"/>
        <w:rPr>
          <w:sz w:val="20"/>
          <w:szCs w:val="20"/>
          <w:lang w:val="fr-CA"/>
        </w:rPr>
        <w:sectPr w:rsidR="00831CA9" w:rsidRPr="00C50A5C" w:rsidSect="00831CA9">
          <w:headerReference w:type="even" r:id="rId28"/>
          <w:headerReference w:type="default" r:id="rId29"/>
          <w:footerReference w:type="even" r:id="rId30"/>
          <w:footerReference w:type="default" r:id="rId31"/>
          <w:headerReference w:type="first" r:id="rId32"/>
          <w:footerReference w:type="first" r:id="rId33"/>
          <w:pgSz w:w="12240" w:h="15840"/>
          <w:pgMar w:top="720" w:right="965" w:bottom="1080" w:left="1656" w:header="720" w:footer="965" w:gutter="0"/>
          <w:cols w:space="720"/>
          <w:titlePg/>
          <w:docGrid w:linePitch="326"/>
        </w:sectPr>
      </w:pPr>
    </w:p>
    <w:tbl>
      <w:tblPr>
        <w:tblW w:w="0" w:type="auto"/>
        <w:tblBorders>
          <w:bottom w:val="single" w:sz="8" w:space="0" w:color="auto"/>
        </w:tblBorders>
        <w:tblLayout w:type="fixed"/>
        <w:tblCellMar>
          <w:left w:w="0" w:type="dxa"/>
          <w:right w:w="0" w:type="dxa"/>
        </w:tblCellMar>
        <w:tblLook w:val="0000"/>
      </w:tblPr>
      <w:tblGrid>
        <w:gridCol w:w="4410"/>
        <w:gridCol w:w="720"/>
        <w:gridCol w:w="4350"/>
      </w:tblGrid>
      <w:tr w:rsidR="00732DB7" w:rsidRPr="00390161" w:rsidTr="0085476B">
        <w:trPr>
          <w:cantSplit/>
        </w:trPr>
        <w:tc>
          <w:tcPr>
            <w:tcW w:w="4410" w:type="dxa"/>
            <w:tcMar>
              <w:left w:w="0" w:type="dxa"/>
              <w:right w:w="0" w:type="dxa"/>
            </w:tcMar>
          </w:tcPr>
          <w:p w:rsidR="00C1697B" w:rsidRDefault="00732DB7" w:rsidP="00697C62">
            <w:pPr>
              <w:keepNext/>
              <w:keepLines/>
              <w:widowControl w:val="0"/>
              <w:jc w:val="both"/>
              <w:rPr>
                <w:b/>
                <w:szCs w:val="24"/>
              </w:rPr>
            </w:pPr>
            <w:r w:rsidRPr="00C1697B">
              <w:rPr>
                <w:b/>
                <w:szCs w:val="24"/>
              </w:rPr>
              <w:lastRenderedPageBreak/>
              <w:t>APPEALS HEARD SINCE LAST ISSUE AND DISPOSITION</w:t>
            </w:r>
          </w:p>
          <w:p w:rsidR="00732DB7" w:rsidRPr="00C1697B" w:rsidRDefault="00732DB7" w:rsidP="00C1697B">
            <w:pPr>
              <w:tabs>
                <w:tab w:val="left" w:pos="1116"/>
              </w:tabs>
              <w:rPr>
                <w:szCs w:val="24"/>
              </w:rPr>
            </w:pPr>
          </w:p>
        </w:tc>
        <w:tc>
          <w:tcPr>
            <w:tcW w:w="720" w:type="dxa"/>
            <w:tcMar>
              <w:left w:w="0" w:type="dxa"/>
              <w:right w:w="0" w:type="dxa"/>
            </w:tcMar>
          </w:tcPr>
          <w:p w:rsidR="00732DB7" w:rsidRPr="00C1697B" w:rsidRDefault="00732DB7" w:rsidP="00732DB7">
            <w:pPr>
              <w:keepNext/>
              <w:keepLines/>
              <w:widowControl w:val="0"/>
              <w:jc w:val="center"/>
              <w:rPr>
                <w:b/>
                <w:szCs w:val="24"/>
              </w:rPr>
            </w:pPr>
          </w:p>
          <w:p w:rsidR="00732DB7" w:rsidRPr="00C1697B" w:rsidRDefault="00732DB7" w:rsidP="00732DB7">
            <w:pPr>
              <w:keepNext/>
              <w:keepLines/>
              <w:widowControl w:val="0"/>
              <w:jc w:val="center"/>
              <w:rPr>
                <w:b/>
                <w:szCs w:val="24"/>
              </w:rPr>
            </w:pPr>
          </w:p>
          <w:p w:rsidR="00732DB7" w:rsidRPr="00C1697B" w:rsidRDefault="00732DB7" w:rsidP="00732DB7">
            <w:pPr>
              <w:keepNext/>
              <w:keepLines/>
              <w:widowControl w:val="0"/>
              <w:jc w:val="center"/>
              <w:rPr>
                <w:b/>
                <w:szCs w:val="24"/>
              </w:rPr>
            </w:pPr>
          </w:p>
        </w:tc>
        <w:tc>
          <w:tcPr>
            <w:tcW w:w="4350" w:type="dxa"/>
            <w:tcMar>
              <w:left w:w="0" w:type="dxa"/>
              <w:right w:w="0" w:type="dxa"/>
            </w:tcMar>
          </w:tcPr>
          <w:p w:rsidR="00732DB7" w:rsidRPr="00C1697B" w:rsidRDefault="00732DB7" w:rsidP="00697C62">
            <w:pPr>
              <w:keepNext/>
              <w:keepLines/>
              <w:widowControl w:val="0"/>
              <w:jc w:val="both"/>
              <w:rPr>
                <w:b/>
                <w:szCs w:val="24"/>
                <w:lang w:val="fr-CA"/>
              </w:rPr>
            </w:pPr>
            <w:r w:rsidRPr="00C1697B">
              <w:rPr>
                <w:b/>
                <w:szCs w:val="24"/>
                <w:lang w:val="fr-CA"/>
              </w:rPr>
              <w:t>APPELS ENTENDUS DEPUIS LA DERNIÈRE PARUTION ET RÉSULTAT</w:t>
            </w:r>
          </w:p>
        </w:tc>
      </w:tr>
    </w:tbl>
    <w:p w:rsidR="00732DB7" w:rsidRPr="00C50A5C" w:rsidRDefault="00732DB7" w:rsidP="00732DB7">
      <w:pPr>
        <w:widowControl w:val="0"/>
        <w:rPr>
          <w:sz w:val="20"/>
          <w:szCs w:val="20"/>
          <w:lang w:val="fr-CA"/>
        </w:rPr>
      </w:pPr>
    </w:p>
    <w:p w:rsidR="005B137C" w:rsidRPr="00C50A5C" w:rsidRDefault="005B137C" w:rsidP="005B137C">
      <w:pPr>
        <w:widowControl w:val="0"/>
        <w:rPr>
          <w:sz w:val="20"/>
          <w:szCs w:val="20"/>
        </w:rPr>
      </w:pPr>
      <w:r>
        <w:rPr>
          <w:sz w:val="20"/>
          <w:szCs w:val="20"/>
        </w:rPr>
        <w:t>20</w:t>
      </w:r>
      <w:r w:rsidRPr="00C50A5C">
        <w:rPr>
          <w:sz w:val="20"/>
          <w:szCs w:val="20"/>
        </w:rPr>
        <w:t>.</w:t>
      </w:r>
      <w:r>
        <w:rPr>
          <w:sz w:val="20"/>
          <w:szCs w:val="20"/>
        </w:rPr>
        <w:t>1</w:t>
      </w:r>
      <w:r w:rsidRPr="00C50A5C">
        <w:rPr>
          <w:sz w:val="20"/>
          <w:szCs w:val="20"/>
        </w:rPr>
        <w:t>0.201</w:t>
      </w:r>
      <w:r>
        <w:rPr>
          <w:sz w:val="20"/>
          <w:szCs w:val="20"/>
        </w:rPr>
        <w:t>1</w:t>
      </w:r>
    </w:p>
    <w:p w:rsidR="005B137C" w:rsidRDefault="005B137C" w:rsidP="005B137C">
      <w:pPr>
        <w:widowControl w:val="0"/>
        <w:rPr>
          <w:sz w:val="20"/>
          <w:szCs w:val="20"/>
        </w:rPr>
      </w:pPr>
    </w:p>
    <w:p w:rsidR="005B137C" w:rsidRPr="00DC3B5A" w:rsidRDefault="005B137C" w:rsidP="005B137C">
      <w:pPr>
        <w:widowControl w:val="0"/>
        <w:ind w:left="720" w:hanging="720"/>
        <w:rPr>
          <w:rFonts w:eastAsia="Calibri" w:cs="Times New Roman"/>
          <w:sz w:val="20"/>
          <w:szCs w:val="20"/>
          <w:u w:val="single"/>
        </w:rPr>
      </w:pPr>
      <w:r w:rsidRPr="00DC3B5A">
        <w:rPr>
          <w:rFonts w:eastAsia="Calibri" w:cs="Times New Roman"/>
          <w:sz w:val="20"/>
          <w:szCs w:val="20"/>
        </w:rPr>
        <w:t xml:space="preserve">Coram: </w:t>
      </w:r>
      <w:r w:rsidRPr="00DC3B5A">
        <w:rPr>
          <w:rFonts w:eastAsia="Calibri" w:cs="Times New Roman"/>
          <w:sz w:val="20"/>
          <w:szCs w:val="20"/>
        </w:rPr>
        <w:tab/>
      </w:r>
      <w:r w:rsidRPr="00DC3B5A">
        <w:rPr>
          <w:rFonts w:eastAsia="Calibri" w:cs="Times New Roman"/>
          <w:sz w:val="20"/>
          <w:szCs w:val="20"/>
          <w:u w:val="single"/>
        </w:rPr>
        <w:t>Deschamps, Fish, Abella, Rothstein and Cromwell JJ.</w:t>
      </w:r>
    </w:p>
    <w:p w:rsidR="005B137C" w:rsidRPr="00EA79B0" w:rsidRDefault="005B137C" w:rsidP="005B137C">
      <w:pPr>
        <w:widowControl w:val="0"/>
        <w:rPr>
          <w:sz w:val="20"/>
          <w:szCs w:val="20"/>
        </w:rPr>
      </w:pPr>
    </w:p>
    <w:tbl>
      <w:tblPr>
        <w:tblW w:w="0" w:type="auto"/>
        <w:tblLayout w:type="fixed"/>
        <w:tblCellMar>
          <w:left w:w="0" w:type="dxa"/>
          <w:right w:w="0" w:type="dxa"/>
        </w:tblCellMar>
        <w:tblLook w:val="0000"/>
      </w:tblPr>
      <w:tblGrid>
        <w:gridCol w:w="4380"/>
        <w:gridCol w:w="720"/>
        <w:gridCol w:w="4380"/>
      </w:tblGrid>
      <w:tr w:rsidR="005B137C" w:rsidRPr="00C50A5C" w:rsidTr="00741DC5">
        <w:tc>
          <w:tcPr>
            <w:tcW w:w="4380" w:type="dxa"/>
            <w:tcMar>
              <w:left w:w="0" w:type="dxa"/>
              <w:right w:w="0" w:type="dxa"/>
            </w:tcMar>
          </w:tcPr>
          <w:p w:rsidR="005B137C" w:rsidRPr="00C50A5C" w:rsidRDefault="005B137C" w:rsidP="00741DC5">
            <w:pPr>
              <w:widowControl w:val="0"/>
              <w:jc w:val="both"/>
              <w:rPr>
                <w:b/>
                <w:sz w:val="20"/>
                <w:szCs w:val="20"/>
              </w:rPr>
            </w:pPr>
            <w:r w:rsidRPr="00DC3B5A">
              <w:rPr>
                <w:rFonts w:eastAsia="Calibri" w:cs="Times New Roman"/>
                <w:b/>
                <w:sz w:val="20"/>
                <w:szCs w:val="20"/>
              </w:rPr>
              <w:t>Mark Whyte</w:t>
            </w:r>
          </w:p>
          <w:p w:rsidR="005B137C" w:rsidRPr="00C50A5C" w:rsidRDefault="005B137C" w:rsidP="00741DC5">
            <w:pPr>
              <w:widowControl w:val="0"/>
              <w:jc w:val="both"/>
              <w:rPr>
                <w:b/>
                <w:sz w:val="20"/>
                <w:szCs w:val="20"/>
              </w:rPr>
            </w:pPr>
          </w:p>
          <w:p w:rsidR="005B137C" w:rsidRDefault="005B137C" w:rsidP="00741DC5">
            <w:pPr>
              <w:widowControl w:val="0"/>
              <w:tabs>
                <w:tab w:val="left" w:pos="736"/>
              </w:tabs>
              <w:jc w:val="both"/>
              <w:rPr>
                <w:b/>
                <w:sz w:val="20"/>
                <w:szCs w:val="20"/>
              </w:rPr>
            </w:pPr>
            <w:r w:rsidRPr="00C50A5C">
              <w:rPr>
                <w:b/>
                <w:sz w:val="20"/>
                <w:szCs w:val="20"/>
              </w:rPr>
              <w:tab/>
              <w:t>v. (3</w:t>
            </w:r>
            <w:r>
              <w:rPr>
                <w:b/>
                <w:sz w:val="20"/>
                <w:szCs w:val="20"/>
              </w:rPr>
              <w:t>3965)</w:t>
            </w:r>
          </w:p>
          <w:p w:rsidR="005B137C" w:rsidRPr="00C50A5C" w:rsidRDefault="005B137C" w:rsidP="00741DC5">
            <w:pPr>
              <w:widowControl w:val="0"/>
              <w:tabs>
                <w:tab w:val="left" w:pos="736"/>
              </w:tabs>
              <w:jc w:val="both"/>
              <w:rPr>
                <w:b/>
                <w:sz w:val="20"/>
                <w:szCs w:val="20"/>
              </w:rPr>
            </w:pPr>
          </w:p>
          <w:p w:rsidR="005B137C" w:rsidRPr="00C50A5C" w:rsidRDefault="005B137C" w:rsidP="00741DC5">
            <w:pPr>
              <w:widowControl w:val="0"/>
              <w:jc w:val="both"/>
              <w:rPr>
                <w:sz w:val="20"/>
                <w:szCs w:val="20"/>
                <w:lang w:val="fr-CA"/>
              </w:rPr>
            </w:pPr>
            <w:r w:rsidRPr="005B72D4">
              <w:rPr>
                <w:rFonts w:eastAsia="Calibri" w:cs="Times New Roman"/>
                <w:b/>
                <w:sz w:val="20"/>
                <w:szCs w:val="20"/>
              </w:rPr>
              <w:t>Her Majesty the Queen (Ont.) (Criminal) (As of Right)</w:t>
            </w:r>
          </w:p>
        </w:tc>
        <w:tc>
          <w:tcPr>
            <w:tcW w:w="720" w:type="dxa"/>
            <w:tcMar>
              <w:left w:w="0" w:type="dxa"/>
              <w:right w:w="0" w:type="dxa"/>
            </w:tcMar>
          </w:tcPr>
          <w:p w:rsidR="005B137C" w:rsidRPr="00C50A5C" w:rsidRDefault="005B137C" w:rsidP="00741DC5">
            <w:pPr>
              <w:widowControl w:val="0"/>
              <w:jc w:val="center"/>
              <w:rPr>
                <w:sz w:val="20"/>
                <w:szCs w:val="20"/>
                <w:lang w:val="fr-CA"/>
              </w:rPr>
            </w:pPr>
          </w:p>
        </w:tc>
        <w:tc>
          <w:tcPr>
            <w:tcW w:w="4380" w:type="dxa"/>
            <w:tcMar>
              <w:left w:w="0" w:type="dxa"/>
              <w:right w:w="0" w:type="dxa"/>
            </w:tcMar>
          </w:tcPr>
          <w:p w:rsidR="005B137C" w:rsidRPr="00FE78CC" w:rsidRDefault="005B137C" w:rsidP="00741DC5">
            <w:pPr>
              <w:jc w:val="both"/>
              <w:rPr>
                <w:sz w:val="20"/>
                <w:szCs w:val="20"/>
              </w:rPr>
            </w:pPr>
            <w:r w:rsidRPr="00FE78CC">
              <w:rPr>
                <w:sz w:val="20"/>
                <w:szCs w:val="20"/>
              </w:rPr>
              <w:t>Reid Rusonik</w:t>
            </w:r>
            <w:r>
              <w:rPr>
                <w:sz w:val="20"/>
                <w:szCs w:val="20"/>
              </w:rPr>
              <w:t xml:space="preserve"> and </w:t>
            </w:r>
            <w:r w:rsidRPr="00FE78CC">
              <w:rPr>
                <w:sz w:val="20"/>
                <w:szCs w:val="20"/>
              </w:rPr>
              <w:t>Nathan Gorham</w:t>
            </w:r>
            <w:r>
              <w:rPr>
                <w:sz w:val="20"/>
                <w:szCs w:val="20"/>
              </w:rPr>
              <w:t xml:space="preserve"> f</w:t>
            </w:r>
            <w:r w:rsidRPr="00FE78CC">
              <w:rPr>
                <w:sz w:val="20"/>
                <w:szCs w:val="20"/>
              </w:rPr>
              <w:t xml:space="preserve">or the </w:t>
            </w:r>
            <w:r>
              <w:rPr>
                <w:sz w:val="20"/>
                <w:szCs w:val="20"/>
              </w:rPr>
              <w:t>a</w:t>
            </w:r>
            <w:r w:rsidRPr="00FE78CC">
              <w:rPr>
                <w:sz w:val="20"/>
                <w:szCs w:val="20"/>
              </w:rPr>
              <w:t>ppellant.</w:t>
            </w:r>
          </w:p>
          <w:p w:rsidR="005B137C" w:rsidRPr="00FE78CC" w:rsidRDefault="005B137C" w:rsidP="00741DC5">
            <w:pPr>
              <w:jc w:val="both"/>
              <w:rPr>
                <w:sz w:val="20"/>
                <w:szCs w:val="20"/>
              </w:rPr>
            </w:pPr>
          </w:p>
          <w:p w:rsidR="005B137C" w:rsidRPr="00FE78CC" w:rsidRDefault="005B137C" w:rsidP="00741DC5">
            <w:pPr>
              <w:jc w:val="both"/>
              <w:rPr>
                <w:sz w:val="20"/>
                <w:szCs w:val="20"/>
              </w:rPr>
            </w:pPr>
            <w:r w:rsidRPr="00FE78CC">
              <w:rPr>
                <w:sz w:val="20"/>
                <w:szCs w:val="20"/>
              </w:rPr>
              <w:t>Jennifer M. Woollcombe</w:t>
            </w:r>
            <w:r>
              <w:rPr>
                <w:sz w:val="20"/>
                <w:szCs w:val="20"/>
              </w:rPr>
              <w:t xml:space="preserve"> f</w:t>
            </w:r>
            <w:r w:rsidRPr="00FE78CC">
              <w:rPr>
                <w:sz w:val="20"/>
                <w:szCs w:val="20"/>
              </w:rPr>
              <w:t xml:space="preserve">or the </w:t>
            </w:r>
            <w:r>
              <w:rPr>
                <w:sz w:val="20"/>
                <w:szCs w:val="20"/>
              </w:rPr>
              <w:t>r</w:t>
            </w:r>
            <w:r w:rsidRPr="00FE78CC">
              <w:rPr>
                <w:sz w:val="20"/>
                <w:szCs w:val="20"/>
              </w:rPr>
              <w:t>espondent.</w:t>
            </w:r>
          </w:p>
          <w:p w:rsidR="005B137C" w:rsidRPr="00C50A5C" w:rsidRDefault="005B137C" w:rsidP="00741DC5">
            <w:pPr>
              <w:widowControl w:val="0"/>
              <w:jc w:val="both"/>
              <w:rPr>
                <w:sz w:val="20"/>
                <w:szCs w:val="20"/>
              </w:rPr>
            </w:pPr>
          </w:p>
        </w:tc>
      </w:tr>
    </w:tbl>
    <w:p w:rsidR="005B137C" w:rsidRDefault="005B137C" w:rsidP="005B137C">
      <w:pPr>
        <w:widowControl w:val="0"/>
        <w:rPr>
          <w:sz w:val="20"/>
          <w:szCs w:val="20"/>
        </w:rPr>
      </w:pPr>
    </w:p>
    <w:p w:rsidR="005B137C" w:rsidRDefault="005B137C" w:rsidP="005B137C">
      <w:pPr>
        <w:widowControl w:val="0"/>
        <w:rPr>
          <w:rFonts w:eastAsia="Calibri" w:cs="Times New Roman"/>
          <w:b/>
          <w:bCs/>
          <w:sz w:val="20"/>
          <w:szCs w:val="20"/>
        </w:rPr>
      </w:pPr>
      <w:r w:rsidRPr="00DC3B5A">
        <w:rPr>
          <w:rFonts w:eastAsia="Calibri" w:cs="Times New Roman"/>
          <w:b/>
          <w:bCs/>
          <w:sz w:val="20"/>
          <w:szCs w:val="20"/>
        </w:rPr>
        <w:t>DISMISSED / REJETÉ</w:t>
      </w:r>
    </w:p>
    <w:p w:rsidR="005B137C" w:rsidRDefault="005B137C" w:rsidP="005B137C">
      <w:pPr>
        <w:widowControl w:val="0"/>
        <w:rPr>
          <w:sz w:val="20"/>
          <w:szCs w:val="20"/>
        </w:rPr>
      </w:pPr>
    </w:p>
    <w:p w:rsidR="005B137C" w:rsidRPr="008621BF" w:rsidRDefault="005B137C" w:rsidP="005B137C">
      <w:pPr>
        <w:widowControl w:val="0"/>
        <w:rPr>
          <w:b/>
          <w:sz w:val="20"/>
          <w:szCs w:val="20"/>
        </w:rPr>
      </w:pPr>
      <w:r w:rsidRPr="008621BF">
        <w:rPr>
          <w:b/>
          <w:sz w:val="20"/>
          <w:szCs w:val="20"/>
        </w:rPr>
        <w:t>2011 SCC 4</w:t>
      </w:r>
      <w:r>
        <w:rPr>
          <w:b/>
          <w:sz w:val="20"/>
          <w:szCs w:val="20"/>
        </w:rPr>
        <w:t>9</w:t>
      </w:r>
      <w:r w:rsidRPr="008621BF">
        <w:rPr>
          <w:b/>
          <w:sz w:val="20"/>
          <w:szCs w:val="20"/>
        </w:rPr>
        <w:t xml:space="preserve"> / 2011 CSC 4</w:t>
      </w:r>
      <w:r>
        <w:rPr>
          <w:b/>
          <w:sz w:val="20"/>
          <w:szCs w:val="20"/>
        </w:rPr>
        <w:t>9</w:t>
      </w:r>
    </w:p>
    <w:p w:rsidR="005B137C" w:rsidRDefault="005B137C" w:rsidP="005B137C">
      <w:pPr>
        <w:widowControl w:val="0"/>
        <w:rPr>
          <w:sz w:val="20"/>
          <w:szCs w:val="20"/>
        </w:rPr>
      </w:pPr>
    </w:p>
    <w:tbl>
      <w:tblPr>
        <w:tblW w:w="0" w:type="auto"/>
        <w:tblLayout w:type="fixed"/>
        <w:tblCellMar>
          <w:left w:w="0" w:type="dxa"/>
          <w:right w:w="0" w:type="dxa"/>
        </w:tblCellMar>
        <w:tblLook w:val="0000"/>
      </w:tblPr>
      <w:tblGrid>
        <w:gridCol w:w="4380"/>
        <w:gridCol w:w="720"/>
        <w:gridCol w:w="4380"/>
      </w:tblGrid>
      <w:tr w:rsidR="005B137C" w:rsidRPr="00DF3B2E" w:rsidTr="00741DC5">
        <w:tc>
          <w:tcPr>
            <w:tcW w:w="4380" w:type="dxa"/>
            <w:tcMar>
              <w:left w:w="0" w:type="dxa"/>
              <w:right w:w="0" w:type="dxa"/>
            </w:tcMar>
          </w:tcPr>
          <w:p w:rsidR="005B137C" w:rsidRPr="00CC4D84" w:rsidRDefault="005B137C" w:rsidP="00741DC5">
            <w:pPr>
              <w:widowControl w:val="0"/>
              <w:jc w:val="both"/>
              <w:rPr>
                <w:b/>
                <w:sz w:val="20"/>
                <w:szCs w:val="20"/>
                <w:u w:val="single"/>
              </w:rPr>
            </w:pPr>
            <w:r>
              <w:rPr>
                <w:b/>
                <w:sz w:val="20"/>
                <w:szCs w:val="20"/>
                <w:u w:val="single"/>
              </w:rPr>
              <w:t>JUDGMENT</w:t>
            </w:r>
            <w:r w:rsidRPr="00CC4D84">
              <w:rPr>
                <w:b/>
                <w:sz w:val="20"/>
                <w:szCs w:val="20"/>
                <w:u w:val="single"/>
              </w:rPr>
              <w:t>:</w:t>
            </w:r>
          </w:p>
          <w:p w:rsidR="005B137C" w:rsidRPr="00C1697B" w:rsidRDefault="005B137C" w:rsidP="00741DC5">
            <w:pPr>
              <w:widowControl w:val="0"/>
              <w:jc w:val="both"/>
              <w:rPr>
                <w:b/>
                <w:sz w:val="20"/>
                <w:szCs w:val="20"/>
              </w:rPr>
            </w:pPr>
          </w:p>
          <w:p w:rsidR="005B137C" w:rsidRPr="00631F6C" w:rsidRDefault="005B137C" w:rsidP="00741DC5">
            <w:pPr>
              <w:jc w:val="both"/>
              <w:rPr>
                <w:sz w:val="20"/>
                <w:szCs w:val="20"/>
              </w:rPr>
            </w:pPr>
            <w:r w:rsidRPr="00631F6C">
              <w:rPr>
                <w:sz w:val="20"/>
                <w:szCs w:val="20"/>
              </w:rPr>
              <w:t>The appeal from the judgment of the Court of Appeal for Ontario, Number C51976, 2011 ONCA 24, dated October 19, 2010, was heard this day and the following judgment was rendered orally:</w:t>
            </w:r>
          </w:p>
          <w:p w:rsidR="005B137C" w:rsidRPr="00631F6C" w:rsidRDefault="005B137C" w:rsidP="00741DC5">
            <w:pPr>
              <w:rPr>
                <w:sz w:val="20"/>
                <w:szCs w:val="20"/>
              </w:rPr>
            </w:pPr>
          </w:p>
          <w:p w:rsidR="005B137C" w:rsidRPr="00631F6C" w:rsidRDefault="005B137C" w:rsidP="00741DC5">
            <w:pPr>
              <w:jc w:val="both"/>
              <w:rPr>
                <w:sz w:val="20"/>
                <w:szCs w:val="20"/>
              </w:rPr>
            </w:pPr>
            <w:r w:rsidRPr="00631F6C">
              <w:rPr>
                <w:smallCaps/>
                <w:sz w:val="20"/>
                <w:szCs w:val="20"/>
              </w:rPr>
              <w:t xml:space="preserve">Deschamps J. </w:t>
            </w:r>
            <w:r w:rsidRPr="00631F6C">
              <w:rPr>
                <w:sz w:val="20"/>
                <w:szCs w:val="20"/>
              </w:rPr>
              <w:t xml:space="preserve">– We are of the view that the Court of Appeal did not err in finding that, as a matter of law, </w:t>
            </w:r>
          </w:p>
          <w:p w:rsidR="005B137C" w:rsidRPr="00631F6C" w:rsidRDefault="005B137C" w:rsidP="00741DC5">
            <w:pPr>
              <w:jc w:val="both"/>
              <w:rPr>
                <w:sz w:val="20"/>
                <w:szCs w:val="20"/>
              </w:rPr>
            </w:pPr>
          </w:p>
          <w:p w:rsidR="005B137C" w:rsidRDefault="005B137C" w:rsidP="00741DC5">
            <w:pPr>
              <w:jc w:val="both"/>
              <w:rPr>
                <w:sz w:val="20"/>
                <w:szCs w:val="20"/>
              </w:rPr>
            </w:pPr>
          </w:p>
          <w:p w:rsidR="005B137C" w:rsidRPr="00631F6C" w:rsidRDefault="005B137C" w:rsidP="00741DC5">
            <w:pPr>
              <w:jc w:val="both"/>
              <w:rPr>
                <w:sz w:val="20"/>
                <w:szCs w:val="20"/>
              </w:rPr>
            </w:pPr>
            <w:r w:rsidRPr="00631F6C">
              <w:rPr>
                <w:sz w:val="20"/>
                <w:szCs w:val="20"/>
              </w:rPr>
              <w:t xml:space="preserve">“[s]ince the police had reasonable grounds, subjective and objective, to believe that the occupants of the vehicle were in possession of illegal firearms, the arrest of the occupants of the vehicle and search as an incident of the arrest were lawful. There was no violation of the respondent’s rights under ss. 8 and 9 of the </w:t>
            </w:r>
            <w:r w:rsidRPr="00631F6C">
              <w:rPr>
                <w:i/>
                <w:sz w:val="20"/>
                <w:szCs w:val="20"/>
              </w:rPr>
              <w:t>Charter</w:t>
            </w:r>
            <w:r w:rsidRPr="00631F6C">
              <w:rPr>
                <w:sz w:val="20"/>
                <w:szCs w:val="20"/>
              </w:rPr>
              <w:t xml:space="preserve"> and the evidence should not have been excluded.”</w:t>
            </w:r>
          </w:p>
          <w:p w:rsidR="005B137C" w:rsidRPr="00631F6C" w:rsidRDefault="005B137C" w:rsidP="00741DC5">
            <w:pPr>
              <w:jc w:val="both"/>
              <w:rPr>
                <w:sz w:val="20"/>
                <w:szCs w:val="20"/>
              </w:rPr>
            </w:pPr>
          </w:p>
          <w:p w:rsidR="005B137C" w:rsidRPr="00631F6C" w:rsidRDefault="005B137C" w:rsidP="00741DC5">
            <w:pPr>
              <w:jc w:val="both"/>
              <w:rPr>
                <w:sz w:val="20"/>
                <w:szCs w:val="20"/>
              </w:rPr>
            </w:pPr>
            <w:r w:rsidRPr="00631F6C">
              <w:rPr>
                <w:sz w:val="20"/>
                <w:szCs w:val="20"/>
              </w:rPr>
              <w:t>(2011 ONCA 24, 266 C.C.C. (3d) 5, at para. 32)</w:t>
            </w:r>
          </w:p>
          <w:p w:rsidR="005B137C" w:rsidRPr="00631F6C" w:rsidRDefault="005B137C" w:rsidP="00741DC5">
            <w:pPr>
              <w:jc w:val="both"/>
              <w:rPr>
                <w:sz w:val="20"/>
                <w:szCs w:val="20"/>
              </w:rPr>
            </w:pPr>
          </w:p>
          <w:p w:rsidR="005B137C" w:rsidRPr="00C1697B" w:rsidRDefault="005B137C" w:rsidP="00741DC5">
            <w:pPr>
              <w:jc w:val="both"/>
              <w:rPr>
                <w:b/>
                <w:sz w:val="20"/>
                <w:szCs w:val="20"/>
              </w:rPr>
            </w:pPr>
            <w:r w:rsidRPr="00631F6C">
              <w:rPr>
                <w:sz w:val="20"/>
                <w:szCs w:val="20"/>
              </w:rPr>
              <w:t>The appeal is therefore dismissed.</w:t>
            </w:r>
          </w:p>
        </w:tc>
        <w:tc>
          <w:tcPr>
            <w:tcW w:w="720" w:type="dxa"/>
            <w:tcMar>
              <w:left w:w="0" w:type="dxa"/>
              <w:right w:w="0" w:type="dxa"/>
            </w:tcMar>
          </w:tcPr>
          <w:p w:rsidR="005B137C" w:rsidRPr="00C1697B" w:rsidRDefault="005B137C" w:rsidP="00741DC5">
            <w:pPr>
              <w:widowControl w:val="0"/>
              <w:jc w:val="center"/>
              <w:rPr>
                <w:sz w:val="20"/>
                <w:szCs w:val="20"/>
              </w:rPr>
            </w:pPr>
          </w:p>
        </w:tc>
        <w:tc>
          <w:tcPr>
            <w:tcW w:w="4380" w:type="dxa"/>
            <w:tcMar>
              <w:left w:w="0" w:type="dxa"/>
              <w:right w:w="0" w:type="dxa"/>
            </w:tcMar>
          </w:tcPr>
          <w:p w:rsidR="005B137C" w:rsidRPr="00CC4D84" w:rsidRDefault="005B137C" w:rsidP="00741DC5">
            <w:pPr>
              <w:widowControl w:val="0"/>
              <w:jc w:val="both"/>
              <w:rPr>
                <w:b/>
                <w:sz w:val="20"/>
                <w:szCs w:val="20"/>
                <w:u w:val="single"/>
                <w:lang w:val="fr-CA"/>
              </w:rPr>
            </w:pPr>
            <w:r>
              <w:rPr>
                <w:b/>
                <w:sz w:val="20"/>
                <w:szCs w:val="20"/>
                <w:u w:val="single"/>
                <w:lang w:val="fr-CA"/>
              </w:rPr>
              <w:t>JUGEMENT</w:t>
            </w:r>
            <w:r w:rsidRPr="00CC4D84">
              <w:rPr>
                <w:b/>
                <w:sz w:val="20"/>
                <w:szCs w:val="20"/>
                <w:u w:val="single"/>
                <w:lang w:val="fr-CA"/>
              </w:rPr>
              <w:t xml:space="preserve"> :</w:t>
            </w:r>
          </w:p>
          <w:p w:rsidR="005B137C" w:rsidRPr="00C1697B" w:rsidRDefault="005B137C" w:rsidP="00741DC5">
            <w:pPr>
              <w:widowControl w:val="0"/>
              <w:jc w:val="both"/>
              <w:rPr>
                <w:sz w:val="20"/>
                <w:szCs w:val="20"/>
                <w:lang w:val="fr-CA"/>
              </w:rPr>
            </w:pPr>
          </w:p>
          <w:p w:rsidR="005B137C" w:rsidRPr="00631F6C" w:rsidRDefault="005B137C" w:rsidP="00741DC5">
            <w:pPr>
              <w:jc w:val="both"/>
              <w:rPr>
                <w:sz w:val="20"/>
                <w:szCs w:val="20"/>
                <w:lang w:val="fr-CA"/>
              </w:rPr>
            </w:pPr>
            <w:r w:rsidRPr="00631F6C">
              <w:rPr>
                <w:sz w:val="20"/>
                <w:szCs w:val="20"/>
                <w:lang w:val="fr-CA"/>
              </w:rPr>
              <w:t>L’appel interjeté contre l’arrêt de la Cour d’appel de l’Ontario, numéro C51976, 2011 ONCA 24, en date du 19 octobre 2010, a été entendu aujourd’hui et le jugement suivant a été rendu oralement :</w:t>
            </w:r>
          </w:p>
          <w:p w:rsidR="005B137C" w:rsidRPr="00631F6C" w:rsidRDefault="005B137C" w:rsidP="00741DC5">
            <w:pPr>
              <w:rPr>
                <w:sz w:val="20"/>
                <w:szCs w:val="20"/>
                <w:lang w:val="fr-CA"/>
              </w:rPr>
            </w:pPr>
          </w:p>
          <w:p w:rsidR="005B137C" w:rsidRPr="00631F6C" w:rsidRDefault="005B137C" w:rsidP="00741DC5">
            <w:pPr>
              <w:jc w:val="both"/>
              <w:rPr>
                <w:sz w:val="20"/>
                <w:szCs w:val="20"/>
                <w:lang w:val="fr-CA"/>
              </w:rPr>
            </w:pPr>
            <w:r w:rsidRPr="00631F6C">
              <w:rPr>
                <w:smallCaps/>
                <w:sz w:val="20"/>
                <w:szCs w:val="20"/>
                <w:lang w:val="fr-CA"/>
              </w:rPr>
              <w:t>La juge Deschamps</w:t>
            </w:r>
            <w:r w:rsidRPr="00631F6C">
              <w:rPr>
                <w:sz w:val="20"/>
                <w:szCs w:val="20"/>
                <w:lang w:val="fr-CA"/>
              </w:rPr>
              <w:t> – Nous sommes d’avis que la Cour d’appel n’a pas commis d’erreur en concluant que, comme question de droit,</w:t>
            </w:r>
          </w:p>
          <w:p w:rsidR="005B137C" w:rsidRPr="00631F6C" w:rsidRDefault="005B137C" w:rsidP="00741DC5">
            <w:pPr>
              <w:jc w:val="both"/>
              <w:rPr>
                <w:sz w:val="20"/>
                <w:szCs w:val="20"/>
                <w:lang w:val="fr-CA"/>
              </w:rPr>
            </w:pPr>
          </w:p>
          <w:p w:rsidR="005B137C" w:rsidRPr="00631F6C" w:rsidRDefault="005B137C" w:rsidP="00741DC5">
            <w:pPr>
              <w:jc w:val="both"/>
              <w:rPr>
                <w:sz w:val="20"/>
                <w:szCs w:val="20"/>
                <w:lang w:val="fr-CA"/>
              </w:rPr>
            </w:pPr>
            <w:r w:rsidRPr="00631F6C">
              <w:rPr>
                <w:sz w:val="20"/>
                <w:szCs w:val="20"/>
                <w:lang w:val="fr-CA"/>
              </w:rPr>
              <w:t>[</w:t>
            </w:r>
            <w:r w:rsidRPr="00631F6C">
              <w:rPr>
                <w:smallCaps/>
                <w:sz w:val="20"/>
                <w:szCs w:val="20"/>
                <w:lang w:val="fr-CA"/>
              </w:rPr>
              <w:t>traduction</w:t>
            </w:r>
            <w:r w:rsidRPr="00631F6C">
              <w:rPr>
                <w:sz w:val="20"/>
                <w:szCs w:val="20"/>
                <w:lang w:val="fr-CA"/>
              </w:rPr>
              <w:t xml:space="preserve">] </w:t>
            </w:r>
            <w:r w:rsidRPr="00631F6C">
              <w:rPr>
                <w:rFonts w:cs="Times New Roman"/>
                <w:sz w:val="20"/>
                <w:szCs w:val="20"/>
                <w:lang w:val="fr-CA"/>
              </w:rPr>
              <w:t xml:space="preserve">« </w:t>
            </w:r>
            <w:r w:rsidRPr="00631F6C">
              <w:rPr>
                <w:sz w:val="20"/>
                <w:szCs w:val="20"/>
                <w:lang w:val="fr-CA"/>
              </w:rPr>
              <w:t xml:space="preserve">[p]uisque la police avait des motifs, subjectifs et objectifs, raisonnables de croire que les occupants du véhicule étaient en possession d’armes à feu prohibées, leur arrestation et la fouille accessoire à cette dernière étaient légales.  Les droits des intimés protégés par les art. 8 et 9 de la </w:t>
            </w:r>
            <w:r w:rsidRPr="00631F6C">
              <w:rPr>
                <w:i/>
                <w:sz w:val="20"/>
                <w:szCs w:val="20"/>
                <w:lang w:val="fr-CA"/>
              </w:rPr>
              <w:t>Charte</w:t>
            </w:r>
            <w:r w:rsidRPr="00631F6C">
              <w:rPr>
                <w:sz w:val="20"/>
                <w:szCs w:val="20"/>
                <w:lang w:val="fr-CA"/>
              </w:rPr>
              <w:t xml:space="preserve"> n’ont pas été violés et les éléments de preuve n’auraient pas dû être exclus. </w:t>
            </w:r>
            <w:r w:rsidRPr="00631F6C">
              <w:rPr>
                <w:rFonts w:cs="Times New Roman"/>
                <w:sz w:val="20"/>
                <w:szCs w:val="20"/>
                <w:lang w:val="fr-CA"/>
              </w:rPr>
              <w:t>»</w:t>
            </w:r>
          </w:p>
          <w:p w:rsidR="005B137C" w:rsidRPr="00631F6C" w:rsidRDefault="005B137C" w:rsidP="00741DC5">
            <w:pPr>
              <w:jc w:val="both"/>
              <w:rPr>
                <w:sz w:val="20"/>
                <w:szCs w:val="20"/>
                <w:lang w:val="fr-CA"/>
              </w:rPr>
            </w:pPr>
          </w:p>
          <w:p w:rsidR="005B137C" w:rsidRPr="00631F6C" w:rsidRDefault="005B137C" w:rsidP="00741DC5">
            <w:pPr>
              <w:jc w:val="both"/>
              <w:rPr>
                <w:sz w:val="20"/>
                <w:szCs w:val="20"/>
                <w:lang w:val="fr-CA"/>
              </w:rPr>
            </w:pPr>
            <w:r w:rsidRPr="00631F6C">
              <w:rPr>
                <w:sz w:val="20"/>
                <w:szCs w:val="20"/>
                <w:lang w:val="fr-CA"/>
              </w:rPr>
              <w:t>(2011 ONCA 24, 266 C.C.C. (3d) 5, par. 32)</w:t>
            </w:r>
          </w:p>
          <w:p w:rsidR="005B137C" w:rsidRPr="00631F6C" w:rsidRDefault="005B137C" w:rsidP="00741DC5">
            <w:pPr>
              <w:rPr>
                <w:sz w:val="20"/>
                <w:szCs w:val="20"/>
                <w:lang w:val="fr-CA"/>
              </w:rPr>
            </w:pPr>
          </w:p>
          <w:p w:rsidR="005B137C" w:rsidRPr="00C1697B" w:rsidRDefault="005B137C" w:rsidP="00741DC5">
            <w:pPr>
              <w:jc w:val="both"/>
              <w:rPr>
                <w:sz w:val="20"/>
                <w:szCs w:val="20"/>
                <w:lang w:val="fr-CA"/>
              </w:rPr>
            </w:pPr>
            <w:r w:rsidRPr="00631F6C">
              <w:rPr>
                <w:rFonts w:cs="Times New Roman"/>
                <w:sz w:val="20"/>
                <w:szCs w:val="20"/>
                <w:lang w:val="fr-FR"/>
              </w:rPr>
              <w:t>L’appel est donc rejeté.</w:t>
            </w:r>
          </w:p>
        </w:tc>
      </w:tr>
    </w:tbl>
    <w:p w:rsidR="005B137C" w:rsidRPr="00A1406B" w:rsidRDefault="005B137C" w:rsidP="005B137C">
      <w:pPr>
        <w:widowControl w:val="0"/>
        <w:rPr>
          <w:sz w:val="20"/>
          <w:szCs w:val="20"/>
          <w:lang w:val="fr-CA"/>
        </w:rPr>
      </w:pPr>
    </w:p>
    <w:p w:rsidR="005B137C" w:rsidRPr="00A1406B" w:rsidRDefault="005B137C" w:rsidP="005B137C">
      <w:pPr>
        <w:widowControl w:val="0"/>
        <w:rPr>
          <w:sz w:val="20"/>
          <w:szCs w:val="20"/>
          <w:lang w:val="fr-CA"/>
        </w:rPr>
      </w:pPr>
    </w:p>
    <w:tbl>
      <w:tblPr>
        <w:tblW w:w="0" w:type="auto"/>
        <w:tblLayout w:type="fixed"/>
        <w:tblCellMar>
          <w:left w:w="0" w:type="dxa"/>
          <w:right w:w="0" w:type="dxa"/>
        </w:tblCellMar>
        <w:tblLook w:val="0000"/>
      </w:tblPr>
      <w:tblGrid>
        <w:gridCol w:w="4380"/>
        <w:gridCol w:w="720"/>
        <w:gridCol w:w="4380"/>
      </w:tblGrid>
      <w:tr w:rsidR="005B137C" w:rsidRPr="005B137C" w:rsidTr="00741DC5">
        <w:tc>
          <w:tcPr>
            <w:tcW w:w="4380" w:type="dxa"/>
            <w:tcMar>
              <w:left w:w="0" w:type="dxa"/>
              <w:right w:w="0" w:type="dxa"/>
            </w:tcMar>
          </w:tcPr>
          <w:p w:rsidR="005B137C" w:rsidRPr="00CC4D84" w:rsidRDefault="005B137C" w:rsidP="00741DC5">
            <w:pPr>
              <w:widowControl w:val="0"/>
              <w:jc w:val="both"/>
              <w:rPr>
                <w:b/>
                <w:sz w:val="20"/>
                <w:szCs w:val="20"/>
                <w:u w:val="single"/>
              </w:rPr>
            </w:pPr>
            <w:r w:rsidRPr="00CC4D84">
              <w:rPr>
                <w:b/>
                <w:sz w:val="20"/>
                <w:szCs w:val="20"/>
                <w:u w:val="single"/>
              </w:rPr>
              <w:t>Nature of the case:</w:t>
            </w:r>
          </w:p>
          <w:p w:rsidR="005B137C" w:rsidRPr="00C1697B" w:rsidRDefault="005B137C" w:rsidP="00741DC5">
            <w:pPr>
              <w:widowControl w:val="0"/>
              <w:jc w:val="both"/>
              <w:rPr>
                <w:b/>
                <w:sz w:val="20"/>
                <w:szCs w:val="20"/>
              </w:rPr>
            </w:pPr>
          </w:p>
          <w:p w:rsidR="005B137C" w:rsidRPr="00C1697B" w:rsidRDefault="005B137C" w:rsidP="00741DC5">
            <w:pPr>
              <w:widowControl w:val="0"/>
              <w:jc w:val="both"/>
              <w:rPr>
                <w:b/>
                <w:sz w:val="20"/>
                <w:szCs w:val="20"/>
              </w:rPr>
            </w:pPr>
            <w:r w:rsidRPr="0050627D">
              <w:rPr>
                <w:i/>
                <w:sz w:val="20"/>
                <w:szCs w:val="20"/>
              </w:rPr>
              <w:t>Charter of rights</w:t>
            </w:r>
            <w:r w:rsidRPr="0050627D">
              <w:rPr>
                <w:sz w:val="20"/>
                <w:szCs w:val="20"/>
              </w:rPr>
              <w:t xml:space="preserve"> </w:t>
            </w:r>
            <w:r w:rsidRPr="0050627D">
              <w:rPr>
                <w:sz w:val="20"/>
                <w:szCs w:val="20"/>
              </w:rPr>
              <w:noBreakHyphen/>
              <w:t xml:space="preserve"> Criminal law </w:t>
            </w:r>
            <w:r w:rsidRPr="0050627D">
              <w:rPr>
                <w:sz w:val="20"/>
                <w:szCs w:val="20"/>
              </w:rPr>
              <w:noBreakHyphen/>
              <w:t xml:space="preserve"> Search and seizure </w:t>
            </w:r>
            <w:r w:rsidRPr="0050627D">
              <w:rPr>
                <w:sz w:val="20"/>
                <w:szCs w:val="20"/>
              </w:rPr>
              <w:noBreakHyphen/>
              <w:t xml:space="preserve"> Arbitrary detention </w:t>
            </w:r>
            <w:r w:rsidRPr="0050627D">
              <w:rPr>
                <w:sz w:val="20"/>
                <w:szCs w:val="20"/>
              </w:rPr>
              <w:noBreakHyphen/>
              <w:t xml:space="preserve"> Whether the trial judge erred in holding that the appellant’s rights under ss. 8 and 9 of the </w:t>
            </w:r>
            <w:r w:rsidRPr="0050627D">
              <w:rPr>
                <w:i/>
                <w:sz w:val="20"/>
                <w:szCs w:val="20"/>
              </w:rPr>
              <w:t>Charter</w:t>
            </w:r>
            <w:r w:rsidRPr="0050627D">
              <w:rPr>
                <w:sz w:val="20"/>
                <w:szCs w:val="20"/>
              </w:rPr>
              <w:t xml:space="preserve"> were violated </w:t>
            </w:r>
            <w:r w:rsidRPr="0050627D">
              <w:rPr>
                <w:sz w:val="20"/>
                <w:szCs w:val="20"/>
              </w:rPr>
              <w:noBreakHyphen/>
              <w:t xml:space="preserve"> Whether the trial judge erred in excluding the seized firearms pursuant to s. 24(2) of the </w:t>
            </w:r>
            <w:r w:rsidRPr="0050627D">
              <w:rPr>
                <w:i/>
                <w:sz w:val="20"/>
                <w:szCs w:val="20"/>
              </w:rPr>
              <w:t>Charter</w:t>
            </w:r>
            <w:r w:rsidRPr="0050627D">
              <w:rPr>
                <w:sz w:val="20"/>
                <w:szCs w:val="20"/>
              </w:rPr>
              <w:t>.</w:t>
            </w:r>
          </w:p>
        </w:tc>
        <w:tc>
          <w:tcPr>
            <w:tcW w:w="720" w:type="dxa"/>
            <w:tcMar>
              <w:left w:w="0" w:type="dxa"/>
              <w:right w:w="0" w:type="dxa"/>
            </w:tcMar>
          </w:tcPr>
          <w:p w:rsidR="005B137C" w:rsidRPr="00C1697B" w:rsidRDefault="005B137C" w:rsidP="00741DC5">
            <w:pPr>
              <w:widowControl w:val="0"/>
              <w:jc w:val="center"/>
              <w:rPr>
                <w:sz w:val="20"/>
                <w:szCs w:val="20"/>
              </w:rPr>
            </w:pPr>
          </w:p>
        </w:tc>
        <w:tc>
          <w:tcPr>
            <w:tcW w:w="4380" w:type="dxa"/>
            <w:tcMar>
              <w:left w:w="0" w:type="dxa"/>
              <w:right w:w="0" w:type="dxa"/>
            </w:tcMar>
          </w:tcPr>
          <w:p w:rsidR="005B137C" w:rsidRPr="00CC4D84" w:rsidRDefault="005B137C" w:rsidP="00741DC5">
            <w:pPr>
              <w:widowControl w:val="0"/>
              <w:jc w:val="both"/>
              <w:rPr>
                <w:b/>
                <w:sz w:val="20"/>
                <w:szCs w:val="20"/>
                <w:u w:val="single"/>
                <w:lang w:val="fr-CA"/>
              </w:rPr>
            </w:pPr>
            <w:r w:rsidRPr="00CC4D84">
              <w:rPr>
                <w:b/>
                <w:sz w:val="20"/>
                <w:szCs w:val="20"/>
                <w:u w:val="single"/>
                <w:lang w:val="fr-CA"/>
              </w:rPr>
              <w:t>Nature de la cause :</w:t>
            </w:r>
          </w:p>
          <w:p w:rsidR="005B137C" w:rsidRPr="00C1697B" w:rsidRDefault="005B137C" w:rsidP="00741DC5">
            <w:pPr>
              <w:widowControl w:val="0"/>
              <w:jc w:val="both"/>
              <w:rPr>
                <w:sz w:val="20"/>
                <w:szCs w:val="20"/>
                <w:lang w:val="fr-CA"/>
              </w:rPr>
            </w:pPr>
          </w:p>
          <w:p w:rsidR="005B137C" w:rsidRPr="00C1697B" w:rsidRDefault="005B137C" w:rsidP="00741DC5">
            <w:pPr>
              <w:widowControl w:val="0"/>
              <w:jc w:val="both"/>
              <w:rPr>
                <w:sz w:val="20"/>
                <w:szCs w:val="20"/>
                <w:lang w:val="fr-CA"/>
              </w:rPr>
            </w:pPr>
            <w:r w:rsidRPr="009D4236">
              <w:rPr>
                <w:i/>
                <w:iCs/>
                <w:sz w:val="20"/>
                <w:szCs w:val="20"/>
                <w:lang w:val="fr-CA"/>
              </w:rPr>
              <w:t xml:space="preserve">Charte des droits </w:t>
            </w:r>
            <w:r w:rsidRPr="009D4236">
              <w:rPr>
                <w:i/>
                <w:iCs/>
                <w:sz w:val="20"/>
                <w:szCs w:val="20"/>
                <w:lang w:val="fr-CA"/>
              </w:rPr>
              <w:noBreakHyphen/>
            </w:r>
            <w:r w:rsidRPr="009D4236">
              <w:rPr>
                <w:sz w:val="20"/>
                <w:szCs w:val="20"/>
                <w:lang w:val="fr-CA"/>
              </w:rPr>
              <w:t xml:space="preserve"> Droit criminel </w:t>
            </w:r>
            <w:r w:rsidRPr="009D4236">
              <w:rPr>
                <w:sz w:val="20"/>
                <w:szCs w:val="20"/>
                <w:lang w:val="fr-CA"/>
              </w:rPr>
              <w:noBreakHyphen/>
              <w:t xml:space="preserve"> Fouille et perquisition </w:t>
            </w:r>
            <w:r w:rsidRPr="009D4236">
              <w:rPr>
                <w:sz w:val="20"/>
                <w:szCs w:val="20"/>
                <w:lang w:val="fr-CA"/>
              </w:rPr>
              <w:noBreakHyphen/>
              <w:t xml:space="preserve"> Détention arbitraire </w:t>
            </w:r>
            <w:r w:rsidRPr="009D4236">
              <w:rPr>
                <w:sz w:val="20"/>
                <w:szCs w:val="20"/>
                <w:lang w:val="fr-CA"/>
              </w:rPr>
              <w:noBreakHyphen/>
              <w:t xml:space="preserve"> Le juge du procès a</w:t>
            </w:r>
            <w:r w:rsidRPr="009D4236">
              <w:rPr>
                <w:sz w:val="20"/>
                <w:szCs w:val="20"/>
                <w:lang w:val="fr-CA"/>
              </w:rPr>
              <w:noBreakHyphen/>
              <w:t>t</w:t>
            </w:r>
            <w:r w:rsidRPr="009D4236">
              <w:rPr>
                <w:sz w:val="20"/>
                <w:szCs w:val="20"/>
                <w:lang w:val="fr-CA"/>
              </w:rPr>
              <w:noBreakHyphen/>
              <w:t xml:space="preserve">il eu tort de statuer que les droits de l'appelant garantis par les art. 8 et 9 de la </w:t>
            </w:r>
            <w:r w:rsidRPr="009D4236">
              <w:rPr>
                <w:i/>
                <w:iCs/>
                <w:sz w:val="20"/>
                <w:szCs w:val="20"/>
                <w:lang w:val="fr-CA"/>
              </w:rPr>
              <w:t>Charte</w:t>
            </w:r>
            <w:r w:rsidRPr="009D4236">
              <w:rPr>
                <w:sz w:val="20"/>
                <w:szCs w:val="20"/>
                <w:lang w:val="fr-CA"/>
              </w:rPr>
              <w:t xml:space="preserve"> avaient été violés? </w:t>
            </w:r>
            <w:r w:rsidRPr="009D4236">
              <w:rPr>
                <w:sz w:val="20"/>
                <w:szCs w:val="20"/>
                <w:lang w:val="fr-CA"/>
              </w:rPr>
              <w:noBreakHyphen/>
              <w:t xml:space="preserve"> Le juge du procès a</w:t>
            </w:r>
            <w:r w:rsidRPr="009D4236">
              <w:rPr>
                <w:sz w:val="20"/>
                <w:szCs w:val="20"/>
                <w:lang w:val="fr-CA"/>
              </w:rPr>
              <w:noBreakHyphen/>
              <w:t>t</w:t>
            </w:r>
            <w:r w:rsidRPr="009D4236">
              <w:rPr>
                <w:sz w:val="20"/>
                <w:szCs w:val="20"/>
                <w:lang w:val="fr-CA"/>
              </w:rPr>
              <w:noBreakHyphen/>
              <w:t xml:space="preserve">il eu tort d'exclure les armes à feu saisies, en application du par. 24(2) de la </w:t>
            </w:r>
            <w:r w:rsidRPr="009D4236">
              <w:rPr>
                <w:i/>
                <w:iCs/>
                <w:sz w:val="20"/>
                <w:szCs w:val="20"/>
                <w:lang w:val="fr-CA"/>
              </w:rPr>
              <w:t>Charte</w:t>
            </w:r>
            <w:r w:rsidRPr="009D4236">
              <w:rPr>
                <w:sz w:val="20"/>
                <w:szCs w:val="20"/>
                <w:lang w:val="fr-CA"/>
              </w:rPr>
              <w:t>?</w:t>
            </w:r>
          </w:p>
        </w:tc>
      </w:tr>
    </w:tbl>
    <w:p w:rsidR="005B137C" w:rsidRDefault="005B137C" w:rsidP="005B137C">
      <w:pPr>
        <w:widowControl w:val="0"/>
        <w:rPr>
          <w:sz w:val="20"/>
          <w:szCs w:val="20"/>
          <w:lang w:val="fr-CA"/>
        </w:rPr>
      </w:pPr>
    </w:p>
    <w:p w:rsidR="005B137C" w:rsidRDefault="00460701" w:rsidP="005B137C">
      <w:pPr>
        <w:widowControl w:val="0"/>
        <w:rPr>
          <w:sz w:val="20"/>
          <w:szCs w:val="20"/>
        </w:rPr>
      </w:pPr>
      <w:r w:rsidRPr="00460701">
        <w:rPr>
          <w:sz w:val="20"/>
          <w:szCs w:val="20"/>
          <w:lang w:val="fr-CA"/>
        </w:rPr>
        <w:pict>
          <v:rect id="_x0000_i1072" style="width:2in;height:1pt" o:hrpct="0" o:hralign="center" o:hrstd="t" o:hrnoshade="t" o:hr="t" fillcolor="black [3213]" stroked="f"/>
        </w:pict>
      </w:r>
    </w:p>
    <w:p w:rsidR="005B137C" w:rsidRPr="00EA79B0" w:rsidRDefault="005B137C" w:rsidP="005B137C">
      <w:pPr>
        <w:widowControl w:val="0"/>
        <w:rPr>
          <w:sz w:val="20"/>
          <w:szCs w:val="20"/>
        </w:rPr>
      </w:pPr>
    </w:p>
    <w:p w:rsidR="005B137C" w:rsidRDefault="005B137C" w:rsidP="005B137C">
      <w:pPr>
        <w:widowControl w:val="0"/>
        <w:rPr>
          <w:sz w:val="20"/>
          <w:szCs w:val="20"/>
        </w:rPr>
      </w:pPr>
    </w:p>
    <w:p w:rsidR="005B137C" w:rsidRPr="00C50A5C" w:rsidRDefault="005B137C" w:rsidP="005B137C">
      <w:pPr>
        <w:widowControl w:val="0"/>
        <w:rPr>
          <w:sz w:val="20"/>
          <w:szCs w:val="20"/>
        </w:rPr>
      </w:pPr>
      <w:r w:rsidRPr="00C50A5C">
        <w:rPr>
          <w:sz w:val="20"/>
          <w:szCs w:val="20"/>
        </w:rPr>
        <w:lastRenderedPageBreak/>
        <w:t>2</w:t>
      </w:r>
      <w:r>
        <w:rPr>
          <w:sz w:val="20"/>
          <w:szCs w:val="20"/>
        </w:rPr>
        <w:t>1</w:t>
      </w:r>
      <w:r w:rsidRPr="00C50A5C">
        <w:rPr>
          <w:sz w:val="20"/>
          <w:szCs w:val="20"/>
        </w:rPr>
        <w:t>.</w:t>
      </w:r>
      <w:r>
        <w:rPr>
          <w:sz w:val="20"/>
          <w:szCs w:val="20"/>
        </w:rPr>
        <w:t>1</w:t>
      </w:r>
      <w:r w:rsidRPr="00C50A5C">
        <w:rPr>
          <w:sz w:val="20"/>
          <w:szCs w:val="20"/>
        </w:rPr>
        <w:t>0.201</w:t>
      </w:r>
      <w:r>
        <w:rPr>
          <w:sz w:val="20"/>
          <w:szCs w:val="20"/>
        </w:rPr>
        <w:t>1</w:t>
      </w:r>
    </w:p>
    <w:p w:rsidR="005B137C" w:rsidRDefault="005B137C" w:rsidP="005B137C">
      <w:pPr>
        <w:widowControl w:val="0"/>
        <w:rPr>
          <w:sz w:val="20"/>
          <w:szCs w:val="20"/>
        </w:rPr>
      </w:pPr>
    </w:p>
    <w:p w:rsidR="005B137C" w:rsidRPr="00BC56E5" w:rsidRDefault="005B137C" w:rsidP="005B137C">
      <w:pPr>
        <w:widowControl w:val="0"/>
        <w:ind w:left="720" w:hanging="720"/>
        <w:rPr>
          <w:rFonts w:eastAsia="Calibri" w:cs="Times New Roman"/>
          <w:sz w:val="20"/>
          <w:szCs w:val="20"/>
          <w:u w:val="single"/>
        </w:rPr>
      </w:pPr>
      <w:r w:rsidRPr="00BC56E5">
        <w:rPr>
          <w:rFonts w:eastAsia="Calibri" w:cs="Times New Roman"/>
          <w:sz w:val="20"/>
          <w:szCs w:val="20"/>
        </w:rPr>
        <w:t xml:space="preserve">Coram: </w:t>
      </w:r>
      <w:r w:rsidRPr="00BC56E5">
        <w:rPr>
          <w:rFonts w:eastAsia="Calibri" w:cs="Times New Roman"/>
          <w:sz w:val="20"/>
          <w:szCs w:val="20"/>
        </w:rPr>
        <w:tab/>
      </w:r>
      <w:r w:rsidRPr="00BC56E5">
        <w:rPr>
          <w:rFonts w:eastAsia="Calibri" w:cs="Times New Roman"/>
          <w:sz w:val="20"/>
          <w:szCs w:val="20"/>
          <w:u w:val="single"/>
        </w:rPr>
        <w:t>McLachlin C.J. and LeBel, Fish, Rothstein and Cromwell JJ.</w:t>
      </w:r>
    </w:p>
    <w:p w:rsidR="005B137C" w:rsidRPr="00C50A5C" w:rsidRDefault="005B137C" w:rsidP="005B137C">
      <w:pPr>
        <w:widowControl w:val="0"/>
        <w:rPr>
          <w:sz w:val="20"/>
          <w:szCs w:val="20"/>
        </w:rPr>
      </w:pPr>
    </w:p>
    <w:tbl>
      <w:tblPr>
        <w:tblW w:w="0" w:type="auto"/>
        <w:tblLayout w:type="fixed"/>
        <w:tblCellMar>
          <w:left w:w="0" w:type="dxa"/>
          <w:right w:w="0" w:type="dxa"/>
        </w:tblCellMar>
        <w:tblLook w:val="0000"/>
      </w:tblPr>
      <w:tblGrid>
        <w:gridCol w:w="4380"/>
        <w:gridCol w:w="720"/>
        <w:gridCol w:w="4380"/>
      </w:tblGrid>
      <w:tr w:rsidR="005B137C" w:rsidRPr="00C50A5C" w:rsidTr="00741DC5">
        <w:tc>
          <w:tcPr>
            <w:tcW w:w="4380" w:type="dxa"/>
            <w:tcMar>
              <w:left w:w="0" w:type="dxa"/>
              <w:right w:w="0" w:type="dxa"/>
            </w:tcMar>
          </w:tcPr>
          <w:p w:rsidR="005B137C" w:rsidRPr="00C50A5C" w:rsidRDefault="005B137C" w:rsidP="00741DC5">
            <w:pPr>
              <w:widowControl w:val="0"/>
              <w:jc w:val="both"/>
              <w:rPr>
                <w:b/>
                <w:sz w:val="20"/>
                <w:szCs w:val="20"/>
              </w:rPr>
            </w:pPr>
            <w:r w:rsidRPr="00BC56E5">
              <w:rPr>
                <w:rFonts w:eastAsia="Calibri" w:cs="Times New Roman"/>
                <w:b/>
                <w:sz w:val="20"/>
                <w:szCs w:val="20"/>
              </w:rPr>
              <w:t>Franklin Shane Dorfer</w:t>
            </w:r>
          </w:p>
          <w:p w:rsidR="005B137C" w:rsidRPr="00C50A5C" w:rsidRDefault="005B137C" w:rsidP="00741DC5">
            <w:pPr>
              <w:widowControl w:val="0"/>
              <w:jc w:val="both"/>
              <w:rPr>
                <w:b/>
                <w:sz w:val="20"/>
                <w:szCs w:val="20"/>
              </w:rPr>
            </w:pPr>
          </w:p>
          <w:p w:rsidR="005B137C" w:rsidRPr="00C50A5C" w:rsidRDefault="005B137C" w:rsidP="00741DC5">
            <w:pPr>
              <w:widowControl w:val="0"/>
              <w:tabs>
                <w:tab w:val="left" w:pos="736"/>
              </w:tabs>
              <w:jc w:val="both"/>
              <w:rPr>
                <w:b/>
                <w:sz w:val="20"/>
                <w:szCs w:val="20"/>
              </w:rPr>
            </w:pPr>
            <w:r w:rsidRPr="00C50A5C">
              <w:rPr>
                <w:b/>
                <w:sz w:val="20"/>
                <w:szCs w:val="20"/>
              </w:rPr>
              <w:tab/>
              <w:t>v. (33</w:t>
            </w:r>
            <w:r>
              <w:rPr>
                <w:b/>
                <w:sz w:val="20"/>
                <w:szCs w:val="20"/>
              </w:rPr>
              <w:t>95</w:t>
            </w:r>
            <w:r w:rsidRPr="00C50A5C">
              <w:rPr>
                <w:b/>
                <w:sz w:val="20"/>
                <w:szCs w:val="20"/>
              </w:rPr>
              <w:t>2)</w:t>
            </w:r>
          </w:p>
          <w:p w:rsidR="005B137C" w:rsidRPr="00C50A5C" w:rsidRDefault="005B137C" w:rsidP="00741DC5">
            <w:pPr>
              <w:widowControl w:val="0"/>
              <w:jc w:val="both"/>
              <w:rPr>
                <w:b/>
                <w:sz w:val="20"/>
                <w:szCs w:val="20"/>
              </w:rPr>
            </w:pPr>
          </w:p>
          <w:p w:rsidR="005B137C" w:rsidRPr="00C50A5C" w:rsidRDefault="005B137C" w:rsidP="00741DC5">
            <w:pPr>
              <w:widowControl w:val="0"/>
              <w:jc w:val="both"/>
              <w:rPr>
                <w:sz w:val="20"/>
                <w:szCs w:val="20"/>
                <w:lang w:val="fr-CA"/>
              </w:rPr>
            </w:pPr>
            <w:r w:rsidRPr="00BC56E5">
              <w:rPr>
                <w:rFonts w:eastAsia="Calibri" w:cs="Times New Roman"/>
                <w:b/>
                <w:sz w:val="20"/>
                <w:szCs w:val="20"/>
              </w:rPr>
              <w:t>Her Majesty the Queen (B.C.) (Criminal) (As of Right)</w:t>
            </w:r>
          </w:p>
        </w:tc>
        <w:tc>
          <w:tcPr>
            <w:tcW w:w="720" w:type="dxa"/>
            <w:tcMar>
              <w:left w:w="0" w:type="dxa"/>
              <w:right w:w="0" w:type="dxa"/>
            </w:tcMar>
          </w:tcPr>
          <w:p w:rsidR="005B137C" w:rsidRPr="00C50A5C" w:rsidRDefault="005B137C" w:rsidP="00741DC5">
            <w:pPr>
              <w:widowControl w:val="0"/>
              <w:jc w:val="center"/>
              <w:rPr>
                <w:sz w:val="20"/>
                <w:szCs w:val="20"/>
                <w:lang w:val="fr-CA"/>
              </w:rPr>
            </w:pPr>
          </w:p>
        </w:tc>
        <w:tc>
          <w:tcPr>
            <w:tcW w:w="4380" w:type="dxa"/>
            <w:tcMar>
              <w:left w:w="0" w:type="dxa"/>
              <w:right w:w="0" w:type="dxa"/>
            </w:tcMar>
          </w:tcPr>
          <w:p w:rsidR="005B137C" w:rsidRPr="00420F3A" w:rsidRDefault="005B137C" w:rsidP="00741DC5">
            <w:pPr>
              <w:jc w:val="both"/>
              <w:rPr>
                <w:sz w:val="20"/>
                <w:szCs w:val="20"/>
              </w:rPr>
            </w:pPr>
            <w:r w:rsidRPr="00420F3A">
              <w:rPr>
                <w:sz w:val="20"/>
                <w:szCs w:val="20"/>
              </w:rPr>
              <w:t>Timothy J. Russell</w:t>
            </w:r>
            <w:r>
              <w:rPr>
                <w:sz w:val="20"/>
                <w:szCs w:val="20"/>
              </w:rPr>
              <w:t xml:space="preserve"> f</w:t>
            </w:r>
            <w:r w:rsidRPr="00420F3A">
              <w:rPr>
                <w:sz w:val="20"/>
                <w:szCs w:val="20"/>
              </w:rPr>
              <w:t xml:space="preserve">or the </w:t>
            </w:r>
            <w:r>
              <w:rPr>
                <w:sz w:val="20"/>
                <w:szCs w:val="20"/>
              </w:rPr>
              <w:t>a</w:t>
            </w:r>
            <w:r w:rsidRPr="00420F3A">
              <w:rPr>
                <w:sz w:val="20"/>
                <w:szCs w:val="20"/>
              </w:rPr>
              <w:t>ppellant.</w:t>
            </w:r>
          </w:p>
          <w:p w:rsidR="005B137C" w:rsidRPr="00420F3A" w:rsidRDefault="005B137C" w:rsidP="00741DC5">
            <w:pPr>
              <w:jc w:val="both"/>
              <w:rPr>
                <w:sz w:val="20"/>
                <w:szCs w:val="20"/>
              </w:rPr>
            </w:pPr>
          </w:p>
          <w:p w:rsidR="005B137C" w:rsidRPr="00C50A5C" w:rsidRDefault="005B137C" w:rsidP="00741DC5">
            <w:pPr>
              <w:widowControl w:val="0"/>
              <w:jc w:val="both"/>
              <w:rPr>
                <w:sz w:val="20"/>
                <w:szCs w:val="20"/>
              </w:rPr>
            </w:pPr>
            <w:r w:rsidRPr="00420F3A">
              <w:rPr>
                <w:sz w:val="20"/>
                <w:szCs w:val="20"/>
              </w:rPr>
              <w:t>Joyce DeWitt-Van Oosten, Q.C.</w:t>
            </w:r>
            <w:r>
              <w:rPr>
                <w:sz w:val="20"/>
                <w:szCs w:val="20"/>
              </w:rPr>
              <w:t xml:space="preserve"> f</w:t>
            </w:r>
            <w:r w:rsidRPr="00420F3A">
              <w:rPr>
                <w:sz w:val="20"/>
                <w:szCs w:val="20"/>
              </w:rPr>
              <w:t xml:space="preserve">or the </w:t>
            </w:r>
            <w:r>
              <w:rPr>
                <w:sz w:val="20"/>
                <w:szCs w:val="20"/>
              </w:rPr>
              <w:t>r</w:t>
            </w:r>
            <w:r w:rsidRPr="00420F3A">
              <w:rPr>
                <w:sz w:val="20"/>
                <w:szCs w:val="20"/>
              </w:rPr>
              <w:t>espondent</w:t>
            </w:r>
            <w:r>
              <w:rPr>
                <w:sz w:val="20"/>
                <w:szCs w:val="20"/>
              </w:rPr>
              <w:t>.</w:t>
            </w:r>
          </w:p>
          <w:p w:rsidR="005B137C" w:rsidRPr="00C50A5C" w:rsidRDefault="005B137C" w:rsidP="00741DC5">
            <w:pPr>
              <w:widowControl w:val="0"/>
              <w:jc w:val="both"/>
              <w:rPr>
                <w:sz w:val="20"/>
                <w:szCs w:val="20"/>
              </w:rPr>
            </w:pPr>
          </w:p>
        </w:tc>
      </w:tr>
    </w:tbl>
    <w:p w:rsidR="005B137C" w:rsidRDefault="005B137C" w:rsidP="005B137C">
      <w:pPr>
        <w:widowControl w:val="0"/>
      </w:pPr>
    </w:p>
    <w:p w:rsidR="005B137C" w:rsidRPr="00BC56E5" w:rsidRDefault="005B137C" w:rsidP="005B137C">
      <w:pPr>
        <w:rPr>
          <w:sz w:val="20"/>
        </w:rPr>
      </w:pPr>
      <w:r w:rsidRPr="00BC56E5">
        <w:rPr>
          <w:b/>
          <w:bCs/>
          <w:sz w:val="20"/>
        </w:rPr>
        <w:t>DISMISSED / REJETÉ</w:t>
      </w:r>
    </w:p>
    <w:p w:rsidR="005B137C" w:rsidRDefault="005B137C" w:rsidP="005B137C">
      <w:pPr>
        <w:widowControl w:val="0"/>
        <w:rPr>
          <w:sz w:val="20"/>
          <w:szCs w:val="20"/>
        </w:rPr>
      </w:pPr>
    </w:p>
    <w:p w:rsidR="005B137C" w:rsidRPr="008621BF" w:rsidRDefault="005B137C" w:rsidP="005B137C">
      <w:pPr>
        <w:widowControl w:val="0"/>
        <w:rPr>
          <w:b/>
          <w:sz w:val="20"/>
          <w:szCs w:val="20"/>
        </w:rPr>
      </w:pPr>
      <w:r w:rsidRPr="008621BF">
        <w:rPr>
          <w:b/>
          <w:sz w:val="20"/>
          <w:szCs w:val="20"/>
        </w:rPr>
        <w:t xml:space="preserve">2011 SCC </w:t>
      </w:r>
      <w:r>
        <w:rPr>
          <w:b/>
          <w:sz w:val="20"/>
          <w:szCs w:val="20"/>
        </w:rPr>
        <w:t>50</w:t>
      </w:r>
      <w:r w:rsidRPr="008621BF">
        <w:rPr>
          <w:b/>
          <w:sz w:val="20"/>
          <w:szCs w:val="20"/>
        </w:rPr>
        <w:t xml:space="preserve"> / 2011 CSC </w:t>
      </w:r>
      <w:r>
        <w:rPr>
          <w:b/>
          <w:sz w:val="20"/>
          <w:szCs w:val="20"/>
        </w:rPr>
        <w:t>50</w:t>
      </w:r>
    </w:p>
    <w:p w:rsidR="005B137C" w:rsidRPr="00470A04" w:rsidRDefault="005B137C" w:rsidP="005B137C">
      <w:pPr>
        <w:rPr>
          <w:sz w:val="20"/>
          <w:szCs w:val="20"/>
        </w:rPr>
      </w:pPr>
    </w:p>
    <w:tbl>
      <w:tblPr>
        <w:tblW w:w="0" w:type="auto"/>
        <w:tblLayout w:type="fixed"/>
        <w:tblCellMar>
          <w:left w:w="0" w:type="dxa"/>
          <w:right w:w="0" w:type="dxa"/>
        </w:tblCellMar>
        <w:tblLook w:val="0000"/>
      </w:tblPr>
      <w:tblGrid>
        <w:gridCol w:w="4380"/>
        <w:gridCol w:w="720"/>
        <w:gridCol w:w="4380"/>
      </w:tblGrid>
      <w:tr w:rsidR="005B137C" w:rsidRPr="005B137C" w:rsidTr="00741DC5">
        <w:tc>
          <w:tcPr>
            <w:tcW w:w="4380" w:type="dxa"/>
            <w:tcMar>
              <w:left w:w="0" w:type="dxa"/>
              <w:right w:w="0" w:type="dxa"/>
            </w:tcMar>
          </w:tcPr>
          <w:p w:rsidR="005B137C" w:rsidRPr="00CC4D84" w:rsidRDefault="005B137C" w:rsidP="00741DC5">
            <w:pPr>
              <w:widowControl w:val="0"/>
              <w:jc w:val="both"/>
              <w:rPr>
                <w:b/>
                <w:sz w:val="20"/>
                <w:szCs w:val="20"/>
                <w:u w:val="single"/>
              </w:rPr>
            </w:pPr>
            <w:r>
              <w:rPr>
                <w:b/>
                <w:sz w:val="20"/>
                <w:szCs w:val="20"/>
                <w:u w:val="single"/>
              </w:rPr>
              <w:t>JUDGMENT</w:t>
            </w:r>
            <w:r w:rsidRPr="00CC4D84">
              <w:rPr>
                <w:b/>
                <w:sz w:val="20"/>
                <w:szCs w:val="20"/>
                <w:u w:val="single"/>
              </w:rPr>
              <w:t>:</w:t>
            </w:r>
          </w:p>
          <w:p w:rsidR="005B137C" w:rsidRPr="00C1697B" w:rsidRDefault="005B137C" w:rsidP="00741DC5">
            <w:pPr>
              <w:widowControl w:val="0"/>
              <w:jc w:val="both"/>
              <w:rPr>
                <w:b/>
                <w:sz w:val="20"/>
                <w:szCs w:val="20"/>
              </w:rPr>
            </w:pPr>
          </w:p>
          <w:p w:rsidR="005B137C" w:rsidRPr="00E91F8F" w:rsidRDefault="005B137C" w:rsidP="00741DC5">
            <w:pPr>
              <w:jc w:val="both"/>
              <w:rPr>
                <w:sz w:val="20"/>
                <w:szCs w:val="20"/>
              </w:rPr>
            </w:pPr>
            <w:r w:rsidRPr="00E91F8F">
              <w:rPr>
                <w:sz w:val="20"/>
                <w:szCs w:val="20"/>
              </w:rPr>
              <w:t xml:space="preserve">The appeal from the judgment of the Court of Appeal for British Columbia (Victoria), Number CA036895, 2010 BCCA 440, dated October 12, 2010, was heard on this day and the following judgment was rendered orally: </w:t>
            </w:r>
          </w:p>
          <w:p w:rsidR="005B137C" w:rsidRPr="00E91F8F" w:rsidRDefault="005B137C" w:rsidP="00741DC5">
            <w:pPr>
              <w:jc w:val="both"/>
              <w:rPr>
                <w:smallCaps/>
                <w:sz w:val="20"/>
                <w:szCs w:val="20"/>
              </w:rPr>
            </w:pPr>
          </w:p>
          <w:p w:rsidR="005B137C" w:rsidRPr="00E91F8F" w:rsidRDefault="005B137C" w:rsidP="00741DC5">
            <w:pPr>
              <w:jc w:val="both"/>
              <w:rPr>
                <w:sz w:val="20"/>
                <w:szCs w:val="20"/>
              </w:rPr>
            </w:pPr>
            <w:r w:rsidRPr="00E91F8F">
              <w:rPr>
                <w:smallCaps/>
                <w:sz w:val="20"/>
                <w:szCs w:val="20"/>
              </w:rPr>
              <w:t>The Chief Justice</w:t>
            </w:r>
            <w:r w:rsidRPr="00E91F8F">
              <w:rPr>
                <w:sz w:val="20"/>
                <w:szCs w:val="20"/>
              </w:rPr>
              <w:t xml:space="preserve"> — The majority of the Court would dismiss the appeal, LeBel and Fish JJ. dissenting.  While we are persuaded that the presiding judge erred in law in his instruction about the limited use of Mr. Babcock’s criminal record, we are of the view that this error did not occasion any substantial wrong or miscarriage of justice, given the fact that propensity reasoning relative to Mr. Babcock’s record was never placed before the jury either implicitly through the examination of witnesses or explicitly through the submissions to the jury, and given the absence of any evidentiary foundation to support a propensity instruction with respect to Mr. Babcock’s record.  </w:t>
            </w:r>
          </w:p>
          <w:p w:rsidR="005B137C" w:rsidRPr="00E91F8F" w:rsidRDefault="005B137C" w:rsidP="00741DC5">
            <w:pPr>
              <w:jc w:val="both"/>
              <w:rPr>
                <w:sz w:val="20"/>
                <w:szCs w:val="20"/>
              </w:rPr>
            </w:pPr>
          </w:p>
          <w:p w:rsidR="005B137C" w:rsidRPr="00E91F8F" w:rsidRDefault="005B137C" w:rsidP="00741DC5">
            <w:pPr>
              <w:jc w:val="both"/>
              <w:rPr>
                <w:smallCaps/>
                <w:sz w:val="20"/>
                <w:szCs w:val="20"/>
              </w:rPr>
            </w:pPr>
          </w:p>
          <w:p w:rsidR="005B137C" w:rsidRPr="00E91F8F" w:rsidRDefault="005B137C" w:rsidP="00741DC5">
            <w:pPr>
              <w:jc w:val="both"/>
              <w:rPr>
                <w:sz w:val="20"/>
                <w:szCs w:val="20"/>
              </w:rPr>
            </w:pPr>
            <w:r w:rsidRPr="00E91F8F">
              <w:rPr>
                <w:smallCaps/>
                <w:sz w:val="20"/>
                <w:szCs w:val="20"/>
              </w:rPr>
              <w:t>LeBel J.</w:t>
            </w:r>
            <w:r w:rsidRPr="00E91F8F">
              <w:rPr>
                <w:sz w:val="20"/>
                <w:szCs w:val="20"/>
              </w:rPr>
              <w:t xml:space="preserve"> (dissenting) — With respect, I agree with Prowse J. A., dissenting, that the trial judge erred in law in instructing the jury on the use of the criminal record of a third party suspect.  More particularly, the judge misdirected the jury in saying that such evidence could be used only to test the credibility of the third party.  In my opinion, this error of law cannot be cured by the application of s. 686(1)(</w:t>
            </w:r>
            <w:r w:rsidRPr="00E91F8F">
              <w:rPr>
                <w:i/>
                <w:sz w:val="20"/>
                <w:szCs w:val="20"/>
              </w:rPr>
              <w:t>b</w:t>
            </w:r>
            <w:r w:rsidRPr="00E91F8F">
              <w:rPr>
                <w:sz w:val="20"/>
                <w:szCs w:val="20"/>
              </w:rPr>
              <w:t xml:space="preserve">)(iii) of the </w:t>
            </w:r>
            <w:r w:rsidRPr="00E91F8F">
              <w:rPr>
                <w:i/>
                <w:iCs/>
                <w:sz w:val="20"/>
                <w:szCs w:val="20"/>
              </w:rPr>
              <w:t>Criminal Code</w:t>
            </w:r>
            <w:r w:rsidRPr="00E91F8F">
              <w:rPr>
                <w:iCs/>
                <w:sz w:val="20"/>
                <w:szCs w:val="20"/>
              </w:rPr>
              <w:t>, R</w:t>
            </w:r>
            <w:r w:rsidRPr="00E91F8F">
              <w:rPr>
                <w:sz w:val="20"/>
                <w:szCs w:val="20"/>
              </w:rPr>
              <w:t xml:space="preserve">.S.C. 1985, c. C-46.  The evidence against the accused was not overwhelming.  The error of law was clear and significant.  In the context of this trial, it could not be considered to be harmless.  For these reasons, I would allow the appeal, quash the conviction and order a new trial on the same charges. </w:t>
            </w:r>
          </w:p>
          <w:p w:rsidR="005B137C" w:rsidRPr="00C1697B" w:rsidRDefault="005B137C" w:rsidP="00741DC5">
            <w:pPr>
              <w:jc w:val="both"/>
              <w:rPr>
                <w:b/>
                <w:sz w:val="20"/>
                <w:szCs w:val="20"/>
              </w:rPr>
            </w:pPr>
          </w:p>
        </w:tc>
        <w:tc>
          <w:tcPr>
            <w:tcW w:w="720" w:type="dxa"/>
            <w:tcMar>
              <w:left w:w="0" w:type="dxa"/>
              <w:right w:w="0" w:type="dxa"/>
            </w:tcMar>
          </w:tcPr>
          <w:p w:rsidR="005B137C" w:rsidRPr="00C1697B" w:rsidRDefault="005B137C" w:rsidP="00741DC5">
            <w:pPr>
              <w:widowControl w:val="0"/>
              <w:jc w:val="center"/>
              <w:rPr>
                <w:sz w:val="20"/>
                <w:szCs w:val="20"/>
              </w:rPr>
            </w:pPr>
          </w:p>
        </w:tc>
        <w:tc>
          <w:tcPr>
            <w:tcW w:w="4380" w:type="dxa"/>
            <w:tcMar>
              <w:left w:w="0" w:type="dxa"/>
              <w:right w:w="0" w:type="dxa"/>
            </w:tcMar>
          </w:tcPr>
          <w:p w:rsidR="005B137C" w:rsidRPr="00CC4D84" w:rsidRDefault="005B137C" w:rsidP="00741DC5">
            <w:pPr>
              <w:widowControl w:val="0"/>
              <w:jc w:val="both"/>
              <w:rPr>
                <w:b/>
                <w:sz w:val="20"/>
                <w:szCs w:val="20"/>
                <w:u w:val="single"/>
                <w:lang w:val="fr-CA"/>
              </w:rPr>
            </w:pPr>
            <w:r>
              <w:rPr>
                <w:b/>
                <w:sz w:val="20"/>
                <w:szCs w:val="20"/>
                <w:u w:val="single"/>
                <w:lang w:val="fr-CA"/>
              </w:rPr>
              <w:t>JUGEMENT</w:t>
            </w:r>
            <w:r w:rsidRPr="00CC4D84">
              <w:rPr>
                <w:b/>
                <w:sz w:val="20"/>
                <w:szCs w:val="20"/>
                <w:u w:val="single"/>
                <w:lang w:val="fr-CA"/>
              </w:rPr>
              <w:t xml:space="preserve"> :</w:t>
            </w:r>
          </w:p>
          <w:p w:rsidR="005B137C" w:rsidRPr="00C1697B" w:rsidRDefault="005B137C" w:rsidP="00741DC5">
            <w:pPr>
              <w:widowControl w:val="0"/>
              <w:jc w:val="both"/>
              <w:rPr>
                <w:sz w:val="20"/>
                <w:szCs w:val="20"/>
                <w:lang w:val="fr-CA"/>
              </w:rPr>
            </w:pPr>
          </w:p>
          <w:p w:rsidR="005B137C" w:rsidRPr="00E91F8F" w:rsidRDefault="005B137C" w:rsidP="00741DC5">
            <w:pPr>
              <w:jc w:val="both"/>
              <w:rPr>
                <w:sz w:val="20"/>
                <w:szCs w:val="20"/>
                <w:lang w:val="fr-CA"/>
              </w:rPr>
            </w:pPr>
            <w:r w:rsidRPr="00E91F8F">
              <w:rPr>
                <w:sz w:val="20"/>
                <w:szCs w:val="20"/>
                <w:lang w:val="fr-CA"/>
              </w:rPr>
              <w:t>L’appel interjet</w:t>
            </w:r>
            <w:r w:rsidRPr="00E91F8F">
              <w:rPr>
                <w:rFonts w:cs="Times New Roman"/>
                <w:sz w:val="20"/>
                <w:szCs w:val="20"/>
                <w:lang w:val="fr-CA"/>
              </w:rPr>
              <w:t>é</w:t>
            </w:r>
            <w:r w:rsidRPr="00E91F8F">
              <w:rPr>
                <w:sz w:val="20"/>
                <w:szCs w:val="20"/>
                <w:lang w:val="fr-CA"/>
              </w:rPr>
              <w:t xml:space="preserve"> contre l’arrêt de la Cour d’appel de la Colombie-Britannique (Victoria), numéro CA036895, 2010 BCCA 440, en date du 12 octobre 2010, a été entendu aujourd’hui et le jugement suivant a été rendu oralement :</w:t>
            </w:r>
          </w:p>
          <w:p w:rsidR="005B137C" w:rsidRPr="00E91F8F" w:rsidRDefault="005B137C" w:rsidP="00741DC5">
            <w:pPr>
              <w:jc w:val="both"/>
              <w:rPr>
                <w:sz w:val="20"/>
                <w:szCs w:val="20"/>
                <w:lang w:val="fr-CA"/>
              </w:rPr>
            </w:pPr>
          </w:p>
          <w:p w:rsidR="005B137C" w:rsidRPr="00E91F8F" w:rsidRDefault="005B137C" w:rsidP="00741DC5">
            <w:pPr>
              <w:jc w:val="both"/>
              <w:rPr>
                <w:sz w:val="20"/>
                <w:szCs w:val="20"/>
                <w:lang w:val="fr-FR"/>
              </w:rPr>
            </w:pPr>
            <w:r w:rsidRPr="00E91F8F">
              <w:rPr>
                <w:smallCaps/>
                <w:sz w:val="20"/>
                <w:szCs w:val="20"/>
                <w:lang w:val="fr-FR"/>
              </w:rPr>
              <w:t>La Juge en chef</w:t>
            </w:r>
            <w:r w:rsidRPr="00E91F8F">
              <w:rPr>
                <w:sz w:val="20"/>
                <w:szCs w:val="20"/>
                <w:lang w:val="fr-FR"/>
              </w:rPr>
              <w:t xml:space="preserve"> — Une majorité de juges de la Cour sont d’avis de rejeter l’appel, les juges LeBel et Fish sont dissidents. Bien que nous soyons convaincus que le juge du procès a commis une erreur de droit dans ses directives quant à l’utilisation limitée qui pouvait être faite du dossier criminel de M. Babcock, nous sommes d’avis que cette erreur n’a pas occasionné de tort important ou d’erreur judiciaire grave, d’une part, parce que le raisonnement fondé sur la propension quant au dossier de M. Babcock n’a jamais été soumis au jury que ce soit implicitement par l’interrogatoire des témoins ou explicitement dans l’exposé au jury et, d’autre part, en raison de l’absence d’éléments de preuve appuyant une directive sur la propension quant au dossier de M. Babcock.</w:t>
            </w:r>
          </w:p>
          <w:p w:rsidR="005B137C" w:rsidRPr="00E91F8F" w:rsidRDefault="005B137C" w:rsidP="00741DC5">
            <w:pPr>
              <w:jc w:val="both"/>
              <w:rPr>
                <w:sz w:val="20"/>
                <w:szCs w:val="20"/>
                <w:lang w:val="fr-FR"/>
              </w:rPr>
            </w:pPr>
          </w:p>
          <w:p w:rsidR="005B137C" w:rsidRPr="00470A04" w:rsidRDefault="005B137C" w:rsidP="00741DC5">
            <w:pPr>
              <w:jc w:val="both"/>
              <w:rPr>
                <w:sz w:val="20"/>
                <w:szCs w:val="20"/>
                <w:lang w:val="fr-FR"/>
              </w:rPr>
            </w:pPr>
            <w:r w:rsidRPr="00E91F8F">
              <w:rPr>
                <w:smallCaps/>
                <w:sz w:val="20"/>
                <w:szCs w:val="20"/>
                <w:lang w:val="fr-FR"/>
              </w:rPr>
              <w:t>Le juge LeBel</w:t>
            </w:r>
            <w:r w:rsidRPr="00E91F8F">
              <w:rPr>
                <w:sz w:val="20"/>
                <w:szCs w:val="20"/>
                <w:lang w:val="fr-FR"/>
              </w:rPr>
              <w:t xml:space="preserve"> (dissident) — Avec égards pour l’opinion contraire, je souscris à l’opinion dissidente de la juge Prowse de la Cour d’appel selon laquelle le juge du procès a commis une erreur en donnant des directives au jury quant à l’utilisation du dossier criminel d’un tiers présumé suspect.  Plus particulièrement, le juge a donné des directives erronées au jury lorsqu’il a affirmé qu’un tel élément de preuve pouvait être utilisé uniquement pour mettre à l’épreuve la crédibilité d’un tiers.  À mon avis, il ne peut être remédié à cette erreur de droit par application du sous-al. 686(1)</w:t>
            </w:r>
            <w:r w:rsidRPr="00E91F8F">
              <w:rPr>
                <w:i/>
                <w:sz w:val="20"/>
                <w:szCs w:val="20"/>
                <w:lang w:val="fr-FR"/>
              </w:rPr>
              <w:t>b</w:t>
            </w:r>
            <w:r w:rsidRPr="00E91F8F">
              <w:rPr>
                <w:sz w:val="20"/>
                <w:szCs w:val="20"/>
                <w:lang w:val="fr-FR"/>
              </w:rPr>
              <w:t xml:space="preserve">)(iii) du </w:t>
            </w:r>
            <w:r w:rsidRPr="00E91F8F">
              <w:rPr>
                <w:i/>
                <w:sz w:val="20"/>
                <w:szCs w:val="20"/>
                <w:lang w:val="fr-FR"/>
              </w:rPr>
              <w:t>Code criminel</w:t>
            </w:r>
            <w:r w:rsidRPr="00E91F8F">
              <w:rPr>
                <w:sz w:val="20"/>
                <w:szCs w:val="20"/>
                <w:lang w:val="fr-FR"/>
              </w:rPr>
              <w:t xml:space="preserve">, L.R.C. 1985, ch. C-46.  La preuve contre l’accusé n’était pas accablante.  L’erreur de droit était manifeste et importante.  Dans le contexte du procès </w:t>
            </w:r>
            <w:r w:rsidRPr="00E91F8F">
              <w:rPr>
                <w:sz w:val="20"/>
                <w:szCs w:val="20"/>
                <w:lang w:val="fr-FR"/>
              </w:rPr>
              <w:lastRenderedPageBreak/>
              <w:t>en question, elle ne saurait être qualifiée d’erreur sans conséquence.  Pour ces motifs, je suis d’avis d’accueillir l’appel, d’annuler la déclaration de culpabilité et d’ordonner la tenue d’un nouveau procès relativement aux mêmes chefs d’accusations.</w:t>
            </w:r>
          </w:p>
        </w:tc>
      </w:tr>
    </w:tbl>
    <w:p w:rsidR="005B137C" w:rsidRPr="00470A04" w:rsidRDefault="005B137C" w:rsidP="005B137C">
      <w:pPr>
        <w:rPr>
          <w:sz w:val="20"/>
          <w:szCs w:val="20"/>
          <w:lang w:val="fr-CA"/>
        </w:rPr>
      </w:pPr>
    </w:p>
    <w:p w:rsidR="005B137C" w:rsidRPr="00470A04" w:rsidRDefault="005B137C" w:rsidP="005B137C">
      <w:pPr>
        <w:rPr>
          <w:sz w:val="20"/>
          <w:szCs w:val="20"/>
          <w:lang w:val="fr-CA"/>
        </w:rPr>
      </w:pPr>
    </w:p>
    <w:tbl>
      <w:tblPr>
        <w:tblW w:w="0" w:type="auto"/>
        <w:tblLayout w:type="fixed"/>
        <w:tblCellMar>
          <w:left w:w="0" w:type="dxa"/>
          <w:right w:w="0" w:type="dxa"/>
        </w:tblCellMar>
        <w:tblLook w:val="0000"/>
      </w:tblPr>
      <w:tblGrid>
        <w:gridCol w:w="4380"/>
        <w:gridCol w:w="720"/>
        <w:gridCol w:w="4380"/>
      </w:tblGrid>
      <w:tr w:rsidR="005B137C" w:rsidRPr="005B137C" w:rsidTr="00741DC5">
        <w:tc>
          <w:tcPr>
            <w:tcW w:w="4380" w:type="dxa"/>
            <w:tcMar>
              <w:left w:w="0" w:type="dxa"/>
              <w:right w:w="0" w:type="dxa"/>
            </w:tcMar>
          </w:tcPr>
          <w:p w:rsidR="005B137C" w:rsidRPr="00CC4D84" w:rsidRDefault="005B137C" w:rsidP="00741DC5">
            <w:pPr>
              <w:widowControl w:val="0"/>
              <w:jc w:val="both"/>
              <w:rPr>
                <w:b/>
                <w:sz w:val="20"/>
                <w:szCs w:val="20"/>
                <w:u w:val="single"/>
              </w:rPr>
            </w:pPr>
            <w:r w:rsidRPr="00CC4D84">
              <w:rPr>
                <w:b/>
                <w:sz w:val="20"/>
                <w:szCs w:val="20"/>
                <w:u w:val="single"/>
              </w:rPr>
              <w:t>Nature of the case:</w:t>
            </w:r>
          </w:p>
          <w:p w:rsidR="005B137C" w:rsidRPr="00C1697B" w:rsidRDefault="005B137C" w:rsidP="00741DC5">
            <w:pPr>
              <w:widowControl w:val="0"/>
              <w:jc w:val="both"/>
              <w:rPr>
                <w:b/>
                <w:sz w:val="20"/>
                <w:szCs w:val="20"/>
              </w:rPr>
            </w:pPr>
          </w:p>
          <w:p w:rsidR="005B137C" w:rsidRPr="00C1697B" w:rsidRDefault="005B137C" w:rsidP="00741DC5">
            <w:pPr>
              <w:widowControl w:val="0"/>
              <w:jc w:val="both"/>
              <w:rPr>
                <w:b/>
                <w:sz w:val="20"/>
                <w:szCs w:val="20"/>
              </w:rPr>
            </w:pPr>
            <w:r w:rsidRPr="00BE214D">
              <w:rPr>
                <w:sz w:val="20"/>
                <w:szCs w:val="20"/>
              </w:rPr>
              <w:t xml:space="preserve">Criminal law </w:t>
            </w:r>
            <w:r w:rsidRPr="00BE214D">
              <w:rPr>
                <w:sz w:val="20"/>
                <w:szCs w:val="20"/>
              </w:rPr>
              <w:noBreakHyphen/>
              <w:t xml:space="preserve"> Trial </w:t>
            </w:r>
            <w:r w:rsidRPr="00BE214D">
              <w:rPr>
                <w:sz w:val="20"/>
                <w:szCs w:val="20"/>
              </w:rPr>
              <w:noBreakHyphen/>
              <w:t xml:space="preserve"> Charge to jury </w:t>
            </w:r>
            <w:r w:rsidRPr="00BE214D">
              <w:rPr>
                <w:sz w:val="20"/>
                <w:szCs w:val="20"/>
              </w:rPr>
              <w:noBreakHyphen/>
              <w:t xml:space="preserve"> Evidence </w:t>
            </w:r>
            <w:r w:rsidRPr="00BE214D">
              <w:rPr>
                <w:sz w:val="20"/>
                <w:szCs w:val="20"/>
              </w:rPr>
              <w:noBreakHyphen/>
              <w:t xml:space="preserve"> Criminal record and evidence of bad character </w:t>
            </w:r>
            <w:r w:rsidRPr="00BE214D">
              <w:rPr>
                <w:sz w:val="20"/>
                <w:szCs w:val="20"/>
              </w:rPr>
              <w:noBreakHyphen/>
              <w:t xml:space="preserve"> Whether the trial judge erred in failing to properly instruct the jury on the use it could make of a witness’ criminal record and evidence of bad character in deciding whether there was a reasonable doubt as to the appellant’s guilt.</w:t>
            </w:r>
          </w:p>
        </w:tc>
        <w:tc>
          <w:tcPr>
            <w:tcW w:w="720" w:type="dxa"/>
            <w:tcMar>
              <w:left w:w="0" w:type="dxa"/>
              <w:right w:w="0" w:type="dxa"/>
            </w:tcMar>
          </w:tcPr>
          <w:p w:rsidR="005B137C" w:rsidRPr="00C1697B" w:rsidRDefault="005B137C" w:rsidP="00741DC5">
            <w:pPr>
              <w:widowControl w:val="0"/>
              <w:jc w:val="center"/>
              <w:rPr>
                <w:sz w:val="20"/>
                <w:szCs w:val="20"/>
              </w:rPr>
            </w:pPr>
          </w:p>
        </w:tc>
        <w:tc>
          <w:tcPr>
            <w:tcW w:w="4380" w:type="dxa"/>
            <w:tcMar>
              <w:left w:w="0" w:type="dxa"/>
              <w:right w:w="0" w:type="dxa"/>
            </w:tcMar>
          </w:tcPr>
          <w:p w:rsidR="005B137C" w:rsidRPr="00CC4D84" w:rsidRDefault="005B137C" w:rsidP="00741DC5">
            <w:pPr>
              <w:widowControl w:val="0"/>
              <w:jc w:val="both"/>
              <w:rPr>
                <w:b/>
                <w:sz w:val="20"/>
                <w:szCs w:val="20"/>
                <w:u w:val="single"/>
                <w:lang w:val="fr-CA"/>
              </w:rPr>
            </w:pPr>
            <w:r w:rsidRPr="00CC4D84">
              <w:rPr>
                <w:b/>
                <w:sz w:val="20"/>
                <w:szCs w:val="20"/>
                <w:u w:val="single"/>
                <w:lang w:val="fr-CA"/>
              </w:rPr>
              <w:t>Nature de la cause :</w:t>
            </w:r>
          </w:p>
          <w:p w:rsidR="005B137C" w:rsidRPr="00C1697B" w:rsidRDefault="005B137C" w:rsidP="00741DC5">
            <w:pPr>
              <w:widowControl w:val="0"/>
              <w:jc w:val="both"/>
              <w:rPr>
                <w:sz w:val="20"/>
                <w:szCs w:val="20"/>
                <w:lang w:val="fr-CA"/>
              </w:rPr>
            </w:pPr>
          </w:p>
          <w:p w:rsidR="005B137C" w:rsidRPr="00C1697B" w:rsidRDefault="005B137C" w:rsidP="00741DC5">
            <w:pPr>
              <w:widowControl w:val="0"/>
              <w:jc w:val="both"/>
              <w:rPr>
                <w:sz w:val="20"/>
                <w:szCs w:val="20"/>
                <w:lang w:val="fr-CA"/>
              </w:rPr>
            </w:pPr>
            <w:r w:rsidRPr="00E27262">
              <w:rPr>
                <w:sz w:val="20"/>
                <w:szCs w:val="20"/>
                <w:lang w:val="fr-CA"/>
              </w:rPr>
              <w:t>Droit criminel - Procès - Exposé au jury - Preuve - Casier judiciaire et preuve de mauvaise moralité - Le juge du procès a</w:t>
            </w:r>
            <w:r w:rsidRPr="00E27262">
              <w:rPr>
                <w:sz w:val="20"/>
                <w:szCs w:val="20"/>
                <w:lang w:val="fr-CA"/>
              </w:rPr>
              <w:noBreakHyphen/>
              <w:t>t</w:t>
            </w:r>
            <w:r w:rsidRPr="00E27262">
              <w:rPr>
                <w:sz w:val="20"/>
                <w:szCs w:val="20"/>
                <w:lang w:val="fr-CA"/>
              </w:rPr>
              <w:noBreakHyphen/>
              <w:t>il commis une erreur en n’ayant pas, comme il se devait, indiqué au jury comment ce dernier pouvait se servir du casier judiciaire d’un témoin et d’une preuve de sa mauvaise moralité en statuant sur la question de savoir s’il y avait un doute raisonnable quant à la culpabilité de l’appelant?</w:t>
            </w:r>
          </w:p>
        </w:tc>
      </w:tr>
    </w:tbl>
    <w:p w:rsidR="005B137C" w:rsidRDefault="005B137C" w:rsidP="005B137C">
      <w:pPr>
        <w:widowControl w:val="0"/>
        <w:rPr>
          <w:sz w:val="20"/>
          <w:szCs w:val="20"/>
          <w:lang w:val="fr-CA"/>
        </w:rPr>
      </w:pPr>
    </w:p>
    <w:p w:rsidR="005B137C" w:rsidRDefault="00460701" w:rsidP="005B137C">
      <w:pPr>
        <w:widowControl w:val="0"/>
        <w:rPr>
          <w:sz w:val="20"/>
          <w:szCs w:val="20"/>
          <w:lang w:val="fr-CA"/>
        </w:rPr>
      </w:pPr>
      <w:r w:rsidRPr="00460701">
        <w:rPr>
          <w:sz w:val="20"/>
          <w:szCs w:val="20"/>
          <w:lang w:val="fr-CA"/>
        </w:rPr>
        <w:pict>
          <v:rect id="_x0000_i1073" style="width:2in;height:1pt" o:hrpct="0" o:hralign="center" o:hrstd="t" o:hrnoshade="t" o:hr="t" fillcolor="black [3213]" stroked="f"/>
        </w:pict>
      </w:r>
    </w:p>
    <w:p w:rsidR="005B137C" w:rsidRDefault="005B137C" w:rsidP="005B137C">
      <w:pPr>
        <w:widowControl w:val="0"/>
        <w:rPr>
          <w:sz w:val="20"/>
          <w:szCs w:val="20"/>
          <w:lang w:val="fr-CA"/>
        </w:rPr>
      </w:pPr>
    </w:p>
    <w:p w:rsidR="00732DB7" w:rsidRPr="00C1697B" w:rsidRDefault="00732DB7" w:rsidP="00732DB7">
      <w:pPr>
        <w:widowControl w:val="0"/>
        <w:rPr>
          <w:sz w:val="20"/>
          <w:szCs w:val="20"/>
          <w:lang w:val="fr-CA"/>
        </w:rPr>
      </w:pPr>
    </w:p>
    <w:p w:rsidR="00732DB7" w:rsidRPr="00C1697B" w:rsidRDefault="00732DB7" w:rsidP="00732DB7">
      <w:pPr>
        <w:widowControl w:val="0"/>
        <w:rPr>
          <w:sz w:val="20"/>
          <w:szCs w:val="20"/>
          <w:lang w:val="fr-CA"/>
        </w:rPr>
        <w:sectPr w:rsidR="00732DB7" w:rsidRPr="00C1697B" w:rsidSect="00732DB7">
          <w:headerReference w:type="even" r:id="rId34"/>
          <w:headerReference w:type="default" r:id="rId35"/>
          <w:footerReference w:type="even" r:id="rId36"/>
          <w:footerReference w:type="default" r:id="rId37"/>
          <w:headerReference w:type="first" r:id="rId38"/>
          <w:footerReference w:type="first" r:id="rId39"/>
          <w:pgSz w:w="12240" w:h="15840"/>
          <w:pgMar w:top="720" w:right="965" w:bottom="1080" w:left="1656" w:header="720" w:footer="960" w:gutter="0"/>
          <w:cols w:space="720"/>
          <w:titlePg/>
          <w:docGrid w:linePitch="326"/>
        </w:sectPr>
      </w:pPr>
    </w:p>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FF6EEC" w:rsidRPr="00390161" w:rsidTr="0085476B">
        <w:tc>
          <w:tcPr>
            <w:tcW w:w="4200" w:type="dxa"/>
            <w:tcMar>
              <w:left w:w="0" w:type="dxa"/>
              <w:right w:w="0" w:type="dxa"/>
            </w:tcMar>
          </w:tcPr>
          <w:p w:rsidR="00FF6EEC" w:rsidRPr="00C1697B" w:rsidRDefault="00FF6EEC" w:rsidP="0085476B">
            <w:pPr>
              <w:keepNext/>
              <w:keepLines/>
              <w:tabs>
                <w:tab w:val="left" w:pos="-1440"/>
                <w:tab w:val="left" w:pos="-720"/>
              </w:tabs>
              <w:rPr>
                <w:b/>
                <w:szCs w:val="24"/>
              </w:rPr>
            </w:pPr>
            <w:r w:rsidRPr="00C1697B">
              <w:rPr>
                <w:b/>
                <w:szCs w:val="24"/>
              </w:rPr>
              <w:lastRenderedPageBreak/>
              <w:t>PRONOUNCEMENTS OF APPEALS</w:t>
            </w:r>
            <w:r w:rsidR="0085476B">
              <w:rPr>
                <w:b/>
                <w:szCs w:val="24"/>
              </w:rPr>
              <w:t xml:space="preserve"> </w:t>
            </w:r>
            <w:r w:rsidRPr="00C1697B">
              <w:rPr>
                <w:b/>
                <w:szCs w:val="24"/>
              </w:rPr>
              <w:t>RESERVED</w:t>
            </w:r>
          </w:p>
          <w:p w:rsidR="00FF6EEC" w:rsidRPr="00C1697B"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p>
          <w:p w:rsidR="00FF6EEC" w:rsidRPr="00C1697B"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Cs w:val="24"/>
              </w:rPr>
            </w:pPr>
            <w:r w:rsidRPr="00C1697B">
              <w:rPr>
                <w:b/>
                <w:szCs w:val="24"/>
              </w:rPr>
              <w:t>Reasons for judgment are available</w:t>
            </w:r>
          </w:p>
        </w:tc>
        <w:tc>
          <w:tcPr>
            <w:tcW w:w="1200" w:type="dxa"/>
            <w:tcMar>
              <w:left w:w="0" w:type="dxa"/>
              <w:right w:w="0" w:type="dxa"/>
            </w:tcMar>
          </w:tcPr>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p w:rsidR="00FF6EEC" w:rsidRPr="00C1697B" w:rsidRDefault="00FF6EEC" w:rsidP="00FF6EEC">
            <w:pPr>
              <w:keepNext/>
              <w:keepLines/>
              <w:tabs>
                <w:tab w:val="left" w:pos="-1440"/>
                <w:tab w:val="left" w:pos="-720"/>
              </w:tabs>
              <w:jc w:val="center"/>
              <w:rPr>
                <w:b/>
                <w:szCs w:val="24"/>
              </w:rPr>
            </w:pPr>
          </w:p>
        </w:tc>
        <w:tc>
          <w:tcPr>
            <w:tcW w:w="4080" w:type="dxa"/>
            <w:tcMar>
              <w:left w:w="0" w:type="dxa"/>
              <w:right w:w="0" w:type="dxa"/>
            </w:tcMar>
          </w:tcPr>
          <w:p w:rsidR="00FF6EEC" w:rsidRPr="00C1697B" w:rsidRDefault="00FF6EEC" w:rsidP="00FF6EEC">
            <w:pPr>
              <w:keepNext/>
              <w:keepLines/>
              <w:tabs>
                <w:tab w:val="left" w:pos="-1440"/>
                <w:tab w:val="left" w:pos="-720"/>
              </w:tabs>
              <w:rPr>
                <w:b/>
                <w:szCs w:val="24"/>
                <w:lang w:val="fr-CA"/>
              </w:rPr>
            </w:pPr>
            <w:r w:rsidRPr="00C1697B">
              <w:rPr>
                <w:b/>
                <w:szCs w:val="24"/>
                <w:lang w:val="fr-CA"/>
              </w:rPr>
              <w:t>JUGEMENTS RENDUS SUR LES APPELS EN DÉLIBÉRÉ</w:t>
            </w:r>
          </w:p>
          <w:p w:rsidR="00FF6EEC" w:rsidRPr="00C1697B" w:rsidRDefault="00FF6EEC" w:rsidP="00697C6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p>
          <w:p w:rsidR="00FF6EEC" w:rsidRPr="00C1697B" w:rsidRDefault="00FF6EEC" w:rsidP="00697C62">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r w:rsidRPr="00C1697B">
              <w:rPr>
                <w:b/>
                <w:szCs w:val="24"/>
                <w:lang w:val="fr-CA"/>
              </w:rPr>
              <w:t>Les motifs de jugement sont disponibles</w:t>
            </w:r>
          </w:p>
        </w:tc>
      </w:tr>
    </w:tbl>
    <w:p w:rsidR="00FF6EEC" w:rsidRPr="003B3977" w:rsidRDefault="00FF6EEC" w:rsidP="00FF6EEC">
      <w:pPr>
        <w:rPr>
          <w:b/>
          <w:sz w:val="20"/>
          <w:szCs w:val="20"/>
          <w:lang w:val="fr-CA"/>
        </w:rPr>
      </w:pPr>
    </w:p>
    <w:p w:rsidR="00055359" w:rsidRPr="003B3977" w:rsidRDefault="00055359" w:rsidP="00055359">
      <w:pPr>
        <w:rPr>
          <w:b/>
          <w:sz w:val="20"/>
          <w:szCs w:val="20"/>
        </w:rPr>
      </w:pPr>
      <w:r w:rsidRPr="003B3977">
        <w:rPr>
          <w:b/>
          <w:sz w:val="20"/>
          <w:szCs w:val="20"/>
        </w:rPr>
        <w:t>O</w:t>
      </w:r>
      <w:r>
        <w:rPr>
          <w:b/>
          <w:sz w:val="20"/>
          <w:szCs w:val="20"/>
        </w:rPr>
        <w:t>CTO</w:t>
      </w:r>
      <w:r w:rsidRPr="003B3977">
        <w:rPr>
          <w:b/>
          <w:sz w:val="20"/>
          <w:szCs w:val="20"/>
        </w:rPr>
        <w:t xml:space="preserve">BER </w:t>
      </w:r>
      <w:r>
        <w:rPr>
          <w:b/>
          <w:sz w:val="20"/>
          <w:szCs w:val="20"/>
        </w:rPr>
        <w:t>26</w:t>
      </w:r>
      <w:r w:rsidRPr="003B3977">
        <w:rPr>
          <w:b/>
          <w:sz w:val="20"/>
          <w:szCs w:val="20"/>
        </w:rPr>
        <w:t>, 201</w:t>
      </w:r>
      <w:r>
        <w:rPr>
          <w:b/>
          <w:sz w:val="20"/>
          <w:szCs w:val="20"/>
        </w:rPr>
        <w:t>1</w:t>
      </w:r>
      <w:r w:rsidRPr="003B3977">
        <w:rPr>
          <w:b/>
          <w:sz w:val="20"/>
          <w:szCs w:val="20"/>
        </w:rPr>
        <w:t xml:space="preserve"> / LE </w:t>
      </w:r>
      <w:r>
        <w:rPr>
          <w:b/>
          <w:sz w:val="20"/>
          <w:szCs w:val="20"/>
        </w:rPr>
        <w:t>26 OCTOBRE</w:t>
      </w:r>
      <w:r w:rsidRPr="003B3977">
        <w:rPr>
          <w:b/>
          <w:sz w:val="20"/>
          <w:szCs w:val="20"/>
        </w:rPr>
        <w:t xml:space="preserve"> 201</w:t>
      </w:r>
      <w:r>
        <w:rPr>
          <w:b/>
          <w:sz w:val="20"/>
          <w:szCs w:val="20"/>
        </w:rPr>
        <w:t>1</w:t>
      </w:r>
    </w:p>
    <w:p w:rsidR="00055359" w:rsidRDefault="00055359" w:rsidP="00055359">
      <w:pPr>
        <w:rPr>
          <w:sz w:val="20"/>
          <w:szCs w:val="20"/>
        </w:rPr>
      </w:pPr>
    </w:p>
    <w:p w:rsidR="00055359" w:rsidRPr="00AC06C7" w:rsidRDefault="00055359" w:rsidP="00055359">
      <w:pPr>
        <w:ind w:left="1440" w:hanging="1440"/>
        <w:jc w:val="both"/>
        <w:rPr>
          <w:rFonts w:eastAsia="Calibri" w:cs="Times New Roman"/>
          <w:b/>
          <w:sz w:val="20"/>
          <w:szCs w:val="20"/>
        </w:rPr>
      </w:pPr>
      <w:r w:rsidRPr="00AC06C7">
        <w:rPr>
          <w:rFonts w:eastAsia="Calibri" w:cs="Times New Roman"/>
          <w:b/>
          <w:sz w:val="20"/>
          <w:szCs w:val="20"/>
        </w:rPr>
        <w:t>33727</w:t>
      </w:r>
      <w:r w:rsidRPr="00AC06C7">
        <w:rPr>
          <w:rFonts w:eastAsia="Calibri" w:cs="Times New Roman"/>
          <w:sz w:val="20"/>
          <w:szCs w:val="20"/>
        </w:rPr>
        <w:tab/>
      </w:r>
      <w:r w:rsidRPr="00AC06C7">
        <w:rPr>
          <w:rFonts w:eastAsia="Calibri" w:cs="Times New Roman"/>
          <w:b/>
          <w:bCs/>
          <w:iCs/>
          <w:sz w:val="20"/>
          <w:szCs w:val="20"/>
          <w:u w:val="single"/>
        </w:rPr>
        <w:t>Ross Barros v. Her Majesty the Queen – and – Director of Public Prosecutions, Attorney General of Ontario, Canadian Association of Chiefs of Police, Canadian Crime Stoppers Association, Canadian Civil Liberties Association and Criminal Lawyers’ Association of Ontario</w:t>
      </w:r>
      <w:r w:rsidRPr="00AC06C7">
        <w:rPr>
          <w:rFonts w:eastAsia="Calibri" w:cs="Times New Roman"/>
          <w:b/>
          <w:sz w:val="20"/>
          <w:szCs w:val="20"/>
        </w:rPr>
        <w:t xml:space="preserve"> </w:t>
      </w:r>
      <w:r w:rsidRPr="00AC06C7">
        <w:rPr>
          <w:rFonts w:eastAsia="Calibri" w:cs="Times New Roman"/>
          <w:sz w:val="20"/>
          <w:szCs w:val="20"/>
        </w:rPr>
        <w:t>(Alta.)</w:t>
      </w:r>
    </w:p>
    <w:p w:rsidR="00055359" w:rsidRPr="00AC06C7" w:rsidRDefault="00055359" w:rsidP="00055359">
      <w:pPr>
        <w:ind w:left="1440" w:hanging="1440"/>
        <w:jc w:val="both"/>
        <w:rPr>
          <w:rFonts w:eastAsia="Calibri" w:cs="Times New Roman"/>
          <w:b/>
          <w:sz w:val="20"/>
          <w:szCs w:val="20"/>
        </w:rPr>
      </w:pPr>
      <w:r w:rsidRPr="00AC06C7">
        <w:rPr>
          <w:rFonts w:eastAsia="Calibri" w:cs="Times New Roman"/>
          <w:b/>
          <w:sz w:val="20"/>
          <w:szCs w:val="20"/>
        </w:rPr>
        <w:tab/>
        <w:t>2011 SCC 51 / 2011 CSC 51</w:t>
      </w:r>
    </w:p>
    <w:p w:rsidR="00055359" w:rsidRPr="00AC06C7" w:rsidRDefault="00055359" w:rsidP="00055359">
      <w:pPr>
        <w:ind w:left="1440" w:hanging="1440"/>
        <w:jc w:val="both"/>
        <w:rPr>
          <w:rFonts w:eastAsia="Calibri" w:cs="Times New Roman"/>
          <w:b/>
          <w:sz w:val="20"/>
          <w:szCs w:val="20"/>
        </w:rPr>
      </w:pPr>
    </w:p>
    <w:p w:rsidR="00055359" w:rsidRPr="00AC06C7" w:rsidRDefault="00055359" w:rsidP="00055359">
      <w:pPr>
        <w:ind w:left="1440" w:hanging="1440"/>
        <w:jc w:val="both"/>
        <w:rPr>
          <w:rFonts w:eastAsia="Calibri" w:cs="Times New Roman"/>
          <w:sz w:val="20"/>
          <w:szCs w:val="20"/>
          <w:u w:val="single"/>
        </w:rPr>
      </w:pPr>
      <w:r w:rsidRPr="00AC06C7">
        <w:rPr>
          <w:rFonts w:eastAsia="Calibri" w:cs="Times New Roman"/>
          <w:sz w:val="20"/>
          <w:szCs w:val="20"/>
        </w:rPr>
        <w:t xml:space="preserve">Coram: </w:t>
      </w:r>
      <w:r>
        <w:rPr>
          <w:rFonts w:eastAsia="Calibri" w:cs="Times New Roman"/>
          <w:sz w:val="20"/>
          <w:szCs w:val="20"/>
        </w:rPr>
        <w:tab/>
      </w:r>
      <w:r w:rsidRPr="00AC06C7">
        <w:rPr>
          <w:rFonts w:eastAsia="Calibri" w:cs="Times New Roman"/>
          <w:sz w:val="20"/>
          <w:szCs w:val="20"/>
          <w:u w:val="single"/>
        </w:rPr>
        <w:t>McLachlin C.J. and Binnie, LeBel, Deschamps, Fish, Abella, Charron, Rothstein and Cromwell JJ.</w:t>
      </w:r>
    </w:p>
    <w:p w:rsidR="00055359" w:rsidRPr="00AC06C7" w:rsidRDefault="00055359" w:rsidP="00055359">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eastAsia="Calibri" w:cs="Times New Roman"/>
          <w:sz w:val="20"/>
          <w:szCs w:val="20"/>
        </w:rPr>
      </w:pPr>
    </w:p>
    <w:p w:rsidR="00055359" w:rsidRPr="00AC06C7" w:rsidRDefault="00055359" w:rsidP="00055359">
      <w:pPr>
        <w:jc w:val="both"/>
        <w:rPr>
          <w:rFonts w:eastAsia="Calibri" w:cs="Times New Roman"/>
          <w:sz w:val="20"/>
          <w:szCs w:val="20"/>
        </w:rPr>
      </w:pPr>
      <w:r w:rsidRPr="00AC06C7">
        <w:rPr>
          <w:rFonts w:eastAsia="Calibri" w:cs="Times New Roman"/>
          <w:sz w:val="20"/>
          <w:szCs w:val="20"/>
        </w:rPr>
        <w:t>The appeal from the judgment of the Court of Appeal of Alberta (Edmonton), Numbers 0703-0183-A and 0803-0014-A, 2010 ABCA 116, dated April 15, 2010, heard on January 25, 2011, is allowed in part, Fish and Cromwell JJ. dissenting in part. The Order of the Court of Appeal for a new trial on Count 3 is set aside and the trial judge’s verdict of acquittal on this count is restored.</w:t>
      </w:r>
    </w:p>
    <w:p w:rsidR="00055359" w:rsidRPr="00AC06C7" w:rsidRDefault="00055359" w:rsidP="00055359">
      <w:pPr>
        <w:jc w:val="both"/>
        <w:rPr>
          <w:rFonts w:eastAsia="Calibri" w:cs="Times New Roman"/>
          <w:sz w:val="20"/>
          <w:szCs w:val="20"/>
        </w:rPr>
      </w:pPr>
    </w:p>
    <w:p w:rsidR="00055359" w:rsidRPr="00AC06C7" w:rsidRDefault="00055359" w:rsidP="00055359">
      <w:pPr>
        <w:jc w:val="both"/>
        <w:rPr>
          <w:rFonts w:eastAsia="Calibri" w:cs="Times New Roman"/>
          <w:sz w:val="20"/>
          <w:szCs w:val="20"/>
          <w:lang w:val="fr-CA"/>
        </w:rPr>
      </w:pPr>
      <w:r w:rsidRPr="00AC06C7">
        <w:rPr>
          <w:rFonts w:eastAsia="Calibri" w:cs="Times New Roman"/>
          <w:sz w:val="20"/>
          <w:szCs w:val="20"/>
          <w:lang w:val="fr-CA"/>
        </w:rPr>
        <w:t>L’appel interjeté contre l’arrêt de la Cour d’appel de l’Alberta (Edmonton), numéros 0703-0183-A et 0803-0014-A, 2010 ABCA 116, en date du 15 avril 2010, entendu le 25 janvier 2011, est accueilli en partie. Les juges Fish et Cromwell sont dissidents en partie. L’ordonnance de nouveau procès rendu par la Cour d’appel à l’égard du troisième chef d’accusation est annulée et le verdict d’acquittement de la juge du procès relativement à ce chef est rétabli.</w:t>
      </w:r>
    </w:p>
    <w:p w:rsidR="00055359" w:rsidRPr="00862070" w:rsidRDefault="00055359" w:rsidP="00055359">
      <w:pPr>
        <w:rPr>
          <w:sz w:val="20"/>
          <w:szCs w:val="20"/>
          <w:lang w:val="fr-CA"/>
        </w:rPr>
      </w:pPr>
    </w:p>
    <w:p w:rsidR="00055359" w:rsidRPr="003B3977" w:rsidRDefault="00460701" w:rsidP="00055359">
      <w:pPr>
        <w:spacing w:line="0" w:lineRule="atLeast"/>
        <w:rPr>
          <w:sz w:val="20"/>
          <w:szCs w:val="20"/>
        </w:rPr>
      </w:pPr>
      <w:r w:rsidRPr="00460701">
        <w:rPr>
          <w:b/>
          <w:sz w:val="20"/>
          <w:szCs w:val="20"/>
        </w:rPr>
        <w:pict>
          <v:rect id="_x0000_i1076" style="width:144.3pt;height:1pt" o:hrpct="300" o:hralign="center" o:hrstd="t" o:hrnoshade="t" o:hr="t" fillcolor="black [3213]" stroked="f"/>
        </w:pict>
      </w:r>
    </w:p>
    <w:p w:rsidR="00055359" w:rsidRDefault="00055359" w:rsidP="00055359">
      <w:pPr>
        <w:spacing w:line="0" w:lineRule="atLeast"/>
        <w:rPr>
          <w:sz w:val="20"/>
          <w:szCs w:val="20"/>
        </w:rPr>
      </w:pPr>
    </w:p>
    <w:p w:rsidR="00055359" w:rsidRPr="003B3977" w:rsidRDefault="00055359" w:rsidP="00055359">
      <w:pPr>
        <w:rPr>
          <w:b/>
          <w:sz w:val="20"/>
          <w:szCs w:val="20"/>
        </w:rPr>
      </w:pPr>
      <w:r w:rsidRPr="003B3977">
        <w:rPr>
          <w:b/>
          <w:sz w:val="20"/>
          <w:szCs w:val="20"/>
        </w:rPr>
        <w:t>O</w:t>
      </w:r>
      <w:r>
        <w:rPr>
          <w:b/>
          <w:sz w:val="20"/>
          <w:szCs w:val="20"/>
        </w:rPr>
        <w:t>CTO</w:t>
      </w:r>
      <w:r w:rsidRPr="003B3977">
        <w:rPr>
          <w:b/>
          <w:sz w:val="20"/>
          <w:szCs w:val="20"/>
        </w:rPr>
        <w:t xml:space="preserve">BER </w:t>
      </w:r>
      <w:r>
        <w:rPr>
          <w:b/>
          <w:sz w:val="20"/>
          <w:szCs w:val="20"/>
        </w:rPr>
        <w:t>27</w:t>
      </w:r>
      <w:r w:rsidRPr="003B3977">
        <w:rPr>
          <w:b/>
          <w:sz w:val="20"/>
          <w:szCs w:val="20"/>
        </w:rPr>
        <w:t>, 201</w:t>
      </w:r>
      <w:r>
        <w:rPr>
          <w:b/>
          <w:sz w:val="20"/>
          <w:szCs w:val="20"/>
        </w:rPr>
        <w:t>1</w:t>
      </w:r>
      <w:r w:rsidRPr="003B3977">
        <w:rPr>
          <w:b/>
          <w:sz w:val="20"/>
          <w:szCs w:val="20"/>
        </w:rPr>
        <w:t xml:space="preserve"> / LE </w:t>
      </w:r>
      <w:r>
        <w:rPr>
          <w:b/>
          <w:sz w:val="20"/>
          <w:szCs w:val="20"/>
        </w:rPr>
        <w:t>27 OCTOBRE</w:t>
      </w:r>
      <w:r w:rsidRPr="003B3977">
        <w:rPr>
          <w:b/>
          <w:sz w:val="20"/>
          <w:szCs w:val="20"/>
        </w:rPr>
        <w:t xml:space="preserve"> 201</w:t>
      </w:r>
      <w:r>
        <w:rPr>
          <w:b/>
          <w:sz w:val="20"/>
          <w:szCs w:val="20"/>
        </w:rPr>
        <w:t>1</w:t>
      </w:r>
    </w:p>
    <w:p w:rsidR="00055359" w:rsidRDefault="00055359" w:rsidP="00055359">
      <w:pPr>
        <w:spacing w:line="0" w:lineRule="atLeast"/>
        <w:rPr>
          <w:sz w:val="20"/>
          <w:szCs w:val="20"/>
        </w:rPr>
      </w:pPr>
    </w:p>
    <w:p w:rsidR="00055359" w:rsidRPr="00FE20EF" w:rsidRDefault="00055359" w:rsidP="00055359">
      <w:pPr>
        <w:shd w:val="clear" w:color="auto" w:fill="FFFFFF"/>
        <w:ind w:left="1440" w:hanging="1440"/>
        <w:jc w:val="both"/>
        <w:rPr>
          <w:rFonts w:eastAsia="Calibri" w:cs="Times New Roman"/>
          <w:sz w:val="20"/>
          <w:szCs w:val="20"/>
          <w:lang w:val="en-GB"/>
        </w:rPr>
      </w:pPr>
      <w:r w:rsidRPr="00FE20EF">
        <w:rPr>
          <w:rFonts w:eastAsia="Calibri" w:cs="Times New Roman"/>
          <w:b/>
          <w:sz w:val="20"/>
          <w:szCs w:val="20"/>
        </w:rPr>
        <w:t>33648</w:t>
      </w:r>
      <w:r w:rsidRPr="00FE20EF">
        <w:rPr>
          <w:rFonts w:eastAsia="Calibri" w:cs="Times New Roman"/>
          <w:sz w:val="20"/>
          <w:szCs w:val="20"/>
        </w:rPr>
        <w:tab/>
      </w:r>
      <w:r w:rsidRPr="00FE20EF">
        <w:rPr>
          <w:rFonts w:eastAsia="Calibri" w:cs="Times New Roman"/>
          <w:b/>
          <w:bCs/>
          <w:iCs/>
          <w:sz w:val="20"/>
          <w:szCs w:val="20"/>
          <w:u w:val="single"/>
        </w:rPr>
        <w:t xml:space="preserve">Workers’ Compensation Board of British Columbia v. Guiseppe Figliola, Kimberley Sallis, Barry Dearden and British Columbia Human Rights Tribunal – and – Attorney General of British Columbia, Coalition of BC Businesses, Canadian Human Rights Commission, Alberta Human Rights Commission and Vancouver Area Human Rights Coalition Society </w:t>
      </w:r>
      <w:r w:rsidRPr="00FE20EF">
        <w:rPr>
          <w:rFonts w:eastAsia="Calibri" w:cs="Times New Roman"/>
          <w:sz w:val="20"/>
          <w:szCs w:val="20"/>
          <w:lang w:val="en-GB"/>
        </w:rPr>
        <w:t>(B.C.)</w:t>
      </w:r>
    </w:p>
    <w:p w:rsidR="00055359" w:rsidRPr="00FE20EF" w:rsidRDefault="00055359" w:rsidP="00055359">
      <w:pPr>
        <w:ind w:left="1440" w:hanging="1440"/>
        <w:jc w:val="both"/>
        <w:rPr>
          <w:rFonts w:eastAsia="Calibri" w:cs="Times New Roman"/>
          <w:b/>
          <w:sz w:val="20"/>
          <w:szCs w:val="20"/>
        </w:rPr>
      </w:pPr>
      <w:r w:rsidRPr="00FE20EF">
        <w:rPr>
          <w:rFonts w:eastAsia="Calibri" w:cs="Times New Roman"/>
          <w:b/>
          <w:sz w:val="20"/>
          <w:szCs w:val="20"/>
        </w:rPr>
        <w:tab/>
        <w:t>2011 SCC 52 / 2011 CSC 52</w:t>
      </w:r>
    </w:p>
    <w:p w:rsidR="00055359" w:rsidRPr="00FE20EF" w:rsidRDefault="00055359" w:rsidP="00055359">
      <w:pPr>
        <w:ind w:left="1440" w:hanging="1440"/>
        <w:jc w:val="both"/>
        <w:rPr>
          <w:rFonts w:eastAsia="Calibri" w:cs="Times New Roman"/>
          <w:b/>
          <w:sz w:val="20"/>
          <w:szCs w:val="20"/>
        </w:rPr>
      </w:pPr>
    </w:p>
    <w:p w:rsidR="00055359" w:rsidRPr="00FE20EF" w:rsidRDefault="00055359" w:rsidP="00055359">
      <w:pPr>
        <w:ind w:left="1440" w:hanging="1440"/>
        <w:jc w:val="both"/>
        <w:rPr>
          <w:rFonts w:eastAsia="Calibri" w:cs="Times New Roman"/>
          <w:sz w:val="20"/>
          <w:szCs w:val="20"/>
          <w:u w:val="single"/>
        </w:rPr>
      </w:pPr>
      <w:r w:rsidRPr="00FE20EF">
        <w:rPr>
          <w:rFonts w:eastAsia="Calibri" w:cs="Times New Roman"/>
          <w:sz w:val="20"/>
          <w:szCs w:val="20"/>
        </w:rPr>
        <w:t>Coram:</w:t>
      </w:r>
      <w:r>
        <w:rPr>
          <w:sz w:val="20"/>
          <w:szCs w:val="20"/>
        </w:rPr>
        <w:tab/>
      </w:r>
      <w:r w:rsidRPr="00FE20EF">
        <w:rPr>
          <w:rFonts w:eastAsia="Calibri" w:cs="Times New Roman"/>
          <w:sz w:val="20"/>
          <w:szCs w:val="20"/>
          <w:u w:val="single"/>
        </w:rPr>
        <w:t>McLachlin C.J. and Binnie, LeBel, Deschamps, Fish, Abella, Charron, Rothstein and Cromwell JJ.</w:t>
      </w:r>
    </w:p>
    <w:p w:rsidR="00055359" w:rsidRPr="00FE20EF" w:rsidRDefault="00055359" w:rsidP="00055359">
      <w:pPr>
        <w:ind w:left="720" w:hanging="720"/>
        <w:jc w:val="both"/>
        <w:rPr>
          <w:rFonts w:eastAsia="Calibri" w:cs="Times New Roman"/>
          <w:sz w:val="20"/>
          <w:szCs w:val="20"/>
        </w:rPr>
      </w:pPr>
    </w:p>
    <w:p w:rsidR="00055359" w:rsidRPr="00FE20EF" w:rsidRDefault="00055359" w:rsidP="00055359">
      <w:pPr>
        <w:jc w:val="both"/>
        <w:rPr>
          <w:rFonts w:eastAsia="Calibri" w:cs="Times New Roman"/>
          <w:sz w:val="20"/>
          <w:szCs w:val="20"/>
          <w:lang w:val="fr-CA"/>
        </w:rPr>
      </w:pPr>
      <w:r w:rsidRPr="00FE20EF">
        <w:rPr>
          <w:rFonts w:eastAsia="Calibri" w:cs="Times New Roman"/>
          <w:sz w:val="20"/>
          <w:szCs w:val="20"/>
        </w:rPr>
        <w:t xml:space="preserve">The appeal from the judgment of the Court of Appeal for British Columbia (Vancouver), Number CA037052, 2010 BCCA 77, dated February 17, 2010, heard on March 16, 2011 is allowed, the Tribunal decision is set aside and the complaints dismissed.  </w:t>
      </w:r>
      <w:r w:rsidRPr="00FE20EF">
        <w:rPr>
          <w:rFonts w:eastAsia="Calibri" w:cs="Times New Roman"/>
          <w:sz w:val="20"/>
          <w:szCs w:val="20"/>
          <w:lang w:val="fr-CA"/>
        </w:rPr>
        <w:t>There is no order for costs.</w:t>
      </w:r>
    </w:p>
    <w:p w:rsidR="00055359" w:rsidRPr="00FE20EF" w:rsidRDefault="00055359" w:rsidP="00055359">
      <w:pPr>
        <w:jc w:val="both"/>
        <w:rPr>
          <w:rFonts w:eastAsia="Calibri" w:cs="Times New Roman"/>
          <w:sz w:val="20"/>
          <w:szCs w:val="20"/>
          <w:lang w:val="fr-CA"/>
        </w:rPr>
      </w:pPr>
    </w:p>
    <w:p w:rsidR="00055359" w:rsidRPr="00FE20EF" w:rsidRDefault="00055359" w:rsidP="00055359">
      <w:pPr>
        <w:jc w:val="both"/>
        <w:rPr>
          <w:rFonts w:eastAsia="Calibri" w:cs="Times New Roman"/>
          <w:sz w:val="20"/>
          <w:szCs w:val="20"/>
          <w:lang w:val="fr-CA"/>
        </w:rPr>
      </w:pPr>
      <w:r w:rsidRPr="00FE20EF">
        <w:rPr>
          <w:rFonts w:eastAsia="Calibri" w:cs="Times New Roman"/>
          <w:sz w:val="20"/>
          <w:szCs w:val="20"/>
          <w:lang w:val="fr-CA"/>
        </w:rPr>
        <w:t>L’appel interjeté contre l’arrêt de la Cour d’appel de la Colombie-Britannique (Vancouver), numéro CA037052, 2010 BCCA 77, en date du 17 février 2010, entendu le 16 mars 2011, est accueilli, la décision du Tribunal est annulée et les plaintes sont rejetées.  Il n’y a pas d’ordonnance quant aux dépens.</w:t>
      </w:r>
    </w:p>
    <w:p w:rsidR="00055359" w:rsidRDefault="00055359" w:rsidP="00055359">
      <w:pPr>
        <w:spacing w:line="0" w:lineRule="atLeast"/>
        <w:rPr>
          <w:sz w:val="20"/>
          <w:szCs w:val="20"/>
        </w:rPr>
      </w:pPr>
    </w:p>
    <w:p w:rsidR="00055359" w:rsidRDefault="00460701" w:rsidP="00055359">
      <w:pPr>
        <w:spacing w:line="0" w:lineRule="atLeast"/>
        <w:rPr>
          <w:sz w:val="20"/>
          <w:szCs w:val="20"/>
        </w:rPr>
      </w:pPr>
      <w:r w:rsidRPr="00460701">
        <w:rPr>
          <w:b/>
          <w:sz w:val="20"/>
          <w:szCs w:val="20"/>
        </w:rPr>
        <w:pict>
          <v:rect id="_x0000_i1077" style="width:144.3pt;height:1pt" o:hrpct="300" o:hralign="center" o:hrstd="t" o:hrnoshade="t" o:hr="t" fillcolor="black [3213]" stroked="f"/>
        </w:pict>
      </w:r>
    </w:p>
    <w:p w:rsidR="00055359" w:rsidRDefault="00055359" w:rsidP="00055359">
      <w:pPr>
        <w:spacing w:line="0" w:lineRule="atLeast"/>
        <w:rPr>
          <w:sz w:val="20"/>
          <w:szCs w:val="20"/>
        </w:rPr>
      </w:pPr>
    </w:p>
    <w:p w:rsidR="00055359" w:rsidRDefault="00055359" w:rsidP="00055359">
      <w:pPr>
        <w:rPr>
          <w:b/>
          <w:sz w:val="20"/>
          <w:szCs w:val="20"/>
        </w:rPr>
      </w:pPr>
      <w:r>
        <w:rPr>
          <w:b/>
          <w:sz w:val="20"/>
          <w:szCs w:val="20"/>
        </w:rPr>
        <w:br w:type="page"/>
      </w:r>
    </w:p>
    <w:p w:rsidR="00055359" w:rsidRPr="003B3977" w:rsidRDefault="00055359" w:rsidP="00055359">
      <w:pPr>
        <w:rPr>
          <w:b/>
          <w:sz w:val="20"/>
          <w:szCs w:val="20"/>
        </w:rPr>
      </w:pPr>
      <w:r w:rsidRPr="003B3977">
        <w:rPr>
          <w:b/>
          <w:sz w:val="20"/>
          <w:szCs w:val="20"/>
        </w:rPr>
        <w:lastRenderedPageBreak/>
        <w:t>O</w:t>
      </w:r>
      <w:r>
        <w:rPr>
          <w:b/>
          <w:sz w:val="20"/>
          <w:szCs w:val="20"/>
        </w:rPr>
        <w:t>CTO</w:t>
      </w:r>
      <w:r w:rsidRPr="003B3977">
        <w:rPr>
          <w:b/>
          <w:sz w:val="20"/>
          <w:szCs w:val="20"/>
        </w:rPr>
        <w:t xml:space="preserve">BER </w:t>
      </w:r>
      <w:r>
        <w:rPr>
          <w:b/>
          <w:sz w:val="20"/>
          <w:szCs w:val="20"/>
        </w:rPr>
        <w:t>28</w:t>
      </w:r>
      <w:r w:rsidRPr="003B3977">
        <w:rPr>
          <w:b/>
          <w:sz w:val="20"/>
          <w:szCs w:val="20"/>
        </w:rPr>
        <w:t>, 201</w:t>
      </w:r>
      <w:r>
        <w:rPr>
          <w:b/>
          <w:sz w:val="20"/>
          <w:szCs w:val="20"/>
        </w:rPr>
        <w:t>1</w:t>
      </w:r>
      <w:r w:rsidRPr="003B3977">
        <w:rPr>
          <w:b/>
          <w:sz w:val="20"/>
          <w:szCs w:val="20"/>
        </w:rPr>
        <w:t xml:space="preserve"> / LE </w:t>
      </w:r>
      <w:r>
        <w:rPr>
          <w:b/>
          <w:sz w:val="20"/>
          <w:szCs w:val="20"/>
        </w:rPr>
        <w:t>28 OCTOBRE</w:t>
      </w:r>
      <w:r w:rsidRPr="003B3977">
        <w:rPr>
          <w:b/>
          <w:sz w:val="20"/>
          <w:szCs w:val="20"/>
        </w:rPr>
        <w:t xml:space="preserve"> 201</w:t>
      </w:r>
      <w:r>
        <w:rPr>
          <w:b/>
          <w:sz w:val="20"/>
          <w:szCs w:val="20"/>
        </w:rPr>
        <w:t>1</w:t>
      </w:r>
    </w:p>
    <w:p w:rsidR="00055359" w:rsidRDefault="00055359" w:rsidP="00055359">
      <w:pPr>
        <w:spacing w:line="0" w:lineRule="atLeast"/>
        <w:rPr>
          <w:sz w:val="20"/>
          <w:szCs w:val="20"/>
        </w:rPr>
      </w:pPr>
    </w:p>
    <w:p w:rsidR="00055359" w:rsidRPr="00514006" w:rsidRDefault="00055359" w:rsidP="00055359">
      <w:pPr>
        <w:ind w:left="1440" w:hanging="1440"/>
        <w:jc w:val="both"/>
        <w:rPr>
          <w:b/>
          <w:sz w:val="20"/>
          <w:szCs w:val="20"/>
        </w:rPr>
      </w:pPr>
      <w:r w:rsidRPr="00514006">
        <w:rPr>
          <w:b/>
          <w:sz w:val="20"/>
          <w:szCs w:val="20"/>
        </w:rPr>
        <w:t>33507</w:t>
      </w:r>
      <w:r w:rsidRPr="00514006">
        <w:rPr>
          <w:sz w:val="20"/>
          <w:szCs w:val="20"/>
        </w:rPr>
        <w:tab/>
      </w:r>
      <w:r w:rsidRPr="00514006">
        <w:rPr>
          <w:b/>
          <w:bCs/>
          <w:iCs/>
          <w:sz w:val="20"/>
          <w:szCs w:val="20"/>
          <w:u w:val="single"/>
        </w:rPr>
        <w:t>Canadian Human Rights Commission and Donna Mowat v. Attorney General of Canada – and – Canadian Bar Association and Council of Canadians with Disabilities</w:t>
      </w:r>
      <w:r w:rsidRPr="00514006">
        <w:rPr>
          <w:b/>
          <w:bCs/>
          <w:iCs/>
          <w:sz w:val="20"/>
          <w:szCs w:val="20"/>
        </w:rPr>
        <w:t xml:space="preserve"> </w:t>
      </w:r>
      <w:r w:rsidRPr="00514006">
        <w:rPr>
          <w:sz w:val="20"/>
          <w:szCs w:val="20"/>
        </w:rPr>
        <w:t>(F.C.)</w:t>
      </w:r>
    </w:p>
    <w:p w:rsidR="00055359" w:rsidRPr="00514006" w:rsidRDefault="00055359" w:rsidP="00055359">
      <w:pPr>
        <w:ind w:left="1440" w:hanging="1440"/>
        <w:jc w:val="both"/>
        <w:rPr>
          <w:b/>
          <w:sz w:val="20"/>
          <w:szCs w:val="20"/>
        </w:rPr>
      </w:pPr>
      <w:r w:rsidRPr="00514006">
        <w:rPr>
          <w:b/>
          <w:sz w:val="20"/>
          <w:szCs w:val="20"/>
        </w:rPr>
        <w:tab/>
        <w:t>2011 SCC 53 / 2011 CSC 53</w:t>
      </w:r>
    </w:p>
    <w:p w:rsidR="00055359" w:rsidRPr="00514006" w:rsidRDefault="00055359" w:rsidP="00055359">
      <w:pPr>
        <w:ind w:left="1440" w:hanging="1440"/>
        <w:jc w:val="both"/>
        <w:rPr>
          <w:b/>
          <w:sz w:val="20"/>
          <w:szCs w:val="20"/>
        </w:rPr>
      </w:pPr>
    </w:p>
    <w:p w:rsidR="00055359" w:rsidRPr="00514006" w:rsidRDefault="00055359" w:rsidP="00055359">
      <w:pPr>
        <w:ind w:left="1440" w:hanging="1440"/>
        <w:jc w:val="both"/>
        <w:rPr>
          <w:sz w:val="20"/>
          <w:szCs w:val="20"/>
          <w:u w:val="single"/>
        </w:rPr>
      </w:pPr>
      <w:r w:rsidRPr="00514006">
        <w:rPr>
          <w:sz w:val="20"/>
          <w:szCs w:val="20"/>
        </w:rPr>
        <w:t>Coram:</w:t>
      </w:r>
      <w:r>
        <w:rPr>
          <w:sz w:val="20"/>
          <w:szCs w:val="20"/>
        </w:rPr>
        <w:tab/>
      </w:r>
      <w:r w:rsidRPr="00514006">
        <w:rPr>
          <w:sz w:val="20"/>
          <w:szCs w:val="20"/>
          <w:u w:val="single"/>
        </w:rPr>
        <w:t>McLachlin C.J. and LeBel, Deschamps, Abella, Charron, Rothstein and Cromwell JJ.</w:t>
      </w:r>
    </w:p>
    <w:p w:rsidR="00055359" w:rsidRPr="00514006" w:rsidRDefault="00055359" w:rsidP="00055359">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sz w:val="20"/>
          <w:szCs w:val="20"/>
        </w:rPr>
      </w:pPr>
    </w:p>
    <w:p w:rsidR="00055359" w:rsidRPr="00514006" w:rsidRDefault="00055359" w:rsidP="00055359">
      <w:pPr>
        <w:jc w:val="both"/>
        <w:rPr>
          <w:sz w:val="20"/>
          <w:szCs w:val="20"/>
        </w:rPr>
      </w:pPr>
      <w:r w:rsidRPr="00514006">
        <w:rPr>
          <w:sz w:val="20"/>
          <w:szCs w:val="20"/>
        </w:rPr>
        <w:t>The appeal from the judgment of the Federal Court of Appeal, Number A-89-08, 2009 FCA 309, dated October 26, 2009, heard on December 13, 2010, is dismissed without costs.</w:t>
      </w:r>
    </w:p>
    <w:p w:rsidR="00055359" w:rsidRPr="00514006" w:rsidRDefault="00055359" w:rsidP="00055359">
      <w:pPr>
        <w:jc w:val="both"/>
        <w:rPr>
          <w:sz w:val="20"/>
          <w:szCs w:val="20"/>
        </w:rPr>
      </w:pPr>
    </w:p>
    <w:p w:rsidR="00055359" w:rsidRPr="00514006" w:rsidRDefault="00055359" w:rsidP="00055359">
      <w:pPr>
        <w:jc w:val="both"/>
        <w:rPr>
          <w:sz w:val="20"/>
          <w:szCs w:val="20"/>
          <w:lang w:val="fr-CA"/>
        </w:rPr>
      </w:pPr>
      <w:r w:rsidRPr="00514006">
        <w:rPr>
          <w:sz w:val="20"/>
          <w:szCs w:val="20"/>
          <w:lang w:val="fr-CA"/>
        </w:rPr>
        <w:t>L’appel interjeté contre l’arrêt de la Cour d’appel fédérale, numéro A-89-08, 2009 CAF 309, en date du 26 octobre 2009, entendu le 13 décembre 2010, est rejeté sans dépens.</w:t>
      </w:r>
    </w:p>
    <w:p w:rsidR="00055359" w:rsidRPr="0044782F" w:rsidRDefault="00055359" w:rsidP="00055359">
      <w:pPr>
        <w:spacing w:line="0" w:lineRule="atLeast"/>
        <w:rPr>
          <w:sz w:val="20"/>
          <w:szCs w:val="20"/>
          <w:lang w:val="fr-CA"/>
        </w:rPr>
      </w:pPr>
    </w:p>
    <w:p w:rsidR="00055359" w:rsidRDefault="00460701" w:rsidP="00055359">
      <w:pPr>
        <w:spacing w:line="0" w:lineRule="atLeast"/>
        <w:rPr>
          <w:sz w:val="20"/>
          <w:szCs w:val="20"/>
        </w:rPr>
      </w:pPr>
      <w:r w:rsidRPr="00460701">
        <w:rPr>
          <w:b/>
          <w:sz w:val="20"/>
          <w:szCs w:val="20"/>
        </w:rPr>
        <w:pict>
          <v:rect id="_x0000_i1078" style="width:144.3pt;height:1pt" o:hrpct="300" o:hralign="center" o:hrstd="t" o:hrnoshade="t" o:hr="t" fillcolor="black [3213]" stroked="f"/>
        </w:pict>
      </w:r>
    </w:p>
    <w:p w:rsidR="00055359" w:rsidRPr="003B3977" w:rsidRDefault="00055359" w:rsidP="00055359">
      <w:pPr>
        <w:spacing w:line="0" w:lineRule="atLeast"/>
        <w:rPr>
          <w:sz w:val="20"/>
          <w:szCs w:val="20"/>
        </w:rPr>
      </w:pPr>
    </w:p>
    <w:p w:rsidR="00AF1715" w:rsidRPr="006C5F7A" w:rsidRDefault="00AF1715" w:rsidP="00AF1715">
      <w:pPr>
        <w:tabs>
          <w:tab w:val="left" w:pos="0"/>
          <w:tab w:val="left" w:pos="720"/>
          <w:tab w:val="left" w:pos="1440"/>
          <w:tab w:val="left" w:pos="2160"/>
          <w:tab w:val="left" w:pos="2880"/>
          <w:tab w:val="left" w:pos="3600"/>
          <w:tab w:val="left" w:pos="4320"/>
          <w:tab w:val="left" w:pos="5040"/>
          <w:tab w:val="left" w:pos="5760"/>
          <w:tab w:val="left" w:pos="6480"/>
          <w:tab w:val="left" w:pos="7200"/>
        </w:tabs>
        <w:jc w:val="both"/>
        <w:rPr>
          <w:rFonts w:cs="Times New Roman"/>
          <w:sz w:val="20"/>
          <w:szCs w:val="20"/>
          <w:lang w:val="fr-CA"/>
        </w:rPr>
      </w:pPr>
    </w:p>
    <w:p w:rsidR="00732DB7" w:rsidRPr="00C50A5C" w:rsidRDefault="00732DB7" w:rsidP="00732DB7">
      <w:pPr>
        <w:widowControl w:val="0"/>
        <w:rPr>
          <w:sz w:val="20"/>
          <w:szCs w:val="20"/>
        </w:rPr>
      </w:pPr>
    </w:p>
    <w:p w:rsidR="00697C62" w:rsidRPr="00C50A5C" w:rsidRDefault="00697C62" w:rsidP="00732DB7">
      <w:pPr>
        <w:widowControl w:val="0"/>
        <w:rPr>
          <w:sz w:val="20"/>
          <w:szCs w:val="20"/>
        </w:rPr>
        <w:sectPr w:rsidR="00697C62" w:rsidRPr="00C50A5C" w:rsidSect="00782AE4">
          <w:headerReference w:type="even" r:id="rId40"/>
          <w:headerReference w:type="default" r:id="rId41"/>
          <w:footerReference w:type="even" r:id="rId42"/>
          <w:footerReference w:type="default" r:id="rId43"/>
          <w:headerReference w:type="first" r:id="rId44"/>
          <w:footerReference w:type="first" r:id="rId45"/>
          <w:pgSz w:w="12240" w:h="15840"/>
          <w:pgMar w:top="720" w:right="965" w:bottom="1080" w:left="1656" w:header="720" w:footer="960" w:gutter="0"/>
          <w:cols w:space="720"/>
          <w:titlePg/>
          <w:docGrid w:linePitch="326"/>
        </w:sectPr>
      </w:pPr>
    </w:p>
    <w:tbl>
      <w:tblPr>
        <w:tblW w:w="9480" w:type="dxa"/>
        <w:tblBorders>
          <w:bottom w:val="single" w:sz="8" w:space="0" w:color="auto"/>
        </w:tblBorders>
        <w:tblLayout w:type="fixed"/>
        <w:tblCellMar>
          <w:left w:w="0" w:type="dxa"/>
          <w:right w:w="0" w:type="dxa"/>
        </w:tblCellMar>
        <w:tblLook w:val="0000"/>
      </w:tblPr>
      <w:tblGrid>
        <w:gridCol w:w="4200"/>
        <w:gridCol w:w="1200"/>
        <w:gridCol w:w="4080"/>
      </w:tblGrid>
      <w:tr w:rsidR="00782AE4" w:rsidRPr="00C1697B" w:rsidTr="0085476B">
        <w:tc>
          <w:tcPr>
            <w:tcW w:w="4200" w:type="dxa"/>
            <w:tcMar>
              <w:left w:w="0" w:type="dxa"/>
              <w:right w:w="0" w:type="dxa"/>
            </w:tcMar>
          </w:tcPr>
          <w:p w:rsidR="00782AE4" w:rsidRPr="00C1697B" w:rsidRDefault="00782AE4" w:rsidP="00782AE4">
            <w:pPr>
              <w:keepNext/>
              <w:keepLines/>
              <w:jc w:val="both"/>
              <w:rPr>
                <w:b/>
                <w:szCs w:val="24"/>
              </w:rPr>
            </w:pPr>
            <w:r w:rsidRPr="00C1697B">
              <w:rPr>
                <w:b/>
                <w:szCs w:val="24"/>
              </w:rPr>
              <w:lastRenderedPageBreak/>
              <w:t>HEADNOTES OF RECENT</w:t>
            </w:r>
          </w:p>
          <w:p w:rsidR="00782AE4" w:rsidRPr="00C1697B" w:rsidRDefault="00782AE4" w:rsidP="00782AE4">
            <w:pPr>
              <w:keepNext/>
              <w:keepLines/>
              <w:jc w:val="both"/>
              <w:rPr>
                <w:b/>
                <w:szCs w:val="24"/>
              </w:rPr>
            </w:pPr>
            <w:r w:rsidRPr="00C1697B">
              <w:rPr>
                <w:b/>
                <w:szCs w:val="24"/>
              </w:rPr>
              <w:t>JUDGMENTS</w:t>
            </w:r>
          </w:p>
        </w:tc>
        <w:tc>
          <w:tcPr>
            <w:tcW w:w="1200" w:type="dxa"/>
            <w:tcMar>
              <w:left w:w="0" w:type="dxa"/>
              <w:right w:w="0" w:type="dxa"/>
            </w:tcMar>
          </w:tcPr>
          <w:p w:rsidR="00782AE4" w:rsidRPr="00C1697B" w:rsidRDefault="00782AE4" w:rsidP="00102926">
            <w:pPr>
              <w:keepNext/>
              <w:keepLines/>
              <w:jc w:val="center"/>
              <w:rPr>
                <w:b/>
                <w:szCs w:val="24"/>
              </w:rPr>
            </w:pPr>
          </w:p>
          <w:p w:rsidR="00782AE4" w:rsidRPr="00C1697B" w:rsidRDefault="00782AE4" w:rsidP="00102926">
            <w:pPr>
              <w:keepNext/>
              <w:keepLines/>
              <w:jc w:val="center"/>
              <w:rPr>
                <w:b/>
                <w:szCs w:val="24"/>
              </w:rPr>
            </w:pPr>
          </w:p>
          <w:p w:rsidR="00782AE4" w:rsidRPr="00C1697B" w:rsidRDefault="00782AE4" w:rsidP="00102926">
            <w:pPr>
              <w:keepNext/>
              <w:keepLines/>
              <w:jc w:val="center"/>
              <w:rPr>
                <w:b/>
                <w:szCs w:val="24"/>
              </w:rPr>
            </w:pPr>
          </w:p>
        </w:tc>
        <w:tc>
          <w:tcPr>
            <w:tcW w:w="4080" w:type="dxa"/>
            <w:tcMar>
              <w:left w:w="0" w:type="dxa"/>
              <w:right w:w="0" w:type="dxa"/>
            </w:tcMar>
          </w:tcPr>
          <w:p w:rsidR="00782AE4" w:rsidRPr="00C1697B" w:rsidRDefault="00782AE4" w:rsidP="00782AE4">
            <w:pPr>
              <w:keepNext/>
              <w:keepLines/>
              <w:rPr>
                <w:b/>
                <w:szCs w:val="24"/>
              </w:rPr>
            </w:pPr>
            <w:r w:rsidRPr="00C1697B">
              <w:rPr>
                <w:b/>
                <w:szCs w:val="24"/>
              </w:rPr>
              <w:t>SOMMAIRES DE JUGEMENTS RÉCENTS</w:t>
            </w:r>
          </w:p>
        </w:tc>
      </w:tr>
    </w:tbl>
    <w:p w:rsidR="003B3977" w:rsidRPr="003B3977" w:rsidRDefault="003B3977" w:rsidP="005C6840">
      <w:pPr>
        <w:rPr>
          <w:rFonts w:cs="Times New Roman"/>
          <w:i/>
          <w:sz w:val="20"/>
          <w:szCs w:val="20"/>
        </w:rPr>
      </w:pPr>
    </w:p>
    <w:p w:rsidR="00A91196" w:rsidRPr="008B6906" w:rsidRDefault="00A91196" w:rsidP="00A91196">
      <w:pPr>
        <w:jc w:val="both"/>
        <w:rPr>
          <w:rFonts w:eastAsia="Calibri" w:cs="Times New Roman"/>
          <w:sz w:val="20"/>
          <w:szCs w:val="20"/>
        </w:rPr>
      </w:pPr>
      <w:r w:rsidRPr="00586E61">
        <w:rPr>
          <w:rFonts w:eastAsia="Calibri" w:cs="Times New Roman"/>
          <w:i/>
          <w:sz w:val="20"/>
          <w:szCs w:val="20"/>
          <w:lang w:val="en-GB"/>
        </w:rPr>
        <w:t xml:space="preserve">Ross Barros v. </w:t>
      </w:r>
      <w:r w:rsidRPr="00586E61">
        <w:rPr>
          <w:rFonts w:eastAsia="Calibri" w:cs="Times New Roman"/>
          <w:i/>
          <w:sz w:val="20"/>
          <w:szCs w:val="20"/>
        </w:rPr>
        <w:t>Her Majesty the Queen</w:t>
      </w:r>
      <w:r w:rsidRPr="00586E61">
        <w:rPr>
          <w:rFonts w:eastAsia="Calibri" w:cs="Times New Roman"/>
          <w:i/>
          <w:sz w:val="20"/>
          <w:szCs w:val="20"/>
          <w:lang w:val="en-GB"/>
        </w:rPr>
        <w:t xml:space="preserve"> </w:t>
      </w:r>
      <w:r w:rsidRPr="00586E61">
        <w:rPr>
          <w:rFonts w:eastAsia="Calibri" w:cs="Times New Roman"/>
          <w:sz w:val="20"/>
          <w:szCs w:val="20"/>
          <w:lang w:val="en-GB"/>
        </w:rPr>
        <w:t>(AB) (33727)</w:t>
      </w:r>
    </w:p>
    <w:p w:rsidR="00A91196" w:rsidRPr="001E0E1C" w:rsidRDefault="00A91196" w:rsidP="00A91196">
      <w:pPr>
        <w:jc w:val="both"/>
        <w:rPr>
          <w:b/>
          <w:sz w:val="20"/>
          <w:szCs w:val="20"/>
        </w:rPr>
      </w:pPr>
      <w:r w:rsidRPr="00546335">
        <w:rPr>
          <w:b/>
          <w:sz w:val="20"/>
          <w:szCs w:val="20"/>
        </w:rPr>
        <w:t xml:space="preserve">Indexed as:  R. </w:t>
      </w:r>
      <w:r w:rsidRPr="00546335">
        <w:rPr>
          <w:b/>
          <w:i/>
          <w:sz w:val="20"/>
          <w:szCs w:val="20"/>
        </w:rPr>
        <w:t>v.</w:t>
      </w:r>
      <w:r w:rsidRPr="00546335">
        <w:rPr>
          <w:b/>
          <w:sz w:val="20"/>
          <w:szCs w:val="20"/>
        </w:rPr>
        <w:t xml:space="preserve"> </w:t>
      </w:r>
      <w:r w:rsidRPr="00F57CD9">
        <w:rPr>
          <w:rStyle w:val="SCCAppellantForIndexChar"/>
          <w:rFonts w:eastAsiaTheme="minorHAnsi"/>
          <w:sz w:val="20"/>
          <w:lang w:val="en-CA"/>
        </w:rPr>
        <w:t xml:space="preserve">Barros / </w:t>
      </w:r>
      <w:r w:rsidRPr="001E0E1C">
        <w:rPr>
          <w:b/>
          <w:sz w:val="20"/>
          <w:szCs w:val="20"/>
        </w:rPr>
        <w:t xml:space="preserve">Répertorié : R. </w:t>
      </w:r>
      <w:r w:rsidRPr="001E0E1C">
        <w:rPr>
          <w:b/>
          <w:i/>
          <w:sz w:val="20"/>
          <w:szCs w:val="20"/>
        </w:rPr>
        <w:t xml:space="preserve">c. </w:t>
      </w:r>
      <w:r w:rsidRPr="00B375A6">
        <w:rPr>
          <w:rStyle w:val="SCCAppellantForIndexChar"/>
          <w:rFonts w:eastAsiaTheme="minorHAnsi"/>
          <w:sz w:val="20"/>
          <w:lang w:val="en-CA"/>
        </w:rPr>
        <w:t>Barros</w:t>
      </w:r>
    </w:p>
    <w:p w:rsidR="00A91196" w:rsidRPr="00B375A6" w:rsidRDefault="00A91196" w:rsidP="00A91196">
      <w:pPr>
        <w:pStyle w:val="SCCSystemYear"/>
        <w:jc w:val="both"/>
        <w:rPr>
          <w:sz w:val="20"/>
          <w:lang w:val="en-CA"/>
        </w:rPr>
      </w:pPr>
      <w:r w:rsidRPr="00B375A6">
        <w:rPr>
          <w:sz w:val="20"/>
          <w:lang w:val="en-CA"/>
        </w:rPr>
        <w:t>Neutral citation:  2011 SCC 51 / Référence neutre : 2011 CSC 51</w:t>
      </w:r>
    </w:p>
    <w:p w:rsidR="00A91196" w:rsidRPr="00B375A6" w:rsidRDefault="00A91196" w:rsidP="00A91196">
      <w:pPr>
        <w:rPr>
          <w:rFonts w:cs="Times New Roman"/>
          <w:sz w:val="20"/>
          <w:szCs w:val="20"/>
        </w:rPr>
      </w:pPr>
      <w:r w:rsidRPr="00B375A6">
        <w:rPr>
          <w:rFonts w:cs="Times New Roman"/>
          <w:sz w:val="20"/>
          <w:szCs w:val="20"/>
        </w:rPr>
        <w:t>Hearing:  January 25, 2011 / Judgment:  October 26, 2011</w:t>
      </w:r>
    </w:p>
    <w:p w:rsidR="00A91196" w:rsidRPr="003B3977" w:rsidRDefault="00A91196" w:rsidP="00A91196">
      <w:pPr>
        <w:rPr>
          <w:rFonts w:cs="Times New Roman"/>
          <w:sz w:val="20"/>
          <w:szCs w:val="20"/>
          <w:lang w:val="fr-CA"/>
        </w:rPr>
      </w:pPr>
      <w:r w:rsidRPr="003B3977">
        <w:rPr>
          <w:rFonts w:cs="Times New Roman"/>
          <w:sz w:val="20"/>
          <w:szCs w:val="20"/>
          <w:lang w:val="fr-CA"/>
        </w:rPr>
        <w:t xml:space="preserve">Audition : Le </w:t>
      </w:r>
      <w:r>
        <w:rPr>
          <w:rFonts w:cs="Times New Roman"/>
          <w:sz w:val="20"/>
          <w:szCs w:val="20"/>
          <w:lang w:val="fr-CA"/>
        </w:rPr>
        <w:t>25 janvier</w:t>
      </w:r>
      <w:r w:rsidRPr="003B3977">
        <w:rPr>
          <w:rFonts w:cs="Times New Roman"/>
          <w:sz w:val="20"/>
          <w:szCs w:val="20"/>
          <w:lang w:val="fr-CA"/>
        </w:rPr>
        <w:t xml:space="preserve"> 201</w:t>
      </w:r>
      <w:r>
        <w:rPr>
          <w:rFonts w:cs="Times New Roman"/>
          <w:sz w:val="20"/>
          <w:szCs w:val="20"/>
          <w:lang w:val="fr-CA"/>
        </w:rPr>
        <w:t>1</w:t>
      </w:r>
      <w:r w:rsidRPr="003B3977">
        <w:rPr>
          <w:rFonts w:cs="Times New Roman"/>
          <w:sz w:val="20"/>
          <w:szCs w:val="20"/>
          <w:lang w:val="fr-CA"/>
        </w:rPr>
        <w:t xml:space="preserve"> / Jugement : Le 2</w:t>
      </w:r>
      <w:r>
        <w:rPr>
          <w:rFonts w:cs="Times New Roman"/>
          <w:sz w:val="20"/>
          <w:szCs w:val="20"/>
          <w:lang w:val="fr-CA"/>
        </w:rPr>
        <w:t>6</w:t>
      </w:r>
      <w:r w:rsidRPr="003B3977">
        <w:rPr>
          <w:rFonts w:cs="Times New Roman"/>
          <w:sz w:val="20"/>
          <w:szCs w:val="20"/>
          <w:lang w:val="fr-CA"/>
        </w:rPr>
        <w:t xml:space="preserve"> octobre 201</w:t>
      </w:r>
      <w:r>
        <w:rPr>
          <w:rFonts w:cs="Times New Roman"/>
          <w:sz w:val="20"/>
          <w:szCs w:val="20"/>
          <w:lang w:val="fr-CA"/>
        </w:rPr>
        <w:t>1</w:t>
      </w:r>
    </w:p>
    <w:p w:rsidR="005C6840" w:rsidRPr="003B3977" w:rsidRDefault="00460701" w:rsidP="005C6840">
      <w:pPr>
        <w:rPr>
          <w:rFonts w:cs="Times New Roman"/>
          <w:sz w:val="20"/>
          <w:szCs w:val="20"/>
          <w:lang w:val="fr-CA"/>
        </w:rPr>
      </w:pPr>
      <w:r w:rsidRPr="00460701">
        <w:rPr>
          <w:rFonts w:cs="Times New Roman"/>
          <w:i/>
          <w:sz w:val="20"/>
          <w:szCs w:val="20"/>
        </w:rPr>
        <w:pict>
          <v:rect id="_x0000_i1081" style="width:480.95pt;height:1pt" o:hralign="center" o:hrstd="t" o:hrnoshade="t" o:hr="t" fillcolor="black [3213]" stroked="f"/>
        </w:pict>
      </w:r>
    </w:p>
    <w:p w:rsidR="005C6840" w:rsidRPr="003B3977" w:rsidRDefault="005C6840" w:rsidP="005C6840">
      <w:pPr>
        <w:rPr>
          <w:rFonts w:cs="Times New Roman"/>
          <w:sz w:val="20"/>
          <w:szCs w:val="20"/>
          <w:lang w:val="fr-CA"/>
        </w:rPr>
      </w:pPr>
    </w:p>
    <w:p w:rsidR="00A91196" w:rsidRPr="00546335" w:rsidRDefault="00A91196" w:rsidP="00A91196">
      <w:pPr>
        <w:jc w:val="both"/>
        <w:rPr>
          <w:sz w:val="20"/>
          <w:szCs w:val="20"/>
        </w:rPr>
      </w:pPr>
      <w:r w:rsidRPr="00546335">
        <w:rPr>
          <w:sz w:val="20"/>
          <w:szCs w:val="20"/>
        </w:rPr>
        <w:t>Present:  McLachlin C.J. and Binnie, LeBel, Deschamps, Fish, Abella, Charron, Rothstein and Cromwell JJ.</w:t>
      </w:r>
    </w:p>
    <w:p w:rsidR="00A91196" w:rsidRDefault="00A91196" w:rsidP="00A91196">
      <w:pPr>
        <w:pStyle w:val="SCCLowerCourtNameLowercase"/>
        <w:spacing w:line="240" w:lineRule="auto"/>
        <w:rPr>
          <w:sz w:val="20"/>
        </w:rPr>
      </w:pPr>
    </w:p>
    <w:p w:rsidR="00A91196" w:rsidRDefault="00A91196" w:rsidP="00A91196">
      <w:pPr>
        <w:pStyle w:val="SCCNormalDoubleSpacing"/>
        <w:spacing w:line="240" w:lineRule="auto"/>
        <w:rPr>
          <w:i/>
          <w:sz w:val="20"/>
        </w:rPr>
      </w:pPr>
      <w:r w:rsidRPr="00546335">
        <w:rPr>
          <w:i/>
          <w:sz w:val="20"/>
        </w:rPr>
        <w:tab/>
        <w:t>Criminal law — Informer privilege — Private investigator hired by defence to identify confidential police informant — Investigator allegedly attempting to obtain stay of charges by identifying informant — Whether investigator bound by informer privilege.</w:t>
      </w:r>
    </w:p>
    <w:p w:rsidR="00A91196" w:rsidRPr="00546335" w:rsidRDefault="00A91196" w:rsidP="00A91196">
      <w:pPr>
        <w:pStyle w:val="SCCNormalDoubleSpacing"/>
        <w:spacing w:line="240" w:lineRule="auto"/>
        <w:rPr>
          <w:i/>
          <w:sz w:val="20"/>
        </w:rPr>
      </w:pPr>
    </w:p>
    <w:p w:rsidR="00A91196" w:rsidRDefault="00A91196" w:rsidP="00A91196">
      <w:pPr>
        <w:pStyle w:val="SCCNormalDoubleSpacing"/>
        <w:spacing w:line="240" w:lineRule="auto"/>
        <w:rPr>
          <w:i/>
          <w:sz w:val="20"/>
        </w:rPr>
      </w:pPr>
      <w:r w:rsidRPr="00546335">
        <w:rPr>
          <w:i/>
          <w:sz w:val="20"/>
        </w:rPr>
        <w:tab/>
        <w:t>Criminal law — Appeals — Powers of court of appeal — Private investigator hired by defence to identify confidential police informant — Investigator allegedly attempting to obtain stay of charges by identifying informant — Investigator charged with one count of obstructing justice and two counts of extortion — Court of appeal overturning acquittals and ordering new trial — Whether trial judge committed errors of law allowing appellate review of acquittals — Criminal Code, s. 676(1)(a).</w:t>
      </w:r>
    </w:p>
    <w:p w:rsidR="00A91196" w:rsidRPr="00546335" w:rsidRDefault="00A91196" w:rsidP="00A91196">
      <w:pPr>
        <w:pStyle w:val="SCCNormalDoubleSpacing"/>
        <w:spacing w:line="240" w:lineRule="auto"/>
        <w:rPr>
          <w:i/>
          <w:sz w:val="20"/>
        </w:rPr>
      </w:pPr>
    </w:p>
    <w:p w:rsidR="00A91196" w:rsidRDefault="00A91196" w:rsidP="00A91196">
      <w:pPr>
        <w:pStyle w:val="SCCNormalDoubleSpacing"/>
        <w:spacing w:line="240" w:lineRule="auto"/>
        <w:rPr>
          <w:sz w:val="20"/>
        </w:rPr>
      </w:pPr>
      <w:r w:rsidRPr="00546335">
        <w:rPr>
          <w:sz w:val="20"/>
        </w:rPr>
        <w:tab/>
        <w:t xml:space="preserve">B was a former police officer working as a private investigator.  He was hired by the lawyer for Q, who had been charged with several drug offences based on information from a confidential police informant.  To discover the identity of the informant, B met with several of Q’s associates and requested their phone records and other information.  He then met with the police officer in charge of Q’s case and told the officer he knew who the informant was.  B was later charged with one count of obstruction of justice and two counts of extortion.  The judge directed a verdict of acquittal on the obstruction charge (Count 1), finding B was entitled to take any investigative steps to discover the informant’s identity.  The judge acquitted B of extortion with respect to the conversation with the police officer (Count 2), because the Crown had not established that B had the objective of ending the criminal proceedings against Q when he spoke to the officer.  She also found no legal threat had been made and that the Crown had failed to negate justification or excuse for B’s conduct.  With respect to the extortion committed against Q’s associates, the judge found the Crown proved neither a threat nor the intention required for extortion and acquitted B on Count 3.  The Crown appealed the directed verdict and the acquittals. A majority of the Court of Appeal allowed the appeal and ordered a new trial on all three counts. </w:t>
      </w:r>
    </w:p>
    <w:p w:rsidR="00A91196" w:rsidRPr="00546335" w:rsidRDefault="00A91196" w:rsidP="00A91196">
      <w:pPr>
        <w:pStyle w:val="SCCNormalDoubleSpacing"/>
        <w:spacing w:line="240" w:lineRule="auto"/>
        <w:rPr>
          <w:sz w:val="20"/>
        </w:rPr>
      </w:pPr>
    </w:p>
    <w:p w:rsidR="00A91196" w:rsidRDefault="00A91196" w:rsidP="00A91196">
      <w:pPr>
        <w:pStyle w:val="SCCNormalDoubleSpacing"/>
        <w:spacing w:line="240" w:lineRule="auto"/>
        <w:rPr>
          <w:sz w:val="20"/>
        </w:rPr>
      </w:pPr>
      <w:r w:rsidRPr="00546335">
        <w:rPr>
          <w:rStyle w:val="QuoteChar"/>
          <w:sz w:val="20"/>
        </w:rPr>
        <w:tab/>
        <w:t>Held</w:t>
      </w:r>
      <w:r w:rsidRPr="00546335">
        <w:rPr>
          <w:rStyle w:val="FooterChar"/>
          <w:sz w:val="20"/>
        </w:rPr>
        <w:t xml:space="preserve"> (</w:t>
      </w:r>
      <w:r w:rsidRPr="00546335">
        <w:rPr>
          <w:rStyle w:val="QuoteChar"/>
          <w:sz w:val="20"/>
        </w:rPr>
        <w:t xml:space="preserve">Fish and </w:t>
      </w:r>
      <w:r w:rsidRPr="00546335">
        <w:rPr>
          <w:iCs/>
          <w:sz w:val="20"/>
        </w:rPr>
        <w:t>Cromwell</w:t>
      </w:r>
      <w:r w:rsidRPr="00546335">
        <w:rPr>
          <w:rStyle w:val="QuoteChar"/>
          <w:sz w:val="20"/>
        </w:rPr>
        <w:t xml:space="preserve"> JJ. dissenting in part): </w:t>
      </w:r>
      <w:r w:rsidRPr="00546335">
        <w:rPr>
          <w:i/>
          <w:sz w:val="20"/>
        </w:rPr>
        <w:t xml:space="preserve"> </w:t>
      </w:r>
      <w:r w:rsidRPr="00546335">
        <w:rPr>
          <w:sz w:val="20"/>
        </w:rPr>
        <w:t>The appeal should be allowed in part.</w:t>
      </w:r>
    </w:p>
    <w:p w:rsidR="00A91196" w:rsidRPr="00546335" w:rsidRDefault="00A91196" w:rsidP="00A91196">
      <w:pPr>
        <w:pStyle w:val="SCCNormalDoubleSpacing"/>
        <w:spacing w:line="240" w:lineRule="auto"/>
        <w:rPr>
          <w:i/>
          <w:sz w:val="20"/>
        </w:rPr>
      </w:pPr>
    </w:p>
    <w:p w:rsidR="00A91196" w:rsidRDefault="00A91196" w:rsidP="00A91196">
      <w:pPr>
        <w:pStyle w:val="SCCNormalDoubleSpacing"/>
        <w:spacing w:line="240" w:lineRule="auto"/>
        <w:rPr>
          <w:sz w:val="20"/>
        </w:rPr>
      </w:pPr>
      <w:r w:rsidRPr="00546335">
        <w:rPr>
          <w:i/>
          <w:sz w:val="20"/>
        </w:rPr>
        <w:tab/>
        <w:t>Per</w:t>
      </w:r>
      <w:r w:rsidRPr="00546335">
        <w:rPr>
          <w:sz w:val="20"/>
        </w:rPr>
        <w:t xml:space="preserve"> McLachlin C.J. and </w:t>
      </w:r>
      <w:r w:rsidRPr="00546335">
        <w:rPr>
          <w:b/>
          <w:sz w:val="20"/>
        </w:rPr>
        <w:t>Binnie</w:t>
      </w:r>
      <w:r w:rsidRPr="00546335">
        <w:rPr>
          <w:sz w:val="20"/>
        </w:rPr>
        <w:t xml:space="preserve">, LeBel, Deschamps, Abella, Charron and Rothstein JJ.:  The duty to protect and enforce informer privilege rests on the police, the Crown, and the courts.  The latter must not disclose any information that would tend to reveal an informer’s identity.  However, the defence, including in this case B, is not bound by any such duty in undertaking its own investigation independently of the courts and the prosecution.  The defence is entitled to do what it can to identify the informant and otherwise make full answer and defence, provided that the methods used are lawful.  </w:t>
      </w:r>
      <w:r w:rsidRPr="00546335">
        <w:rPr>
          <w:rFonts w:eastAsiaTheme="minorHAnsi"/>
          <w:sz w:val="20"/>
        </w:rPr>
        <w:t xml:space="preserve">The right to make full answer and defence is fundamental to criminal justice and is protected by </w:t>
      </w:r>
      <w:r w:rsidRPr="00546335">
        <w:rPr>
          <w:sz w:val="20"/>
        </w:rPr>
        <w:t xml:space="preserve">s. 7 of the </w:t>
      </w:r>
      <w:r w:rsidRPr="00546335">
        <w:rPr>
          <w:i/>
          <w:sz w:val="20"/>
        </w:rPr>
        <w:t>Charter</w:t>
      </w:r>
      <w:r w:rsidRPr="00546335">
        <w:rPr>
          <w:sz w:val="20"/>
        </w:rPr>
        <w:t xml:space="preserve">.  </w:t>
      </w:r>
      <w:r w:rsidRPr="00546335">
        <w:rPr>
          <w:rFonts w:eastAsiaTheme="minorHAnsi"/>
          <w:sz w:val="20"/>
        </w:rPr>
        <w:t>However, not</w:t>
      </w:r>
      <w:r w:rsidRPr="00546335">
        <w:rPr>
          <w:sz w:val="20"/>
        </w:rPr>
        <w:t xml:space="preserve"> all attempts to identify an informant will be linked to that right.  It will depend on the circumstances.  Some defence enquiries may amount to an obstruction of justice, or extortion, depending on the manner in which the enquiries are carried out and their intended purpose, and the other circumstances of the case. </w:t>
      </w:r>
    </w:p>
    <w:p w:rsidR="00A91196" w:rsidRPr="00546335" w:rsidRDefault="00A91196" w:rsidP="00A91196">
      <w:pPr>
        <w:pStyle w:val="SCCNormalDoubleSpacing"/>
        <w:spacing w:line="240" w:lineRule="auto"/>
        <w:rPr>
          <w:sz w:val="20"/>
        </w:rPr>
      </w:pPr>
    </w:p>
    <w:p w:rsidR="00A91196" w:rsidRDefault="00A91196" w:rsidP="00A91196">
      <w:pPr>
        <w:pStyle w:val="SCCNormalDoubleSpacing"/>
        <w:spacing w:line="240" w:lineRule="auto"/>
        <w:rPr>
          <w:sz w:val="20"/>
        </w:rPr>
      </w:pPr>
      <w:r w:rsidRPr="00546335">
        <w:rPr>
          <w:sz w:val="20"/>
        </w:rPr>
        <w:tab/>
        <w:t xml:space="preserve">In this case, the gist of the obstruction of justice charge (Count 1) is not just that B sought the name of the police informer, but that he did so to force the charges against Q to be dropped. This, if established, was not information gathering for a lawful purpose. Section 139 of the </w:t>
      </w:r>
      <w:r w:rsidRPr="00546335">
        <w:rPr>
          <w:i/>
          <w:sz w:val="20"/>
        </w:rPr>
        <w:t>Criminal Code</w:t>
      </w:r>
      <w:r w:rsidRPr="00546335">
        <w:rPr>
          <w:sz w:val="20"/>
        </w:rPr>
        <w:t xml:space="preserve"> describes a crime that is complete upon proof of an attempt without the necessity of success or actual completion.  The offence is framed broadly.  The necessary limit is found in the obligation of the Crown to prove the mental element.  A directed verdict is not available if there is any admissible evidence, which, if believed, would justify a conviction. In this case, there was evidence </w:t>
      </w:r>
      <w:r w:rsidRPr="00546335">
        <w:rPr>
          <w:sz w:val="20"/>
        </w:rPr>
        <w:lastRenderedPageBreak/>
        <w:t>against B that, if believed, would establish intent to obstruct justice. To direct a verdict of acquittal was an error of law justifying a new trial.</w:t>
      </w:r>
    </w:p>
    <w:p w:rsidR="00A91196" w:rsidRPr="00546335" w:rsidRDefault="00A91196" w:rsidP="00A91196">
      <w:pPr>
        <w:pStyle w:val="SCCNormalDoubleSpacing"/>
        <w:spacing w:line="240" w:lineRule="auto"/>
        <w:rPr>
          <w:i/>
          <w:sz w:val="20"/>
        </w:rPr>
      </w:pPr>
    </w:p>
    <w:p w:rsidR="00A91196" w:rsidRDefault="00A91196" w:rsidP="00A91196">
      <w:pPr>
        <w:pStyle w:val="SCCNormalDoubleSpacing"/>
        <w:spacing w:line="240" w:lineRule="auto"/>
        <w:rPr>
          <w:sz w:val="20"/>
        </w:rPr>
      </w:pPr>
      <w:r w:rsidRPr="00546335">
        <w:rPr>
          <w:rFonts w:eastAsiaTheme="minorHAnsi"/>
          <w:sz w:val="20"/>
        </w:rPr>
        <w:tab/>
        <w:t xml:space="preserve">As to the </w:t>
      </w:r>
      <w:r w:rsidRPr="00546335">
        <w:rPr>
          <w:sz w:val="20"/>
        </w:rPr>
        <w:t>extortion</w:t>
      </w:r>
      <w:r w:rsidRPr="00546335">
        <w:rPr>
          <w:rFonts w:eastAsiaTheme="minorHAnsi"/>
          <w:sz w:val="20"/>
        </w:rPr>
        <w:t xml:space="preserve"> charge (Count 2), </w:t>
      </w:r>
      <w:r w:rsidRPr="00546335">
        <w:rPr>
          <w:sz w:val="20"/>
        </w:rPr>
        <w:t xml:space="preserve">the trial judge erred in concluding that the indirect suggestions and veiled references by B were not capable, as a matter of law, of satisfying the threats element of extortion.  A veiled reference may constitute a threat if it is sufficient, in light of all the circumstances, to convey to the victim the consequences which he or she fears or would prefer to avoid. In this case, the question is what would a reasonable person in the position of the police officer understand?  The officer testified that he understood well enough that the threat was to his source.  The trial judge erred in her legal analysis of what conduct could qualify as a threat for the purpose of the extortion charge.  Having erred in her legal analysis, the trial judge’s consequential and dependent finding of B’s lack of the requisite intent cannot stand and the Crown is entitled to a new trial on this count.  </w:t>
      </w:r>
    </w:p>
    <w:p w:rsidR="00A91196" w:rsidRPr="00546335" w:rsidRDefault="00A91196" w:rsidP="00A91196">
      <w:pPr>
        <w:pStyle w:val="SCCNormalDoubleSpacing"/>
        <w:spacing w:line="240" w:lineRule="auto"/>
        <w:rPr>
          <w:sz w:val="20"/>
        </w:rPr>
      </w:pPr>
    </w:p>
    <w:p w:rsidR="00A91196" w:rsidRDefault="00A91196" w:rsidP="00A91196">
      <w:pPr>
        <w:pStyle w:val="SCCNormalDoubleSpacing"/>
        <w:spacing w:line="240" w:lineRule="auto"/>
        <w:rPr>
          <w:sz w:val="20"/>
        </w:rPr>
      </w:pPr>
      <w:r w:rsidRPr="00546335">
        <w:rPr>
          <w:sz w:val="20"/>
        </w:rPr>
        <w:tab/>
        <w:t xml:space="preserve">As to any reasonable justification or excuse, the trial judge accepted at face value B’s explanation that he was trying to be helpful to the police rather than threatening.  However, the trial judge should have considered B’s conduct in its entirety, including the gathering of the information in the first place, and delved below the surface of the exchanges between the accused and the police, particularly where, as here, the protagonists spring from the same occupational background.  Much that is understood between them need not be stated explicitly. </w:t>
      </w:r>
    </w:p>
    <w:p w:rsidR="00A91196" w:rsidRPr="00546335" w:rsidRDefault="00A91196" w:rsidP="00A91196">
      <w:pPr>
        <w:pStyle w:val="SCCNormalDoubleSpacing"/>
        <w:spacing w:line="240" w:lineRule="auto"/>
        <w:rPr>
          <w:sz w:val="20"/>
        </w:rPr>
      </w:pPr>
    </w:p>
    <w:p w:rsidR="00A91196" w:rsidRDefault="00A91196" w:rsidP="00A91196">
      <w:pPr>
        <w:pStyle w:val="SCCNormalDoubleSpacing"/>
        <w:spacing w:line="240" w:lineRule="auto"/>
        <w:rPr>
          <w:sz w:val="20"/>
        </w:rPr>
      </w:pPr>
      <w:r w:rsidRPr="00546335">
        <w:rPr>
          <w:sz w:val="20"/>
        </w:rPr>
        <w:tab/>
        <w:t>As to the last count of extortion, however, the legal errors that tainted the trial judge’s analysis had no bearing on her reasons for acquittal.  Count 3 relates to B’s dealings with Q’s associates.  It was rejected on the facts by the trial judge, who found the Crown’s key witness (an associate) to be unreliable.  The only other evidence on that count came from statements given by B to the police which were largely self-exculpatory.  The trial judge thus rejected the existence of any factual foundation to which her admittedly erroneous legal test could be applied.  It would be a serious matter to deprive an accused of the benefit of an acquittal where, as here, the Crown is found to have led no credible evidence to support a conviction beyond a reasonable doubt.  The Crown presumably put forward the case it had on Count 3 at the trial.  The Crown is not entitled to a retrial based on a trial judge’s flawed legal analysis that had no impact on the outcome of the case.  The verdict of the acquittal rendered by the trial judge on Count 3 should stand.</w:t>
      </w:r>
    </w:p>
    <w:p w:rsidR="00A91196" w:rsidRPr="00546335" w:rsidRDefault="00A91196" w:rsidP="00A91196">
      <w:pPr>
        <w:pStyle w:val="SCCNormalDoubleSpacing"/>
        <w:spacing w:line="240" w:lineRule="auto"/>
        <w:rPr>
          <w:sz w:val="20"/>
        </w:rPr>
      </w:pPr>
    </w:p>
    <w:p w:rsidR="00A91196" w:rsidRDefault="00A91196" w:rsidP="00A91196">
      <w:pPr>
        <w:pStyle w:val="SCCNormalDoubleSpacing"/>
        <w:spacing w:line="240" w:lineRule="auto"/>
        <w:rPr>
          <w:sz w:val="20"/>
        </w:rPr>
      </w:pPr>
      <w:r w:rsidRPr="00546335">
        <w:rPr>
          <w:i/>
          <w:sz w:val="20"/>
        </w:rPr>
        <w:tab/>
        <w:t>Per</w:t>
      </w:r>
      <w:r w:rsidRPr="00546335">
        <w:rPr>
          <w:sz w:val="20"/>
        </w:rPr>
        <w:t xml:space="preserve"> </w:t>
      </w:r>
      <w:r w:rsidRPr="00546335">
        <w:rPr>
          <w:b/>
          <w:sz w:val="20"/>
        </w:rPr>
        <w:t>Fish</w:t>
      </w:r>
      <w:r w:rsidRPr="00546335">
        <w:rPr>
          <w:sz w:val="20"/>
        </w:rPr>
        <w:t> J. (dissenting in part):  A new trial should be ordered on Count 1 and an acquittal entered on Count 3.</w:t>
      </w:r>
    </w:p>
    <w:p w:rsidR="00A91196" w:rsidRPr="00546335" w:rsidRDefault="00A91196" w:rsidP="00A91196">
      <w:pPr>
        <w:pStyle w:val="SCCNormalDoubleSpacing"/>
        <w:spacing w:line="240" w:lineRule="auto"/>
        <w:rPr>
          <w:sz w:val="20"/>
        </w:rPr>
      </w:pPr>
    </w:p>
    <w:p w:rsidR="00A91196" w:rsidRDefault="00A91196" w:rsidP="00A91196">
      <w:pPr>
        <w:pStyle w:val="SCCNormalDoubleSpacing"/>
        <w:spacing w:line="240" w:lineRule="auto"/>
        <w:rPr>
          <w:sz w:val="20"/>
        </w:rPr>
      </w:pPr>
      <w:r w:rsidRPr="00546335">
        <w:rPr>
          <w:sz w:val="20"/>
        </w:rPr>
        <w:tab/>
        <w:t xml:space="preserve">As to Count 2, no new trial should be ordered.  The trial judge committed no error of law in acquitting B on that count.  She expressly directed herself in accordance with the Ontario pattern jury instructions, noting that she was required, as a jury would be, to consider B’s entire course of conduct.  In considering whether B had a reasonable justification or excuse for his conduct, the trial judge recognized the need to assess the reasonableness of his conduct in the circumstances, as required by the pattern instructions, and stated that she had indeed reviewed all of the circumstances.  She did not ignore any significant circumstance in applying the law to the facts as she found them.  Nor did the trial judge misdirect herself as to whether B’s conduct was capable in law of constituting a threat.  Nowhere in her reasons did she indicate that, as a matter of law, explicit threats or demands were an essential element of extortion.  In fact, she explicitly directed herself to the contrary.  Moreover, in denying the motion for a directed verdict on Count 2, the trial judge concluded that there was some evidence on every element of the offence.  Thus, the trial judge, applying the proper test for a directed verdict, did recognize that B’s conduct could constitute a threat as a matter of law.  At the conclusion of the trial, she was simply not satisfied as a matter of fact, that the evidence established beyond a reasonable doubt that B had threatened to reveal the identity of the informant.  </w:t>
      </w:r>
    </w:p>
    <w:p w:rsidR="00A91196" w:rsidRPr="00546335" w:rsidRDefault="00A91196" w:rsidP="00A91196">
      <w:pPr>
        <w:pStyle w:val="SCCNormalDoubleSpacing"/>
        <w:spacing w:line="240" w:lineRule="auto"/>
        <w:rPr>
          <w:sz w:val="20"/>
        </w:rPr>
      </w:pPr>
    </w:p>
    <w:p w:rsidR="00A91196" w:rsidRDefault="00A91196" w:rsidP="00A91196">
      <w:pPr>
        <w:pStyle w:val="SCCNormalDoubleSpacing"/>
        <w:spacing w:line="240" w:lineRule="auto"/>
        <w:rPr>
          <w:sz w:val="20"/>
        </w:rPr>
      </w:pPr>
      <w:r w:rsidRPr="00546335">
        <w:rPr>
          <w:i/>
          <w:sz w:val="20"/>
        </w:rPr>
        <w:tab/>
        <w:t>Per</w:t>
      </w:r>
      <w:r w:rsidRPr="00546335">
        <w:rPr>
          <w:sz w:val="20"/>
        </w:rPr>
        <w:t xml:space="preserve"> </w:t>
      </w:r>
      <w:r w:rsidRPr="00546335">
        <w:rPr>
          <w:b/>
          <w:sz w:val="20"/>
        </w:rPr>
        <w:t>Cromwell</w:t>
      </w:r>
      <w:r w:rsidRPr="00546335">
        <w:rPr>
          <w:sz w:val="20"/>
        </w:rPr>
        <w:t> J. (dissenting in part): The reasons of Binnie J. with respect to Counts 1 and 2 are agreed with.  As to Count 3, a new trial should be ordered as well.  In reaching her decision on this count, the trial judge considered that insofar as the Crown had failed to call certain named and unnamed alleged victims as witnesses at trial, it could not prove that they had been victims of extortion.  The only evidence to consider, in her view, was therefore that given by K.  Finding K’s evidence to be mostly unreliable, she acquitted B on Count 3.</w:t>
      </w:r>
    </w:p>
    <w:p w:rsidR="00A91196" w:rsidRPr="00546335" w:rsidRDefault="00A91196" w:rsidP="00A91196">
      <w:pPr>
        <w:pStyle w:val="SCCNormalDoubleSpacing"/>
        <w:spacing w:line="240" w:lineRule="auto"/>
        <w:rPr>
          <w:sz w:val="20"/>
        </w:rPr>
      </w:pPr>
    </w:p>
    <w:p w:rsidR="00A91196" w:rsidRDefault="00A91196" w:rsidP="00A91196">
      <w:pPr>
        <w:pStyle w:val="SCCNormalDoubleSpacing"/>
        <w:spacing w:line="240" w:lineRule="auto"/>
        <w:rPr>
          <w:sz w:val="20"/>
        </w:rPr>
      </w:pPr>
      <w:r w:rsidRPr="00546335">
        <w:rPr>
          <w:sz w:val="20"/>
        </w:rPr>
        <w:tab/>
        <w:t>It is true that K was the only one of the persons named in the count to testify at trial.  However, to succeed on this count, the Crown did not have to prove that B had threatened K.  Nor did it have to prove that K felt threatened by B’s conduct.  The Crown’s burden was to present evidence, whether from the alleged victims or not, which satisfied each element of the offence.</w:t>
      </w:r>
    </w:p>
    <w:p w:rsidR="00A91196" w:rsidRDefault="00A91196" w:rsidP="00A91196">
      <w:pPr>
        <w:pStyle w:val="SCCNormalDoubleSpacing"/>
        <w:spacing w:line="240" w:lineRule="auto"/>
        <w:rPr>
          <w:sz w:val="20"/>
        </w:rPr>
      </w:pPr>
      <w:r w:rsidRPr="00546335">
        <w:rPr>
          <w:sz w:val="20"/>
        </w:rPr>
        <w:lastRenderedPageBreak/>
        <w:tab/>
        <w:t xml:space="preserve">Even without K’s evidence, there was evidence which was capable in law of proving each element of the offence.  Of course, whether the evidence did so is for a trier of fact, not an appellate court, to determine.  However, the trial judge’s legal error coupled with her failure to turn her mind to these elements had a material bearing on her decision to acquit.  That being the case, the correct disposition of this portion of the appeal is to direct a new trial, not reinstate the acquittal. </w:t>
      </w:r>
    </w:p>
    <w:p w:rsidR="00A91196" w:rsidRPr="00546335" w:rsidRDefault="00A91196" w:rsidP="00A91196">
      <w:pPr>
        <w:pStyle w:val="SCCNormalDoubleSpacing"/>
        <w:spacing w:line="240" w:lineRule="auto"/>
        <w:rPr>
          <w:sz w:val="20"/>
        </w:rPr>
      </w:pPr>
    </w:p>
    <w:p w:rsidR="00A91196" w:rsidRDefault="00A91196" w:rsidP="00A91196">
      <w:pPr>
        <w:pStyle w:val="SCCNormalDoubleSpacing"/>
        <w:widowControl w:val="0"/>
        <w:spacing w:line="240" w:lineRule="auto"/>
        <w:rPr>
          <w:sz w:val="20"/>
          <w:lang w:val="en-US"/>
        </w:rPr>
      </w:pPr>
      <w:r w:rsidRPr="00546335">
        <w:rPr>
          <w:sz w:val="20"/>
          <w:lang w:val="en-US"/>
        </w:rPr>
        <w:tab/>
      </w:r>
      <w:r w:rsidRPr="00546335">
        <w:rPr>
          <w:sz w:val="20"/>
        </w:rPr>
        <w:t>APPEAL from a judgment of the Alberta Court of Appeal (</w:t>
      </w:r>
      <w:r w:rsidR="00460701" w:rsidRPr="00546335">
        <w:rPr>
          <w:sz w:val="20"/>
        </w:rPr>
        <w:fldChar w:fldCharType="begin"/>
      </w:r>
      <w:r w:rsidRPr="00546335">
        <w:rPr>
          <w:sz w:val="20"/>
        </w:rPr>
        <w:instrText xml:space="preserve"> SEQ CHAPTER \h \r 1</w:instrText>
      </w:r>
      <w:r w:rsidR="00460701" w:rsidRPr="00546335">
        <w:rPr>
          <w:sz w:val="20"/>
        </w:rPr>
        <w:fldChar w:fldCharType="end"/>
      </w:r>
      <w:r w:rsidRPr="00546335">
        <w:rPr>
          <w:sz w:val="20"/>
          <w:lang w:val="en-US"/>
        </w:rPr>
        <w:t>Berger, Watson and Slatter JJ.A.</w:t>
      </w:r>
      <w:r w:rsidRPr="00546335">
        <w:rPr>
          <w:sz w:val="20"/>
        </w:rPr>
        <w:t xml:space="preserve">), </w:t>
      </w:r>
      <w:r w:rsidR="00460701" w:rsidRPr="00546335">
        <w:rPr>
          <w:sz w:val="20"/>
        </w:rPr>
        <w:fldChar w:fldCharType="begin"/>
      </w:r>
      <w:r w:rsidRPr="00546335">
        <w:rPr>
          <w:sz w:val="20"/>
        </w:rPr>
        <w:instrText xml:space="preserve"> SEQ CHAPTER \h \r 1</w:instrText>
      </w:r>
      <w:r w:rsidR="00460701" w:rsidRPr="00546335">
        <w:rPr>
          <w:sz w:val="20"/>
        </w:rPr>
        <w:fldChar w:fldCharType="end"/>
      </w:r>
      <w:r w:rsidRPr="00546335">
        <w:rPr>
          <w:sz w:val="20"/>
          <w:lang w:val="en-US"/>
        </w:rPr>
        <w:t xml:space="preserve">2010 ABCA 116, 25 Alta. L.R. (5th) 326, 477 A.R. 127, 483 W.A.C. 127, 254 C.C.C. (3d) 50, 75 C.R. (6th) 257, 208 C.R.R. (2d) 206, [2010] 10 W.W.R. 36, [2010] A.J. No. 387 (QL), 2010 CarswellAlta 643, setting aside the acquittals entered by </w:t>
      </w:r>
      <w:r w:rsidR="00460701" w:rsidRPr="00546335">
        <w:rPr>
          <w:sz w:val="20"/>
        </w:rPr>
        <w:fldChar w:fldCharType="begin"/>
      </w:r>
      <w:r w:rsidRPr="00546335">
        <w:rPr>
          <w:sz w:val="20"/>
        </w:rPr>
        <w:instrText xml:space="preserve"> SEQ CHAPTER \h \r 1</w:instrText>
      </w:r>
      <w:r w:rsidR="00460701" w:rsidRPr="00546335">
        <w:rPr>
          <w:sz w:val="20"/>
        </w:rPr>
        <w:fldChar w:fldCharType="end"/>
      </w:r>
      <w:r w:rsidRPr="00546335">
        <w:rPr>
          <w:sz w:val="20"/>
          <w:lang w:val="en-US"/>
        </w:rPr>
        <w:t xml:space="preserve">Veit J., </w:t>
      </w:r>
      <w:r w:rsidR="00460701" w:rsidRPr="00546335">
        <w:rPr>
          <w:sz w:val="20"/>
        </w:rPr>
        <w:fldChar w:fldCharType="begin"/>
      </w:r>
      <w:r w:rsidRPr="00546335">
        <w:rPr>
          <w:sz w:val="20"/>
        </w:rPr>
        <w:instrText xml:space="preserve"> SEQ CHAPTER \h \r 1</w:instrText>
      </w:r>
      <w:r w:rsidR="00460701" w:rsidRPr="00546335">
        <w:rPr>
          <w:sz w:val="20"/>
        </w:rPr>
        <w:fldChar w:fldCharType="end"/>
      </w:r>
      <w:r w:rsidRPr="00546335">
        <w:rPr>
          <w:sz w:val="20"/>
          <w:lang w:val="en-US"/>
        </w:rPr>
        <w:t>2007 ABQB 428, 80 Alta. L.R. (4th) 390, [2007] A.J. No. 694 (QL), 2007 CarswellAlta 848, and ordering a new trial.  Appeal allowed in part, Fish and Cromwell JJ. dissenting in part.</w:t>
      </w:r>
    </w:p>
    <w:p w:rsidR="00A91196" w:rsidRPr="00546335" w:rsidRDefault="00A91196" w:rsidP="00A91196">
      <w:pPr>
        <w:pStyle w:val="SCCNormalDoubleSpacing"/>
        <w:widowControl w:val="0"/>
        <w:spacing w:line="240" w:lineRule="auto"/>
        <w:rPr>
          <w:sz w:val="20"/>
          <w:lang w:val="en-US"/>
        </w:rPr>
      </w:pPr>
    </w:p>
    <w:p w:rsidR="00A91196" w:rsidRDefault="00A91196" w:rsidP="00A91196">
      <w:pPr>
        <w:pStyle w:val="SCCNormalDoubleSpacing"/>
        <w:spacing w:line="240" w:lineRule="auto"/>
        <w:rPr>
          <w:rStyle w:val="SCCCounselPartyRoleChar"/>
          <w:sz w:val="20"/>
        </w:rPr>
      </w:pPr>
      <w:r w:rsidRPr="00546335">
        <w:rPr>
          <w:rStyle w:val="SCCCounselNameChar"/>
          <w:sz w:val="20"/>
        </w:rPr>
        <w:tab/>
        <w:t>Hersh Wolch, Q.C.</w:t>
      </w:r>
      <w:r w:rsidRPr="00546335">
        <w:rPr>
          <w:rStyle w:val="SCCCounselPartyRoleChar"/>
          <w:sz w:val="20"/>
        </w:rPr>
        <w:t>, for the appellant.</w:t>
      </w:r>
    </w:p>
    <w:p w:rsidR="00A91196" w:rsidRPr="00546335" w:rsidRDefault="00A91196" w:rsidP="00A91196">
      <w:pPr>
        <w:pStyle w:val="SCCNormalDoubleSpacing"/>
        <w:spacing w:line="240" w:lineRule="auto"/>
        <w:rPr>
          <w:sz w:val="20"/>
        </w:rPr>
      </w:pPr>
    </w:p>
    <w:p w:rsidR="00A91196" w:rsidRDefault="00A91196" w:rsidP="00A91196">
      <w:pPr>
        <w:pStyle w:val="SCCNormalDoubleSpacing"/>
        <w:spacing w:line="240" w:lineRule="auto"/>
        <w:rPr>
          <w:rStyle w:val="SCCCounselPartyRoleChar"/>
          <w:sz w:val="20"/>
        </w:rPr>
      </w:pPr>
      <w:r w:rsidRPr="00546335">
        <w:rPr>
          <w:rStyle w:val="SCCCounselNameChar"/>
          <w:sz w:val="20"/>
        </w:rPr>
        <w:tab/>
        <w:t>James C. Robb, Q.C.</w:t>
      </w:r>
      <w:r w:rsidRPr="00546335">
        <w:rPr>
          <w:rStyle w:val="SCCCounselPartyRoleChar"/>
          <w:sz w:val="20"/>
        </w:rPr>
        <w:t>, for the respondent.</w:t>
      </w:r>
    </w:p>
    <w:p w:rsidR="00A91196" w:rsidRPr="00546335" w:rsidRDefault="00A91196" w:rsidP="00A91196">
      <w:pPr>
        <w:pStyle w:val="SCCNormalDoubleSpacing"/>
        <w:spacing w:line="240" w:lineRule="auto"/>
        <w:rPr>
          <w:sz w:val="20"/>
        </w:rPr>
      </w:pPr>
    </w:p>
    <w:p w:rsidR="00A91196" w:rsidRDefault="00A91196" w:rsidP="00A91196">
      <w:pPr>
        <w:pStyle w:val="SCCNormalDoubleSpacing"/>
        <w:spacing w:line="240" w:lineRule="auto"/>
        <w:rPr>
          <w:rStyle w:val="SCCCounselPartyRoleChar"/>
          <w:sz w:val="20"/>
        </w:rPr>
      </w:pPr>
      <w:r w:rsidRPr="00546335">
        <w:rPr>
          <w:rStyle w:val="SCCCounselNameChar"/>
          <w:sz w:val="20"/>
        </w:rPr>
        <w:tab/>
        <w:t>Nancy L. Irving</w:t>
      </w:r>
      <w:r w:rsidRPr="00546335">
        <w:rPr>
          <w:rStyle w:val="SCCCounselPartyRoleChar"/>
          <w:sz w:val="20"/>
        </w:rPr>
        <w:t xml:space="preserve"> and </w:t>
      </w:r>
      <w:r w:rsidRPr="00546335">
        <w:rPr>
          <w:rStyle w:val="SCCCounselPartyRoleChar"/>
          <w:i/>
          <w:sz w:val="20"/>
        </w:rPr>
        <w:t>François Lacasse</w:t>
      </w:r>
      <w:r w:rsidRPr="00546335">
        <w:rPr>
          <w:rStyle w:val="SCCCounselPartyRoleChar"/>
          <w:sz w:val="20"/>
        </w:rPr>
        <w:t>, for the intervener the Director of Public Prosecutions.</w:t>
      </w:r>
    </w:p>
    <w:p w:rsidR="00A91196" w:rsidRPr="00546335" w:rsidRDefault="00A91196" w:rsidP="00A91196">
      <w:pPr>
        <w:pStyle w:val="SCCNormalDoubleSpacing"/>
        <w:spacing w:line="240" w:lineRule="auto"/>
        <w:rPr>
          <w:rStyle w:val="SCCCounselPartyRoleChar"/>
          <w:sz w:val="20"/>
        </w:rPr>
      </w:pPr>
    </w:p>
    <w:p w:rsidR="00A91196" w:rsidRDefault="00A91196" w:rsidP="00A91196">
      <w:pPr>
        <w:pStyle w:val="SCCNormalDoubleSpacing"/>
        <w:spacing w:line="240" w:lineRule="auto"/>
        <w:rPr>
          <w:rStyle w:val="SCCCounselPartyRoleChar"/>
          <w:sz w:val="20"/>
        </w:rPr>
      </w:pPr>
      <w:r w:rsidRPr="00546335">
        <w:rPr>
          <w:rStyle w:val="SCCCounselNameChar"/>
          <w:sz w:val="20"/>
        </w:rPr>
        <w:tab/>
        <w:t>Paul S. Lindsay</w:t>
      </w:r>
      <w:r w:rsidRPr="00546335">
        <w:rPr>
          <w:rStyle w:val="SCCCounselPartyRoleChar"/>
          <w:sz w:val="20"/>
        </w:rPr>
        <w:t>, for the intervener the Attorney General of Ontario.</w:t>
      </w:r>
    </w:p>
    <w:p w:rsidR="00A91196" w:rsidRPr="00546335" w:rsidRDefault="00A91196" w:rsidP="00A91196">
      <w:pPr>
        <w:pStyle w:val="SCCNormalDoubleSpacing"/>
        <w:spacing w:line="240" w:lineRule="auto"/>
        <w:rPr>
          <w:sz w:val="20"/>
        </w:rPr>
      </w:pPr>
    </w:p>
    <w:p w:rsidR="00A91196" w:rsidRDefault="00A91196" w:rsidP="00A91196">
      <w:pPr>
        <w:pStyle w:val="SCCNormalDoubleSpacing"/>
        <w:spacing w:line="240" w:lineRule="auto"/>
        <w:rPr>
          <w:rStyle w:val="SCCCounselPartyRoleChar"/>
          <w:sz w:val="20"/>
        </w:rPr>
      </w:pPr>
      <w:r w:rsidRPr="00546335">
        <w:rPr>
          <w:rStyle w:val="SCCCounselNameChar"/>
          <w:sz w:val="20"/>
        </w:rPr>
        <w:tab/>
        <w:t xml:space="preserve">Derek Lai </w:t>
      </w:r>
      <w:r w:rsidRPr="00F57CD9">
        <w:rPr>
          <w:rStyle w:val="SCCCounselSeparatorChar"/>
          <w:sz w:val="20"/>
          <w:lang w:val="en-CA"/>
        </w:rPr>
        <w:t>and</w:t>
      </w:r>
      <w:r w:rsidRPr="00546335">
        <w:rPr>
          <w:rStyle w:val="SCCCounselNameChar"/>
          <w:sz w:val="20"/>
        </w:rPr>
        <w:t xml:space="preserve"> Greg Preston</w:t>
      </w:r>
      <w:r w:rsidRPr="00546335">
        <w:rPr>
          <w:rStyle w:val="SCCCounselPartyRoleChar"/>
          <w:sz w:val="20"/>
        </w:rPr>
        <w:t>, for the intervener the Canadian Association of Chiefs of Police.</w:t>
      </w:r>
    </w:p>
    <w:p w:rsidR="00A91196" w:rsidRPr="00546335" w:rsidRDefault="00A91196" w:rsidP="00A91196">
      <w:pPr>
        <w:pStyle w:val="SCCNormalDoubleSpacing"/>
        <w:spacing w:line="240" w:lineRule="auto"/>
        <w:rPr>
          <w:sz w:val="20"/>
        </w:rPr>
      </w:pPr>
    </w:p>
    <w:p w:rsidR="00A91196" w:rsidRDefault="00A91196" w:rsidP="00A91196">
      <w:pPr>
        <w:pStyle w:val="SCCNormalDoubleSpacing"/>
        <w:spacing w:line="240" w:lineRule="auto"/>
        <w:rPr>
          <w:rStyle w:val="SCCCounselPartyRoleChar"/>
          <w:sz w:val="20"/>
        </w:rPr>
      </w:pPr>
      <w:r w:rsidRPr="00546335">
        <w:rPr>
          <w:rStyle w:val="SCCCounselNameChar"/>
          <w:sz w:val="20"/>
        </w:rPr>
        <w:tab/>
        <w:t>Robert S. Gill</w:t>
      </w:r>
      <w:r w:rsidRPr="00546335">
        <w:rPr>
          <w:rStyle w:val="SCCCounselPartyRoleChar"/>
          <w:sz w:val="20"/>
        </w:rPr>
        <w:t>, for the intervener the Canadian Crime Stoppers Association.</w:t>
      </w:r>
    </w:p>
    <w:p w:rsidR="00A91196" w:rsidRPr="00546335" w:rsidRDefault="00A91196" w:rsidP="00A91196">
      <w:pPr>
        <w:pStyle w:val="SCCNormalDoubleSpacing"/>
        <w:spacing w:line="240" w:lineRule="auto"/>
        <w:rPr>
          <w:sz w:val="20"/>
        </w:rPr>
      </w:pPr>
    </w:p>
    <w:p w:rsidR="00A91196" w:rsidRDefault="00A91196" w:rsidP="00A91196">
      <w:pPr>
        <w:pStyle w:val="SCCNormalDoubleSpacing"/>
        <w:spacing w:line="240" w:lineRule="auto"/>
        <w:rPr>
          <w:rStyle w:val="SCCCounselPartyRoleChar"/>
          <w:sz w:val="20"/>
        </w:rPr>
      </w:pPr>
      <w:r w:rsidRPr="00546335">
        <w:rPr>
          <w:rStyle w:val="SCCCounselNameChar"/>
          <w:sz w:val="20"/>
        </w:rPr>
        <w:tab/>
        <w:t>Anil K. Kapoor</w:t>
      </w:r>
      <w:r w:rsidRPr="00F57CD9">
        <w:rPr>
          <w:rStyle w:val="SCCCounselSeparatorChar"/>
          <w:sz w:val="20"/>
          <w:lang w:val="en-CA"/>
        </w:rPr>
        <w:t xml:space="preserve"> and </w:t>
      </w:r>
      <w:r w:rsidRPr="00546335">
        <w:rPr>
          <w:rStyle w:val="SCCCounselNameChar"/>
          <w:sz w:val="20"/>
        </w:rPr>
        <w:t>Senem Ozkin</w:t>
      </w:r>
      <w:r w:rsidRPr="00546335">
        <w:rPr>
          <w:rStyle w:val="SCCCounselPartyRoleChar"/>
          <w:sz w:val="20"/>
        </w:rPr>
        <w:t>, for the intervener the Canadian Civil Liberties Association.</w:t>
      </w:r>
    </w:p>
    <w:p w:rsidR="00A91196" w:rsidRPr="00546335" w:rsidRDefault="00A91196" w:rsidP="00A91196">
      <w:pPr>
        <w:pStyle w:val="SCCNormalDoubleSpacing"/>
        <w:spacing w:line="240" w:lineRule="auto"/>
        <w:rPr>
          <w:sz w:val="20"/>
        </w:rPr>
      </w:pPr>
    </w:p>
    <w:p w:rsidR="00A91196" w:rsidRDefault="00A91196" w:rsidP="00A91196">
      <w:pPr>
        <w:pStyle w:val="SCCNormalDoubleSpacing"/>
        <w:spacing w:line="240" w:lineRule="auto"/>
        <w:rPr>
          <w:rStyle w:val="SCCCounselPartyRoleChar"/>
          <w:sz w:val="20"/>
        </w:rPr>
      </w:pPr>
      <w:r w:rsidRPr="00546335">
        <w:rPr>
          <w:rStyle w:val="SCCCounselNameChar"/>
          <w:sz w:val="20"/>
        </w:rPr>
        <w:tab/>
        <w:t>Susan M. Chapman and Jennifer Micallef</w:t>
      </w:r>
      <w:r w:rsidRPr="00546335">
        <w:rPr>
          <w:rStyle w:val="SCCCounselPartyRoleChar"/>
          <w:sz w:val="20"/>
        </w:rPr>
        <w:t>, for the intervener the Criminal Lawyers’ Association of Ontario.</w:t>
      </w:r>
    </w:p>
    <w:p w:rsidR="00A91196" w:rsidRPr="00546335" w:rsidRDefault="00A91196" w:rsidP="00A91196">
      <w:pPr>
        <w:pStyle w:val="SCCNormalDoubleSpacing"/>
        <w:spacing w:line="240" w:lineRule="auto"/>
        <w:rPr>
          <w:sz w:val="20"/>
        </w:rPr>
      </w:pPr>
    </w:p>
    <w:p w:rsidR="00A91196" w:rsidRDefault="00A91196" w:rsidP="00A91196">
      <w:pPr>
        <w:pStyle w:val="SCCLawFirm"/>
        <w:spacing w:line="240" w:lineRule="auto"/>
        <w:rPr>
          <w:sz w:val="20"/>
        </w:rPr>
      </w:pPr>
      <w:r w:rsidRPr="00546335">
        <w:rPr>
          <w:sz w:val="20"/>
        </w:rPr>
        <w:tab/>
        <w:t>Solicitors for the appellant:  Wolch, Hursh, deWit, Silverberg &amp; Watts, Calgary.</w:t>
      </w:r>
    </w:p>
    <w:p w:rsidR="00A91196" w:rsidRPr="00546335" w:rsidRDefault="00A91196" w:rsidP="00A91196">
      <w:pPr>
        <w:pStyle w:val="SCCNormalDoubleSpacing"/>
        <w:spacing w:line="240" w:lineRule="auto"/>
        <w:rPr>
          <w:sz w:val="20"/>
        </w:rPr>
      </w:pPr>
    </w:p>
    <w:p w:rsidR="00A91196" w:rsidRDefault="00A91196" w:rsidP="00A91196">
      <w:pPr>
        <w:pStyle w:val="SCCLawFirm"/>
        <w:spacing w:line="240" w:lineRule="auto"/>
        <w:rPr>
          <w:sz w:val="20"/>
        </w:rPr>
      </w:pPr>
      <w:r w:rsidRPr="00546335">
        <w:rPr>
          <w:sz w:val="20"/>
        </w:rPr>
        <w:tab/>
        <w:t>Solicitor for the respondent:  Attorney General of Alberta, Edmonton.</w:t>
      </w:r>
    </w:p>
    <w:p w:rsidR="00A91196" w:rsidRPr="00546335" w:rsidRDefault="00A91196" w:rsidP="00A91196">
      <w:pPr>
        <w:pStyle w:val="SCCNormalDoubleSpacing"/>
        <w:spacing w:line="240" w:lineRule="auto"/>
        <w:rPr>
          <w:sz w:val="20"/>
        </w:rPr>
      </w:pPr>
    </w:p>
    <w:p w:rsidR="00A91196" w:rsidRDefault="00A91196" w:rsidP="00A91196">
      <w:pPr>
        <w:pStyle w:val="SCCLawFirm"/>
        <w:spacing w:line="240" w:lineRule="auto"/>
        <w:rPr>
          <w:sz w:val="20"/>
        </w:rPr>
      </w:pPr>
      <w:r w:rsidRPr="00546335">
        <w:rPr>
          <w:sz w:val="20"/>
        </w:rPr>
        <w:tab/>
        <w:t>Solicitor for the intervener the Director of Public Prosecutions:  Public Prosecution Service of Canada, Ottawa.</w:t>
      </w:r>
    </w:p>
    <w:p w:rsidR="00A91196" w:rsidRPr="00546335" w:rsidRDefault="00A91196" w:rsidP="00A91196">
      <w:pPr>
        <w:pStyle w:val="SCCNormalDoubleSpacing"/>
        <w:spacing w:line="240" w:lineRule="auto"/>
        <w:rPr>
          <w:sz w:val="20"/>
        </w:rPr>
      </w:pPr>
    </w:p>
    <w:p w:rsidR="00A91196" w:rsidRDefault="00A91196" w:rsidP="00A91196">
      <w:pPr>
        <w:pStyle w:val="SCCLawFirm"/>
        <w:spacing w:line="240" w:lineRule="auto"/>
        <w:rPr>
          <w:sz w:val="20"/>
        </w:rPr>
      </w:pPr>
      <w:r w:rsidRPr="00546335">
        <w:rPr>
          <w:sz w:val="20"/>
        </w:rPr>
        <w:tab/>
        <w:t>Solicitor for the intervener the Attorney General of Ontario:  Attorney General of Ontario, Toronto.</w:t>
      </w:r>
    </w:p>
    <w:p w:rsidR="00A91196" w:rsidRPr="00546335" w:rsidRDefault="00A91196" w:rsidP="00A91196">
      <w:pPr>
        <w:pStyle w:val="SCCNormalDoubleSpacing"/>
        <w:spacing w:line="240" w:lineRule="auto"/>
        <w:rPr>
          <w:sz w:val="20"/>
        </w:rPr>
      </w:pPr>
    </w:p>
    <w:p w:rsidR="00A91196" w:rsidRDefault="00A91196" w:rsidP="00A91196">
      <w:pPr>
        <w:pStyle w:val="SCCLawFirm"/>
        <w:spacing w:line="240" w:lineRule="auto"/>
        <w:rPr>
          <w:sz w:val="20"/>
        </w:rPr>
      </w:pPr>
      <w:r w:rsidRPr="00546335">
        <w:rPr>
          <w:sz w:val="20"/>
        </w:rPr>
        <w:tab/>
        <w:t>Solicitor for the intervener the Canadian Association of Chiefs of Police:  Edmonton Police Service, Edmonton.</w:t>
      </w:r>
    </w:p>
    <w:p w:rsidR="00A91196" w:rsidRPr="00546335" w:rsidRDefault="00A91196" w:rsidP="00A91196">
      <w:pPr>
        <w:pStyle w:val="SCCNormalDoubleSpacing"/>
        <w:spacing w:line="240" w:lineRule="auto"/>
        <w:rPr>
          <w:sz w:val="20"/>
        </w:rPr>
      </w:pPr>
    </w:p>
    <w:p w:rsidR="00A91196" w:rsidRDefault="00A91196" w:rsidP="00A91196">
      <w:pPr>
        <w:pStyle w:val="SCCLawFirm"/>
        <w:spacing w:line="240" w:lineRule="auto"/>
        <w:rPr>
          <w:sz w:val="20"/>
        </w:rPr>
      </w:pPr>
      <w:r w:rsidRPr="00546335">
        <w:rPr>
          <w:sz w:val="20"/>
        </w:rPr>
        <w:tab/>
        <w:t>Solicitors for the intervener the Canadian Crime Stoppers Association:  Clay &amp; Company, Victoria.</w:t>
      </w:r>
    </w:p>
    <w:p w:rsidR="00A91196" w:rsidRPr="00546335" w:rsidRDefault="00A91196" w:rsidP="00A91196">
      <w:pPr>
        <w:pStyle w:val="SCCNormalDoubleSpacing"/>
        <w:spacing w:line="240" w:lineRule="auto"/>
        <w:rPr>
          <w:sz w:val="20"/>
        </w:rPr>
      </w:pPr>
    </w:p>
    <w:p w:rsidR="00A91196" w:rsidRDefault="00A91196" w:rsidP="00A91196">
      <w:pPr>
        <w:pStyle w:val="SCCLawFirm"/>
        <w:spacing w:line="240" w:lineRule="auto"/>
        <w:rPr>
          <w:sz w:val="20"/>
        </w:rPr>
      </w:pPr>
      <w:r w:rsidRPr="00546335">
        <w:rPr>
          <w:sz w:val="20"/>
        </w:rPr>
        <w:tab/>
        <w:t>Solicitors for the intervener the Canadian Civil Liberties Association:  Kapoor Barristers, Toronto.</w:t>
      </w:r>
    </w:p>
    <w:p w:rsidR="00A91196" w:rsidRPr="00546335" w:rsidRDefault="00A91196" w:rsidP="00A91196">
      <w:pPr>
        <w:pStyle w:val="SCCNormalDoubleSpacing"/>
        <w:spacing w:line="240" w:lineRule="auto"/>
        <w:rPr>
          <w:sz w:val="20"/>
        </w:rPr>
      </w:pPr>
    </w:p>
    <w:p w:rsidR="00A91196" w:rsidRPr="00F57CD9" w:rsidRDefault="00A91196" w:rsidP="00A91196">
      <w:pPr>
        <w:rPr>
          <w:rFonts w:cs="Times New Roman"/>
          <w:i/>
          <w:sz w:val="20"/>
          <w:szCs w:val="20"/>
        </w:rPr>
      </w:pPr>
      <w:r w:rsidRPr="00546335">
        <w:rPr>
          <w:sz w:val="20"/>
          <w:szCs w:val="20"/>
        </w:rPr>
        <w:tab/>
      </w:r>
      <w:r w:rsidRPr="00F57CD9">
        <w:rPr>
          <w:i/>
          <w:sz w:val="20"/>
          <w:szCs w:val="20"/>
        </w:rPr>
        <w:t>Solicitors for the intervener the Criminal Lawyers’ Association of Ontario:  Green &amp; Chercover, Toronto.</w:t>
      </w:r>
    </w:p>
    <w:p w:rsidR="00A91196" w:rsidRPr="003B3977" w:rsidRDefault="00A91196" w:rsidP="00A91196">
      <w:pPr>
        <w:rPr>
          <w:rFonts w:cs="Times New Roman"/>
          <w:sz w:val="20"/>
          <w:szCs w:val="20"/>
          <w:lang w:val="fr-CA"/>
        </w:rPr>
      </w:pPr>
      <w:r w:rsidRPr="003B3977">
        <w:rPr>
          <w:rFonts w:cs="Times New Roman"/>
          <w:sz w:val="20"/>
          <w:szCs w:val="20"/>
          <w:lang w:val="fr-CA"/>
        </w:rPr>
        <w:t>________________________</w:t>
      </w:r>
    </w:p>
    <w:p w:rsidR="00A91196" w:rsidRPr="003B3977" w:rsidRDefault="00A91196" w:rsidP="00A91196">
      <w:pPr>
        <w:rPr>
          <w:rFonts w:cs="Times New Roman"/>
          <w:sz w:val="20"/>
          <w:szCs w:val="20"/>
          <w:lang w:val="fr-CA"/>
        </w:rPr>
      </w:pPr>
    </w:p>
    <w:p w:rsidR="00A91196" w:rsidRPr="00CB62AA" w:rsidRDefault="00A91196" w:rsidP="00A91196">
      <w:pPr>
        <w:jc w:val="both"/>
        <w:rPr>
          <w:sz w:val="20"/>
          <w:lang w:val="fr-CA"/>
        </w:rPr>
      </w:pPr>
      <w:r w:rsidRPr="00CB62AA">
        <w:rPr>
          <w:sz w:val="20"/>
          <w:lang w:val="fr-CA"/>
        </w:rPr>
        <w:t>Présents : La juge en chef McLachlin et les juges Binnie, LeBel, Deschamps, Fish, Abella, Charron, Rothstein et Cromwell.</w:t>
      </w:r>
    </w:p>
    <w:p w:rsidR="00A91196" w:rsidRPr="00CB62AA" w:rsidRDefault="00A91196" w:rsidP="00A91196">
      <w:pPr>
        <w:pStyle w:val="SCCLowerCourtNameLowercase"/>
        <w:spacing w:line="240" w:lineRule="auto"/>
        <w:rPr>
          <w:sz w:val="20"/>
          <w:lang w:val="fr-CA"/>
        </w:rPr>
      </w:pPr>
    </w:p>
    <w:p w:rsidR="00A91196" w:rsidRPr="00CB62AA" w:rsidRDefault="00A91196" w:rsidP="00A91196">
      <w:pPr>
        <w:pStyle w:val="SCCNormalDoubleSpacing"/>
        <w:spacing w:line="240" w:lineRule="auto"/>
        <w:rPr>
          <w:i/>
          <w:sz w:val="20"/>
          <w:lang w:val="fr-CA"/>
        </w:rPr>
      </w:pPr>
      <w:r w:rsidRPr="00CB62AA">
        <w:rPr>
          <w:i/>
          <w:sz w:val="20"/>
          <w:lang w:val="fr-CA"/>
        </w:rPr>
        <w:tab/>
        <w:t>Droit criminel — Privilège de l’indicateur — Détective privé embauché par la défense pour identifier un indicateur confidentiel de la police — Le détective privé aurait tenté d’obtenir la suspension des accusations en découvrant l’identité de l’indicateur — Le détective privé était</w:t>
      </w:r>
      <w:r w:rsidRPr="00CB62AA">
        <w:rPr>
          <w:i/>
          <w:sz w:val="20"/>
          <w:lang w:val="fr-CA"/>
        </w:rPr>
        <w:noBreakHyphen/>
        <w:t>il lié par le privilège de l’indicateur?</w:t>
      </w:r>
    </w:p>
    <w:p w:rsidR="00A91196" w:rsidRPr="00CB62AA" w:rsidRDefault="00A91196" w:rsidP="00A91196">
      <w:pPr>
        <w:pStyle w:val="SCCNormalDoubleSpacing"/>
        <w:spacing w:line="240" w:lineRule="auto"/>
        <w:rPr>
          <w:i/>
          <w:sz w:val="20"/>
          <w:lang w:val="fr-CA"/>
        </w:rPr>
      </w:pPr>
    </w:p>
    <w:p w:rsidR="00A91196" w:rsidRPr="00CB62AA" w:rsidRDefault="00A91196" w:rsidP="00A91196">
      <w:pPr>
        <w:pStyle w:val="SCCNormalDoubleSpacing"/>
        <w:spacing w:line="240" w:lineRule="auto"/>
        <w:rPr>
          <w:i/>
          <w:sz w:val="20"/>
          <w:lang w:val="fr-CA"/>
        </w:rPr>
      </w:pPr>
      <w:r w:rsidRPr="00CB62AA">
        <w:rPr>
          <w:i/>
          <w:sz w:val="20"/>
          <w:lang w:val="fr-CA"/>
        </w:rPr>
        <w:lastRenderedPageBreak/>
        <w:tab/>
        <w:t>Droit criminel — Appels — Pouvoirs de la cour d’appel — Détective privé embauché par la défense pour identifier un indicateur confidentiel de la police — Le détective privé aurait tenté d’obtenir la suspension des accusations en découvrant l’identité de l’indicateur — Détective privé accusé d’un chef d’entrave à la justice et de deux chefs d’extorsion — Acquittements annulés et nouveau procès ordonné par la Cour d’appel — La juge du procès a</w:t>
      </w:r>
      <w:r w:rsidRPr="00CB62AA">
        <w:rPr>
          <w:i/>
          <w:sz w:val="20"/>
          <w:lang w:val="fr-CA"/>
        </w:rPr>
        <w:noBreakHyphen/>
        <w:t>t</w:t>
      </w:r>
      <w:r w:rsidRPr="00CB62AA">
        <w:rPr>
          <w:i/>
          <w:sz w:val="20"/>
          <w:lang w:val="fr-CA"/>
        </w:rPr>
        <w:noBreakHyphen/>
        <w:t>elle commis des erreurs de droit donnant ouverture au contrôle des acquittements en appel? — Code criminel, art. 676(1)a).</w:t>
      </w:r>
    </w:p>
    <w:p w:rsidR="00A91196" w:rsidRPr="00CB62AA" w:rsidRDefault="00A91196" w:rsidP="00A91196">
      <w:pPr>
        <w:pStyle w:val="SCCNormalDoubleSpacing"/>
        <w:spacing w:line="240" w:lineRule="auto"/>
        <w:rPr>
          <w:sz w:val="20"/>
          <w:lang w:val="fr-CA"/>
        </w:rPr>
      </w:pPr>
    </w:p>
    <w:p w:rsidR="00A91196" w:rsidRDefault="00A91196" w:rsidP="00A91196">
      <w:pPr>
        <w:pStyle w:val="SCCNormalDoubleSpacing"/>
        <w:spacing w:line="240" w:lineRule="auto"/>
        <w:rPr>
          <w:sz w:val="20"/>
          <w:lang w:val="fr-FR"/>
        </w:rPr>
      </w:pPr>
      <w:r w:rsidRPr="001E0E1C">
        <w:rPr>
          <w:sz w:val="20"/>
          <w:lang w:val="fr-FR"/>
        </w:rPr>
        <w:tab/>
        <w:t xml:space="preserve">B </w:t>
      </w:r>
      <w:r w:rsidRPr="00CB62AA">
        <w:rPr>
          <w:sz w:val="20"/>
          <w:lang w:val="fr-CA"/>
        </w:rPr>
        <w:t>était</w:t>
      </w:r>
      <w:r w:rsidRPr="001E0E1C">
        <w:rPr>
          <w:sz w:val="20"/>
          <w:lang w:val="fr-FR"/>
        </w:rPr>
        <w:t xml:space="preserve"> un ancien agent de police qui travaillait comme détective privé.  Il a été embauché par le procureur de Q, inculpé de plusieurs infractions en matière de stupéfiants sur la foi de renseignements fournis par un indicateur confidentiel de la police.  Pour découvrir l’identité de l’indicateur, B a rencontré plusieurs associés de Q et leur a demandé leurs relevés d’appel et d’autres renseignements.  Il a ensuite rencontré l’agent de police responsable du dossier de Q et lui a dit qu’il connaissait l’identité de l’indicateur.  B a plus tard été accusé d’un chef d’entrave à la justice et de deux chefs d’extorsion.  La juge du procès a imposé un verdict d’acquittement quant à l’accusation d’entrave à la justice (premier chef), estimant que B avait le droit de mener une enquête en vue de découvrir l’identité de l’indicateur.  La juge du procès a acquitté B de l’infraction d’extorsion en ce qui concerne la conversation qu’il avait eue avec l’agent de police (deuxième chef) parce que le ministère public n’avait pas établi que B voulait mettre fin aux poursuites criminelles intentées contre Q lorsqu’il s’est entretenu avec l’agent de police.  Elle a aussi conclu que, du point de vue juridique, aucune menace n’avait été proférée, et que le ministère public n’était pas parvenu à réfuter l’existence d’une justification ou d’une excuse expliquant les actes de B.  Quant à l’extorsion contre les associés de Q, la juge du procès a conclu que le ministère public n’avait prouvé ni une menace, ni l’intention requise pour l’extorsion et elle a acquitté B du troisième chef.  Le ministère public a interjeté appel du verdict imposé et des acquittements.  La majorité de la Cour d’appel a accueilli l’appel et ordonné la tenue d’un nouveau procès relativement aux trois chefs d’accusation. </w:t>
      </w:r>
    </w:p>
    <w:p w:rsidR="00A91196" w:rsidRPr="00CB62AA" w:rsidRDefault="00A91196" w:rsidP="00A91196">
      <w:pPr>
        <w:pStyle w:val="SCCNormalDoubleSpacing"/>
        <w:spacing w:line="240" w:lineRule="auto"/>
        <w:rPr>
          <w:sz w:val="20"/>
          <w:lang w:val="fr-CA"/>
        </w:rPr>
      </w:pPr>
    </w:p>
    <w:p w:rsidR="00A91196" w:rsidRDefault="00A91196" w:rsidP="00A91196">
      <w:pPr>
        <w:pStyle w:val="SCCNormalDoubleSpacing"/>
        <w:spacing w:line="240" w:lineRule="auto"/>
        <w:rPr>
          <w:sz w:val="20"/>
          <w:lang w:val="fr-FR"/>
        </w:rPr>
      </w:pPr>
      <w:r w:rsidRPr="001E0E1C">
        <w:rPr>
          <w:sz w:val="20"/>
          <w:lang w:val="fr-FR"/>
        </w:rPr>
        <w:tab/>
      </w:r>
      <w:r w:rsidRPr="001E0E1C">
        <w:rPr>
          <w:i/>
          <w:sz w:val="20"/>
          <w:lang w:val="fr-FR"/>
        </w:rPr>
        <w:t xml:space="preserve">Arrêt </w:t>
      </w:r>
      <w:r w:rsidRPr="001E0E1C">
        <w:rPr>
          <w:rStyle w:val="FooterChar"/>
          <w:sz w:val="20"/>
          <w:lang w:val="fr-FR"/>
        </w:rPr>
        <w:t xml:space="preserve">(les juges </w:t>
      </w:r>
      <w:r w:rsidRPr="001E0E1C">
        <w:rPr>
          <w:rStyle w:val="QuoteChar"/>
          <w:lang w:val="fr-FR"/>
        </w:rPr>
        <w:t xml:space="preserve">Fish et </w:t>
      </w:r>
      <w:r w:rsidRPr="00CB62AA">
        <w:rPr>
          <w:iCs/>
          <w:sz w:val="20"/>
          <w:lang w:val="fr-CA"/>
        </w:rPr>
        <w:t>Cromwell</w:t>
      </w:r>
      <w:r w:rsidRPr="001E0E1C">
        <w:rPr>
          <w:rStyle w:val="QuoteChar"/>
          <w:lang w:val="fr-FR"/>
        </w:rPr>
        <w:t xml:space="preserve"> sont dissidents en partie) :</w:t>
      </w:r>
      <w:r w:rsidRPr="001E0E1C">
        <w:rPr>
          <w:i/>
          <w:sz w:val="20"/>
          <w:lang w:val="fr-FR"/>
        </w:rPr>
        <w:t xml:space="preserve"> </w:t>
      </w:r>
      <w:r w:rsidRPr="001E0E1C">
        <w:rPr>
          <w:sz w:val="20"/>
          <w:lang w:val="fr-FR"/>
        </w:rPr>
        <w:t>Le pourvoi est accueilli en partie.</w:t>
      </w:r>
    </w:p>
    <w:p w:rsidR="00A91196" w:rsidRPr="001E0E1C" w:rsidRDefault="00A91196" w:rsidP="00A91196">
      <w:pPr>
        <w:pStyle w:val="SCCNormalDoubleSpacing"/>
        <w:spacing w:line="240" w:lineRule="auto"/>
        <w:rPr>
          <w:i/>
          <w:sz w:val="20"/>
          <w:lang w:val="fr-FR"/>
        </w:rPr>
      </w:pPr>
    </w:p>
    <w:p w:rsidR="00A91196" w:rsidRDefault="00A91196" w:rsidP="00A91196">
      <w:pPr>
        <w:pStyle w:val="SCCNormalDoubleSpacing"/>
        <w:spacing w:line="240" w:lineRule="auto"/>
        <w:rPr>
          <w:sz w:val="20"/>
          <w:lang w:val="fr-FR"/>
        </w:rPr>
      </w:pPr>
      <w:r w:rsidRPr="001E0E1C">
        <w:rPr>
          <w:i/>
          <w:sz w:val="20"/>
          <w:lang w:val="fr-FR"/>
        </w:rPr>
        <w:tab/>
        <w:t xml:space="preserve">La </w:t>
      </w:r>
      <w:r w:rsidRPr="001E0E1C">
        <w:rPr>
          <w:sz w:val="20"/>
          <w:lang w:val="fr-FR"/>
        </w:rPr>
        <w:t xml:space="preserve">juge en chef McLachlin et les juges </w:t>
      </w:r>
      <w:r w:rsidRPr="001E0E1C">
        <w:rPr>
          <w:b/>
          <w:sz w:val="20"/>
          <w:lang w:val="fr-FR"/>
        </w:rPr>
        <w:t>Binnie</w:t>
      </w:r>
      <w:r w:rsidRPr="001E0E1C">
        <w:rPr>
          <w:sz w:val="20"/>
          <w:lang w:val="fr-FR"/>
        </w:rPr>
        <w:t xml:space="preserve">, LeBel, Deschamps, Abella, Charron et Rothstein : C’est à la police, au ministère public et aux tribunaux qu’il incombe de protéger et d’appliquer le privilège relatif aux indicateurs de police. Les tribunaux ne doivent pas divulguer de renseignements tendant à révéler l’identité d’un indicateur.  La défense, notamment, en l’espèce, B, n’est cependant pas liée par une telle obligation alors qu’elle mène sa propre enquête indépendamment des tribunaux et de la poursuite.  La défense a le droit de faire ce qu’elle peut pour identifier l’indicateur et présenter par ailleurs une défense pleine et entière, pourvu que les méthodes qu’elle utilise soient licites.  </w:t>
      </w:r>
      <w:r w:rsidRPr="001E0E1C">
        <w:rPr>
          <w:rFonts w:eastAsiaTheme="minorHAnsi"/>
          <w:sz w:val="20"/>
          <w:lang w:val="fr-FR"/>
        </w:rPr>
        <w:t>Le droit de présenter une défense pleine et entière est fondamental en justice pénale et est garanti par l’art. </w:t>
      </w:r>
      <w:r w:rsidRPr="001E0E1C">
        <w:rPr>
          <w:sz w:val="20"/>
          <w:lang w:val="fr-FR"/>
        </w:rPr>
        <w:t xml:space="preserve">7 de la </w:t>
      </w:r>
      <w:r w:rsidRPr="001E0E1C">
        <w:rPr>
          <w:i/>
          <w:sz w:val="20"/>
          <w:lang w:val="fr-FR"/>
        </w:rPr>
        <w:t>Charte</w:t>
      </w:r>
      <w:r w:rsidRPr="001E0E1C">
        <w:rPr>
          <w:sz w:val="20"/>
          <w:lang w:val="fr-FR"/>
        </w:rPr>
        <w:t xml:space="preserve">.  </w:t>
      </w:r>
      <w:r w:rsidRPr="001E0E1C">
        <w:rPr>
          <w:rFonts w:eastAsiaTheme="minorHAnsi"/>
          <w:sz w:val="20"/>
          <w:lang w:val="fr-FR"/>
        </w:rPr>
        <w:t xml:space="preserve">Or, l’ensemble des tentatives </w:t>
      </w:r>
      <w:r w:rsidRPr="001E0E1C">
        <w:rPr>
          <w:sz w:val="20"/>
          <w:lang w:val="fr-FR"/>
        </w:rPr>
        <w:t xml:space="preserve"> d’identification d’un indicateur ne sont pas toutes visées par ce droit.  Cela dépendra des circonstances.  Certaines enquêtes faites par la défense peuvent équivaloir à une entrave à la justice ou à de l’extorsion selon la manière dont elles sont effectuées, l’objectif qu’elles visent et les autres circonstances de l’affaire. </w:t>
      </w:r>
    </w:p>
    <w:p w:rsidR="00A91196" w:rsidRPr="001E0E1C" w:rsidRDefault="00A91196" w:rsidP="00A91196">
      <w:pPr>
        <w:pStyle w:val="SCCNormalDoubleSpacing"/>
        <w:spacing w:line="240" w:lineRule="auto"/>
        <w:rPr>
          <w:sz w:val="20"/>
          <w:lang w:val="fr-FR"/>
        </w:rPr>
      </w:pPr>
    </w:p>
    <w:p w:rsidR="00A91196" w:rsidRDefault="00A91196" w:rsidP="00A91196">
      <w:pPr>
        <w:pStyle w:val="SCCNormalDoubleSpacing"/>
        <w:spacing w:line="240" w:lineRule="auto"/>
        <w:rPr>
          <w:sz w:val="20"/>
          <w:lang w:val="fr-FR"/>
        </w:rPr>
      </w:pPr>
      <w:r w:rsidRPr="001E0E1C">
        <w:rPr>
          <w:sz w:val="20"/>
          <w:lang w:val="fr-FR"/>
        </w:rPr>
        <w:tab/>
        <w:t>En l’espèce, l’accusation d’entrave à la justice (premier chef) repose non seulement sur le fait que B a tenté de découvrir le nom de l’indicateur de police, mais également sur le fait qu’il a agi dans le but de forcer le retrait des accusations portées contre Q.  Si le bien</w:t>
      </w:r>
      <w:r w:rsidRPr="001E0E1C">
        <w:rPr>
          <w:sz w:val="20"/>
          <w:lang w:val="fr-FR"/>
        </w:rPr>
        <w:noBreakHyphen/>
        <w:t xml:space="preserve">fondé de cette allégation est établi, alors la cueillette de renseignements ne visait pas un objectif`légitime.  Le crime prévu à l’article 139 du </w:t>
      </w:r>
      <w:r w:rsidRPr="001E0E1C">
        <w:rPr>
          <w:i/>
          <w:sz w:val="20"/>
          <w:lang w:val="fr-FR"/>
        </w:rPr>
        <w:t>Code criminel</w:t>
      </w:r>
      <w:r w:rsidRPr="001E0E1C">
        <w:rPr>
          <w:sz w:val="20"/>
          <w:lang w:val="fr-FR"/>
        </w:rPr>
        <w:t xml:space="preserve"> est considéré comme ayant été commis lorsqu’il est établi que l’accusé a tenté d’accomplir l’un ou l’autre des actes qui y sont décrits, et ce sans qu’il soit nécessaire de démontrer qu’il a atteint son objectif ou qu’il est parvenu à commettre l’acte en question.  L’infraction est définie de façon large.  La limite qu’il convient d’y imposer se trouve dans l’obligation du ministère public de prouver l’élément mental.  Le juge ne peut imposer un verdict s’il existe un quelconque élément de preuve admissible qui, s’il était accepté, justifierait une déclaration de culpabilité.  Il existe en l’espèce des preuves contre B qui, si on leur ajoutait foi, établiraient l’intention d’entraver la justice.  L’imposition d’un verdict d’acquittement constituait une erreur de droit justifiant la tenue d’un nouveau procès. </w:t>
      </w:r>
    </w:p>
    <w:p w:rsidR="00A91196" w:rsidRPr="001E0E1C" w:rsidRDefault="00A91196" w:rsidP="00A91196">
      <w:pPr>
        <w:pStyle w:val="SCCNormalDoubleSpacing"/>
        <w:spacing w:line="240" w:lineRule="auto"/>
        <w:rPr>
          <w:i/>
          <w:sz w:val="20"/>
          <w:lang w:val="fr-FR"/>
        </w:rPr>
      </w:pPr>
    </w:p>
    <w:p w:rsidR="00A91196" w:rsidRDefault="00A91196" w:rsidP="00A91196">
      <w:pPr>
        <w:pStyle w:val="SCCNormalDoubleSpacing"/>
        <w:tabs>
          <w:tab w:val="left" w:pos="1170"/>
        </w:tabs>
        <w:spacing w:line="240" w:lineRule="auto"/>
        <w:rPr>
          <w:sz w:val="20"/>
          <w:lang w:val="fr-FR"/>
        </w:rPr>
      </w:pPr>
      <w:r w:rsidRPr="001E0E1C">
        <w:rPr>
          <w:rFonts w:eastAsiaTheme="minorHAnsi"/>
          <w:sz w:val="20"/>
          <w:lang w:val="fr-FR"/>
        </w:rPr>
        <w:tab/>
        <w:t xml:space="preserve">Quant à l’accusation d’extorsion (deuxième chef), la juge du procès </w:t>
      </w:r>
      <w:r w:rsidRPr="001E0E1C">
        <w:rPr>
          <w:sz w:val="20"/>
          <w:lang w:val="fr-FR"/>
        </w:rPr>
        <w:t xml:space="preserve">a conclu à tort que les insinuations indirectes et les allusions voilées de B ne pouvaient, en droit, satisfaire à l’élément de l’extorsion qui se rapporte aux menaces. Une allusion voilée peut constituer une menace si, compte tenu de l’ensemble des circonstances, elle suffit à informer la victime des conséquences qu’elle redoute ou préférerait éviter.  La question qui se pose en l’espèce est de savoir ce que comprendrait la personne raisonnable se trouvant dans la situation de l’agent de police.  Ce dernier a </w:t>
      </w:r>
      <w:r w:rsidRPr="001E0E1C">
        <w:rPr>
          <w:sz w:val="20"/>
          <w:lang w:val="fr-FR"/>
        </w:rPr>
        <w:lastRenderedPageBreak/>
        <w:t xml:space="preserve">témoigné avoir bien compris que la menace visait sa source.  La juge du procès a commis une erreur dans son analyse juridique du comportement susceptible de constituer une menace </w:t>
      </w:r>
      <w:r w:rsidRPr="00CB62AA">
        <w:rPr>
          <w:sz w:val="20"/>
          <w:lang w:val="fr-CA"/>
        </w:rPr>
        <w:t>permettant d’établir que l’infraction d’extorsion a été commise</w:t>
      </w:r>
      <w:r w:rsidRPr="001E0E1C">
        <w:rPr>
          <w:sz w:val="20"/>
          <w:lang w:val="fr-FR"/>
        </w:rPr>
        <w:t xml:space="preserve">.  Vu cette erreur, on ne saurait maintenir la conclusion qu’elle en a forcément tirée, à savoir que B n’avait pas l’intention requise, et le ministère public a droit à un nouveau procès relativement à ce chef d’accusation. </w:t>
      </w:r>
    </w:p>
    <w:p w:rsidR="00A91196" w:rsidRPr="001E0E1C" w:rsidRDefault="00A91196" w:rsidP="00A91196">
      <w:pPr>
        <w:pStyle w:val="SCCNormalDoubleSpacing"/>
        <w:tabs>
          <w:tab w:val="left" w:pos="1170"/>
        </w:tabs>
        <w:spacing w:line="240" w:lineRule="auto"/>
        <w:rPr>
          <w:sz w:val="20"/>
          <w:lang w:val="fr-FR"/>
        </w:rPr>
      </w:pPr>
    </w:p>
    <w:p w:rsidR="00A91196" w:rsidRDefault="00A91196" w:rsidP="00A91196">
      <w:pPr>
        <w:pStyle w:val="SCCNormalDoubleSpacing"/>
        <w:spacing w:line="240" w:lineRule="auto"/>
        <w:rPr>
          <w:sz w:val="20"/>
          <w:lang w:val="fr-FR"/>
        </w:rPr>
      </w:pPr>
      <w:r w:rsidRPr="001E0E1C">
        <w:rPr>
          <w:sz w:val="20"/>
          <w:lang w:val="fr-FR"/>
        </w:rPr>
        <w:tab/>
        <w:t>En ce qui concerne l’existence d’une justification ou d’une excuse raisonnable quelconque, la juge du procès a ajouté foi à l’explication de B selon laquelle il tentait d’aider la police plutôt que de lui faire des menaces.  La juge du procès aurait toutefois dû examiner le comportement de B dans son ensemble, notamment la cueillette initiale de renseignements, et examiner en détail les échanges entre l’accusé et la police, à plus forte raison parce qu’en l’espèce les protagonistes avaient les mêmes antécédents professionnels.  En effet, une bonne part de ce sur quoi ils s’entendaient n’avait pas à être énoncée explicitement.</w:t>
      </w:r>
    </w:p>
    <w:p w:rsidR="00A91196" w:rsidRPr="001E0E1C" w:rsidRDefault="00A91196" w:rsidP="00A91196">
      <w:pPr>
        <w:pStyle w:val="SCCNormalDoubleSpacing"/>
        <w:spacing w:line="240" w:lineRule="auto"/>
        <w:rPr>
          <w:sz w:val="20"/>
          <w:lang w:val="fr-FR"/>
        </w:rPr>
      </w:pPr>
    </w:p>
    <w:p w:rsidR="00A91196" w:rsidRDefault="00A91196" w:rsidP="00A91196">
      <w:pPr>
        <w:pStyle w:val="SCCNormalDoubleSpacing"/>
        <w:spacing w:line="240" w:lineRule="auto"/>
        <w:rPr>
          <w:sz w:val="20"/>
          <w:lang w:val="fr-FR"/>
        </w:rPr>
      </w:pPr>
      <w:r w:rsidRPr="001E0E1C">
        <w:rPr>
          <w:sz w:val="20"/>
          <w:lang w:val="fr-FR"/>
        </w:rPr>
        <w:tab/>
        <w:t>Quant au dernier chef d’extorsion, cependant, les erreurs juridiques qui ont entaché l’analyse de la juge du procès n’ont eu aucune incidence sur les motifs d’acquittement qu’elle a exposés.  Le troi</w:t>
      </w:r>
      <w:r w:rsidRPr="00CB62AA">
        <w:rPr>
          <w:sz w:val="20"/>
          <w:lang w:val="fr-CA"/>
        </w:rPr>
        <w:t>sième chef</w:t>
      </w:r>
      <w:r w:rsidRPr="001E0E1C">
        <w:rPr>
          <w:sz w:val="20"/>
          <w:lang w:val="fr-FR"/>
        </w:rPr>
        <w:t xml:space="preserve"> a trait aux échanges entre B et les associés de Q.  Il a été rejeté au vu des faits par la juge du procès, qui a conclu que le témoin clé du ministère public (un associé) n’était pas fiable.  Le seul autre élément de preuve relatif à ce chef provenait de déclarations que B avait faites à la police, qui étaient en grande partie disculpatoires.  La juge du procès a donc rejeté l’existence de tout fondement factuel auquel son critère juridique, certes erroné, aurait pu s’appliquer.  Ce serait commettre une erreur grave que de priver l’accusé d’un acquittement dans un cas où, comme celui qui nous occupe, il a été conclu que le ministère public n’avait présenté aucune preuve crédible étayant hors de tout doute raisonnable une déclaration de culpabilité.  Le ministère public a vraisemblablement présenté la preuve dont il disposait relativement au troisième chef lors du procès.  Or, il n’a pas droit à un nouveau procès au motif que l’analyse juridique de la juge du procès — qui n’a eu aucune incidence sur l’issue du procès — était erronée.  Il y a lieu de confirmer le verdict d’acquittement rendu par la juge du procès relativement au troisième chef. </w:t>
      </w:r>
    </w:p>
    <w:p w:rsidR="00A91196" w:rsidRPr="001E0E1C" w:rsidRDefault="00A91196" w:rsidP="00A91196">
      <w:pPr>
        <w:pStyle w:val="SCCNormalDoubleSpacing"/>
        <w:spacing w:line="240" w:lineRule="auto"/>
        <w:rPr>
          <w:sz w:val="20"/>
          <w:lang w:val="fr-FR"/>
        </w:rPr>
      </w:pPr>
    </w:p>
    <w:p w:rsidR="00A91196" w:rsidRDefault="00A91196" w:rsidP="00A91196">
      <w:pPr>
        <w:pStyle w:val="SCCNormalDoubleSpacing"/>
        <w:spacing w:line="240" w:lineRule="auto"/>
        <w:rPr>
          <w:sz w:val="20"/>
          <w:lang w:val="fr-FR"/>
        </w:rPr>
      </w:pPr>
      <w:r w:rsidRPr="001E0E1C">
        <w:rPr>
          <w:i/>
          <w:sz w:val="20"/>
          <w:lang w:val="fr-FR"/>
        </w:rPr>
        <w:tab/>
        <w:t>Le</w:t>
      </w:r>
      <w:r w:rsidRPr="001E0E1C">
        <w:rPr>
          <w:sz w:val="20"/>
          <w:lang w:val="fr-FR"/>
        </w:rPr>
        <w:t xml:space="preserve"> juge </w:t>
      </w:r>
      <w:r w:rsidRPr="001E0E1C">
        <w:rPr>
          <w:b/>
          <w:sz w:val="20"/>
          <w:lang w:val="fr-FR"/>
        </w:rPr>
        <w:t xml:space="preserve">Fish </w:t>
      </w:r>
      <w:r w:rsidRPr="001E0E1C">
        <w:rPr>
          <w:sz w:val="20"/>
          <w:lang w:val="fr-FR"/>
        </w:rPr>
        <w:t>(dissident en partie) : Il y a lieu d’ordonner la tenue d’un nouveau procès quant au premier chef et d’inscrire un acquittement à l’égard du troisième chef.</w:t>
      </w:r>
    </w:p>
    <w:p w:rsidR="00A91196" w:rsidRPr="001E0E1C" w:rsidRDefault="00A91196" w:rsidP="00A91196">
      <w:pPr>
        <w:pStyle w:val="SCCNormalDoubleSpacing"/>
        <w:spacing w:line="240" w:lineRule="auto"/>
        <w:rPr>
          <w:sz w:val="20"/>
          <w:lang w:val="fr-FR"/>
        </w:rPr>
      </w:pPr>
    </w:p>
    <w:p w:rsidR="00A91196" w:rsidRDefault="00A91196" w:rsidP="00A91196">
      <w:pPr>
        <w:pStyle w:val="SCCNormalDoubleSpacing"/>
        <w:spacing w:line="240" w:lineRule="auto"/>
        <w:rPr>
          <w:sz w:val="20"/>
          <w:lang w:val="fr-FR"/>
        </w:rPr>
      </w:pPr>
      <w:r w:rsidRPr="001E0E1C">
        <w:rPr>
          <w:sz w:val="20"/>
          <w:lang w:val="fr-FR"/>
        </w:rPr>
        <w:tab/>
        <w:t>Il n’y a pas lieu d’ordonner la tenue d’un nouveau procès quant au deuxième chef.  La juge du procès n’a commis aucune erreur de droit en acquittant B relativement à ce chef.  Elle s’est explicitement conformée au modèle ontarien d’instructions au jury, soulignant qu’il lui incombait, tout comme à un jury, de prendre en compte l’ensemble du comportement de B.  En se demandant si B avait une justification ou une excuse raisonnable pour expliquer ses actes, la juge du procès a reconnu la nécessité d’examiner le caractère raisonnable des actes posés par B au vu des circonstances, conformément au modèle d’instructions qu’elle suivait, et mentionné qu’elle avait effectivement apprécié l’ensemble des circonstances.  Elle n’a pas fait abstraction d’une quelconque circonstance importante en appliquant le droit aux faits qu’elle a constatés.  Elle ne s’est pas non plus méprise sur la question de savoir si les actes de B pouvaient, en droit, constituer une menace.  La juge du procès n’a nulle part dans ses motifs indiqué qu’en droit des menaces ou des exigences explicites constituaient un élément essentiel de l’extorsion.  En fait, elle a explicitement agi dans le sens contraire.  De plus, la juge du procès a conclu, en rejetant la requête visant à obtenir un verdict imposé relativement au deuxième chef, qu’il y avait certaines preuves relativement à chaque élément de l’infraction.  Par conséquent, la juge du procès a bel et bien reconnu, en appliquant le critère approprié en matière de verdict imposé, que les actes de B pouvaient, en droit, constituer une menace.  À l’issue du procès, elle n’était tout simplement pas convaincue qu’en fait la preuve établissait hors de tout doute raisonnable que B avait menacé de révéler l’identité de l’indicateur.</w:t>
      </w:r>
    </w:p>
    <w:p w:rsidR="00A91196" w:rsidRPr="001E0E1C" w:rsidRDefault="00A91196" w:rsidP="00A91196">
      <w:pPr>
        <w:pStyle w:val="SCCNormalDoubleSpacing"/>
        <w:spacing w:line="240" w:lineRule="auto"/>
        <w:rPr>
          <w:sz w:val="20"/>
          <w:lang w:val="fr-FR"/>
        </w:rPr>
      </w:pPr>
    </w:p>
    <w:p w:rsidR="00A91196" w:rsidRPr="00CB62AA" w:rsidRDefault="00A91196" w:rsidP="00A91196">
      <w:pPr>
        <w:pStyle w:val="SCCNormalDoubleSpacing"/>
        <w:spacing w:line="240" w:lineRule="auto"/>
        <w:rPr>
          <w:sz w:val="20"/>
          <w:lang w:val="fr-CA"/>
        </w:rPr>
      </w:pPr>
      <w:r w:rsidRPr="001E0E1C">
        <w:rPr>
          <w:i/>
          <w:sz w:val="20"/>
          <w:lang w:val="fr-FR"/>
        </w:rPr>
        <w:tab/>
        <w:t xml:space="preserve">Le </w:t>
      </w:r>
      <w:r w:rsidRPr="001E0E1C">
        <w:rPr>
          <w:sz w:val="20"/>
          <w:lang w:val="fr-FR"/>
        </w:rPr>
        <w:t xml:space="preserve">juge </w:t>
      </w:r>
      <w:r w:rsidRPr="001E0E1C">
        <w:rPr>
          <w:b/>
          <w:sz w:val="20"/>
          <w:lang w:val="fr-FR"/>
        </w:rPr>
        <w:t xml:space="preserve">Cromwell </w:t>
      </w:r>
      <w:r w:rsidRPr="001E0E1C">
        <w:rPr>
          <w:sz w:val="20"/>
          <w:lang w:val="fr-FR"/>
        </w:rPr>
        <w:t xml:space="preserve"> J. (dissident en partie) : Je souscris aux motifs du juge Binnie concernant les premier et deuxième chefs.  Pour ce qui est du troisième chef, il y a lieu d’ordonner la tenue d’un nouveau procès.  En parvenant à sa décision relativement à ce chef, la juge du procès a estimé que, dans la mesure où il avait omis de faire témoigner au procès certaines des personnes nommées et des personnes non désignées nommément qu’il présentait comme des victimes, le ministère public était incapable de prouver qu’elles avaient été victimes d’extorsion.  Le seul témoignage dont il fallait tenir compte, selon elle, était donc celui de K.  Jugeant que le témoignage de K était </w:t>
      </w:r>
      <w:r w:rsidRPr="00CB62AA">
        <w:rPr>
          <w:sz w:val="20"/>
          <w:lang w:val="fr-CA"/>
        </w:rPr>
        <w:t>pour l’essentiel dénué de toute crédibilité, elle a acquitté B relativement au troisième chef.</w:t>
      </w:r>
    </w:p>
    <w:p w:rsidR="00A91196" w:rsidRPr="001E0E1C" w:rsidRDefault="00A91196" w:rsidP="00A91196">
      <w:pPr>
        <w:pStyle w:val="SCCNormalDoubleSpacing"/>
        <w:spacing w:line="240" w:lineRule="auto"/>
        <w:rPr>
          <w:sz w:val="20"/>
          <w:lang w:val="fr-FR"/>
        </w:rPr>
      </w:pPr>
    </w:p>
    <w:p w:rsidR="00A91196" w:rsidRDefault="00A91196" w:rsidP="00A91196">
      <w:pPr>
        <w:pStyle w:val="SCCNormalDoubleSpacing"/>
        <w:spacing w:line="240" w:lineRule="auto"/>
        <w:rPr>
          <w:sz w:val="20"/>
          <w:lang w:val="fr-FR"/>
        </w:rPr>
      </w:pPr>
      <w:r w:rsidRPr="001E0E1C">
        <w:rPr>
          <w:sz w:val="20"/>
          <w:lang w:val="fr-FR"/>
        </w:rPr>
        <w:tab/>
        <w:t xml:space="preserve">Il est vrai que K a été la seule des personnes nommées dans le chef d’accusation à témoigner lors du procès.  Cependant, pour avoir gain de cause sur ce chef, le ministère public n’avait pas à prouver que B avait menacé K.  Il </w:t>
      </w:r>
      <w:r w:rsidRPr="001E0E1C">
        <w:rPr>
          <w:sz w:val="20"/>
          <w:lang w:val="fr-FR"/>
        </w:rPr>
        <w:lastRenderedPageBreak/>
        <w:t xml:space="preserve">n’avait pas non plus à prouver que ce dernier s’était senti menacé par le comportement de B.  Il lui incombait de présenter des éléments de preuve — peu importe qu’il s’agisse ou non des témoignages des personnes qu’il présentait comme des victimes — établissant chacun des éléments constitutifs de l’infraction. </w:t>
      </w:r>
    </w:p>
    <w:p w:rsidR="00A91196" w:rsidRPr="001E0E1C" w:rsidRDefault="00A91196" w:rsidP="00A91196">
      <w:pPr>
        <w:pStyle w:val="SCCNormalDoubleSpacing"/>
        <w:spacing w:line="240" w:lineRule="auto"/>
        <w:rPr>
          <w:sz w:val="20"/>
          <w:lang w:val="fr-FR"/>
        </w:rPr>
      </w:pPr>
    </w:p>
    <w:p w:rsidR="00A91196" w:rsidRDefault="00A91196" w:rsidP="00A91196">
      <w:pPr>
        <w:pStyle w:val="SCCNormalDoubleSpacing"/>
        <w:spacing w:line="240" w:lineRule="auto"/>
        <w:rPr>
          <w:sz w:val="20"/>
          <w:lang w:val="fr-FR"/>
        </w:rPr>
      </w:pPr>
      <w:r w:rsidRPr="001E0E1C">
        <w:rPr>
          <w:sz w:val="20"/>
          <w:lang w:val="fr-FR"/>
        </w:rPr>
        <w:tab/>
        <w:t xml:space="preserve">Même sans le témoignage de K, il était possible d’établir chacun des éléments constitutifs de l’infraction, car il y avait suffisamment d’éléments de preuve à cet égard.  Bien entendu, c’est au juge des faits et non à la cour d’appel qu’il appartient de trancher cette question.  Cependant, l’erreur de droit que la juge du procès a commise, conjuguée à son omission d’examiner ces éléments, a eu une incidence significative sur sa décision de prononcer un verdict d’acquittement.  Cela étant, la façon correcte de statuer sur cet aspect du pourvoi consiste à ordonner la tenue d’un nouveau procès, et non à rétablir l’acquittement. </w:t>
      </w:r>
    </w:p>
    <w:p w:rsidR="00A91196" w:rsidRPr="001E0E1C" w:rsidRDefault="00A91196" w:rsidP="00A91196">
      <w:pPr>
        <w:pStyle w:val="SCCNormalDoubleSpacing"/>
        <w:spacing w:line="240" w:lineRule="auto"/>
        <w:rPr>
          <w:sz w:val="20"/>
          <w:lang w:val="fr-FR"/>
        </w:rPr>
      </w:pPr>
    </w:p>
    <w:p w:rsidR="00A91196" w:rsidRPr="00CB62AA" w:rsidRDefault="00A91196" w:rsidP="00A91196">
      <w:pPr>
        <w:pStyle w:val="SCCNormalDoubleSpacing"/>
        <w:spacing w:line="240" w:lineRule="auto"/>
        <w:rPr>
          <w:sz w:val="20"/>
          <w:lang w:val="fr-CA"/>
        </w:rPr>
      </w:pPr>
      <w:r w:rsidRPr="00CB62AA">
        <w:rPr>
          <w:sz w:val="20"/>
          <w:lang w:val="fr-CA"/>
        </w:rPr>
        <w:tab/>
        <w:t xml:space="preserve">POURVOI contre un arrêt de la Cour d’appel de l’Alberta (les juges </w:t>
      </w:r>
      <w:r w:rsidR="00460701" w:rsidRPr="001E0E1C">
        <w:rPr>
          <w:sz w:val="20"/>
        </w:rPr>
        <w:fldChar w:fldCharType="begin"/>
      </w:r>
      <w:r w:rsidRPr="00CB62AA">
        <w:rPr>
          <w:sz w:val="20"/>
          <w:lang w:val="fr-CA"/>
        </w:rPr>
        <w:instrText xml:space="preserve"> SEQ CHAPTER \h \r 1</w:instrText>
      </w:r>
      <w:r w:rsidR="00460701" w:rsidRPr="001E0E1C">
        <w:rPr>
          <w:sz w:val="20"/>
        </w:rPr>
        <w:fldChar w:fldCharType="end"/>
      </w:r>
      <w:r w:rsidRPr="00CB62AA">
        <w:rPr>
          <w:sz w:val="20"/>
          <w:lang w:val="fr-CA"/>
        </w:rPr>
        <w:t xml:space="preserve">Berger, Watson et Slatter), </w:t>
      </w:r>
      <w:r w:rsidR="00460701" w:rsidRPr="001E0E1C">
        <w:rPr>
          <w:sz w:val="20"/>
        </w:rPr>
        <w:fldChar w:fldCharType="begin"/>
      </w:r>
      <w:r w:rsidRPr="00CB62AA">
        <w:rPr>
          <w:sz w:val="20"/>
          <w:lang w:val="fr-CA"/>
        </w:rPr>
        <w:instrText xml:space="preserve"> SEQ CHAPTER \h \r 1</w:instrText>
      </w:r>
      <w:r w:rsidR="00460701" w:rsidRPr="001E0E1C">
        <w:rPr>
          <w:sz w:val="20"/>
        </w:rPr>
        <w:fldChar w:fldCharType="end"/>
      </w:r>
      <w:r w:rsidRPr="00CB62AA">
        <w:rPr>
          <w:sz w:val="20"/>
          <w:lang w:val="fr-CA"/>
        </w:rPr>
        <w:t xml:space="preserve">2010 ABCA 116, 25 Alta. L.R. (5th) 326, 477 A.R. 127, 483 W.A.C. 127, 254 C.C.C. (3d) 50, 75 C.R. (6th) 257, 208 C.R.R. (2d) 206, [2010] 10 W.W.R. 36, [2010] A.J. No. 387 (QL), 2010 CarswellAlta 643, qui a annulé les acquittements prononcés par la juge </w:t>
      </w:r>
      <w:r w:rsidR="00460701" w:rsidRPr="001E0E1C">
        <w:rPr>
          <w:sz w:val="20"/>
        </w:rPr>
        <w:fldChar w:fldCharType="begin"/>
      </w:r>
      <w:r w:rsidRPr="00CB62AA">
        <w:rPr>
          <w:sz w:val="20"/>
          <w:lang w:val="fr-CA"/>
        </w:rPr>
        <w:instrText xml:space="preserve"> SEQ CHAPTER \h \r 1</w:instrText>
      </w:r>
      <w:r w:rsidR="00460701" w:rsidRPr="001E0E1C">
        <w:rPr>
          <w:sz w:val="20"/>
        </w:rPr>
        <w:fldChar w:fldCharType="end"/>
      </w:r>
      <w:r w:rsidRPr="00CB62AA">
        <w:rPr>
          <w:sz w:val="20"/>
          <w:lang w:val="fr-CA"/>
        </w:rPr>
        <w:t xml:space="preserve">Veit, </w:t>
      </w:r>
      <w:r w:rsidR="00460701" w:rsidRPr="001E0E1C">
        <w:rPr>
          <w:sz w:val="20"/>
        </w:rPr>
        <w:fldChar w:fldCharType="begin"/>
      </w:r>
      <w:r w:rsidRPr="00CB62AA">
        <w:rPr>
          <w:sz w:val="20"/>
          <w:lang w:val="fr-CA"/>
        </w:rPr>
        <w:instrText xml:space="preserve"> SEQ CHAPTER \h \r 1</w:instrText>
      </w:r>
      <w:r w:rsidR="00460701" w:rsidRPr="001E0E1C">
        <w:rPr>
          <w:sz w:val="20"/>
        </w:rPr>
        <w:fldChar w:fldCharType="end"/>
      </w:r>
      <w:r w:rsidRPr="00CB62AA">
        <w:rPr>
          <w:sz w:val="20"/>
          <w:lang w:val="fr-CA"/>
        </w:rPr>
        <w:t>2007 ABQB 428, 80 Alta. L.R. (4th) 390, [2007] A.J. No. 694 (QL), 2007 CarswellAlta 848, et qui a ordonné la tenue d’un nouveau procès.  Pourvoi accueilli en partie, les juges Fish et Cromwell sont dissidents en partie.</w:t>
      </w:r>
    </w:p>
    <w:p w:rsidR="00A91196" w:rsidRPr="00CB62AA" w:rsidRDefault="00A91196" w:rsidP="00A91196">
      <w:pPr>
        <w:pStyle w:val="SCCNormalDoubleSpacing"/>
        <w:spacing w:line="240" w:lineRule="auto"/>
        <w:rPr>
          <w:sz w:val="20"/>
          <w:lang w:val="fr-CA"/>
        </w:rPr>
      </w:pPr>
    </w:p>
    <w:p w:rsidR="00A91196" w:rsidRPr="00CB62AA" w:rsidRDefault="00A91196" w:rsidP="00A91196">
      <w:pPr>
        <w:pStyle w:val="SCCNormalDoubleSpacing"/>
        <w:spacing w:line="240" w:lineRule="auto"/>
        <w:rPr>
          <w:rStyle w:val="SCCCounselPartyRoleChar"/>
          <w:sz w:val="20"/>
          <w:lang w:val="fr-CA"/>
        </w:rPr>
      </w:pPr>
      <w:r w:rsidRPr="00CB62AA">
        <w:rPr>
          <w:rStyle w:val="SCCCounselNameChar"/>
          <w:sz w:val="20"/>
          <w:lang w:val="fr-CA"/>
        </w:rPr>
        <w:tab/>
        <w:t>Hersh Wolch</w:t>
      </w:r>
      <w:r w:rsidRPr="00CB62AA">
        <w:rPr>
          <w:rStyle w:val="SCCCounselNameChar"/>
          <w:i w:val="0"/>
          <w:sz w:val="20"/>
          <w:lang w:val="fr-CA"/>
        </w:rPr>
        <w:t xml:space="preserve">, </w:t>
      </w:r>
      <w:r w:rsidRPr="00CB62AA">
        <w:rPr>
          <w:rStyle w:val="SCCCounselNameChar"/>
          <w:sz w:val="20"/>
          <w:lang w:val="fr-CA"/>
        </w:rPr>
        <w:t>c.r.</w:t>
      </w:r>
      <w:r w:rsidRPr="00CB62AA">
        <w:rPr>
          <w:rStyle w:val="SCCCounselPartyRoleChar"/>
          <w:sz w:val="20"/>
          <w:lang w:val="fr-CA"/>
        </w:rPr>
        <w:t>, pour l’appelant.</w:t>
      </w:r>
    </w:p>
    <w:p w:rsidR="00A91196" w:rsidRPr="00CB62AA" w:rsidRDefault="00A91196" w:rsidP="00A91196">
      <w:pPr>
        <w:pStyle w:val="SCCNormalDoubleSpacing"/>
        <w:spacing w:line="240" w:lineRule="auto"/>
        <w:rPr>
          <w:sz w:val="20"/>
          <w:lang w:val="fr-CA"/>
        </w:rPr>
      </w:pPr>
    </w:p>
    <w:p w:rsidR="00A91196" w:rsidRPr="00CB62AA" w:rsidRDefault="00A91196" w:rsidP="00A91196">
      <w:pPr>
        <w:pStyle w:val="SCCNormalDoubleSpacing"/>
        <w:spacing w:line="240" w:lineRule="auto"/>
        <w:rPr>
          <w:rStyle w:val="SCCCounselPartyRoleChar"/>
          <w:sz w:val="20"/>
          <w:lang w:val="fr-CA"/>
        </w:rPr>
      </w:pPr>
      <w:r w:rsidRPr="00CB62AA">
        <w:rPr>
          <w:rStyle w:val="SCCCounselNameChar"/>
          <w:sz w:val="20"/>
          <w:lang w:val="fr-CA"/>
        </w:rPr>
        <w:tab/>
        <w:t>James C. Robb</w:t>
      </w:r>
      <w:r w:rsidRPr="00CB62AA">
        <w:rPr>
          <w:rStyle w:val="SCCCounselNameChar"/>
          <w:i w:val="0"/>
          <w:sz w:val="20"/>
          <w:lang w:val="fr-CA"/>
        </w:rPr>
        <w:t xml:space="preserve">, </w:t>
      </w:r>
      <w:r w:rsidRPr="00CB62AA">
        <w:rPr>
          <w:rStyle w:val="SCCCounselNameChar"/>
          <w:sz w:val="20"/>
          <w:lang w:val="fr-CA"/>
        </w:rPr>
        <w:t>c.r.</w:t>
      </w:r>
      <w:r w:rsidRPr="00CB62AA">
        <w:rPr>
          <w:rStyle w:val="SCCCounselPartyRoleChar"/>
          <w:sz w:val="20"/>
          <w:lang w:val="fr-CA"/>
        </w:rPr>
        <w:t>, pour l’intimée.</w:t>
      </w:r>
    </w:p>
    <w:p w:rsidR="00A91196" w:rsidRPr="00CB62AA" w:rsidRDefault="00A91196" w:rsidP="00A91196">
      <w:pPr>
        <w:pStyle w:val="SCCNormalDoubleSpacing"/>
        <w:spacing w:line="240" w:lineRule="auto"/>
        <w:rPr>
          <w:sz w:val="20"/>
          <w:lang w:val="fr-CA"/>
        </w:rPr>
      </w:pPr>
    </w:p>
    <w:p w:rsidR="00A91196" w:rsidRPr="00CB62AA" w:rsidRDefault="00A91196" w:rsidP="00A91196">
      <w:pPr>
        <w:pStyle w:val="SCCNormalDoubleSpacing"/>
        <w:spacing w:line="240" w:lineRule="auto"/>
        <w:rPr>
          <w:rStyle w:val="SCCCounselPartyRoleChar"/>
          <w:sz w:val="20"/>
          <w:lang w:val="fr-CA"/>
        </w:rPr>
      </w:pPr>
      <w:r w:rsidRPr="00CB62AA">
        <w:rPr>
          <w:rStyle w:val="SCCCounselNameChar"/>
          <w:sz w:val="20"/>
          <w:lang w:val="fr-CA"/>
        </w:rPr>
        <w:tab/>
        <w:t>Nancy L. Irving</w:t>
      </w:r>
      <w:r w:rsidRPr="00CB62AA">
        <w:rPr>
          <w:rStyle w:val="SCCCounselNameChar"/>
          <w:i w:val="0"/>
          <w:sz w:val="20"/>
          <w:lang w:val="fr-CA"/>
        </w:rPr>
        <w:t xml:space="preserve"> et </w:t>
      </w:r>
      <w:r w:rsidRPr="00CB62AA">
        <w:rPr>
          <w:rStyle w:val="SCCCounselNameChar"/>
          <w:sz w:val="20"/>
          <w:lang w:val="fr-CA"/>
        </w:rPr>
        <w:t>François Lacasse</w:t>
      </w:r>
      <w:r w:rsidRPr="00CB62AA">
        <w:rPr>
          <w:rStyle w:val="SCCCounselPartyRoleChar"/>
          <w:sz w:val="20"/>
          <w:lang w:val="fr-CA"/>
        </w:rPr>
        <w:t>, pour l’intervenant le directeur des poursuites pénales.</w:t>
      </w:r>
    </w:p>
    <w:p w:rsidR="00A91196" w:rsidRPr="00CB62AA" w:rsidRDefault="00A91196" w:rsidP="00A91196">
      <w:pPr>
        <w:pStyle w:val="SCCNormalDoubleSpacing"/>
        <w:spacing w:line="240" w:lineRule="auto"/>
        <w:rPr>
          <w:sz w:val="20"/>
          <w:lang w:val="fr-CA"/>
        </w:rPr>
      </w:pPr>
    </w:p>
    <w:p w:rsidR="00A91196" w:rsidRPr="00CB62AA" w:rsidRDefault="00A91196" w:rsidP="00A91196">
      <w:pPr>
        <w:pStyle w:val="SCCNormalDoubleSpacing"/>
        <w:spacing w:line="240" w:lineRule="auto"/>
        <w:rPr>
          <w:rStyle w:val="SCCCounselPartyRoleChar"/>
          <w:sz w:val="20"/>
          <w:lang w:val="fr-CA"/>
        </w:rPr>
      </w:pPr>
      <w:r w:rsidRPr="00CB62AA">
        <w:rPr>
          <w:rStyle w:val="SCCCounselNameChar"/>
          <w:sz w:val="20"/>
          <w:lang w:val="fr-CA"/>
        </w:rPr>
        <w:tab/>
        <w:t>Paul S. Lindsay</w:t>
      </w:r>
      <w:r w:rsidRPr="00CB62AA">
        <w:rPr>
          <w:rStyle w:val="SCCCounselPartyRoleChar"/>
          <w:sz w:val="20"/>
          <w:lang w:val="fr-CA"/>
        </w:rPr>
        <w:t>, pour l’intervenant le procureur général de l’Ontario.</w:t>
      </w:r>
    </w:p>
    <w:p w:rsidR="00A91196" w:rsidRPr="00CB62AA" w:rsidRDefault="00A91196" w:rsidP="00A91196">
      <w:pPr>
        <w:pStyle w:val="SCCNormalDoubleSpacing"/>
        <w:spacing w:line="240" w:lineRule="auto"/>
        <w:rPr>
          <w:sz w:val="20"/>
          <w:lang w:val="fr-CA"/>
        </w:rPr>
      </w:pPr>
    </w:p>
    <w:p w:rsidR="00A91196" w:rsidRPr="00CB62AA" w:rsidRDefault="00A91196" w:rsidP="00A91196">
      <w:pPr>
        <w:pStyle w:val="SCCNormalDoubleSpacing"/>
        <w:spacing w:line="240" w:lineRule="auto"/>
        <w:rPr>
          <w:rStyle w:val="SCCCounselPartyRoleChar"/>
          <w:sz w:val="20"/>
          <w:lang w:val="fr-CA"/>
        </w:rPr>
      </w:pPr>
      <w:r w:rsidRPr="00CB62AA">
        <w:rPr>
          <w:rStyle w:val="SCCCounselNameChar"/>
          <w:sz w:val="20"/>
          <w:lang w:val="fr-CA"/>
        </w:rPr>
        <w:tab/>
        <w:t xml:space="preserve">Derek Lai </w:t>
      </w:r>
      <w:r w:rsidRPr="001E0E1C">
        <w:rPr>
          <w:rStyle w:val="SCCCounselSeparatorChar"/>
          <w:sz w:val="20"/>
        </w:rPr>
        <w:t xml:space="preserve">et </w:t>
      </w:r>
      <w:r w:rsidRPr="00CB62AA">
        <w:rPr>
          <w:rStyle w:val="SCCCounselNameChar"/>
          <w:sz w:val="20"/>
          <w:lang w:val="fr-CA"/>
        </w:rPr>
        <w:t>Greg Preston</w:t>
      </w:r>
      <w:r w:rsidRPr="00CB62AA">
        <w:rPr>
          <w:rStyle w:val="SCCCounselPartyRoleChar"/>
          <w:sz w:val="20"/>
          <w:lang w:val="fr-CA"/>
        </w:rPr>
        <w:t>, pour l’intervenante l’Association canadienne des chefs de police.</w:t>
      </w:r>
    </w:p>
    <w:p w:rsidR="00A91196" w:rsidRPr="00CB62AA" w:rsidRDefault="00A91196" w:rsidP="00A91196">
      <w:pPr>
        <w:pStyle w:val="SCCNormalDoubleSpacing"/>
        <w:spacing w:line="240" w:lineRule="auto"/>
        <w:rPr>
          <w:rStyle w:val="SCCCounselPartyRoleChar"/>
          <w:sz w:val="20"/>
          <w:lang w:val="fr-CA"/>
        </w:rPr>
      </w:pPr>
    </w:p>
    <w:p w:rsidR="00A91196" w:rsidRPr="00CB62AA" w:rsidRDefault="00A91196" w:rsidP="00A91196">
      <w:pPr>
        <w:pStyle w:val="SCCNormalDoubleSpacing"/>
        <w:spacing w:line="240" w:lineRule="auto"/>
        <w:rPr>
          <w:rStyle w:val="SCCCounselPartyRoleChar"/>
          <w:sz w:val="20"/>
          <w:lang w:val="fr-CA"/>
        </w:rPr>
      </w:pPr>
      <w:r w:rsidRPr="00CB62AA">
        <w:rPr>
          <w:rStyle w:val="SCCCounselNameChar"/>
          <w:sz w:val="20"/>
          <w:lang w:val="fr-CA"/>
        </w:rPr>
        <w:tab/>
        <w:t>Robert S. Gill</w:t>
      </w:r>
      <w:r w:rsidRPr="00CB62AA">
        <w:rPr>
          <w:rStyle w:val="SCCCounselPartyRoleChar"/>
          <w:sz w:val="20"/>
          <w:lang w:val="fr-CA"/>
        </w:rPr>
        <w:t>, pour l’intervenante l’Association canadienne d’échec au crime.</w:t>
      </w:r>
    </w:p>
    <w:p w:rsidR="00A91196" w:rsidRPr="00CB62AA" w:rsidRDefault="00A91196" w:rsidP="00A91196">
      <w:pPr>
        <w:pStyle w:val="SCCNormalDoubleSpacing"/>
        <w:spacing w:line="240" w:lineRule="auto"/>
        <w:rPr>
          <w:sz w:val="20"/>
          <w:lang w:val="fr-CA"/>
        </w:rPr>
      </w:pPr>
    </w:p>
    <w:p w:rsidR="00A91196" w:rsidRPr="00CB62AA" w:rsidRDefault="00A91196" w:rsidP="00A91196">
      <w:pPr>
        <w:pStyle w:val="SCCNormalDoubleSpacing"/>
        <w:spacing w:line="240" w:lineRule="auto"/>
        <w:rPr>
          <w:rStyle w:val="SCCCounselPartyRoleChar"/>
          <w:sz w:val="20"/>
          <w:lang w:val="fr-CA"/>
        </w:rPr>
      </w:pPr>
      <w:r w:rsidRPr="00CB62AA">
        <w:rPr>
          <w:rStyle w:val="SCCCounselNameChar"/>
          <w:sz w:val="20"/>
          <w:lang w:val="fr-CA"/>
        </w:rPr>
        <w:tab/>
        <w:t>Anil K. Kapoor</w:t>
      </w:r>
      <w:r w:rsidRPr="001E0E1C">
        <w:rPr>
          <w:rStyle w:val="SCCCounselSeparatorChar"/>
          <w:sz w:val="20"/>
        </w:rPr>
        <w:t xml:space="preserve"> et </w:t>
      </w:r>
      <w:r w:rsidRPr="00CB62AA">
        <w:rPr>
          <w:rStyle w:val="SCCCounselNameChar"/>
          <w:sz w:val="20"/>
          <w:lang w:val="fr-CA"/>
        </w:rPr>
        <w:t>Senem Ozkin</w:t>
      </w:r>
      <w:r w:rsidRPr="00CB62AA">
        <w:rPr>
          <w:rStyle w:val="SCCCounselPartyRoleChar"/>
          <w:sz w:val="20"/>
          <w:lang w:val="fr-CA"/>
        </w:rPr>
        <w:t>, pour l’intervenante l’Association canadienne des libertés civiles.</w:t>
      </w:r>
    </w:p>
    <w:p w:rsidR="00A91196" w:rsidRPr="00CB62AA" w:rsidRDefault="00A91196" w:rsidP="00A91196">
      <w:pPr>
        <w:pStyle w:val="SCCNormalDoubleSpacing"/>
        <w:spacing w:line="240" w:lineRule="auto"/>
        <w:rPr>
          <w:sz w:val="20"/>
          <w:lang w:val="fr-CA"/>
        </w:rPr>
      </w:pPr>
    </w:p>
    <w:p w:rsidR="00A91196" w:rsidRPr="00CB62AA" w:rsidRDefault="00A91196" w:rsidP="00A91196">
      <w:pPr>
        <w:pStyle w:val="SCCNormalDoubleSpacing"/>
        <w:spacing w:line="240" w:lineRule="auto"/>
        <w:rPr>
          <w:rStyle w:val="SCCCounselPartyRoleChar"/>
          <w:sz w:val="20"/>
          <w:lang w:val="fr-CA"/>
        </w:rPr>
      </w:pPr>
      <w:r w:rsidRPr="00CB62AA">
        <w:rPr>
          <w:rStyle w:val="SCCCounselNameChar"/>
          <w:sz w:val="20"/>
          <w:lang w:val="fr-CA"/>
        </w:rPr>
        <w:tab/>
        <w:t>Susan M. Chapman</w:t>
      </w:r>
      <w:r w:rsidRPr="00CB62AA">
        <w:rPr>
          <w:rStyle w:val="SCCCounselNameChar"/>
          <w:i w:val="0"/>
          <w:sz w:val="20"/>
          <w:lang w:val="fr-CA"/>
        </w:rPr>
        <w:t xml:space="preserve"> et </w:t>
      </w:r>
      <w:r w:rsidRPr="00CB62AA">
        <w:rPr>
          <w:rStyle w:val="SCCCounselNameChar"/>
          <w:sz w:val="20"/>
          <w:lang w:val="fr-CA"/>
        </w:rPr>
        <w:t>Jennifer Micallef</w:t>
      </w:r>
      <w:r w:rsidRPr="00CB62AA">
        <w:rPr>
          <w:rStyle w:val="SCCCounselPartyRoleChar"/>
          <w:sz w:val="20"/>
          <w:lang w:val="fr-CA"/>
        </w:rPr>
        <w:t>, pour l’intervenante Criminal Lawyers’ Association of Ontario.</w:t>
      </w:r>
    </w:p>
    <w:p w:rsidR="00A91196" w:rsidRPr="00CB62AA" w:rsidRDefault="00A91196" w:rsidP="00A91196">
      <w:pPr>
        <w:pStyle w:val="SCCNormalDoubleSpacing"/>
        <w:spacing w:line="240" w:lineRule="auto"/>
        <w:rPr>
          <w:sz w:val="20"/>
          <w:lang w:val="fr-CA"/>
        </w:rPr>
      </w:pPr>
    </w:p>
    <w:p w:rsidR="00A91196" w:rsidRPr="00CB62AA" w:rsidRDefault="00A91196" w:rsidP="00A91196">
      <w:pPr>
        <w:pStyle w:val="SCCLawFirm"/>
        <w:spacing w:line="240" w:lineRule="auto"/>
        <w:rPr>
          <w:sz w:val="20"/>
          <w:lang w:val="fr-CA"/>
        </w:rPr>
      </w:pPr>
      <w:r w:rsidRPr="00CB62AA">
        <w:rPr>
          <w:sz w:val="20"/>
          <w:lang w:val="fr-CA"/>
        </w:rPr>
        <w:tab/>
        <w:t>Procureurs de l’appelant : Wolch, Hursh, deWit, Silverberg &amp; Watts, Calgary.</w:t>
      </w:r>
    </w:p>
    <w:p w:rsidR="00A91196" w:rsidRPr="00CB62AA" w:rsidRDefault="00A91196" w:rsidP="00A91196">
      <w:pPr>
        <w:pStyle w:val="SCCNormalDoubleSpacing"/>
        <w:spacing w:line="240" w:lineRule="auto"/>
        <w:rPr>
          <w:sz w:val="20"/>
          <w:lang w:val="fr-CA"/>
        </w:rPr>
      </w:pPr>
    </w:p>
    <w:p w:rsidR="00A91196" w:rsidRPr="00CB62AA" w:rsidRDefault="00A91196" w:rsidP="00A91196">
      <w:pPr>
        <w:pStyle w:val="SCCLawFirm"/>
        <w:spacing w:line="240" w:lineRule="auto"/>
        <w:rPr>
          <w:sz w:val="20"/>
          <w:lang w:val="fr-CA"/>
        </w:rPr>
      </w:pPr>
      <w:r w:rsidRPr="00CB62AA">
        <w:rPr>
          <w:sz w:val="20"/>
          <w:lang w:val="fr-CA"/>
        </w:rPr>
        <w:tab/>
        <w:t>Procureur de l’intimée : Procureur général de l’Alberta, Edmonton.</w:t>
      </w:r>
    </w:p>
    <w:p w:rsidR="00A91196" w:rsidRPr="00CB62AA" w:rsidRDefault="00A91196" w:rsidP="00A91196">
      <w:pPr>
        <w:pStyle w:val="SCCNormalDoubleSpacing"/>
        <w:spacing w:line="240" w:lineRule="auto"/>
        <w:rPr>
          <w:sz w:val="20"/>
          <w:lang w:val="fr-CA"/>
        </w:rPr>
      </w:pPr>
    </w:p>
    <w:p w:rsidR="00A91196" w:rsidRPr="00CB62AA" w:rsidRDefault="00A91196" w:rsidP="00A91196">
      <w:pPr>
        <w:pStyle w:val="SCCLawFirm"/>
        <w:spacing w:line="240" w:lineRule="auto"/>
        <w:rPr>
          <w:sz w:val="20"/>
          <w:lang w:val="fr-CA"/>
        </w:rPr>
      </w:pPr>
      <w:r w:rsidRPr="00CB62AA">
        <w:rPr>
          <w:sz w:val="20"/>
          <w:lang w:val="fr-CA"/>
        </w:rPr>
        <w:tab/>
        <w:t>Procureur de l’intervenant le directeur des poursuites pénales : Service des poursuites pénales du Canada, Ottawa.</w:t>
      </w:r>
    </w:p>
    <w:p w:rsidR="00A91196" w:rsidRPr="00CB62AA" w:rsidRDefault="00A91196" w:rsidP="00A91196">
      <w:pPr>
        <w:pStyle w:val="SCCNormalDoubleSpacing"/>
        <w:spacing w:line="240" w:lineRule="auto"/>
        <w:rPr>
          <w:sz w:val="20"/>
          <w:lang w:val="fr-CA"/>
        </w:rPr>
      </w:pPr>
    </w:p>
    <w:p w:rsidR="00A91196" w:rsidRPr="00CB62AA" w:rsidRDefault="00A91196" w:rsidP="00A91196">
      <w:pPr>
        <w:pStyle w:val="SCCLawFirm"/>
        <w:spacing w:line="240" w:lineRule="auto"/>
        <w:rPr>
          <w:sz w:val="20"/>
          <w:lang w:val="fr-CA"/>
        </w:rPr>
      </w:pPr>
      <w:r w:rsidRPr="00CB62AA">
        <w:rPr>
          <w:sz w:val="20"/>
          <w:lang w:val="fr-CA"/>
        </w:rPr>
        <w:tab/>
        <w:t>Procureur de l’intervenant le procureur général de l’Ontario : Procureur général de l’Ontario, Toronto.</w:t>
      </w:r>
    </w:p>
    <w:p w:rsidR="00A91196" w:rsidRPr="00CB62AA" w:rsidRDefault="00A91196" w:rsidP="00A91196">
      <w:pPr>
        <w:pStyle w:val="SCCNormalDoubleSpacing"/>
        <w:spacing w:line="240" w:lineRule="auto"/>
        <w:rPr>
          <w:sz w:val="20"/>
          <w:lang w:val="fr-CA"/>
        </w:rPr>
      </w:pPr>
    </w:p>
    <w:p w:rsidR="00A91196" w:rsidRPr="00CB62AA" w:rsidRDefault="00A91196" w:rsidP="00A91196">
      <w:pPr>
        <w:pStyle w:val="SCCLawFirm"/>
        <w:spacing w:line="240" w:lineRule="auto"/>
        <w:rPr>
          <w:sz w:val="20"/>
          <w:lang w:val="fr-CA"/>
        </w:rPr>
      </w:pPr>
      <w:r w:rsidRPr="00CB62AA">
        <w:rPr>
          <w:sz w:val="20"/>
          <w:lang w:val="fr-CA"/>
        </w:rPr>
        <w:tab/>
        <w:t>Procureur de l’intervenante l’Association canadienne des chefs de police : Edmonton Police Service, Edmonton.</w:t>
      </w:r>
    </w:p>
    <w:p w:rsidR="00A91196" w:rsidRPr="00CB62AA" w:rsidRDefault="00A91196" w:rsidP="00A91196">
      <w:pPr>
        <w:pStyle w:val="SCCNormalDoubleSpacing"/>
        <w:spacing w:line="240" w:lineRule="auto"/>
        <w:rPr>
          <w:sz w:val="20"/>
          <w:lang w:val="fr-CA"/>
        </w:rPr>
      </w:pPr>
    </w:p>
    <w:p w:rsidR="00A91196" w:rsidRPr="00CB62AA" w:rsidRDefault="00A91196" w:rsidP="00A91196">
      <w:pPr>
        <w:pStyle w:val="SCCLawFirm"/>
        <w:spacing w:line="240" w:lineRule="auto"/>
        <w:rPr>
          <w:sz w:val="20"/>
          <w:lang w:val="fr-CA"/>
        </w:rPr>
      </w:pPr>
      <w:r w:rsidRPr="00CB62AA">
        <w:rPr>
          <w:sz w:val="20"/>
          <w:lang w:val="fr-CA"/>
        </w:rPr>
        <w:tab/>
        <w:t>Procureurs de l’intervenante l’Association canadienne d’échec au crime : Clay &amp; Company, Victoria.</w:t>
      </w:r>
    </w:p>
    <w:p w:rsidR="00A91196" w:rsidRPr="00CB62AA" w:rsidRDefault="00A91196" w:rsidP="00A91196">
      <w:pPr>
        <w:pStyle w:val="SCCLawFirm"/>
        <w:spacing w:line="240" w:lineRule="auto"/>
        <w:rPr>
          <w:sz w:val="20"/>
          <w:lang w:val="fr-CA"/>
        </w:rPr>
      </w:pPr>
    </w:p>
    <w:p w:rsidR="00A91196" w:rsidRPr="00CB62AA" w:rsidRDefault="00A91196" w:rsidP="00A91196">
      <w:pPr>
        <w:pStyle w:val="SCCLawFirm"/>
        <w:spacing w:line="240" w:lineRule="auto"/>
        <w:rPr>
          <w:sz w:val="20"/>
          <w:lang w:val="fr-CA"/>
        </w:rPr>
      </w:pPr>
      <w:r w:rsidRPr="00CB62AA">
        <w:rPr>
          <w:sz w:val="20"/>
          <w:lang w:val="fr-CA"/>
        </w:rPr>
        <w:tab/>
        <w:t>Procureurs de l’intervenante l’Association canadienne des libertés civiles : Kapoor Barristers, Toronto.</w:t>
      </w:r>
    </w:p>
    <w:p w:rsidR="00A91196" w:rsidRPr="00CB62AA" w:rsidRDefault="00A91196" w:rsidP="00A91196">
      <w:pPr>
        <w:pStyle w:val="SCCNormalDoubleSpacing"/>
        <w:spacing w:line="240" w:lineRule="auto"/>
        <w:jc w:val="left"/>
        <w:rPr>
          <w:i/>
          <w:sz w:val="20"/>
          <w:lang w:val="fr-CA"/>
        </w:rPr>
      </w:pPr>
    </w:p>
    <w:p w:rsidR="00A91196" w:rsidRPr="002C28A7" w:rsidRDefault="00A91196" w:rsidP="00A91196">
      <w:pPr>
        <w:pStyle w:val="SCCNormalDoubleSpacing"/>
        <w:spacing w:line="240" w:lineRule="auto"/>
        <w:jc w:val="left"/>
        <w:rPr>
          <w:i/>
          <w:sz w:val="20"/>
        </w:rPr>
      </w:pPr>
      <w:r w:rsidRPr="00CB62AA">
        <w:rPr>
          <w:i/>
          <w:sz w:val="20"/>
          <w:lang w:val="fr-CA"/>
        </w:rPr>
        <w:tab/>
      </w:r>
      <w:r w:rsidRPr="002C28A7">
        <w:rPr>
          <w:i/>
          <w:sz w:val="20"/>
        </w:rPr>
        <w:t>Procureurs de l’intervenante Criminal Lawyers’ Association of Ontario : Green &amp; Chercover, Toronto</w:t>
      </w:r>
    </w:p>
    <w:p w:rsidR="00A91196" w:rsidRDefault="00A91196" w:rsidP="00A91196">
      <w:pPr>
        <w:jc w:val="both"/>
        <w:rPr>
          <w:rFonts w:cs="Times New Roman"/>
          <w:sz w:val="20"/>
          <w:szCs w:val="20"/>
          <w:lang w:val="fr-CA"/>
        </w:rPr>
      </w:pPr>
    </w:p>
    <w:p w:rsidR="00A91196" w:rsidRDefault="00460701" w:rsidP="00A91196">
      <w:pPr>
        <w:rPr>
          <w:lang w:val="fr-CA"/>
        </w:rPr>
      </w:pPr>
      <w:r w:rsidRPr="00460701">
        <w:rPr>
          <w:rFonts w:cs="Times New Roman"/>
          <w:sz w:val="20"/>
          <w:szCs w:val="20"/>
          <w:lang w:val="fr-CA"/>
        </w:rPr>
        <w:pict>
          <v:rect id="_x0000_i1082" style="width:144.3pt;height:1pt" o:hrpct="300" o:hralign="center" o:hrstd="t" o:hrnoshade="t" o:hr="t" fillcolor="black [3213]" stroked="f"/>
        </w:pict>
      </w:r>
      <w:r w:rsidR="00A91196">
        <w:rPr>
          <w:lang w:val="fr-CA"/>
        </w:rPr>
        <w:br w:type="page"/>
      </w:r>
    </w:p>
    <w:p w:rsidR="002574C2" w:rsidRPr="008A5428" w:rsidRDefault="002574C2" w:rsidP="002574C2">
      <w:pPr>
        <w:jc w:val="both"/>
        <w:rPr>
          <w:rFonts w:eastAsia="Calibri" w:cs="Times New Roman"/>
          <w:sz w:val="20"/>
          <w:szCs w:val="20"/>
        </w:rPr>
      </w:pPr>
      <w:r w:rsidRPr="008A5428">
        <w:rPr>
          <w:rFonts w:eastAsia="Calibri" w:cs="Times New Roman"/>
          <w:i/>
          <w:sz w:val="20"/>
          <w:szCs w:val="20"/>
        </w:rPr>
        <w:lastRenderedPageBreak/>
        <w:t>Workers’ Compensation Board of British Columbia v. Guiseppe Figliola et al.</w:t>
      </w:r>
      <w:r w:rsidRPr="008A5428">
        <w:rPr>
          <w:rFonts w:eastAsia="Calibri" w:cs="Times New Roman"/>
          <w:sz w:val="20"/>
          <w:szCs w:val="20"/>
        </w:rPr>
        <w:t xml:space="preserve"> (B.C.) (33648)</w:t>
      </w:r>
    </w:p>
    <w:p w:rsidR="002574C2" w:rsidRPr="008F4C78" w:rsidRDefault="002574C2" w:rsidP="002574C2">
      <w:pPr>
        <w:jc w:val="both"/>
        <w:rPr>
          <w:b/>
          <w:sz w:val="20"/>
          <w:szCs w:val="20"/>
        </w:rPr>
      </w:pPr>
      <w:r w:rsidRPr="008F4C78">
        <w:rPr>
          <w:b/>
          <w:sz w:val="20"/>
          <w:szCs w:val="20"/>
        </w:rPr>
        <w:t>Indexed as:  British Columbia (</w:t>
      </w:r>
      <w:r w:rsidRPr="00B375A6">
        <w:rPr>
          <w:rStyle w:val="SCCAppellantForIndexChar"/>
          <w:rFonts w:eastAsiaTheme="minorHAnsi"/>
          <w:sz w:val="20"/>
          <w:lang w:val="en-CA"/>
        </w:rPr>
        <w:t>Workers’ Compensation Board)</w:t>
      </w:r>
      <w:r w:rsidRPr="008F4C78">
        <w:rPr>
          <w:b/>
          <w:sz w:val="20"/>
          <w:szCs w:val="20"/>
        </w:rPr>
        <w:t xml:space="preserve"> </w:t>
      </w:r>
      <w:r w:rsidRPr="008F4C78">
        <w:rPr>
          <w:b/>
          <w:i/>
          <w:sz w:val="20"/>
          <w:szCs w:val="20"/>
        </w:rPr>
        <w:t>v.</w:t>
      </w:r>
      <w:r w:rsidRPr="008F4C78">
        <w:rPr>
          <w:b/>
          <w:sz w:val="20"/>
          <w:szCs w:val="20"/>
        </w:rPr>
        <w:t xml:space="preserve"> </w:t>
      </w:r>
      <w:r w:rsidRPr="008F4C78">
        <w:rPr>
          <w:rStyle w:val="SCCRespondentForIndexChar"/>
          <w:rFonts w:eastAsiaTheme="minorHAnsi"/>
          <w:sz w:val="20"/>
        </w:rPr>
        <w:t>Figliola</w:t>
      </w:r>
      <w:r>
        <w:rPr>
          <w:rStyle w:val="SCCRespondentForIndexChar"/>
          <w:rFonts w:eastAsiaTheme="minorHAnsi"/>
          <w:sz w:val="20"/>
        </w:rPr>
        <w:t xml:space="preserve"> /</w:t>
      </w:r>
    </w:p>
    <w:p w:rsidR="002574C2" w:rsidRPr="000F7B76" w:rsidRDefault="002574C2" w:rsidP="002574C2">
      <w:pPr>
        <w:jc w:val="both"/>
        <w:rPr>
          <w:b/>
          <w:sz w:val="20"/>
          <w:szCs w:val="20"/>
        </w:rPr>
      </w:pPr>
      <w:r w:rsidRPr="000F7B76">
        <w:rPr>
          <w:b/>
          <w:sz w:val="20"/>
          <w:szCs w:val="20"/>
        </w:rPr>
        <w:t>Répertorié : Colombie</w:t>
      </w:r>
      <w:r w:rsidRPr="000F7B76">
        <w:rPr>
          <w:b/>
          <w:sz w:val="20"/>
          <w:szCs w:val="20"/>
        </w:rPr>
        <w:noBreakHyphen/>
        <w:t>Britannique (</w:t>
      </w:r>
      <w:r w:rsidRPr="00B85071">
        <w:rPr>
          <w:rStyle w:val="SCCAppellantForIndexChar"/>
          <w:rFonts w:eastAsiaTheme="minorHAnsi"/>
          <w:sz w:val="20"/>
          <w:lang w:val="en-CA"/>
        </w:rPr>
        <w:t>Workers’ Compensation Board)</w:t>
      </w:r>
      <w:r w:rsidRPr="000F7B76">
        <w:rPr>
          <w:b/>
          <w:sz w:val="20"/>
          <w:szCs w:val="20"/>
        </w:rPr>
        <w:t xml:space="preserve"> </w:t>
      </w:r>
      <w:r w:rsidRPr="000F7B76">
        <w:rPr>
          <w:b/>
          <w:i/>
          <w:sz w:val="20"/>
          <w:szCs w:val="20"/>
        </w:rPr>
        <w:t>c.</w:t>
      </w:r>
      <w:r w:rsidRPr="000F7B76">
        <w:rPr>
          <w:b/>
          <w:sz w:val="20"/>
          <w:szCs w:val="20"/>
        </w:rPr>
        <w:t xml:space="preserve"> </w:t>
      </w:r>
      <w:r w:rsidRPr="000F7B76">
        <w:rPr>
          <w:rStyle w:val="SCCRespondentForIndexChar"/>
          <w:rFonts w:eastAsiaTheme="minorHAnsi"/>
          <w:sz w:val="20"/>
        </w:rPr>
        <w:t>Figliola</w:t>
      </w:r>
    </w:p>
    <w:p w:rsidR="002574C2" w:rsidRPr="00B85071" w:rsidRDefault="002574C2" w:rsidP="002574C2">
      <w:pPr>
        <w:pStyle w:val="SCCSystemYear"/>
        <w:jc w:val="both"/>
        <w:rPr>
          <w:sz w:val="20"/>
          <w:lang w:val="en-CA"/>
        </w:rPr>
      </w:pPr>
      <w:r w:rsidRPr="00B85071">
        <w:rPr>
          <w:sz w:val="20"/>
          <w:lang w:val="en-CA"/>
        </w:rPr>
        <w:t>Neutral citation:  2011 SCC 52 / Référence neutre : 2011 CSC 52</w:t>
      </w:r>
    </w:p>
    <w:p w:rsidR="002574C2" w:rsidRPr="00B85071" w:rsidRDefault="002574C2" w:rsidP="002574C2">
      <w:pPr>
        <w:rPr>
          <w:sz w:val="20"/>
          <w:szCs w:val="20"/>
        </w:rPr>
      </w:pPr>
      <w:r w:rsidRPr="00B85071">
        <w:rPr>
          <w:sz w:val="20"/>
          <w:szCs w:val="20"/>
        </w:rPr>
        <w:t>Hearing:  March 16, 2011 / Judgment:  October 27, 2011</w:t>
      </w:r>
    </w:p>
    <w:p w:rsidR="002574C2" w:rsidRPr="003B3977" w:rsidRDefault="002574C2" w:rsidP="002574C2">
      <w:pPr>
        <w:rPr>
          <w:sz w:val="20"/>
          <w:szCs w:val="20"/>
          <w:lang w:val="fr-CA"/>
        </w:rPr>
      </w:pPr>
      <w:r w:rsidRPr="003B3977">
        <w:rPr>
          <w:sz w:val="20"/>
          <w:szCs w:val="20"/>
          <w:lang w:val="fr-CA"/>
        </w:rPr>
        <w:t>Audition : Le 1</w:t>
      </w:r>
      <w:r>
        <w:rPr>
          <w:sz w:val="20"/>
          <w:szCs w:val="20"/>
          <w:lang w:val="fr-CA"/>
        </w:rPr>
        <w:t>6</w:t>
      </w:r>
      <w:r w:rsidRPr="003B3977">
        <w:rPr>
          <w:sz w:val="20"/>
          <w:szCs w:val="20"/>
          <w:lang w:val="fr-CA"/>
        </w:rPr>
        <w:t xml:space="preserve"> ma</w:t>
      </w:r>
      <w:r>
        <w:rPr>
          <w:sz w:val="20"/>
          <w:szCs w:val="20"/>
          <w:lang w:val="fr-CA"/>
        </w:rPr>
        <w:t>rs</w:t>
      </w:r>
      <w:r w:rsidRPr="003B3977">
        <w:rPr>
          <w:sz w:val="20"/>
          <w:szCs w:val="20"/>
          <w:lang w:val="fr-CA"/>
        </w:rPr>
        <w:t xml:space="preserve"> 201</w:t>
      </w:r>
      <w:r>
        <w:rPr>
          <w:sz w:val="20"/>
          <w:szCs w:val="20"/>
          <w:lang w:val="fr-CA"/>
        </w:rPr>
        <w:t>1</w:t>
      </w:r>
      <w:r w:rsidRPr="003B3977">
        <w:rPr>
          <w:sz w:val="20"/>
          <w:szCs w:val="20"/>
          <w:lang w:val="fr-CA"/>
        </w:rPr>
        <w:t xml:space="preserve"> / Jugement : Le 2</w:t>
      </w:r>
      <w:r>
        <w:rPr>
          <w:sz w:val="20"/>
          <w:szCs w:val="20"/>
          <w:lang w:val="fr-CA"/>
        </w:rPr>
        <w:t>7</w:t>
      </w:r>
      <w:r w:rsidRPr="003B3977">
        <w:rPr>
          <w:sz w:val="20"/>
          <w:szCs w:val="20"/>
          <w:lang w:val="fr-CA"/>
        </w:rPr>
        <w:t xml:space="preserve"> octobre 201</w:t>
      </w:r>
      <w:r>
        <w:rPr>
          <w:sz w:val="20"/>
          <w:szCs w:val="20"/>
          <w:lang w:val="fr-CA"/>
        </w:rPr>
        <w:t>1</w:t>
      </w:r>
    </w:p>
    <w:p w:rsidR="005C6840" w:rsidRPr="003B3977" w:rsidRDefault="00460701" w:rsidP="005C6840">
      <w:pPr>
        <w:rPr>
          <w:sz w:val="20"/>
          <w:szCs w:val="20"/>
          <w:lang w:val="fr-CA"/>
        </w:rPr>
      </w:pPr>
      <w:r w:rsidRPr="00460701">
        <w:rPr>
          <w:i/>
          <w:sz w:val="20"/>
          <w:szCs w:val="20"/>
        </w:rPr>
        <w:pict>
          <v:rect id="_x0000_i1083" style="width:480.95pt;height:1pt" o:hralign="center" o:hrstd="t" o:hrnoshade="t" o:hr="t" fillcolor="black [3213]" stroked="f"/>
        </w:pict>
      </w:r>
    </w:p>
    <w:p w:rsidR="005C6840" w:rsidRPr="003B3977" w:rsidRDefault="005C6840" w:rsidP="005C6840">
      <w:pPr>
        <w:spacing w:line="0" w:lineRule="atLeast"/>
        <w:rPr>
          <w:sz w:val="20"/>
          <w:szCs w:val="20"/>
          <w:lang w:val="fr-CA"/>
        </w:rPr>
      </w:pPr>
    </w:p>
    <w:p w:rsidR="002574C2" w:rsidRPr="008F4C78" w:rsidRDefault="002574C2" w:rsidP="002574C2">
      <w:pPr>
        <w:jc w:val="both"/>
        <w:rPr>
          <w:sz w:val="20"/>
          <w:szCs w:val="20"/>
        </w:rPr>
      </w:pPr>
      <w:r w:rsidRPr="008F4C78">
        <w:rPr>
          <w:sz w:val="20"/>
          <w:szCs w:val="20"/>
        </w:rPr>
        <w:t>Present:  McLachlin C.J. and Binnie, LeBel, Deschamps, Fish, Abella, Charron, Rothstein and Cromwell JJ.</w:t>
      </w:r>
    </w:p>
    <w:p w:rsidR="002574C2" w:rsidRDefault="002574C2" w:rsidP="002574C2">
      <w:pPr>
        <w:pStyle w:val="SCCLowerCourtNameLowercase"/>
        <w:spacing w:line="240" w:lineRule="auto"/>
        <w:rPr>
          <w:sz w:val="20"/>
        </w:rPr>
      </w:pPr>
    </w:p>
    <w:p w:rsidR="002574C2" w:rsidRDefault="002574C2" w:rsidP="002574C2">
      <w:pPr>
        <w:pStyle w:val="SCCNormalDoubleSpacing"/>
        <w:spacing w:line="240" w:lineRule="auto"/>
        <w:rPr>
          <w:i/>
          <w:sz w:val="20"/>
        </w:rPr>
      </w:pPr>
      <w:r w:rsidRPr="008F4C78">
        <w:rPr>
          <w:sz w:val="20"/>
        </w:rPr>
        <w:tab/>
      </w:r>
      <w:r w:rsidRPr="008F4C78">
        <w:rPr>
          <w:i/>
          <w:sz w:val="20"/>
        </w:rPr>
        <w:t>Administrative</w:t>
      </w:r>
      <w:r w:rsidRPr="008F4C78">
        <w:rPr>
          <w:i/>
          <w:iCs/>
          <w:sz w:val="20"/>
        </w:rPr>
        <w:t xml:space="preserve"> law — Judicial review — Standard of review — Patent unreasonableness — Injured workers receiving compensation pursuant to British Columbia’s Workers’ Compensation Board Chronic Pain Policy — Workers filing appeal with Board’s Review Division claiming policy breached s. 8 of British Columbia Human Rights Code — Board rejecting that Policy breached Human Rights Code — Workers subsequently filing complaints with Human Rights Tribunal repeating same arguments — Human Rights Tribunal deciding that this was appropriate question for Tribunal to determine —What is the scope of Tribunal’s discretion to determine whether the substance of a complaint has been “appropriately dealt with” when two bodies share jurisdiction over human rights — Whether exercise of discretion by Tribunal was patently unreasonable — </w:t>
      </w:r>
      <w:r w:rsidRPr="008F4C78">
        <w:rPr>
          <w:i/>
          <w:sz w:val="20"/>
        </w:rPr>
        <w:t xml:space="preserve">Human Rights Code, R.S.B.C. 1996, c. 210, ss. 8 and 27(1) </w:t>
      </w:r>
      <w:r w:rsidRPr="008F4C78">
        <w:rPr>
          <w:i/>
          <w:iCs/>
          <w:sz w:val="20"/>
        </w:rPr>
        <w:t>—</w:t>
      </w:r>
      <w:r w:rsidRPr="008F4C78">
        <w:rPr>
          <w:i/>
          <w:sz w:val="20"/>
        </w:rPr>
        <w:t xml:space="preserve"> Administrative Tribunals Act, S.B.C. 2004, c. 45, s. 59.</w:t>
      </w:r>
    </w:p>
    <w:p w:rsidR="002574C2" w:rsidRPr="008F4C78" w:rsidRDefault="002574C2" w:rsidP="002574C2">
      <w:pPr>
        <w:pStyle w:val="SCCNormalDoubleSpacing"/>
        <w:spacing w:line="240" w:lineRule="auto"/>
        <w:rPr>
          <w:i/>
          <w:sz w:val="20"/>
        </w:rPr>
      </w:pPr>
    </w:p>
    <w:p w:rsidR="002574C2" w:rsidRDefault="002574C2" w:rsidP="002574C2">
      <w:pPr>
        <w:pStyle w:val="SCCNormalDoubleSpacing"/>
        <w:spacing w:line="240" w:lineRule="auto"/>
        <w:rPr>
          <w:i/>
          <w:sz w:val="20"/>
        </w:rPr>
      </w:pPr>
      <w:r w:rsidRPr="008F4C78">
        <w:rPr>
          <w:sz w:val="20"/>
        </w:rPr>
        <w:tab/>
        <w:t xml:space="preserve">The complainant workers suffered from chronic pain and sought compensation from British Columbia’s Workers’ Compensation Board.  Pursuant to the Board’s Chronic Pain Policy, they received a fixed compensation award.  They appealed to the Board’s Review Division, arguing that a policy which set a fixed award for chronic pain was patently unreasonable, unconstitutional and discriminatory on the grounds of disability under s. 8 of the British Columbia </w:t>
      </w:r>
      <w:r w:rsidRPr="008F4C78">
        <w:rPr>
          <w:i/>
          <w:sz w:val="20"/>
        </w:rPr>
        <w:t>Human Rights Code</w:t>
      </w:r>
      <w:r w:rsidRPr="008F4C78">
        <w:rPr>
          <w:sz w:val="20"/>
        </w:rPr>
        <w:t xml:space="preserve"> (“</w:t>
      </w:r>
      <w:r w:rsidRPr="008F4C78">
        <w:rPr>
          <w:i/>
          <w:sz w:val="20"/>
        </w:rPr>
        <w:t>Code</w:t>
      </w:r>
      <w:r w:rsidRPr="008F4C78">
        <w:rPr>
          <w:sz w:val="20"/>
        </w:rPr>
        <w:t xml:space="preserve">”).  The Review Officer accepted that he had jurisdiction over the </w:t>
      </w:r>
      <w:r w:rsidRPr="008F4C78">
        <w:rPr>
          <w:i/>
          <w:sz w:val="20"/>
        </w:rPr>
        <w:t xml:space="preserve">Human Rights Code </w:t>
      </w:r>
      <w:r w:rsidRPr="008F4C78">
        <w:rPr>
          <w:sz w:val="20"/>
        </w:rPr>
        <w:t xml:space="preserve">complaint and concluded that the Board’s Chronic Pain Policy was not contrary to s. 8 of the </w:t>
      </w:r>
      <w:r w:rsidRPr="008F4C78">
        <w:rPr>
          <w:i/>
          <w:sz w:val="20"/>
        </w:rPr>
        <w:t>Code</w:t>
      </w:r>
      <w:r w:rsidRPr="008F4C78">
        <w:rPr>
          <w:sz w:val="20"/>
        </w:rPr>
        <w:t xml:space="preserve"> and therefore not discriminatory</w:t>
      </w:r>
      <w:r w:rsidRPr="008F4C78">
        <w:rPr>
          <w:i/>
          <w:sz w:val="20"/>
        </w:rPr>
        <w:t xml:space="preserve">.  </w:t>
      </w:r>
    </w:p>
    <w:p w:rsidR="002574C2" w:rsidRPr="008F4C78" w:rsidRDefault="002574C2" w:rsidP="002574C2">
      <w:pPr>
        <w:pStyle w:val="SCCNormalDoubleSpacing"/>
        <w:spacing w:line="240" w:lineRule="auto"/>
        <w:rPr>
          <w:b/>
          <w:sz w:val="20"/>
        </w:rPr>
      </w:pPr>
    </w:p>
    <w:p w:rsidR="002574C2" w:rsidRDefault="002574C2" w:rsidP="002574C2">
      <w:pPr>
        <w:pStyle w:val="SCCNormalDoubleSpacing"/>
        <w:spacing w:line="240" w:lineRule="auto"/>
        <w:rPr>
          <w:sz w:val="20"/>
        </w:rPr>
      </w:pPr>
      <w:r w:rsidRPr="008F4C78">
        <w:rPr>
          <w:sz w:val="20"/>
        </w:rPr>
        <w:tab/>
        <w:t>The complainants appealed this decision to the Workers’ Compensation Appeal Tribunal (“WCAT”).  Before the appeal was heard, the legislation was amended removing WCAT’s authority to apply the</w:t>
      </w:r>
      <w:r w:rsidRPr="008F4C78">
        <w:rPr>
          <w:i/>
          <w:sz w:val="20"/>
        </w:rPr>
        <w:t xml:space="preserve"> Code</w:t>
      </w:r>
      <w:r w:rsidRPr="008F4C78">
        <w:rPr>
          <w:sz w:val="20"/>
        </w:rPr>
        <w:t xml:space="preserve">.  Based on the amendments, the complainants’ appeal of the Review Officer’s human rights conclusions could not be heard by WCAT, but judicial review remained available.  Instead of applying for judicial review, the complainants filed new complaints with the Human Rights Tribunal, repeating the same s. 8 arguments about the Board’s Chronic Pain Policy that they had made before the Review Division.  </w:t>
      </w:r>
    </w:p>
    <w:p w:rsidR="002574C2" w:rsidRPr="008F4C78" w:rsidRDefault="002574C2" w:rsidP="002574C2">
      <w:pPr>
        <w:pStyle w:val="SCCNormalDoubleSpacing"/>
        <w:spacing w:line="240" w:lineRule="auto"/>
        <w:rPr>
          <w:sz w:val="20"/>
        </w:rPr>
      </w:pPr>
    </w:p>
    <w:p w:rsidR="002574C2" w:rsidRDefault="002574C2" w:rsidP="002574C2">
      <w:pPr>
        <w:pStyle w:val="SCCNormalDoubleSpacing"/>
        <w:spacing w:line="240" w:lineRule="auto"/>
        <w:rPr>
          <w:sz w:val="20"/>
        </w:rPr>
      </w:pPr>
      <w:r w:rsidRPr="008F4C78">
        <w:rPr>
          <w:sz w:val="20"/>
        </w:rPr>
        <w:tab/>
        <w:t xml:space="preserve">The Workers’ Compensation Board brought a motion asking the Tribunal to dismiss the new complaints, arguing that under s. 27(1)(a) of the </w:t>
      </w:r>
      <w:r w:rsidRPr="008F4C78">
        <w:rPr>
          <w:i/>
          <w:sz w:val="20"/>
        </w:rPr>
        <w:t>Code</w:t>
      </w:r>
      <w:r w:rsidRPr="008F4C78">
        <w:rPr>
          <w:sz w:val="20"/>
        </w:rPr>
        <w:t>,</w:t>
      </w:r>
      <w:r w:rsidRPr="008F4C78">
        <w:rPr>
          <w:i/>
          <w:sz w:val="20"/>
        </w:rPr>
        <w:t xml:space="preserve"> </w:t>
      </w:r>
      <w:r w:rsidRPr="008F4C78">
        <w:rPr>
          <w:sz w:val="20"/>
        </w:rPr>
        <w:t xml:space="preserve">the Tribunal had no jurisdiction, and that under s. 27(1)(f) of the </w:t>
      </w:r>
      <w:r w:rsidRPr="008F4C78">
        <w:rPr>
          <w:i/>
          <w:sz w:val="20"/>
        </w:rPr>
        <w:t xml:space="preserve">Code </w:t>
      </w:r>
      <w:r w:rsidRPr="008F4C78">
        <w:rPr>
          <w:sz w:val="20"/>
        </w:rPr>
        <w:t xml:space="preserve">the complaints had already been “appropriately dealt with” by the Review Division.  The Tribunal rejected both arguments and found that the issue raised was an appropriate question for the Tribunal to consider and that the parties to the complaints should receive the benefit of a full Tribunal hearing.  On judicial review, the Tribunal’s decision was set aside.  The Court of Appeal, however, concluded that the Tribunal’s decision was not patently unreasonable and restored its decision. </w:t>
      </w:r>
    </w:p>
    <w:p w:rsidR="002574C2" w:rsidRPr="008F4C78" w:rsidRDefault="002574C2" w:rsidP="002574C2">
      <w:pPr>
        <w:pStyle w:val="SCCNormalDoubleSpacing"/>
        <w:spacing w:line="240" w:lineRule="auto"/>
        <w:rPr>
          <w:sz w:val="20"/>
        </w:rPr>
      </w:pPr>
    </w:p>
    <w:p w:rsidR="002574C2" w:rsidRDefault="002574C2" w:rsidP="002574C2">
      <w:pPr>
        <w:pStyle w:val="SCCNormalDoubleSpacing"/>
        <w:spacing w:line="240" w:lineRule="auto"/>
        <w:rPr>
          <w:sz w:val="20"/>
        </w:rPr>
      </w:pPr>
      <w:r w:rsidRPr="008F4C78">
        <w:rPr>
          <w:i/>
          <w:sz w:val="20"/>
        </w:rPr>
        <w:tab/>
        <w:t>Held</w:t>
      </w:r>
      <w:r w:rsidRPr="008F4C78">
        <w:rPr>
          <w:sz w:val="20"/>
        </w:rPr>
        <w:t>:  The appeal should be allowed, the Tribunal’s decision set aside and the complaints dismissed.</w:t>
      </w:r>
    </w:p>
    <w:p w:rsidR="002574C2" w:rsidRPr="008F4C78" w:rsidRDefault="002574C2" w:rsidP="002574C2">
      <w:pPr>
        <w:pStyle w:val="SCCNormalDoubleSpacing"/>
        <w:spacing w:line="240" w:lineRule="auto"/>
        <w:rPr>
          <w:sz w:val="20"/>
        </w:rPr>
      </w:pPr>
    </w:p>
    <w:p w:rsidR="002574C2" w:rsidRDefault="002574C2" w:rsidP="002574C2">
      <w:pPr>
        <w:pStyle w:val="SCCNormalDoubleSpacing"/>
        <w:spacing w:line="240" w:lineRule="auto"/>
        <w:rPr>
          <w:sz w:val="20"/>
          <w:lang w:val="en-US"/>
        </w:rPr>
      </w:pPr>
      <w:r w:rsidRPr="008F4C78">
        <w:rPr>
          <w:i/>
          <w:sz w:val="20"/>
        </w:rPr>
        <w:tab/>
        <w:t>Per</w:t>
      </w:r>
      <w:r w:rsidRPr="008F4C78">
        <w:rPr>
          <w:sz w:val="20"/>
        </w:rPr>
        <w:t xml:space="preserve"> LeBel, Deschamps, </w:t>
      </w:r>
      <w:r w:rsidRPr="008F4C78">
        <w:rPr>
          <w:b/>
          <w:sz w:val="20"/>
        </w:rPr>
        <w:t>Abella</w:t>
      </w:r>
      <w:r w:rsidRPr="008F4C78">
        <w:rPr>
          <w:sz w:val="20"/>
        </w:rPr>
        <w:t>, Charron and Rothstein JJ.: Section </w:t>
      </w:r>
      <w:r w:rsidRPr="008F4C78">
        <w:rPr>
          <w:sz w:val="20"/>
          <w:lang w:val="en-US"/>
        </w:rPr>
        <w:t xml:space="preserve">27(1)(f) of the </w:t>
      </w:r>
      <w:r w:rsidRPr="008F4C78">
        <w:rPr>
          <w:i/>
          <w:sz w:val="20"/>
          <w:lang w:val="en-US"/>
        </w:rPr>
        <w:t>Code</w:t>
      </w:r>
      <w:r w:rsidRPr="008F4C78">
        <w:rPr>
          <w:sz w:val="20"/>
          <w:lang w:val="en-US"/>
        </w:rPr>
        <w:t xml:space="preserve"> is the </w:t>
      </w:r>
      <w:r w:rsidRPr="008F4C78">
        <w:rPr>
          <w:sz w:val="20"/>
        </w:rPr>
        <w:t>statutory</w:t>
      </w:r>
      <w:r w:rsidRPr="008F4C78">
        <w:rPr>
          <w:sz w:val="20"/>
          <w:lang w:val="en-US"/>
        </w:rPr>
        <w:t xml:space="preserve"> reflection of the collective principles underlying the doctrines of  issue estoppel, collateral attack and abuse of process —doctrines used by the common law as vehicles to transport and deliver to the litigation process principles of finality, the avoidance of multiplicity of proceedings, and protection for the integrity of the administration of justice, all in the name of fairness.  </w:t>
      </w:r>
    </w:p>
    <w:p w:rsidR="002574C2" w:rsidRPr="008F4C78" w:rsidRDefault="002574C2" w:rsidP="002574C2">
      <w:pPr>
        <w:pStyle w:val="SCCNormalDoubleSpacing"/>
        <w:spacing w:line="240" w:lineRule="auto"/>
        <w:rPr>
          <w:sz w:val="20"/>
        </w:rPr>
      </w:pPr>
    </w:p>
    <w:p w:rsidR="002574C2" w:rsidRDefault="002574C2" w:rsidP="002574C2">
      <w:pPr>
        <w:pStyle w:val="SCCNormalDoubleSpacing"/>
        <w:spacing w:line="240" w:lineRule="auto"/>
        <w:rPr>
          <w:sz w:val="20"/>
        </w:rPr>
      </w:pPr>
      <w:r w:rsidRPr="008F4C78">
        <w:rPr>
          <w:sz w:val="20"/>
        </w:rPr>
        <w:tab/>
        <w:t>Read as a whole, s. 27(1)(f) does not codify these actual doctrines or their technical explications, it embraces their underlying principles.  As a result, the Tribunal should be guided less by precise doctrinal catechisms and more by the goals of the fairness of finality in decision</w:t>
      </w:r>
      <w:r w:rsidRPr="008F4C78">
        <w:rPr>
          <w:sz w:val="20"/>
        </w:rPr>
        <w:noBreakHyphen/>
        <w:t>making and the avoidance of the relitigation of issues already decided by a decision</w:t>
      </w:r>
      <w:r w:rsidRPr="008F4C78">
        <w:rPr>
          <w:sz w:val="20"/>
        </w:rPr>
        <w:noBreakHyphen/>
        <w:t xml:space="preserve">maker with the authority to resolve them.  Relying on these principles will lead the Tribunal to ask itself </w:t>
      </w:r>
      <w:r w:rsidRPr="008F4C78">
        <w:rPr>
          <w:sz w:val="20"/>
        </w:rPr>
        <w:lastRenderedPageBreak/>
        <w:t xml:space="preserve">whether there was concurrent jurisdiction to decide the issues; whether the previously decided legal issue was essentially the same as what is being complained of to the Tribunal; and whether there was an opportunity for the complainants or their privies to know the case to be met and have the chance to meet it, regardless of how closely the previous process procedurally mirrored the one the Tribunal prefers or uses itself.  All of these questions go to determining whether the substance of a complaint has been “appropriately dealt with” under s. 27(1)(f).  The Tribunal’s strict adherence to the application of issue estoppel was an overly formalistic interpretation of the s. 27(1)(f), particularly of the phrase “appropriately dealt with”, and had the effect of obstructing rather than implementing the goal of avoiding unnecessary relitigation.  </w:t>
      </w:r>
    </w:p>
    <w:p w:rsidR="002574C2" w:rsidRPr="008F4C78" w:rsidRDefault="002574C2" w:rsidP="002574C2">
      <w:pPr>
        <w:pStyle w:val="SCCNormalDoubleSpacing"/>
        <w:spacing w:line="240" w:lineRule="auto"/>
        <w:rPr>
          <w:sz w:val="20"/>
        </w:rPr>
      </w:pPr>
    </w:p>
    <w:p w:rsidR="002574C2" w:rsidRDefault="002574C2" w:rsidP="002574C2">
      <w:pPr>
        <w:pStyle w:val="SCCNormalDoubleSpacing"/>
        <w:spacing w:line="240" w:lineRule="auto"/>
        <w:rPr>
          <w:sz w:val="20"/>
        </w:rPr>
      </w:pPr>
      <w:r w:rsidRPr="008F4C78">
        <w:rPr>
          <w:sz w:val="20"/>
        </w:rPr>
        <w:tab/>
        <w:t xml:space="preserve">Section 27(1)(f) does not represent a statutory invitation either to judicially review another tribunal’s decision, or to reconsider a legitimately decided issue in order to explore whether it might yield a different outcome.  The section is oriented instead towards creating territorial respect among neighbouring tribunals, including respect for their right to have their own vertical lines of review protected from lateral adjudicative poaching.  When an adjudicative body decides an issue within its jurisdiction, it and the parties who participated in the process are entitled to assume that, subject to appellate or judicial review, its decision will not only be final, it will be treated as such by other adjudicative bodies.  </w:t>
      </w:r>
    </w:p>
    <w:p w:rsidR="002574C2" w:rsidRPr="008F4C78" w:rsidRDefault="002574C2" w:rsidP="002574C2">
      <w:pPr>
        <w:pStyle w:val="SCCNormalDoubleSpacing"/>
        <w:spacing w:line="240" w:lineRule="auto"/>
        <w:rPr>
          <w:sz w:val="20"/>
        </w:rPr>
      </w:pPr>
    </w:p>
    <w:p w:rsidR="002574C2" w:rsidRDefault="002574C2" w:rsidP="002574C2">
      <w:pPr>
        <w:pStyle w:val="SCCNormalDoubleSpacing"/>
        <w:spacing w:line="240" w:lineRule="auto"/>
        <w:rPr>
          <w:sz w:val="20"/>
        </w:rPr>
      </w:pPr>
      <w:r w:rsidRPr="008F4C78">
        <w:rPr>
          <w:sz w:val="20"/>
        </w:rPr>
        <w:tab/>
        <w:t xml:space="preserve">The discretion in s. 27(1)(f) was intended to be limited.  This is based not only on the language of s. 27(1)(f) and the legislative history, but also on the character of the other six categories of complaints in s. 27(1), all of which refer to circumstances that make hearing the complaint presumptively unwarranted, such as complaints that are not within the Tribunal’s jurisdiction, allege acts of omissions that do not contravene the </w:t>
      </w:r>
      <w:r w:rsidRPr="008F4C78">
        <w:rPr>
          <w:i/>
          <w:sz w:val="20"/>
        </w:rPr>
        <w:t>Code</w:t>
      </w:r>
      <w:r w:rsidRPr="008F4C78">
        <w:rPr>
          <w:sz w:val="20"/>
        </w:rPr>
        <w:t xml:space="preserve">, have no reasonable prospect of success, would not be of any benefit to the complainant or further the purposes of the </w:t>
      </w:r>
      <w:r w:rsidRPr="008F4C78">
        <w:rPr>
          <w:i/>
          <w:sz w:val="20"/>
        </w:rPr>
        <w:t>Code</w:t>
      </w:r>
      <w:r w:rsidRPr="008F4C78">
        <w:rPr>
          <w:sz w:val="20"/>
        </w:rPr>
        <w:t xml:space="preserve">, or are made for improper motives or bad faith.  </w:t>
      </w:r>
    </w:p>
    <w:p w:rsidR="002574C2" w:rsidRPr="008F4C78" w:rsidRDefault="002574C2" w:rsidP="002574C2">
      <w:pPr>
        <w:pStyle w:val="SCCNormalDoubleSpacing"/>
        <w:spacing w:line="240" w:lineRule="auto"/>
        <w:rPr>
          <w:sz w:val="20"/>
        </w:rPr>
      </w:pPr>
    </w:p>
    <w:p w:rsidR="002574C2" w:rsidRDefault="002574C2" w:rsidP="002574C2">
      <w:pPr>
        <w:pStyle w:val="SCCNormalDoubleSpacing"/>
        <w:spacing w:line="240" w:lineRule="auto"/>
        <w:rPr>
          <w:sz w:val="20"/>
        </w:rPr>
      </w:pPr>
      <w:r w:rsidRPr="008F4C78">
        <w:rPr>
          <w:sz w:val="20"/>
          <w:lang w:val="en-US"/>
        </w:rPr>
        <w:tab/>
        <w:t>W</w:t>
      </w:r>
      <w:r w:rsidRPr="008F4C78">
        <w:rPr>
          <w:sz w:val="20"/>
        </w:rPr>
        <w:t>hat the complainants in this case were trying to do is relitigate in a different forum.  Rather than challenging the Review Officer’s decision through the available review route of judicial review, they started fresh proceedings before a different tribunal in search of a more favourable result.  This strategy represented a “collateral appeal” to the Tribunal, the very trajectory that s. 27(1)(f) and the common law</w:t>
      </w:r>
      <w:r w:rsidRPr="008F4C78">
        <w:rPr>
          <w:b/>
          <w:sz w:val="20"/>
        </w:rPr>
        <w:t xml:space="preserve"> </w:t>
      </w:r>
      <w:r w:rsidRPr="008F4C78">
        <w:rPr>
          <w:sz w:val="20"/>
        </w:rPr>
        <w:t xml:space="preserve">doctrines were designed to prevent.  </w:t>
      </w:r>
      <w:r w:rsidRPr="008F4C78">
        <w:rPr>
          <w:sz w:val="20"/>
          <w:lang w:val="en-US"/>
        </w:rPr>
        <w:t>The Tribunal’s analysis made it complicit in this attempt to collaterally appeal the merits of the Board’s decision and decision</w:t>
      </w:r>
      <w:r w:rsidRPr="008F4C78">
        <w:rPr>
          <w:sz w:val="20"/>
          <w:lang w:val="en-US"/>
        </w:rPr>
        <w:noBreakHyphen/>
        <w:t xml:space="preserve">making process.  </w:t>
      </w:r>
      <w:r w:rsidRPr="008F4C78">
        <w:rPr>
          <w:sz w:val="20"/>
        </w:rPr>
        <w:t xml:space="preserve">Its analysis represents a litany of factors having to do with whether it was comfortable with the process and merits of the Review Officer’s decision:  it questioned whether the Review Division’s process met the necessary procedural requirements; it criticized the Review Officer for the way he interpreted his human rights mandate; it held that the decision of the Review Officer was not final; it concluded that the parties were not the same before the Workers’ Compensation Board as they were before the Tribunal; and it suggested that Review Officers lacked expertise in interpreting or applying the </w:t>
      </w:r>
      <w:r w:rsidRPr="008F4C78">
        <w:rPr>
          <w:i/>
          <w:sz w:val="20"/>
        </w:rPr>
        <w:t>Code</w:t>
      </w:r>
      <w:r w:rsidRPr="008F4C78">
        <w:rPr>
          <w:sz w:val="20"/>
        </w:rPr>
        <w:t xml:space="preserve">. </w:t>
      </w:r>
    </w:p>
    <w:p w:rsidR="002574C2" w:rsidRPr="008F4C78" w:rsidRDefault="002574C2" w:rsidP="002574C2">
      <w:pPr>
        <w:pStyle w:val="SCCNormalDoubleSpacing"/>
        <w:spacing w:line="240" w:lineRule="auto"/>
        <w:rPr>
          <w:sz w:val="20"/>
        </w:rPr>
      </w:pPr>
    </w:p>
    <w:p w:rsidR="002574C2" w:rsidRDefault="002574C2" w:rsidP="002574C2">
      <w:pPr>
        <w:pStyle w:val="SCCNormalDoubleSpacing"/>
        <w:spacing w:line="240" w:lineRule="auto"/>
        <w:rPr>
          <w:sz w:val="20"/>
          <w:lang w:val="en-US"/>
        </w:rPr>
      </w:pPr>
      <w:r w:rsidRPr="008F4C78">
        <w:rPr>
          <w:sz w:val="20"/>
        </w:rPr>
        <w:tab/>
        <w:t xml:space="preserve">The standard of review designated under s. 59 of the </w:t>
      </w:r>
      <w:r w:rsidRPr="008F4C78">
        <w:rPr>
          <w:i/>
          <w:sz w:val="20"/>
        </w:rPr>
        <w:t>Administrative Tribunals Act</w:t>
      </w:r>
      <w:r w:rsidRPr="008F4C78">
        <w:rPr>
          <w:sz w:val="20"/>
        </w:rPr>
        <w:t xml:space="preserve"> is patent unreasonableness.  Because the Tribunal based its decision to proceed with these complaints and have them relitigated on predominantly irrelevant factors and ignored its true mandate under s. 27(1)(f), its decision is patently unreasonable.</w:t>
      </w:r>
      <w:r w:rsidRPr="008F4C78">
        <w:rPr>
          <w:sz w:val="20"/>
          <w:lang w:val="en-US"/>
        </w:rPr>
        <w:t xml:space="preserve">  </w:t>
      </w:r>
    </w:p>
    <w:p w:rsidR="002574C2" w:rsidRPr="008F4C78" w:rsidRDefault="002574C2" w:rsidP="002574C2">
      <w:pPr>
        <w:pStyle w:val="SCCNormalDoubleSpacing"/>
        <w:spacing w:line="240" w:lineRule="auto"/>
        <w:rPr>
          <w:sz w:val="20"/>
        </w:rPr>
      </w:pPr>
    </w:p>
    <w:p w:rsidR="002574C2" w:rsidRDefault="002574C2" w:rsidP="002574C2">
      <w:pPr>
        <w:pStyle w:val="SCCNormalDoubleSpacing"/>
        <w:spacing w:line="240" w:lineRule="auto"/>
        <w:rPr>
          <w:sz w:val="20"/>
        </w:rPr>
      </w:pPr>
      <w:r w:rsidRPr="008F4C78">
        <w:rPr>
          <w:i/>
          <w:sz w:val="20"/>
          <w:lang w:val="en-US"/>
        </w:rPr>
        <w:tab/>
        <w:t xml:space="preserve">Per </w:t>
      </w:r>
      <w:r w:rsidRPr="008F4C78">
        <w:rPr>
          <w:sz w:val="20"/>
          <w:lang w:val="en-US"/>
        </w:rPr>
        <w:t xml:space="preserve">McLachlin C.J. and Binnie, Fish and </w:t>
      </w:r>
      <w:r w:rsidRPr="008F4C78">
        <w:rPr>
          <w:b/>
          <w:sz w:val="20"/>
          <w:lang w:val="en-US"/>
        </w:rPr>
        <w:t>Cromwell </w:t>
      </w:r>
      <w:r w:rsidRPr="008F4C78">
        <w:rPr>
          <w:sz w:val="20"/>
          <w:lang w:val="en-US"/>
        </w:rPr>
        <w:t xml:space="preserve">JJ.: </w:t>
      </w:r>
      <w:r w:rsidRPr="008F4C78">
        <w:rPr>
          <w:sz w:val="20"/>
        </w:rPr>
        <w:t xml:space="preserve">Both the common law and in particular s. 27(1)(f) of the </w:t>
      </w:r>
      <w:r w:rsidRPr="008F4C78">
        <w:rPr>
          <w:i/>
          <w:sz w:val="20"/>
        </w:rPr>
        <w:t>Code</w:t>
      </w:r>
      <w:r w:rsidRPr="008F4C78">
        <w:rPr>
          <w:sz w:val="20"/>
        </w:rPr>
        <w:t xml:space="preserve"> are intended to achieve the necessary balance between finality and fairness through the exercise of discretion.  It is this balance which is at the heart of both the common law finality doctrines and the legislative intent in enacting s. 27(1)(f).  A narrow interpretation of the Tribunal’s discretion under s. 27(1)(f) does not reflect the clear legislative intent in enacting the provision.  Rather, </w:t>
      </w:r>
      <w:r w:rsidRPr="008F4C78">
        <w:rPr>
          <w:sz w:val="20"/>
          <w:lang w:val="en-US"/>
        </w:rPr>
        <w:t>s. </w:t>
      </w:r>
      <w:r w:rsidRPr="008F4C78">
        <w:rPr>
          <w:sz w:val="20"/>
        </w:rPr>
        <w:t>27(1)(f) confers, in very broad language, a flexible discretion on the Human Rights Tribunal to enable it to achieve that balance in the multitude of contexts in which another tribunal may have dealt with a point of human rights law.</w:t>
      </w:r>
    </w:p>
    <w:p w:rsidR="002574C2" w:rsidRPr="008F4C78" w:rsidRDefault="002574C2" w:rsidP="002574C2">
      <w:pPr>
        <w:pStyle w:val="SCCNormalDoubleSpacing"/>
        <w:spacing w:line="240" w:lineRule="auto"/>
        <w:rPr>
          <w:sz w:val="20"/>
        </w:rPr>
      </w:pPr>
    </w:p>
    <w:p w:rsidR="002574C2" w:rsidRDefault="002574C2" w:rsidP="002574C2">
      <w:pPr>
        <w:pStyle w:val="SCCNormalDoubleSpacing"/>
        <w:spacing w:line="240" w:lineRule="auto"/>
        <w:rPr>
          <w:sz w:val="20"/>
        </w:rPr>
      </w:pPr>
      <w:r w:rsidRPr="008F4C78">
        <w:rPr>
          <w:sz w:val="20"/>
        </w:rPr>
        <w:tab/>
        <w:t xml:space="preserve">The grammatical and ordinary meaning of the words of s. 27(1)(f) support an expansive view of the discretion, not a narrow one.  Nor can it be suggested that s. 27(1)(f) be read narrowly because of the character of the other six categories of discretion conferred by s. 27(1).  The provision’s legislative history also confirms that it was the Legislature’s intent to confer a broad discretion to dismiss or not to dismiss where there had been an earlier proceeding.  The intent was clearly to broaden, not to narrow, the range of factors which a Tribunal could consider.  </w:t>
      </w:r>
    </w:p>
    <w:p w:rsidR="002574C2" w:rsidRPr="008F4C78" w:rsidRDefault="002574C2" w:rsidP="002574C2">
      <w:pPr>
        <w:pStyle w:val="SCCNormalDoubleSpacing"/>
        <w:spacing w:line="240" w:lineRule="auto"/>
        <w:rPr>
          <w:sz w:val="20"/>
        </w:rPr>
      </w:pPr>
    </w:p>
    <w:p w:rsidR="002574C2" w:rsidRDefault="002574C2" w:rsidP="002574C2">
      <w:pPr>
        <w:pStyle w:val="SCCNormalDoubleSpacing"/>
        <w:spacing w:line="240" w:lineRule="auto"/>
        <w:rPr>
          <w:sz w:val="20"/>
        </w:rPr>
      </w:pPr>
      <w:r w:rsidRPr="008F4C78">
        <w:rPr>
          <w:sz w:val="20"/>
          <w:lang w:val="en-US"/>
        </w:rPr>
        <w:lastRenderedPageBreak/>
        <w:tab/>
        <w:t>T</w:t>
      </w:r>
      <w:r w:rsidRPr="008F4C78">
        <w:rPr>
          <w:iCs/>
          <w:sz w:val="20"/>
        </w:rPr>
        <w:t xml:space="preserve">he Court’s </w:t>
      </w:r>
      <w:r w:rsidRPr="008F4C78">
        <w:rPr>
          <w:sz w:val="20"/>
        </w:rPr>
        <w:t>jurisprudence</w:t>
      </w:r>
      <w:r w:rsidRPr="008F4C78">
        <w:rPr>
          <w:iCs/>
          <w:sz w:val="20"/>
        </w:rPr>
        <w:t xml:space="preserve"> recognizes that, in the administrative law context, common law finality doctrines must be applied flexibly to maintain the necessary balance between finality and fairness.  This is done through the exercise of discretion taking into account a wide variety of factors which are sensitive to the particular administrative law context in which the case arises and to the demands of substantial justice in the particular circumstances of each case.  Finality and requiring parties to use the most appropriate mechanisms for review are of course important considerations.  But they are not the only, or even the most important considerations.  The need for this necessarily broader discretion in applying the finality doctrines in the administrative law setting is well</w:t>
      </w:r>
      <w:r w:rsidRPr="008F4C78">
        <w:rPr>
          <w:iCs/>
          <w:sz w:val="20"/>
        </w:rPr>
        <w:noBreakHyphen/>
        <w:t xml:space="preserve">illustrated by the intricate and changing procedural context in which the complainants found themselves in this case and underlines the wisdom of applying finality doctrines with considerable flexibility in the administrative law setting.  </w:t>
      </w:r>
      <w:r w:rsidRPr="008F4C78">
        <w:rPr>
          <w:sz w:val="20"/>
        </w:rPr>
        <w:t>The most important consideration is whether giving the earlier proceeding final and binding effect will work an injustice.  If there is substantial injustice, or a serious risk of it, poor procedural choices by the complainant should generally not be fatal to an appropriate consideration of his or her complaint on its merits.</w:t>
      </w:r>
    </w:p>
    <w:p w:rsidR="002574C2" w:rsidRPr="008F4C78" w:rsidRDefault="002574C2" w:rsidP="002574C2">
      <w:pPr>
        <w:pStyle w:val="SCCNormalDoubleSpacing"/>
        <w:spacing w:line="240" w:lineRule="auto"/>
        <w:rPr>
          <w:sz w:val="20"/>
        </w:rPr>
      </w:pPr>
    </w:p>
    <w:p w:rsidR="002574C2" w:rsidRDefault="002574C2" w:rsidP="002574C2">
      <w:pPr>
        <w:pStyle w:val="SCCNormalDoubleSpacing"/>
        <w:spacing w:line="240" w:lineRule="auto"/>
        <w:rPr>
          <w:sz w:val="20"/>
        </w:rPr>
      </w:pPr>
      <w:r w:rsidRPr="008F4C78">
        <w:rPr>
          <w:sz w:val="20"/>
        </w:rPr>
        <w:tab/>
        <w:t>In this case, the Tribunal’s decision not to dismiss the complaint under s 27(1)(f) was patently unreasonable</w:t>
      </w:r>
      <w:r w:rsidRPr="008F4C78">
        <w:rPr>
          <w:i/>
          <w:sz w:val="20"/>
        </w:rPr>
        <w:t>.</w:t>
      </w:r>
      <w:r w:rsidRPr="008F4C78">
        <w:rPr>
          <w:sz w:val="20"/>
        </w:rPr>
        <w:t xml:space="preserve">  The Tribunal was entitled to take into account the alleged procedural limitations of the proceedings before the Review Officer, it committed reversible error by basing its decision on the alleged lack of independence of the Review Officer and by ignoring the potential availability of judicial review to remedy any procedural defects.  More fundamentally, it failed to consider whether the substance of the complaint had been addressed and thereby failed to take this threshold statutory requirement into account.  This requires looking at such factors as the issues raised in the earlier proceeding; whether those proceedings were fair; whether the complainant had been adequately represented; whether the applicable human rights principles had been canvassed; whether an appropriate remedy had been available and whether the complainant chose the forum for the earlier proceedings.  This flexible and global assessment seems to be exactly the sort of approach called for by s. 27(1)(f).  The Tribunal also failed to have regard to the fundamental fairness or otherwise of the earlier proceeding.  All of this led the Tribunal to give no weight at all to the interests of finality and to largely focus instead on irrelevant considerations of whether the strict elements of issue estoppel were present.</w:t>
      </w:r>
    </w:p>
    <w:p w:rsidR="002574C2" w:rsidRPr="008F4C78" w:rsidRDefault="002574C2" w:rsidP="002574C2">
      <w:pPr>
        <w:pStyle w:val="SCCNormalDoubleSpacing"/>
        <w:spacing w:line="240" w:lineRule="auto"/>
        <w:rPr>
          <w:sz w:val="20"/>
        </w:rPr>
      </w:pPr>
    </w:p>
    <w:p w:rsidR="002574C2" w:rsidRDefault="002574C2" w:rsidP="002574C2">
      <w:pPr>
        <w:pStyle w:val="SCCNormalDoubleSpacing"/>
        <w:spacing w:line="240" w:lineRule="auto"/>
        <w:rPr>
          <w:sz w:val="20"/>
        </w:rPr>
      </w:pPr>
      <w:r w:rsidRPr="008F4C78">
        <w:rPr>
          <w:sz w:val="20"/>
        </w:rPr>
        <w:tab/>
        <w:t xml:space="preserve">The appeal should be allowed and the application of the Workers’ Compensation Board under s. 27(1)(f) should be remitted to the Tribunal for reconsideration. </w:t>
      </w:r>
    </w:p>
    <w:p w:rsidR="002574C2" w:rsidRPr="008F4C78" w:rsidRDefault="002574C2" w:rsidP="002574C2">
      <w:pPr>
        <w:pStyle w:val="SCCNormalDoubleSpacing"/>
        <w:spacing w:line="240" w:lineRule="auto"/>
        <w:rPr>
          <w:sz w:val="20"/>
        </w:rPr>
      </w:pPr>
    </w:p>
    <w:p w:rsidR="002574C2" w:rsidRDefault="002574C2" w:rsidP="002574C2">
      <w:pPr>
        <w:pStyle w:val="SCCNormalDoubleSpacing"/>
        <w:spacing w:line="240" w:lineRule="auto"/>
        <w:rPr>
          <w:sz w:val="20"/>
        </w:rPr>
      </w:pPr>
      <w:r w:rsidRPr="008F4C78">
        <w:rPr>
          <w:sz w:val="20"/>
        </w:rPr>
        <w:tab/>
        <w:t xml:space="preserve">APPEAL from a judgment of the British Columbia Court of Appeal (Huddart, Frankel and Tysoe JJ.A.), 2010 BCCA 77, 2 B.C.L.R. (5th) 274, 316 D.L.R. (4th) 648, 284 B.C.A.C. 50, 481 W.A.C. 50, 3 Admin. L.R. (5th) 49, [2010] B.C.J. No. 259 (QL), 2010 CarswellBC 330, </w:t>
      </w:r>
      <w:bookmarkStart w:id="1" w:name="OLE_LINK3"/>
      <w:bookmarkStart w:id="2" w:name="OLE_LINK4"/>
      <w:r w:rsidRPr="008F4C78">
        <w:rPr>
          <w:sz w:val="20"/>
        </w:rPr>
        <w:t xml:space="preserve">setting aside </w:t>
      </w:r>
      <w:bookmarkEnd w:id="1"/>
      <w:bookmarkEnd w:id="2"/>
      <w:r w:rsidRPr="008F4C78">
        <w:rPr>
          <w:sz w:val="20"/>
        </w:rPr>
        <w:t>a decision of Stromberg</w:t>
      </w:r>
      <w:r w:rsidRPr="008F4C78">
        <w:rPr>
          <w:sz w:val="20"/>
        </w:rPr>
        <w:noBreakHyphen/>
        <w:t>Stein J., 2009 BCSC 377, 93 B.C.L.R. (4th) 384, 96 Admin. L.R. (4th) 250, [2009] B.C.J. No. 554 (QL), 2009 CarswellBC 737.  Appeal allowed.</w:t>
      </w:r>
    </w:p>
    <w:p w:rsidR="002574C2" w:rsidRPr="008F4C78" w:rsidRDefault="002574C2" w:rsidP="002574C2">
      <w:pPr>
        <w:pStyle w:val="SCCNormalDoubleSpacing"/>
        <w:spacing w:line="240" w:lineRule="auto"/>
        <w:rPr>
          <w:sz w:val="20"/>
        </w:rPr>
      </w:pPr>
    </w:p>
    <w:p w:rsidR="002574C2" w:rsidRDefault="002574C2" w:rsidP="002574C2">
      <w:pPr>
        <w:pStyle w:val="SCCNormalDoubleSpacing"/>
        <w:spacing w:line="240" w:lineRule="auto"/>
        <w:rPr>
          <w:rStyle w:val="SCCCounselPartyRoleChar"/>
          <w:sz w:val="20"/>
        </w:rPr>
      </w:pPr>
      <w:r w:rsidRPr="008F4C78">
        <w:rPr>
          <w:rStyle w:val="SCCCounselNameChar"/>
          <w:sz w:val="20"/>
        </w:rPr>
        <w:tab/>
        <w:t>Scott A. Nielsen</w:t>
      </w:r>
      <w:r w:rsidRPr="00B375A6">
        <w:rPr>
          <w:rStyle w:val="SCCCounselSeparatorChar"/>
          <w:sz w:val="20"/>
          <w:lang w:val="en-CA"/>
        </w:rPr>
        <w:t xml:space="preserve"> and </w:t>
      </w:r>
      <w:r w:rsidRPr="008F4C78">
        <w:rPr>
          <w:rStyle w:val="SCCCounselNameChar"/>
          <w:sz w:val="20"/>
        </w:rPr>
        <w:t>Laurel Courtenay</w:t>
      </w:r>
      <w:r w:rsidRPr="008F4C78">
        <w:rPr>
          <w:rStyle w:val="SCCCounselPartyRoleChar"/>
          <w:sz w:val="20"/>
        </w:rPr>
        <w:t>, for the appellant.</w:t>
      </w:r>
    </w:p>
    <w:p w:rsidR="002574C2" w:rsidRPr="008F4C78" w:rsidRDefault="002574C2" w:rsidP="002574C2">
      <w:pPr>
        <w:pStyle w:val="SCCNormalDoubleSpacing"/>
        <w:spacing w:line="240" w:lineRule="auto"/>
        <w:rPr>
          <w:sz w:val="20"/>
        </w:rPr>
      </w:pPr>
    </w:p>
    <w:p w:rsidR="002574C2" w:rsidRDefault="002574C2" w:rsidP="002574C2">
      <w:pPr>
        <w:pStyle w:val="SCCNormalDoubleSpacing"/>
        <w:spacing w:line="240" w:lineRule="auto"/>
        <w:rPr>
          <w:rStyle w:val="SCCCounselPartyRoleChar"/>
          <w:sz w:val="20"/>
        </w:rPr>
      </w:pPr>
      <w:r w:rsidRPr="008F4C78">
        <w:rPr>
          <w:rStyle w:val="SCCCounselNameChar"/>
          <w:sz w:val="20"/>
        </w:rPr>
        <w:tab/>
        <w:t>Lindsay Waddell,</w:t>
      </w:r>
      <w:r w:rsidRPr="00B375A6">
        <w:rPr>
          <w:rStyle w:val="SCCCounselSeparatorChar"/>
          <w:sz w:val="20"/>
          <w:lang w:val="en-CA"/>
        </w:rPr>
        <w:t xml:space="preserve"> </w:t>
      </w:r>
      <w:r w:rsidRPr="008F4C78">
        <w:rPr>
          <w:rStyle w:val="SCCCounselNameChar"/>
          <w:sz w:val="20"/>
        </w:rPr>
        <w:t>James Sayre</w:t>
      </w:r>
      <w:r w:rsidRPr="00B375A6">
        <w:rPr>
          <w:rStyle w:val="SCCCounselSeparatorChar"/>
          <w:sz w:val="20"/>
          <w:lang w:val="en-CA"/>
        </w:rPr>
        <w:t xml:space="preserve"> and </w:t>
      </w:r>
      <w:r w:rsidRPr="008F4C78">
        <w:rPr>
          <w:rStyle w:val="SCCCounselNameChar"/>
          <w:sz w:val="20"/>
        </w:rPr>
        <w:t>Kevin Love</w:t>
      </w:r>
      <w:r w:rsidRPr="008F4C78">
        <w:rPr>
          <w:rStyle w:val="SCCCounselPartyRoleChar"/>
          <w:sz w:val="20"/>
        </w:rPr>
        <w:t>, for the respondents Guiseppe Figliola, Kimberley Sallis and Barry Dearden.</w:t>
      </w:r>
    </w:p>
    <w:p w:rsidR="002574C2" w:rsidRPr="008F4C78" w:rsidRDefault="002574C2" w:rsidP="002574C2">
      <w:pPr>
        <w:pStyle w:val="SCCNormalDoubleSpacing"/>
        <w:spacing w:line="240" w:lineRule="auto"/>
        <w:rPr>
          <w:sz w:val="20"/>
        </w:rPr>
      </w:pPr>
    </w:p>
    <w:p w:rsidR="002574C2" w:rsidRDefault="002574C2" w:rsidP="002574C2">
      <w:pPr>
        <w:pStyle w:val="SCCNormalDoubleSpacing"/>
        <w:spacing w:line="240" w:lineRule="auto"/>
        <w:rPr>
          <w:rStyle w:val="SCCCounselPartyRoleChar"/>
          <w:sz w:val="20"/>
        </w:rPr>
      </w:pPr>
      <w:r w:rsidRPr="008F4C78">
        <w:rPr>
          <w:rStyle w:val="SCCCounselNameChar"/>
          <w:sz w:val="20"/>
        </w:rPr>
        <w:tab/>
        <w:t>Jessica M. Connell and Katherine Hardie</w:t>
      </w:r>
      <w:r w:rsidRPr="008F4C78">
        <w:rPr>
          <w:rStyle w:val="SCCCounselPartyRoleChar"/>
          <w:sz w:val="20"/>
        </w:rPr>
        <w:t>, for the respondent the British Columbia Human Rights Tribunal.</w:t>
      </w:r>
    </w:p>
    <w:p w:rsidR="002574C2" w:rsidRPr="008F4C78" w:rsidRDefault="002574C2" w:rsidP="002574C2">
      <w:pPr>
        <w:pStyle w:val="SCCNormalDoubleSpacing"/>
        <w:spacing w:line="240" w:lineRule="auto"/>
        <w:rPr>
          <w:sz w:val="20"/>
        </w:rPr>
      </w:pPr>
    </w:p>
    <w:p w:rsidR="002574C2" w:rsidRDefault="002574C2" w:rsidP="002574C2">
      <w:pPr>
        <w:pStyle w:val="SCCNormalDoubleSpacing"/>
        <w:spacing w:line="240" w:lineRule="auto"/>
        <w:rPr>
          <w:rStyle w:val="SCCCounselPartyRoleChar"/>
          <w:sz w:val="20"/>
        </w:rPr>
      </w:pPr>
      <w:r w:rsidRPr="008F4C78">
        <w:rPr>
          <w:rStyle w:val="SCCCounselNameChar"/>
          <w:sz w:val="20"/>
        </w:rPr>
        <w:tab/>
        <w:t>Jonathan G. Penner</w:t>
      </w:r>
      <w:r w:rsidRPr="008F4C78">
        <w:rPr>
          <w:rStyle w:val="SCCCounselPartyRoleChar"/>
          <w:sz w:val="20"/>
        </w:rPr>
        <w:t>, for the intervener the Attorney General of British Columbia.</w:t>
      </w:r>
    </w:p>
    <w:p w:rsidR="002574C2" w:rsidRPr="008F4C78" w:rsidRDefault="002574C2" w:rsidP="002574C2">
      <w:pPr>
        <w:pStyle w:val="SCCNormalDoubleSpacing"/>
        <w:spacing w:line="240" w:lineRule="auto"/>
        <w:rPr>
          <w:sz w:val="20"/>
        </w:rPr>
      </w:pPr>
    </w:p>
    <w:p w:rsidR="002574C2" w:rsidRDefault="002574C2" w:rsidP="002574C2">
      <w:pPr>
        <w:pStyle w:val="SCCNormalDoubleSpacing"/>
        <w:spacing w:line="240" w:lineRule="auto"/>
        <w:rPr>
          <w:rStyle w:val="SCCCounselPartyRoleChar"/>
          <w:sz w:val="20"/>
        </w:rPr>
      </w:pPr>
      <w:r w:rsidRPr="008F4C78">
        <w:rPr>
          <w:rStyle w:val="SCCCounselNameChar"/>
          <w:sz w:val="20"/>
        </w:rPr>
        <w:tab/>
        <w:t>Peter A. Gall, Q.C.,</w:t>
      </w:r>
      <w:r w:rsidRPr="00B375A6">
        <w:rPr>
          <w:rStyle w:val="SCCCounselSeparatorChar"/>
          <w:sz w:val="20"/>
          <w:lang w:val="en-CA"/>
        </w:rPr>
        <w:t xml:space="preserve"> and </w:t>
      </w:r>
      <w:r w:rsidRPr="008F4C78">
        <w:rPr>
          <w:rStyle w:val="SCCCounselNameChar"/>
          <w:sz w:val="20"/>
        </w:rPr>
        <w:t>Nitya Iyer</w:t>
      </w:r>
      <w:r w:rsidRPr="008F4C78">
        <w:rPr>
          <w:rStyle w:val="SCCCounselPartyRoleChar"/>
          <w:sz w:val="20"/>
        </w:rPr>
        <w:t>, for the intervener the Coalition of BC Businesses.</w:t>
      </w:r>
    </w:p>
    <w:p w:rsidR="002574C2" w:rsidRPr="008F4C78" w:rsidRDefault="002574C2" w:rsidP="002574C2">
      <w:pPr>
        <w:pStyle w:val="SCCNormalDoubleSpacing"/>
        <w:spacing w:line="240" w:lineRule="auto"/>
        <w:rPr>
          <w:sz w:val="20"/>
        </w:rPr>
      </w:pPr>
    </w:p>
    <w:p w:rsidR="002574C2" w:rsidRDefault="002574C2" w:rsidP="002574C2">
      <w:pPr>
        <w:pStyle w:val="SCCNormalDoubleSpacing"/>
        <w:spacing w:line="240" w:lineRule="auto"/>
        <w:rPr>
          <w:rStyle w:val="SCCCounselPartyRoleChar"/>
          <w:sz w:val="20"/>
        </w:rPr>
      </w:pPr>
      <w:r w:rsidRPr="008F4C78">
        <w:rPr>
          <w:rStyle w:val="SCCCounselNameChar"/>
          <w:sz w:val="20"/>
        </w:rPr>
        <w:tab/>
        <w:t>Sheila Osborne</w:t>
      </w:r>
      <w:r w:rsidRPr="008F4C78">
        <w:rPr>
          <w:rStyle w:val="SCCCounselNameChar"/>
          <w:sz w:val="20"/>
        </w:rPr>
        <w:noBreakHyphen/>
        <w:t xml:space="preserve">Brown </w:t>
      </w:r>
      <w:r w:rsidRPr="00B375A6">
        <w:rPr>
          <w:rStyle w:val="SCCCounselSeparatorChar"/>
          <w:sz w:val="20"/>
          <w:lang w:val="en-CA"/>
        </w:rPr>
        <w:t>and</w:t>
      </w:r>
      <w:r w:rsidRPr="008F4C78">
        <w:rPr>
          <w:rStyle w:val="SCCCounselNameChar"/>
          <w:sz w:val="20"/>
        </w:rPr>
        <w:t xml:space="preserve"> Philippe Dufresne</w:t>
      </w:r>
      <w:r w:rsidRPr="008F4C78">
        <w:rPr>
          <w:rStyle w:val="SCCCounselPartyRoleChar"/>
          <w:sz w:val="20"/>
        </w:rPr>
        <w:t>, for the intervener the Canadian Human Rights Commission.</w:t>
      </w:r>
    </w:p>
    <w:p w:rsidR="002574C2" w:rsidRPr="008F4C78" w:rsidRDefault="002574C2" w:rsidP="002574C2">
      <w:pPr>
        <w:pStyle w:val="SCCNormalDoubleSpacing"/>
        <w:spacing w:line="240" w:lineRule="auto"/>
        <w:rPr>
          <w:sz w:val="20"/>
        </w:rPr>
      </w:pPr>
    </w:p>
    <w:p w:rsidR="002574C2" w:rsidRDefault="002574C2" w:rsidP="002574C2">
      <w:pPr>
        <w:pStyle w:val="SCCNormalDoubleSpacing"/>
        <w:spacing w:line="240" w:lineRule="auto"/>
        <w:rPr>
          <w:rStyle w:val="SCCCounselPartyRoleChar"/>
          <w:sz w:val="20"/>
        </w:rPr>
      </w:pPr>
      <w:r w:rsidRPr="008F4C78">
        <w:rPr>
          <w:rStyle w:val="SCCCounselNameChar"/>
          <w:sz w:val="20"/>
        </w:rPr>
        <w:tab/>
        <w:t>Janice R. Ashcroft</w:t>
      </w:r>
      <w:r w:rsidRPr="008F4C78">
        <w:rPr>
          <w:rStyle w:val="SCCCounselPartyRoleChar"/>
          <w:sz w:val="20"/>
        </w:rPr>
        <w:t>, for the intervener the Alberta Human Rights Commission.</w:t>
      </w:r>
    </w:p>
    <w:p w:rsidR="002574C2" w:rsidRPr="008F4C78" w:rsidRDefault="002574C2" w:rsidP="002574C2">
      <w:pPr>
        <w:pStyle w:val="SCCNormalDoubleSpacing"/>
        <w:spacing w:line="240" w:lineRule="auto"/>
        <w:rPr>
          <w:sz w:val="20"/>
        </w:rPr>
      </w:pPr>
    </w:p>
    <w:p w:rsidR="002574C2" w:rsidRDefault="002574C2" w:rsidP="002574C2">
      <w:pPr>
        <w:pStyle w:val="SCCNormalDoubleSpacing"/>
        <w:spacing w:line="240" w:lineRule="auto"/>
        <w:rPr>
          <w:rStyle w:val="SCCCounselPartyRoleChar"/>
          <w:sz w:val="20"/>
        </w:rPr>
      </w:pPr>
      <w:r w:rsidRPr="008F4C78">
        <w:rPr>
          <w:rStyle w:val="SCCCounselNameChar"/>
          <w:sz w:val="20"/>
        </w:rPr>
        <w:tab/>
        <w:t>Ryan D. W. Dalziel</w:t>
      </w:r>
      <w:r w:rsidRPr="008F4C78">
        <w:rPr>
          <w:rStyle w:val="SCCCounselPartyRoleChar"/>
          <w:sz w:val="20"/>
        </w:rPr>
        <w:t>, for the intervener the Vancouver Area Human Rights Coalition Society.</w:t>
      </w:r>
    </w:p>
    <w:p w:rsidR="002574C2" w:rsidRPr="008F4C78" w:rsidRDefault="002574C2" w:rsidP="002574C2">
      <w:pPr>
        <w:pStyle w:val="SCCNormalDoubleSpacing"/>
        <w:spacing w:line="240" w:lineRule="auto"/>
        <w:rPr>
          <w:sz w:val="20"/>
        </w:rPr>
      </w:pPr>
    </w:p>
    <w:p w:rsidR="002574C2" w:rsidRDefault="002574C2" w:rsidP="002574C2">
      <w:pPr>
        <w:pStyle w:val="SCCLawFirm"/>
        <w:spacing w:line="240" w:lineRule="auto"/>
        <w:rPr>
          <w:sz w:val="20"/>
        </w:rPr>
      </w:pPr>
      <w:r w:rsidRPr="008F4C78">
        <w:rPr>
          <w:sz w:val="20"/>
        </w:rPr>
        <w:tab/>
        <w:t>Solicitor for the appellant:  Workers’ Compensation Board, Richmond.</w:t>
      </w:r>
    </w:p>
    <w:p w:rsidR="002574C2" w:rsidRPr="008F4C78" w:rsidRDefault="002574C2" w:rsidP="002574C2">
      <w:pPr>
        <w:pStyle w:val="SCCNormalDoubleSpacing"/>
        <w:spacing w:line="240" w:lineRule="auto"/>
        <w:rPr>
          <w:sz w:val="20"/>
        </w:rPr>
      </w:pPr>
    </w:p>
    <w:p w:rsidR="002574C2" w:rsidRDefault="002574C2" w:rsidP="002574C2">
      <w:pPr>
        <w:pStyle w:val="SCCLawFirm"/>
        <w:spacing w:line="240" w:lineRule="auto"/>
        <w:rPr>
          <w:i w:val="0"/>
        </w:rPr>
      </w:pPr>
      <w:r w:rsidRPr="008F4C78">
        <w:rPr>
          <w:sz w:val="20"/>
        </w:rPr>
        <w:tab/>
        <w:t>Solicitor for the respondents Guiseppe Figliola, Kimberley Sallis and Barry Dearden:  Community Legal Assistance Society, Vancouver.</w:t>
      </w:r>
      <w:r>
        <w:br w:type="page"/>
      </w:r>
    </w:p>
    <w:p w:rsidR="002574C2" w:rsidRDefault="002574C2" w:rsidP="002574C2">
      <w:pPr>
        <w:pStyle w:val="SCCLawFirm"/>
        <w:spacing w:line="240" w:lineRule="auto"/>
        <w:rPr>
          <w:sz w:val="20"/>
        </w:rPr>
      </w:pPr>
      <w:r w:rsidRPr="008F4C78">
        <w:rPr>
          <w:sz w:val="20"/>
        </w:rPr>
        <w:lastRenderedPageBreak/>
        <w:tab/>
        <w:t>Solicitor for the respondent the British Columbia Human Rights Tribunal:  British Columbia Human Rights Tribunal, Vancouver.</w:t>
      </w:r>
    </w:p>
    <w:p w:rsidR="002574C2" w:rsidRPr="008F4C78" w:rsidRDefault="002574C2" w:rsidP="002574C2">
      <w:pPr>
        <w:pStyle w:val="SCCNormalDoubleSpacing"/>
        <w:spacing w:line="240" w:lineRule="auto"/>
        <w:rPr>
          <w:sz w:val="20"/>
        </w:rPr>
      </w:pPr>
    </w:p>
    <w:p w:rsidR="002574C2" w:rsidRPr="008F4C78" w:rsidRDefault="002574C2" w:rsidP="002574C2">
      <w:pPr>
        <w:pStyle w:val="SCCLawFirm"/>
        <w:spacing w:line="240" w:lineRule="auto"/>
        <w:rPr>
          <w:sz w:val="20"/>
        </w:rPr>
      </w:pPr>
      <w:r w:rsidRPr="008F4C78">
        <w:rPr>
          <w:sz w:val="20"/>
        </w:rPr>
        <w:tab/>
        <w:t>Solicitor for the intervener the Attorney General of British Columbia:  Attorney General of British Columbia, Victoria.</w:t>
      </w:r>
    </w:p>
    <w:p w:rsidR="002574C2" w:rsidRDefault="002574C2" w:rsidP="002574C2">
      <w:pPr>
        <w:pStyle w:val="SCCLawFirm"/>
        <w:spacing w:line="240" w:lineRule="auto"/>
        <w:rPr>
          <w:sz w:val="20"/>
        </w:rPr>
      </w:pPr>
    </w:p>
    <w:p w:rsidR="002574C2" w:rsidRPr="008F4C78" w:rsidRDefault="002574C2" w:rsidP="002574C2">
      <w:pPr>
        <w:pStyle w:val="SCCLawFirm"/>
        <w:spacing w:line="240" w:lineRule="auto"/>
        <w:rPr>
          <w:sz w:val="20"/>
        </w:rPr>
      </w:pPr>
      <w:r w:rsidRPr="008F4C78">
        <w:rPr>
          <w:sz w:val="20"/>
        </w:rPr>
        <w:tab/>
        <w:t>Solicitors for the intervener the Coalition of BC Businesses:  Heenan Blaikie, Vancouver.</w:t>
      </w:r>
    </w:p>
    <w:p w:rsidR="002574C2" w:rsidRDefault="002574C2" w:rsidP="002574C2">
      <w:pPr>
        <w:pStyle w:val="SCCLawFirm"/>
        <w:spacing w:line="240" w:lineRule="auto"/>
        <w:rPr>
          <w:sz w:val="20"/>
        </w:rPr>
      </w:pPr>
    </w:p>
    <w:p w:rsidR="002574C2" w:rsidRPr="008F4C78" w:rsidRDefault="002574C2" w:rsidP="002574C2">
      <w:pPr>
        <w:pStyle w:val="SCCLawFirm"/>
        <w:spacing w:line="240" w:lineRule="auto"/>
        <w:rPr>
          <w:sz w:val="20"/>
        </w:rPr>
      </w:pPr>
      <w:r w:rsidRPr="008F4C78">
        <w:rPr>
          <w:sz w:val="20"/>
        </w:rPr>
        <w:tab/>
        <w:t>Solicitor for the intervener the Canadian Human Rights Commission:  Canadian Human Rights Commission, Ottawa.</w:t>
      </w:r>
    </w:p>
    <w:p w:rsidR="002574C2" w:rsidRDefault="002574C2" w:rsidP="002574C2">
      <w:pPr>
        <w:pStyle w:val="SCCLawFirm"/>
        <w:spacing w:line="240" w:lineRule="auto"/>
        <w:rPr>
          <w:sz w:val="20"/>
        </w:rPr>
      </w:pPr>
    </w:p>
    <w:p w:rsidR="002574C2" w:rsidRPr="008F4C78" w:rsidRDefault="002574C2" w:rsidP="002574C2">
      <w:pPr>
        <w:pStyle w:val="SCCLawFirm"/>
        <w:spacing w:line="240" w:lineRule="auto"/>
        <w:rPr>
          <w:sz w:val="20"/>
        </w:rPr>
      </w:pPr>
      <w:r w:rsidRPr="008F4C78">
        <w:rPr>
          <w:sz w:val="20"/>
        </w:rPr>
        <w:tab/>
        <w:t>Solicitor for the intervener the Alberta Human Rights Commission:  Alberta Human Rights Commission, Calgary.</w:t>
      </w:r>
    </w:p>
    <w:p w:rsidR="002574C2" w:rsidRDefault="002574C2" w:rsidP="002574C2">
      <w:pPr>
        <w:pStyle w:val="SCCLawFirm"/>
        <w:spacing w:line="240" w:lineRule="auto"/>
        <w:rPr>
          <w:sz w:val="20"/>
        </w:rPr>
      </w:pPr>
    </w:p>
    <w:p w:rsidR="002574C2" w:rsidRDefault="002574C2" w:rsidP="002574C2">
      <w:pPr>
        <w:pStyle w:val="SCCLawFirm"/>
        <w:spacing w:line="240" w:lineRule="auto"/>
        <w:rPr>
          <w:sz w:val="20"/>
        </w:rPr>
      </w:pPr>
      <w:r w:rsidRPr="008F4C78">
        <w:rPr>
          <w:sz w:val="20"/>
        </w:rPr>
        <w:tab/>
        <w:t>Solicitors for the intervener the Vancouver Area Human Rights Coalition Society:  Bull, Housser &amp; Tupper, Vancouver.</w:t>
      </w:r>
    </w:p>
    <w:p w:rsidR="002574C2" w:rsidRPr="00871B19" w:rsidRDefault="002574C2" w:rsidP="002574C2">
      <w:pPr>
        <w:rPr>
          <w:sz w:val="20"/>
          <w:szCs w:val="20"/>
          <w:lang w:val="fr-CA"/>
        </w:rPr>
      </w:pPr>
      <w:r w:rsidRPr="00871B19">
        <w:rPr>
          <w:sz w:val="20"/>
          <w:szCs w:val="20"/>
          <w:lang w:val="fr-CA"/>
        </w:rPr>
        <w:t>________________________</w:t>
      </w:r>
    </w:p>
    <w:p w:rsidR="002574C2" w:rsidRPr="00871B19" w:rsidRDefault="002574C2" w:rsidP="002574C2">
      <w:pPr>
        <w:rPr>
          <w:sz w:val="20"/>
          <w:szCs w:val="20"/>
          <w:lang w:val="fr-CA"/>
        </w:rPr>
      </w:pPr>
    </w:p>
    <w:p w:rsidR="002574C2" w:rsidRPr="00871B19" w:rsidRDefault="002574C2" w:rsidP="002574C2">
      <w:pPr>
        <w:jc w:val="both"/>
        <w:rPr>
          <w:sz w:val="20"/>
          <w:szCs w:val="20"/>
          <w:lang w:val="fr-CA"/>
        </w:rPr>
      </w:pPr>
      <w:r w:rsidRPr="00871B19">
        <w:rPr>
          <w:sz w:val="20"/>
          <w:szCs w:val="20"/>
          <w:lang w:val="fr-CA"/>
        </w:rPr>
        <w:t>Présents : La juge en chef McLachlin et les juges Binnie, LeBel, Deschamps, Fish, Abella, Charron, Rothstein et Cromwell.</w:t>
      </w:r>
    </w:p>
    <w:p w:rsidR="002574C2" w:rsidRPr="00871B19" w:rsidRDefault="002574C2" w:rsidP="002574C2">
      <w:pPr>
        <w:pStyle w:val="SCCLowerCourtNameLowercase"/>
        <w:spacing w:line="240" w:lineRule="auto"/>
        <w:rPr>
          <w:sz w:val="20"/>
          <w:lang w:val="fr-CA"/>
        </w:rPr>
      </w:pPr>
    </w:p>
    <w:p w:rsidR="002574C2" w:rsidRPr="00871B19" w:rsidRDefault="002574C2" w:rsidP="002574C2">
      <w:pPr>
        <w:pStyle w:val="SCCNormalDoubleSpacing"/>
        <w:spacing w:line="240" w:lineRule="auto"/>
        <w:rPr>
          <w:i/>
          <w:sz w:val="20"/>
          <w:lang w:val="fr-CA"/>
        </w:rPr>
      </w:pPr>
      <w:r w:rsidRPr="00871B19">
        <w:rPr>
          <w:i/>
          <w:sz w:val="20"/>
          <w:lang w:val="fr-CA"/>
        </w:rPr>
        <w:tab/>
        <w:t>Droit administratif</w:t>
      </w:r>
      <w:r w:rsidRPr="00871B19">
        <w:rPr>
          <w:i/>
          <w:iCs/>
          <w:sz w:val="20"/>
          <w:lang w:val="fr-CA"/>
        </w:rPr>
        <w:t xml:space="preserve"> — Contrôle judiciaire — Norme de contrôle —Décision manifestement déraisonnable — Indemnisation des accidentés du travail en application de la politique de la Workers’ Compensation Board de la Colombie</w:t>
      </w:r>
      <w:r w:rsidRPr="00871B19">
        <w:rPr>
          <w:i/>
          <w:iCs/>
          <w:sz w:val="20"/>
          <w:lang w:val="fr-CA"/>
        </w:rPr>
        <w:noBreakHyphen/>
        <w:t>Britannique relative aux douleurs chroniques — Appel interjeté devant la Section de révision de la Commission au motif que la politique contrevient à l’art. 8 du Human Rights Code de la Colombie</w:t>
      </w:r>
      <w:r w:rsidRPr="00871B19">
        <w:rPr>
          <w:i/>
          <w:iCs/>
          <w:sz w:val="20"/>
          <w:lang w:val="fr-CA"/>
        </w:rPr>
        <w:noBreakHyphen/>
        <w:t>Britannique — La Commission ne conclut pas à une contravention au Code — Travailleurs reprenant les mêmes arguments dans des plaintes subséquentes auprès du Tribunal des droits de la personne — Le Tribunal estime qu’il s’agit d’une question qu’il peut à bon droit considérer — Quelle est la portée du pouvoir discrétionnaire du Tribunal de juger s’il a « été statué de façon appropriée sur le fond de la plainte » dans les cas où deux organismes ont compétence en matière de droits de la personne? — L’exercice par le Tribunal de son pouvoir discrétionnaire était</w:t>
      </w:r>
      <w:r w:rsidRPr="00871B19">
        <w:rPr>
          <w:i/>
          <w:iCs/>
          <w:sz w:val="20"/>
          <w:lang w:val="fr-CA"/>
        </w:rPr>
        <w:noBreakHyphen/>
        <w:t xml:space="preserve">il manifestement déraisonnable? — </w:t>
      </w:r>
      <w:r w:rsidRPr="00871B19">
        <w:rPr>
          <w:i/>
          <w:sz w:val="20"/>
          <w:lang w:val="fr-CA"/>
        </w:rPr>
        <w:t xml:space="preserve">Human Rights Code, R.S.B.C. 1996, ch. 210, art. 8 et 27(1) </w:t>
      </w:r>
      <w:r w:rsidRPr="00871B19">
        <w:rPr>
          <w:i/>
          <w:iCs/>
          <w:sz w:val="20"/>
          <w:lang w:val="fr-CA"/>
        </w:rPr>
        <w:t xml:space="preserve">— </w:t>
      </w:r>
      <w:r w:rsidRPr="00871B19">
        <w:rPr>
          <w:i/>
          <w:sz w:val="20"/>
          <w:lang w:val="fr-CA"/>
        </w:rPr>
        <w:t>Administrative Tribunals Act, S.B.C. 2004, ch. 45, art. 59.</w:t>
      </w:r>
    </w:p>
    <w:p w:rsidR="002574C2" w:rsidRPr="00871B19" w:rsidRDefault="002574C2" w:rsidP="002574C2">
      <w:pPr>
        <w:pStyle w:val="SCCNormalDoubleSpacing"/>
        <w:spacing w:line="240" w:lineRule="auto"/>
        <w:rPr>
          <w:sz w:val="20"/>
          <w:lang w:val="fr-CA"/>
        </w:rPr>
      </w:pPr>
    </w:p>
    <w:p w:rsidR="002574C2" w:rsidRPr="00871B19" w:rsidRDefault="002574C2" w:rsidP="002574C2">
      <w:pPr>
        <w:pStyle w:val="SCCNormalDoubleSpacing"/>
        <w:spacing w:line="240" w:lineRule="auto"/>
        <w:rPr>
          <w:b/>
          <w:sz w:val="20"/>
          <w:lang w:val="fr-CA"/>
        </w:rPr>
      </w:pPr>
      <w:r w:rsidRPr="00871B19">
        <w:rPr>
          <w:sz w:val="20"/>
          <w:lang w:val="fr-CA"/>
        </w:rPr>
        <w:tab/>
        <w:t>Les plaignants, des travailleurs, souffraient de douleurs chroniques et ont soumis une demande d’indemnisation à la Workers’ Compensation Board de la Colombie</w:t>
      </w:r>
      <w:r w:rsidRPr="00871B19">
        <w:rPr>
          <w:sz w:val="20"/>
          <w:lang w:val="fr-CA"/>
        </w:rPr>
        <w:noBreakHyphen/>
        <w:t xml:space="preserve">Britannique (la « Commission »).  En application de la politique de la Commission relative aux douleurs chroniques, les plaignants ont touché une indemnité d’un montant fixe.  Ils ont interjeté appel devant la Section de révision de la Commission, soutenant que la politique de l’indemnité fixe pour les douleurs chroniques était manifestement déraisonnable, qu’elle était inconstitutionnelle et qu’elle constituait de la discrimination fondée sur la déficience interdite à l’art. 8 du </w:t>
      </w:r>
      <w:r w:rsidRPr="00871B19">
        <w:rPr>
          <w:i/>
          <w:iCs/>
          <w:sz w:val="20"/>
          <w:lang w:val="fr-CA"/>
        </w:rPr>
        <w:t xml:space="preserve">Human Rights Code </w:t>
      </w:r>
      <w:r w:rsidRPr="00871B19">
        <w:rPr>
          <w:iCs/>
          <w:sz w:val="20"/>
          <w:lang w:val="fr-CA"/>
        </w:rPr>
        <w:t>de la Colombie</w:t>
      </w:r>
      <w:r w:rsidRPr="00871B19">
        <w:rPr>
          <w:iCs/>
          <w:sz w:val="20"/>
          <w:lang w:val="fr-CA"/>
        </w:rPr>
        <w:noBreakHyphen/>
        <w:t>Britannique (« </w:t>
      </w:r>
      <w:r w:rsidRPr="00871B19">
        <w:rPr>
          <w:i/>
          <w:iCs/>
          <w:sz w:val="20"/>
          <w:lang w:val="fr-CA"/>
        </w:rPr>
        <w:t>Code</w:t>
      </w:r>
      <w:r w:rsidRPr="00871B19">
        <w:rPr>
          <w:iCs/>
          <w:sz w:val="20"/>
          <w:lang w:val="fr-CA"/>
        </w:rPr>
        <w:t xml:space="preserve"> »).  </w:t>
      </w:r>
      <w:r w:rsidRPr="00871B19">
        <w:rPr>
          <w:sz w:val="20"/>
          <w:lang w:val="fr-CA"/>
        </w:rPr>
        <w:t xml:space="preserve">L’agent de révision, s’estimant compétent pour entendre la plainte fondée sur le </w:t>
      </w:r>
      <w:r w:rsidRPr="00871B19">
        <w:rPr>
          <w:i/>
          <w:iCs/>
          <w:sz w:val="20"/>
          <w:lang w:val="fr-CA"/>
        </w:rPr>
        <w:t>Code</w:t>
      </w:r>
      <w:r w:rsidRPr="00871B19">
        <w:rPr>
          <w:iCs/>
          <w:sz w:val="20"/>
          <w:lang w:val="fr-CA"/>
        </w:rPr>
        <w:t>,</w:t>
      </w:r>
      <w:r w:rsidRPr="00871B19">
        <w:rPr>
          <w:sz w:val="20"/>
          <w:lang w:val="fr-CA"/>
        </w:rPr>
        <w:t xml:space="preserve"> a conclu que la politique de la Commission relative à la douleur chronique n’enfreignait pas l’art. 8 du </w:t>
      </w:r>
      <w:r w:rsidRPr="00871B19">
        <w:rPr>
          <w:i/>
          <w:sz w:val="20"/>
          <w:lang w:val="fr-CA"/>
        </w:rPr>
        <w:t>Code</w:t>
      </w:r>
      <w:r w:rsidRPr="00871B19">
        <w:rPr>
          <w:sz w:val="20"/>
          <w:lang w:val="fr-CA"/>
        </w:rPr>
        <w:t xml:space="preserve"> et n’était donc pas discriminatoire</w:t>
      </w:r>
      <w:r w:rsidRPr="00871B19">
        <w:rPr>
          <w:i/>
          <w:sz w:val="20"/>
          <w:lang w:val="fr-CA"/>
        </w:rPr>
        <w:t xml:space="preserve">.  </w:t>
      </w:r>
    </w:p>
    <w:p w:rsidR="002574C2" w:rsidRPr="00871B19" w:rsidRDefault="002574C2" w:rsidP="002574C2">
      <w:pPr>
        <w:pStyle w:val="SCCNormalDoubleSpacing"/>
        <w:spacing w:line="240" w:lineRule="auto"/>
        <w:rPr>
          <w:sz w:val="20"/>
          <w:lang w:val="fr-CA"/>
        </w:rPr>
      </w:pPr>
    </w:p>
    <w:p w:rsidR="002574C2" w:rsidRPr="00871B19" w:rsidRDefault="002574C2" w:rsidP="002574C2">
      <w:pPr>
        <w:pStyle w:val="SCCNormalDoubleSpacing"/>
        <w:spacing w:line="240" w:lineRule="auto"/>
        <w:rPr>
          <w:sz w:val="20"/>
          <w:lang w:val="fr-CA"/>
        </w:rPr>
      </w:pPr>
      <w:r w:rsidRPr="00871B19">
        <w:rPr>
          <w:sz w:val="20"/>
          <w:lang w:val="fr-CA"/>
        </w:rPr>
        <w:tab/>
        <w:t xml:space="preserve">Les plaignants ont porté cette décision en appel devant le Workers’ Compensation Appeal Tribunal (« WCAT »).  Avant l’instruction de l’appel, une modification législative a retiré au WCAT sa compétence en matière d’application du </w:t>
      </w:r>
      <w:r w:rsidRPr="00871B19">
        <w:rPr>
          <w:i/>
          <w:sz w:val="20"/>
          <w:lang w:val="fr-CA"/>
        </w:rPr>
        <w:t>Code</w:t>
      </w:r>
      <w:r w:rsidRPr="00871B19">
        <w:rPr>
          <w:sz w:val="20"/>
          <w:lang w:val="fr-CA"/>
        </w:rPr>
        <w:t xml:space="preserve">.  Du fait de cette modification, le WCAT ne pouvait plus entendre l’appel des plaignants à l’encontre des conclusions de l’agent de révision relatives aux droits de la personne, mais il était toujours loisible aux plaignants de demander un contrôle judiciaire.  Ces derniers ont plutôt déposé devant le Tribunal des droits de la personne (« Tribunal ») de nouvelles plaintes, reprenant au sujet de la politique de la Commission en matière de douleur chronique les mêmes arguments fondés sur l’art. 8 du </w:t>
      </w:r>
      <w:r w:rsidRPr="00871B19">
        <w:rPr>
          <w:i/>
          <w:sz w:val="20"/>
          <w:lang w:val="fr-CA"/>
        </w:rPr>
        <w:t>Code</w:t>
      </w:r>
      <w:r w:rsidRPr="00871B19">
        <w:rPr>
          <w:sz w:val="20"/>
          <w:lang w:val="fr-CA"/>
        </w:rPr>
        <w:t xml:space="preserve"> que ceux qu’ils avaient soumis à la Section de révision. </w:t>
      </w:r>
    </w:p>
    <w:p w:rsidR="002574C2" w:rsidRPr="00871B19" w:rsidRDefault="002574C2" w:rsidP="002574C2">
      <w:pPr>
        <w:pStyle w:val="SCCNormalDoubleSpacing"/>
        <w:spacing w:line="240" w:lineRule="auto"/>
        <w:rPr>
          <w:sz w:val="20"/>
          <w:lang w:val="fr-CA"/>
        </w:rPr>
      </w:pPr>
    </w:p>
    <w:p w:rsidR="002574C2" w:rsidRPr="00871B19" w:rsidRDefault="002574C2" w:rsidP="002574C2">
      <w:pPr>
        <w:pStyle w:val="SCCNormalDoubleSpacing"/>
        <w:spacing w:line="240" w:lineRule="auto"/>
        <w:rPr>
          <w:sz w:val="20"/>
          <w:lang w:val="fr-CA"/>
        </w:rPr>
      </w:pPr>
      <w:r w:rsidRPr="00871B19">
        <w:rPr>
          <w:sz w:val="20"/>
          <w:lang w:val="fr-CA"/>
        </w:rPr>
        <w:tab/>
        <w:t>La Commission a présenté au Tribunal une requête pour rejet des nouvelles plaintes, soutenant, d’une part, que le Tribunal n’avait pas compétence aux termes de l’al. 27(1)(</w:t>
      </w:r>
      <w:r w:rsidRPr="00871B19">
        <w:rPr>
          <w:iCs/>
          <w:sz w:val="20"/>
          <w:lang w:val="fr-CA"/>
        </w:rPr>
        <w:t>a</w:t>
      </w:r>
      <w:r w:rsidRPr="00871B19">
        <w:rPr>
          <w:sz w:val="20"/>
          <w:lang w:val="fr-CA"/>
        </w:rPr>
        <w:t xml:space="preserve">) du </w:t>
      </w:r>
      <w:r w:rsidRPr="00871B19">
        <w:rPr>
          <w:i/>
          <w:sz w:val="20"/>
          <w:lang w:val="fr-CA"/>
        </w:rPr>
        <w:t>Code</w:t>
      </w:r>
      <w:r w:rsidRPr="00871B19">
        <w:rPr>
          <w:sz w:val="20"/>
          <w:lang w:val="fr-CA"/>
        </w:rPr>
        <w:t xml:space="preserve"> et, d’autre part, que la Section de révision avait déjà « statué de façon appropriée » sur le fond de la plainte suivant l’al. 27(1)(</w:t>
      </w:r>
      <w:r w:rsidRPr="00871B19">
        <w:rPr>
          <w:iCs/>
          <w:sz w:val="20"/>
          <w:lang w:val="fr-CA"/>
        </w:rPr>
        <w:t>f</w:t>
      </w:r>
      <w:r w:rsidRPr="00871B19">
        <w:rPr>
          <w:sz w:val="20"/>
          <w:lang w:val="fr-CA"/>
        </w:rPr>
        <w:t xml:space="preserve">) du </w:t>
      </w:r>
      <w:r w:rsidRPr="00871B19">
        <w:rPr>
          <w:i/>
          <w:sz w:val="20"/>
          <w:lang w:val="fr-CA"/>
        </w:rPr>
        <w:t>Code</w:t>
      </w:r>
      <w:r w:rsidRPr="00871B19">
        <w:rPr>
          <w:sz w:val="20"/>
          <w:lang w:val="fr-CA"/>
        </w:rPr>
        <w:t xml:space="preserve">.  Le Tribunal a rejeté les deux </w:t>
      </w:r>
      <w:r w:rsidRPr="00871B19">
        <w:rPr>
          <w:sz w:val="20"/>
          <w:lang w:val="fr-CA"/>
        </w:rPr>
        <w:lastRenderedPageBreak/>
        <w:t xml:space="preserve">arguments, estimant que la question soulevée était une question que le Tribunal pouvait à bon droit considérer et qu’il convenait que les parties puissent bénéficier d’une audience en bonne et due forme par le Tribunal.  À l’issue d’un contrôle judiciaire, la décision du Tribunal a été annulée, mais la Cour d’appel l’a rétablie, concluant que cette décision du Tribunal n’était pas manifestement déraisonnable. </w:t>
      </w:r>
    </w:p>
    <w:p w:rsidR="002574C2" w:rsidRPr="00871B19" w:rsidRDefault="002574C2" w:rsidP="002574C2">
      <w:pPr>
        <w:pStyle w:val="SCCNormalDoubleSpacing"/>
        <w:spacing w:line="240" w:lineRule="auto"/>
        <w:rPr>
          <w:i/>
          <w:sz w:val="20"/>
          <w:lang w:val="fr-CA"/>
        </w:rPr>
      </w:pPr>
    </w:p>
    <w:p w:rsidR="002574C2" w:rsidRPr="00871B19" w:rsidRDefault="002574C2" w:rsidP="002574C2">
      <w:pPr>
        <w:pStyle w:val="SCCNormalDoubleSpacing"/>
        <w:spacing w:line="240" w:lineRule="auto"/>
        <w:rPr>
          <w:sz w:val="20"/>
          <w:lang w:val="fr-CA"/>
        </w:rPr>
      </w:pPr>
      <w:r w:rsidRPr="00871B19">
        <w:rPr>
          <w:i/>
          <w:sz w:val="20"/>
          <w:lang w:val="fr-CA"/>
        </w:rPr>
        <w:tab/>
        <w:t>Arrêt</w:t>
      </w:r>
      <w:r w:rsidRPr="00871B19">
        <w:rPr>
          <w:sz w:val="20"/>
          <w:lang w:val="fr-CA"/>
        </w:rPr>
        <w:t> : Le pourvoi est accueilli, la décision du Tribunal est annulée et les plaintes sont rejetées.</w:t>
      </w:r>
    </w:p>
    <w:p w:rsidR="002574C2" w:rsidRPr="00871B19" w:rsidRDefault="002574C2" w:rsidP="002574C2">
      <w:pPr>
        <w:pStyle w:val="SCCNormalDoubleSpacing"/>
        <w:spacing w:line="240" w:lineRule="auto"/>
        <w:rPr>
          <w:i/>
          <w:sz w:val="20"/>
          <w:lang w:val="fr-CA"/>
        </w:rPr>
      </w:pPr>
    </w:p>
    <w:p w:rsidR="002574C2" w:rsidRPr="00871B19" w:rsidRDefault="002574C2" w:rsidP="002574C2">
      <w:pPr>
        <w:pStyle w:val="SCCNormalDoubleSpacing"/>
        <w:spacing w:line="240" w:lineRule="auto"/>
        <w:rPr>
          <w:sz w:val="20"/>
          <w:lang w:val="fr-CA"/>
        </w:rPr>
      </w:pPr>
      <w:r w:rsidRPr="00871B19">
        <w:rPr>
          <w:i/>
          <w:sz w:val="20"/>
          <w:lang w:val="fr-CA"/>
        </w:rPr>
        <w:tab/>
        <w:t>Les</w:t>
      </w:r>
      <w:r w:rsidRPr="00871B19">
        <w:rPr>
          <w:sz w:val="20"/>
          <w:lang w:val="fr-CA"/>
        </w:rPr>
        <w:t xml:space="preserve"> juges LeBel, Deschamps, </w:t>
      </w:r>
      <w:r w:rsidRPr="00871B19">
        <w:rPr>
          <w:b/>
          <w:sz w:val="20"/>
          <w:lang w:val="fr-CA"/>
        </w:rPr>
        <w:t>Abella</w:t>
      </w:r>
      <w:r w:rsidRPr="00871B19">
        <w:rPr>
          <w:sz w:val="20"/>
          <w:lang w:val="fr-CA"/>
        </w:rPr>
        <w:t>, Charron et Rothstein : L’alinéa 27(1)(</w:t>
      </w:r>
      <w:r w:rsidRPr="00871B19">
        <w:rPr>
          <w:iCs/>
          <w:sz w:val="20"/>
          <w:lang w:val="fr-CA"/>
        </w:rPr>
        <w:t>f</w:t>
      </w:r>
      <w:r w:rsidRPr="00871B19">
        <w:rPr>
          <w:sz w:val="20"/>
          <w:lang w:val="fr-CA"/>
        </w:rPr>
        <w:t>) codifie l’ensemble des principes sous</w:t>
      </w:r>
      <w:r w:rsidRPr="00871B19">
        <w:rPr>
          <w:sz w:val="20"/>
          <w:lang w:val="fr-CA"/>
        </w:rPr>
        <w:noBreakHyphen/>
        <w:t>jacents des règles en matière de préclusion découlant d’une question déjà tranchée, de contestation indirecte et d’abus de procédure — auxquelles la common law a eu recours comme véhicule pour porter, en contexte de procédures judiciaires, les principes de caractère définitif des instances, de prévention de leur multiplication et de protection de l’intégrité de l’administration de la justice, dans chaque cas, par souci d’équité.</w:t>
      </w:r>
    </w:p>
    <w:p w:rsidR="002574C2" w:rsidRPr="00871B19" w:rsidRDefault="002574C2" w:rsidP="002574C2">
      <w:pPr>
        <w:pStyle w:val="SCCNormalDoubleSpacing"/>
        <w:spacing w:line="240" w:lineRule="auto"/>
        <w:rPr>
          <w:sz w:val="20"/>
          <w:lang w:val="fr-CA"/>
        </w:rPr>
      </w:pPr>
    </w:p>
    <w:p w:rsidR="002574C2" w:rsidRPr="00871B19" w:rsidRDefault="002574C2" w:rsidP="002574C2">
      <w:pPr>
        <w:pStyle w:val="SCCNormalDoubleSpacing"/>
        <w:spacing w:line="240" w:lineRule="auto"/>
        <w:rPr>
          <w:sz w:val="20"/>
          <w:lang w:val="fr-CA"/>
        </w:rPr>
      </w:pPr>
      <w:r w:rsidRPr="00871B19">
        <w:rPr>
          <w:sz w:val="20"/>
          <w:lang w:val="fr-CA"/>
        </w:rPr>
        <w:tab/>
        <w:t>Considéré dans son ensemble, l’al. 27(1)(</w:t>
      </w:r>
      <w:r w:rsidRPr="00871B19">
        <w:rPr>
          <w:iCs/>
          <w:sz w:val="20"/>
          <w:lang w:val="fr-CA"/>
        </w:rPr>
        <w:t>f</w:t>
      </w:r>
      <w:r w:rsidRPr="00871B19">
        <w:rPr>
          <w:sz w:val="20"/>
          <w:lang w:val="fr-CA"/>
        </w:rPr>
        <w:t>) ne codifie pas les doctrines elles</w:t>
      </w:r>
      <w:r w:rsidRPr="00871B19">
        <w:rPr>
          <w:sz w:val="20"/>
          <w:lang w:val="fr-CA"/>
        </w:rPr>
        <w:noBreakHyphen/>
        <w:t>mêmes ou leurs explications techniques, il en englobe les principes sous</w:t>
      </w:r>
      <w:r w:rsidRPr="00871B19">
        <w:rPr>
          <w:sz w:val="20"/>
          <w:lang w:val="fr-CA"/>
        </w:rPr>
        <w:noBreakHyphen/>
        <w:t xml:space="preserve">jacents.  Il s’ensuit que ce ne sont pas tant des dogmes doctrinaux précis qui devraient guider le Tribunal que les objets de la disposition, qui sont d’assurer l’équité du caractère définitif du processus décisionnel et d’éviter la remise en cause de questions déjà tranchées par un décideur ayant compétence pour en connaître.  En s’appuyant sur ces principes, le Tribunal est appelé à se demander s’il existe une compétence concurrente pour statuer sur ces questions, si la question juridique tranchée par la décision antérieure était essentiellement la même que celle qui est soulevée dans la plainte dont il est saisi et si le processus antérieur, qu’il ressemble ou non à la procédure que le Tribunal préfère ou utilise lui-même, a offert la possibilité aux plaignants ou à leurs ayants droit de connaître les éléments invoqués contre eux et de les réfuter.  Toutes ces questions visent à déterminer s’il « a été statué de façon appropriée » sur le fond de la plainte, le critère établi à l’al. 27(1)(f). En s’en tenant à l’application stricte de la préclusion découlant d’une question déjà tranchée, le Tribunal a donné une interprétation trop formaliste à l’al. 27(1)(f) et, plus particulièrement, aux mots « a été statué de façon appropriée ». Plutôt que de donner effet à l’objectif de prévention des remises en cause inutiles, une telle interprétation y fait obstacle.  </w:t>
      </w:r>
    </w:p>
    <w:p w:rsidR="002574C2" w:rsidRPr="00871B19" w:rsidRDefault="002574C2" w:rsidP="002574C2">
      <w:pPr>
        <w:pStyle w:val="SCCNormalDoubleSpacing"/>
        <w:spacing w:line="240" w:lineRule="auto"/>
        <w:rPr>
          <w:sz w:val="20"/>
          <w:lang w:val="fr-CA"/>
        </w:rPr>
      </w:pPr>
    </w:p>
    <w:p w:rsidR="002574C2" w:rsidRPr="00871B19" w:rsidRDefault="002574C2" w:rsidP="002574C2">
      <w:pPr>
        <w:pStyle w:val="SCCNormalDoubleSpacing"/>
        <w:spacing w:line="240" w:lineRule="auto"/>
        <w:rPr>
          <w:sz w:val="20"/>
          <w:lang w:val="fr-CA"/>
        </w:rPr>
      </w:pPr>
      <w:r w:rsidRPr="00871B19">
        <w:rPr>
          <w:sz w:val="20"/>
          <w:lang w:val="fr-CA"/>
        </w:rPr>
        <w:tab/>
        <w:t xml:space="preserve">L’alinéa 27(1)(f) ne constitue pas une invitation au contrôle judiciaire de la décision d’un autre tribunal ou au réexamen d’une question dûment tranchée pour voir si un résultat différent pourrait en émerger.  Cet alinéa vise plutôt à instaurer un respect juridictionnel entre tribunaux administratifs voisins, englobant le respect du droit à la protection de leur voie propre verticale de révision contre les empiétements indirects.  L’organisme juridictionnel qui se prononce sur une question qui est de son ressort et les parties en cause doivent pouvoir tenir pour acquis que, sous réserve d’un appel ou d’un contrôle judiciaire, non seulement la décision </w:t>
      </w:r>
      <w:r w:rsidRPr="00871B19">
        <w:rPr>
          <w:iCs/>
          <w:sz w:val="20"/>
          <w:lang w:val="fr-CA"/>
        </w:rPr>
        <w:t>sera</w:t>
      </w:r>
      <w:r w:rsidRPr="00871B19">
        <w:rPr>
          <w:iCs/>
          <w:sz w:val="20"/>
          <w:lang w:val="fr-CA"/>
        </w:rPr>
        <w:noBreakHyphen/>
        <w:t>t</w:t>
      </w:r>
      <w:r w:rsidRPr="00871B19">
        <w:rPr>
          <w:iCs/>
          <w:sz w:val="20"/>
          <w:lang w:val="fr-CA"/>
        </w:rPr>
        <w:noBreakHyphen/>
        <w:t>elle</w:t>
      </w:r>
      <w:r w:rsidRPr="00871B19">
        <w:rPr>
          <w:sz w:val="20"/>
          <w:lang w:val="fr-CA"/>
        </w:rPr>
        <w:t xml:space="preserve"> définitive, mais elle sera considérée telle par les autres organismes juridictionnels.</w:t>
      </w:r>
    </w:p>
    <w:p w:rsidR="002574C2" w:rsidRPr="00871B19" w:rsidRDefault="002574C2" w:rsidP="002574C2">
      <w:pPr>
        <w:pStyle w:val="SCCNormalDoubleSpacing"/>
        <w:spacing w:line="240" w:lineRule="auto"/>
        <w:rPr>
          <w:sz w:val="20"/>
          <w:lang w:val="fr-CA"/>
        </w:rPr>
      </w:pPr>
    </w:p>
    <w:p w:rsidR="002574C2" w:rsidRPr="00871B19" w:rsidRDefault="002574C2" w:rsidP="002574C2">
      <w:pPr>
        <w:pStyle w:val="SCCNormalDoubleSpacing"/>
        <w:spacing w:line="240" w:lineRule="auto"/>
        <w:rPr>
          <w:sz w:val="20"/>
          <w:lang w:val="fr-CA"/>
        </w:rPr>
      </w:pPr>
      <w:r w:rsidRPr="00871B19">
        <w:rPr>
          <w:sz w:val="20"/>
          <w:lang w:val="fr-CA"/>
        </w:rPr>
        <w:tab/>
        <w:t>Le pouvoir discrétionnaire conféré par l’al. 27(1)(</w:t>
      </w:r>
      <w:r w:rsidRPr="00871B19">
        <w:rPr>
          <w:iCs/>
          <w:sz w:val="20"/>
          <w:lang w:val="fr-CA"/>
        </w:rPr>
        <w:t>f</w:t>
      </w:r>
      <w:r w:rsidRPr="00871B19">
        <w:rPr>
          <w:sz w:val="20"/>
          <w:lang w:val="fr-CA"/>
        </w:rPr>
        <w:t xml:space="preserve">) se voulait restreint, non seulement en raison du texte de cette disposition et de l’historique législatif, mais également de la nature des six autres catégories de plaintes mentionnées au par. 27(1), faisant chacune référence à des circonstances qui laissent présumer qu’il ne serait pas justifié d’entendre la plainte : les plaintes qui ne relèvent pas de la compétence du Tribunal, celles qui allèguent des actes ou des omissions qui ne contreviennent pas au </w:t>
      </w:r>
      <w:r w:rsidRPr="00871B19">
        <w:rPr>
          <w:i/>
          <w:sz w:val="20"/>
          <w:lang w:val="fr-CA"/>
        </w:rPr>
        <w:t>Code</w:t>
      </w:r>
      <w:r w:rsidRPr="00871B19">
        <w:rPr>
          <w:sz w:val="20"/>
          <w:lang w:val="fr-CA"/>
        </w:rPr>
        <w:t xml:space="preserve">, s’il n’existe aucune possibilité raisonnable que le plaignant ait gain de cause, si les plaintes n’apporteraient rien au plaignant et ne servirait pas les fins poursuivies par le </w:t>
      </w:r>
      <w:r w:rsidRPr="00871B19">
        <w:rPr>
          <w:i/>
          <w:sz w:val="20"/>
          <w:lang w:val="fr-CA"/>
        </w:rPr>
        <w:t>Code</w:t>
      </w:r>
      <w:r w:rsidRPr="00871B19">
        <w:rPr>
          <w:sz w:val="20"/>
          <w:lang w:val="fr-CA"/>
        </w:rPr>
        <w:t xml:space="preserve"> ou si elles ont été déposées de mauvaise foi ou à des fins illégitimes. </w:t>
      </w:r>
    </w:p>
    <w:p w:rsidR="002574C2" w:rsidRPr="00871B19" w:rsidRDefault="002574C2" w:rsidP="002574C2">
      <w:pPr>
        <w:pStyle w:val="SCCNormalDoubleSpacing"/>
        <w:spacing w:line="240" w:lineRule="auto"/>
        <w:rPr>
          <w:sz w:val="20"/>
          <w:lang w:val="fr-CA"/>
        </w:rPr>
      </w:pPr>
    </w:p>
    <w:p w:rsidR="002574C2" w:rsidRPr="00871B19" w:rsidRDefault="002574C2" w:rsidP="002574C2">
      <w:pPr>
        <w:pStyle w:val="SCCNormalDoubleSpacing"/>
        <w:spacing w:line="240" w:lineRule="auto"/>
        <w:rPr>
          <w:sz w:val="20"/>
          <w:lang w:val="fr-CA"/>
        </w:rPr>
      </w:pPr>
      <w:r w:rsidRPr="00871B19">
        <w:rPr>
          <w:sz w:val="20"/>
          <w:lang w:val="fr-CA"/>
        </w:rPr>
        <w:tab/>
        <w:t>En l’espèce, les plaignants cherchaient à soulever de nouveau la question devant un autre forum.  Plutôt que d’emprunter la voie du contrôle judiciaire, qui leur était ouverte, pour contester la décision de l’agent de révision, ils ont engagé une nouvelle instance devant un autre tribunal administratif dans l’espoir d’obtenir un résultat plus favorable.  Cette stratégie constituait un « appel indirect », une démarche que l’al. 27(1)(</w:t>
      </w:r>
      <w:r w:rsidRPr="00871B19">
        <w:rPr>
          <w:iCs/>
          <w:sz w:val="20"/>
          <w:lang w:val="fr-CA"/>
        </w:rPr>
        <w:t>f</w:t>
      </w:r>
      <w:r w:rsidRPr="00871B19">
        <w:rPr>
          <w:sz w:val="20"/>
          <w:lang w:val="fr-CA"/>
        </w:rPr>
        <w:t>) et les doctrines de common law visent précisément à éviter. L’analyse du Tribunal l’a rendu complice de cette tentative de contester indirectement le bien</w:t>
      </w:r>
      <w:r w:rsidRPr="00871B19">
        <w:rPr>
          <w:sz w:val="20"/>
          <w:lang w:val="fr-CA"/>
        </w:rPr>
        <w:noBreakHyphen/>
        <w:t xml:space="preserve">fondé de la décision de la Commission et du processus suivi; on y trouve une myriade de facteurs en fonction desquels le Tribunal s’est demandé s’il était à l’aise avec le processus de l’instance antérieure et avec les motifs de la décision de l’agent de révision. Il s’est demandé si le processus suivi devant la Section de révision satisfaisait aux exigences procédurales; il a critiqué l’interprétation que l’agent de révision a faite de son mandat en matière de droits de la personne; il a conclu que la décision de l’agent de révision n’était pas définitive; il a conclu que les parties qu’il </w:t>
      </w:r>
      <w:r w:rsidRPr="00871B19">
        <w:rPr>
          <w:sz w:val="20"/>
          <w:lang w:val="fr-CA"/>
        </w:rPr>
        <w:lastRenderedPageBreak/>
        <w:t xml:space="preserve">avait devant lui n’étaient pas les mêmes que celles qui s’étaient présentées devant la Commission; il a indiqué que l’agent de révision n’avait pas l’expertise voulue pour interpréter ou appliquer le </w:t>
      </w:r>
      <w:r w:rsidRPr="00871B19">
        <w:rPr>
          <w:i/>
          <w:sz w:val="20"/>
          <w:lang w:val="fr-CA"/>
        </w:rPr>
        <w:t>Code</w:t>
      </w:r>
      <w:r w:rsidRPr="00871B19">
        <w:rPr>
          <w:sz w:val="20"/>
          <w:lang w:val="fr-CA"/>
        </w:rPr>
        <w:t xml:space="preserve">. </w:t>
      </w:r>
    </w:p>
    <w:p w:rsidR="002574C2" w:rsidRPr="00871B19" w:rsidRDefault="002574C2" w:rsidP="002574C2">
      <w:pPr>
        <w:pStyle w:val="SCCNormalDoubleSpacing"/>
        <w:spacing w:line="240" w:lineRule="auto"/>
        <w:rPr>
          <w:sz w:val="20"/>
          <w:lang w:val="fr-CA"/>
        </w:rPr>
      </w:pPr>
    </w:p>
    <w:p w:rsidR="002574C2" w:rsidRPr="00871B19" w:rsidRDefault="002574C2" w:rsidP="002574C2">
      <w:pPr>
        <w:pStyle w:val="SCCNormalDoubleSpacing"/>
        <w:spacing w:line="240" w:lineRule="auto"/>
        <w:rPr>
          <w:sz w:val="20"/>
          <w:lang w:val="fr-CA"/>
        </w:rPr>
      </w:pPr>
      <w:r w:rsidRPr="00871B19">
        <w:rPr>
          <w:sz w:val="20"/>
          <w:lang w:val="fr-CA"/>
        </w:rPr>
        <w:tab/>
        <w:t>La norme de contrôle applicable est celle de la décision manifestement déraisonnable, aux termes de l’art. 59 de l’</w:t>
      </w:r>
      <w:r w:rsidRPr="00871B19">
        <w:rPr>
          <w:i/>
          <w:sz w:val="20"/>
          <w:lang w:val="fr-CA"/>
        </w:rPr>
        <w:t>Administrative Tribunals Act</w:t>
      </w:r>
      <w:r w:rsidRPr="00871B19">
        <w:rPr>
          <w:sz w:val="20"/>
          <w:lang w:val="fr-CA"/>
        </w:rPr>
        <w:t>.  Parce que la décision du Tribunal de recevoir ces plaintes et de les entendre de nouveau repose principalement sur des facteurs non pertinents et ne tient pas compte du mandat véritable que lui confère l’al. 27(1)(</w:t>
      </w:r>
      <w:r w:rsidRPr="00871B19">
        <w:rPr>
          <w:iCs/>
          <w:sz w:val="20"/>
          <w:lang w:val="fr-CA"/>
        </w:rPr>
        <w:t>f</w:t>
      </w:r>
      <w:r w:rsidRPr="00871B19">
        <w:rPr>
          <w:sz w:val="20"/>
          <w:lang w:val="fr-CA"/>
        </w:rPr>
        <w:t>), elle est manifestement déraisonnable.</w:t>
      </w:r>
    </w:p>
    <w:p w:rsidR="002574C2" w:rsidRPr="00871B19" w:rsidRDefault="002574C2" w:rsidP="002574C2">
      <w:pPr>
        <w:pStyle w:val="SCCNormalDoubleSpacing"/>
        <w:spacing w:line="240" w:lineRule="auto"/>
        <w:rPr>
          <w:sz w:val="20"/>
          <w:lang w:val="fr-CA"/>
        </w:rPr>
      </w:pPr>
    </w:p>
    <w:p w:rsidR="002574C2" w:rsidRPr="00871B19" w:rsidRDefault="002574C2" w:rsidP="002574C2">
      <w:pPr>
        <w:pStyle w:val="SCCNormalDoubleSpacing"/>
        <w:spacing w:line="240" w:lineRule="auto"/>
        <w:rPr>
          <w:sz w:val="20"/>
          <w:lang w:val="fr-CA"/>
        </w:rPr>
      </w:pPr>
      <w:r w:rsidRPr="00871B19">
        <w:rPr>
          <w:i/>
          <w:sz w:val="20"/>
          <w:lang w:val="fr-CA"/>
        </w:rPr>
        <w:tab/>
        <w:t xml:space="preserve">La </w:t>
      </w:r>
      <w:r w:rsidRPr="00871B19">
        <w:rPr>
          <w:sz w:val="20"/>
          <w:lang w:val="fr-CA"/>
        </w:rPr>
        <w:t xml:space="preserve">juge en chef McLachlin et les juges Binnie, Fish et </w:t>
      </w:r>
      <w:r w:rsidRPr="00871B19">
        <w:rPr>
          <w:b/>
          <w:sz w:val="20"/>
          <w:lang w:val="fr-CA"/>
        </w:rPr>
        <w:t>Cromwell</w:t>
      </w:r>
      <w:r w:rsidRPr="00871B19">
        <w:rPr>
          <w:sz w:val="20"/>
          <w:lang w:val="fr-CA"/>
        </w:rPr>
        <w:t xml:space="preserve"> : La common law et en particulier l’al. 27(1)(f) du </w:t>
      </w:r>
      <w:r w:rsidRPr="00871B19">
        <w:rPr>
          <w:i/>
          <w:sz w:val="20"/>
          <w:lang w:val="fr-CA"/>
        </w:rPr>
        <w:t>Code</w:t>
      </w:r>
      <w:r w:rsidRPr="00871B19">
        <w:rPr>
          <w:sz w:val="20"/>
          <w:lang w:val="fr-CA"/>
        </w:rPr>
        <w:t xml:space="preserve"> tendent tous deux à la réalisation de ce nécessaire équilibre entre le caractère définitif des décisions et l’équité, et ce, par l’exercice du pouvoir discrétionnaire du Tribunal.   C’est la recherche de cet équilibre qui est au cœur tant des doctrines de la common law relatives au caractère définitif des décisions que de l’intention du législateur en édictant l’al. 27(1)(f).  En donnant une portée étroite au pouvoir discrétionnaire que l’al. 27(1)(f) confère au Tribunal, on ne tient pas compte de cette intention claire du législateur.</w:t>
      </w:r>
      <w:r w:rsidRPr="00871B19" w:rsidDel="00AB34CD">
        <w:rPr>
          <w:sz w:val="20"/>
          <w:lang w:val="fr-CA"/>
        </w:rPr>
        <w:t xml:space="preserve"> </w:t>
      </w:r>
      <w:r w:rsidRPr="00871B19">
        <w:rPr>
          <w:sz w:val="20"/>
          <w:lang w:val="fr-CA"/>
        </w:rPr>
        <w:t xml:space="preserve"> En fait, l’al. 27(1)(f) confère en termes très larges au Tribunal un pouvoir discrétionnaire souple propre à lui permettre de réaliser cet équilibre dans la multitude de contextes où d’autres tribunaux administratifs ont pu se prononcer sur une question relevant des droits de la personne.</w:t>
      </w:r>
    </w:p>
    <w:p w:rsidR="002574C2" w:rsidRPr="00871B19" w:rsidRDefault="002574C2" w:rsidP="002574C2">
      <w:pPr>
        <w:pStyle w:val="SCCNormalDoubleSpacing"/>
        <w:spacing w:line="240" w:lineRule="auto"/>
        <w:rPr>
          <w:sz w:val="20"/>
          <w:lang w:val="fr-CA"/>
        </w:rPr>
      </w:pPr>
    </w:p>
    <w:p w:rsidR="002574C2" w:rsidRPr="00871B19" w:rsidRDefault="002574C2" w:rsidP="002574C2">
      <w:pPr>
        <w:pStyle w:val="SCCNormalDoubleSpacing"/>
        <w:spacing w:line="240" w:lineRule="auto"/>
        <w:rPr>
          <w:sz w:val="20"/>
          <w:lang w:val="fr-CA"/>
        </w:rPr>
      </w:pPr>
      <w:r w:rsidRPr="00871B19">
        <w:rPr>
          <w:sz w:val="20"/>
          <w:lang w:val="fr-CA"/>
        </w:rPr>
        <w:tab/>
        <w:t>Le sens ordinaire et grammatical des termes de l’al. 27(1)(f) permet de donner une large portée au pouvoir discrétionnaire, non une portée restreinte.  On ne peut considérer qu’il faille interpréter l’al. 27(1)(f) de façon restrictive en raison de la nature des six autres catégories de pouvoirs discrétionnaires conférés au par. 27(1).  L’historique législatif de la disposition confirme également que, pour ce qui est du rejet d’une plainte ayant fait l’objet d’une instance antérieure, le législateur a voulu conférer un pouvoir discrétionnaire étendu.  Le législateur voulait manifestement élargir et non rétrécir l’éventail des facteurs qu’un tribunal doit prendre en compte.</w:t>
      </w:r>
    </w:p>
    <w:p w:rsidR="002574C2" w:rsidRPr="00871B19" w:rsidRDefault="002574C2" w:rsidP="002574C2">
      <w:pPr>
        <w:pStyle w:val="SCCNormalDoubleSpacing"/>
        <w:spacing w:line="240" w:lineRule="auto"/>
        <w:rPr>
          <w:sz w:val="20"/>
          <w:lang w:val="fr-CA"/>
        </w:rPr>
      </w:pPr>
    </w:p>
    <w:p w:rsidR="002574C2" w:rsidRPr="00871B19" w:rsidRDefault="002574C2" w:rsidP="002574C2">
      <w:pPr>
        <w:pStyle w:val="SCCNormalDoubleSpacing"/>
        <w:spacing w:line="240" w:lineRule="auto"/>
        <w:rPr>
          <w:sz w:val="20"/>
          <w:lang w:val="fr-CA"/>
        </w:rPr>
      </w:pPr>
      <w:r w:rsidRPr="00871B19">
        <w:rPr>
          <w:sz w:val="20"/>
          <w:lang w:val="fr-CA"/>
        </w:rPr>
        <w:tab/>
      </w:r>
      <w:r w:rsidRPr="00871B19">
        <w:rPr>
          <w:iCs/>
          <w:sz w:val="20"/>
          <w:lang w:val="fr-CA"/>
        </w:rPr>
        <w:t xml:space="preserve">La </w:t>
      </w:r>
      <w:r w:rsidRPr="00871B19">
        <w:rPr>
          <w:sz w:val="20"/>
          <w:lang w:val="fr-CA"/>
        </w:rPr>
        <w:t>jurisprudence</w:t>
      </w:r>
      <w:r w:rsidRPr="00871B19">
        <w:rPr>
          <w:iCs/>
          <w:sz w:val="20"/>
          <w:lang w:val="fr-CA"/>
        </w:rPr>
        <w:t xml:space="preserve"> de notre Cour reconnaît qu’en contexte de droit administratif, il convient d’appliquer avec souplesse les doctrines de la common law relatives au caractère définitif des décisions afin de maintenir le nécessaire équilibre entre le caractère définitif et l’équité des décisions.  À cette fin, l’exercice du pouvoir discrétionnaire nécessite la prise en compte d’un large éventail de facteurs pertinents aux particularités du contexte administratif en cause et aux exigences à satisfaire pour que justice soit rendue dans les circonstances de chaque cas.  Le caractère définitif de la décision et l’obligation faite aux parties de recourir aux mécanismes de révision les plus appropriés sont certes des facteurs importants, mais ils ne sont ni les seuls, ni même les plus importants.  Le contexte procédural complexe et changeant en cause en l’espèce illustre bien la nécessité du recours à ce pouvoir discrétionnaire </w:t>
      </w:r>
      <w:r w:rsidRPr="00871B19">
        <w:rPr>
          <w:sz w:val="20"/>
          <w:lang w:val="fr-CA"/>
        </w:rPr>
        <w:t>nécessairement plus étendu</w:t>
      </w:r>
      <w:r w:rsidRPr="00871B19">
        <w:rPr>
          <w:iCs/>
          <w:sz w:val="20"/>
          <w:lang w:val="fr-CA"/>
        </w:rPr>
        <w:t xml:space="preserve"> lorsqu’il s’agit d’appliquer les doctrines relatives au caractère définitif des décisions en contexte de droit administratif et montre qu’il n’est que sage d’appliquer avec beaucoup de souplesse, dans le contexte du droit administratif, les doctrines relatives au caractère définitif des décisions.  </w:t>
      </w:r>
      <w:r w:rsidRPr="00871B19">
        <w:rPr>
          <w:sz w:val="20"/>
          <w:lang w:val="fr-CA"/>
        </w:rPr>
        <w:t>Le facteur le plus important consiste à déterminer si une injustice peut résulter de l’attribution d’une portée définitive et exécutoire à l’instance antérieure.  En cas d’injustice substantielle ou de risque sérieux d’une telle injustice, les choix procéduraux malavisés du plaignant ne devraient généralement pas sonner le glas d’un examen au fond approprié de sa plainte.</w:t>
      </w:r>
    </w:p>
    <w:p w:rsidR="002574C2" w:rsidRPr="00871B19" w:rsidRDefault="002574C2" w:rsidP="002574C2">
      <w:pPr>
        <w:pStyle w:val="SCCNormalDoubleSpacing"/>
        <w:spacing w:line="240" w:lineRule="auto"/>
        <w:rPr>
          <w:sz w:val="20"/>
          <w:lang w:val="fr-CA"/>
        </w:rPr>
      </w:pPr>
    </w:p>
    <w:p w:rsidR="002574C2" w:rsidRPr="00871B19" w:rsidRDefault="002574C2" w:rsidP="002574C2">
      <w:pPr>
        <w:pStyle w:val="SCCNormalDoubleSpacing"/>
        <w:spacing w:line="240" w:lineRule="auto"/>
        <w:rPr>
          <w:sz w:val="20"/>
          <w:lang w:val="fr-CA"/>
        </w:rPr>
      </w:pPr>
      <w:r w:rsidRPr="00871B19">
        <w:rPr>
          <w:sz w:val="20"/>
          <w:lang w:val="fr-CA"/>
        </w:rPr>
        <w:tab/>
        <w:t>En l’espèce, en refusant de rejeter la plainte en application de l’al. 27(1)(f), le Tribunal a rendu une décision manifestement déraisonnable</w:t>
      </w:r>
      <w:r w:rsidRPr="00871B19">
        <w:rPr>
          <w:i/>
          <w:sz w:val="20"/>
          <w:lang w:val="fr-CA"/>
        </w:rPr>
        <w:t>.</w:t>
      </w:r>
      <w:r w:rsidRPr="00871B19">
        <w:rPr>
          <w:sz w:val="20"/>
          <w:lang w:val="fr-CA"/>
        </w:rPr>
        <w:t xml:space="preserve">  Le Tribunal pouvait tenir compte des allégations relatives aux limites procédurales du recours devant l’agent de révision, mais il a commis une erreur justifiant l’annulation de sa décision en fondant cette dernière sur le prétendu manque d’indépendance de l’agent de révision et en faisant abstraction de la possibilité de recourir au contrôle judiciaire pour corriger tout vice procédural.  Plus fondamentalement encore, il n’a pas examiné s’il avait été statué sur le fond de la plainte, omettant ainsi de prendre en considération une condition imposée par la Loi.  Il lui faut tenir compte d’éléments comme les questions soulevées dans l’instance antérieure et les questions de savoir si cette instance s’est déroulée de façon équitable, si le plaignant était bien représenté, si les principes applicables en matière de droits de la personne ont été examinés, si une réparation appropriée pouvait être accordée et si le choix du forum antérieur relevait du plaignant.  Cette évaluation globale et souple paraît être exactement la démarche que requiert l’al. 27(1)(f).  En outre, le Tribunal n’a pas pris en compte l’équité, fondamentale ou autre, de l’instance antérieure.  Tout cela a fait en sorte que le Tribunal n’a accordé aucun poids aux intérêts en jeu en matière de caractère définitif de la décision, et qu’il a largement fondé son analyse, plutôt, sur des facteurs non pertinents rattachés à l’existence des stricts éléments constitutifs de la préclusion fondée sur une question déjà tranchée. </w:t>
      </w:r>
    </w:p>
    <w:p w:rsidR="002574C2" w:rsidRPr="00871B19" w:rsidRDefault="002574C2" w:rsidP="002574C2">
      <w:pPr>
        <w:pStyle w:val="SCCNormalDoubleSpacing"/>
        <w:spacing w:line="240" w:lineRule="auto"/>
        <w:rPr>
          <w:sz w:val="20"/>
          <w:lang w:val="fr-CA"/>
        </w:rPr>
      </w:pPr>
    </w:p>
    <w:p w:rsidR="002574C2" w:rsidRPr="00871B19" w:rsidRDefault="002574C2" w:rsidP="002574C2">
      <w:pPr>
        <w:pStyle w:val="SCCNormalDoubleSpacing"/>
        <w:spacing w:line="240" w:lineRule="auto"/>
        <w:rPr>
          <w:sz w:val="20"/>
          <w:lang w:val="fr-CA"/>
        </w:rPr>
      </w:pPr>
      <w:r w:rsidRPr="00871B19">
        <w:rPr>
          <w:sz w:val="20"/>
          <w:lang w:val="fr-CA"/>
        </w:rPr>
        <w:lastRenderedPageBreak/>
        <w:tab/>
        <w:t>Il y a lieu d’accueillir le pourvoi et de renvoyer au Tribunal, pour qu’il la réexamine, la demande de la Workers’ Compensation Board présentée aux termes de l’al. 27(1)(f).</w:t>
      </w:r>
    </w:p>
    <w:p w:rsidR="002574C2" w:rsidRPr="00871B19" w:rsidRDefault="002574C2" w:rsidP="002574C2">
      <w:pPr>
        <w:pStyle w:val="SCCNormalDoubleSpacing"/>
        <w:spacing w:line="240" w:lineRule="auto"/>
        <w:rPr>
          <w:sz w:val="20"/>
          <w:lang w:val="fr-CA"/>
        </w:rPr>
      </w:pPr>
    </w:p>
    <w:p w:rsidR="002574C2" w:rsidRPr="00871B19" w:rsidRDefault="002574C2" w:rsidP="002574C2">
      <w:pPr>
        <w:pStyle w:val="SCCNormalDoubleSpacing"/>
        <w:spacing w:line="240" w:lineRule="auto"/>
        <w:rPr>
          <w:sz w:val="20"/>
          <w:lang w:val="fr-CA"/>
        </w:rPr>
      </w:pPr>
      <w:r w:rsidRPr="00871B19">
        <w:rPr>
          <w:sz w:val="20"/>
          <w:lang w:val="fr-CA"/>
        </w:rPr>
        <w:tab/>
        <w:t>POURVOI contre un arrêt de la Cour d’appel de la Colombie</w:t>
      </w:r>
      <w:r w:rsidRPr="00871B19">
        <w:rPr>
          <w:sz w:val="20"/>
          <w:lang w:val="fr-CA"/>
        </w:rPr>
        <w:noBreakHyphen/>
        <w:t>Britannique (les juges Huddart, Frankel et Tysoe), 2010 BCCA 77, 2 B.C.L.R. (5th) 274, 316 D.L.R. (4th) 648, 284 B.C.A.C. 50, 481 W.A.C. 50, 3 Admin. L.R. (5th) 49, [2010] B.C.J. No. 259 (QL), 2010 CarswellBC 330, qui a annulé une décision de la juge Stromberg</w:t>
      </w:r>
      <w:r w:rsidRPr="00871B19">
        <w:rPr>
          <w:sz w:val="20"/>
          <w:lang w:val="fr-CA"/>
        </w:rPr>
        <w:noBreakHyphen/>
        <w:t>Stein, 2009 BCSC 377, 93 B.C.L.R. (4th) 384, 96 Admin. L.R. (4th) 250, [2009] B.C.J. No. 554 (QL), 2009 CarswellBC 737.  Pourvoi accueilli.</w:t>
      </w:r>
    </w:p>
    <w:p w:rsidR="002574C2" w:rsidRPr="00871B19" w:rsidRDefault="002574C2" w:rsidP="002574C2">
      <w:pPr>
        <w:pStyle w:val="SCCNormalDoubleSpacing"/>
        <w:spacing w:line="240" w:lineRule="auto"/>
        <w:rPr>
          <w:sz w:val="20"/>
          <w:lang w:val="fr-CA"/>
        </w:rPr>
      </w:pPr>
    </w:p>
    <w:p w:rsidR="002574C2" w:rsidRPr="00871B19" w:rsidRDefault="002574C2" w:rsidP="002574C2">
      <w:pPr>
        <w:pStyle w:val="SCCNormalDoubleSpacing"/>
        <w:spacing w:line="240" w:lineRule="auto"/>
        <w:rPr>
          <w:sz w:val="20"/>
          <w:lang w:val="fr-CA"/>
        </w:rPr>
      </w:pPr>
      <w:r w:rsidRPr="00871B19">
        <w:rPr>
          <w:rStyle w:val="SCCCounselNameChar"/>
          <w:sz w:val="20"/>
          <w:lang w:val="fr-CA"/>
        </w:rPr>
        <w:tab/>
        <w:t>Scott A. Nielsen</w:t>
      </w:r>
      <w:r w:rsidRPr="000F7B76">
        <w:rPr>
          <w:rStyle w:val="SCCCounselSeparatorChar"/>
          <w:sz w:val="20"/>
        </w:rPr>
        <w:t xml:space="preserve"> et </w:t>
      </w:r>
      <w:r w:rsidRPr="00871B19">
        <w:rPr>
          <w:rStyle w:val="SCCCounselNameChar"/>
          <w:sz w:val="20"/>
          <w:lang w:val="fr-CA"/>
        </w:rPr>
        <w:t>Laurel Courtenay</w:t>
      </w:r>
      <w:r w:rsidRPr="00871B19">
        <w:rPr>
          <w:rStyle w:val="SCCCounselPartyRoleChar"/>
          <w:sz w:val="20"/>
          <w:lang w:val="fr-CA"/>
        </w:rPr>
        <w:t>, pour l’appelante.</w:t>
      </w:r>
    </w:p>
    <w:p w:rsidR="002574C2" w:rsidRPr="00871B19" w:rsidRDefault="002574C2" w:rsidP="002574C2">
      <w:pPr>
        <w:pStyle w:val="SCCNormalDoubleSpacing"/>
        <w:spacing w:line="240" w:lineRule="auto"/>
        <w:rPr>
          <w:rStyle w:val="SCCCounselNameChar"/>
          <w:i w:val="0"/>
          <w:sz w:val="20"/>
          <w:lang w:val="fr-CA"/>
        </w:rPr>
      </w:pPr>
    </w:p>
    <w:p w:rsidR="002574C2" w:rsidRPr="00B85071" w:rsidRDefault="002574C2" w:rsidP="002574C2">
      <w:pPr>
        <w:pStyle w:val="SCCNormalDoubleSpacing"/>
        <w:spacing w:line="240" w:lineRule="auto"/>
        <w:rPr>
          <w:sz w:val="20"/>
          <w:lang w:val="fr-CA"/>
        </w:rPr>
      </w:pPr>
      <w:r w:rsidRPr="00871B19">
        <w:rPr>
          <w:rStyle w:val="SCCCounselNameChar"/>
          <w:sz w:val="20"/>
          <w:lang w:val="fr-CA"/>
        </w:rPr>
        <w:tab/>
      </w:r>
      <w:r w:rsidRPr="00B85071">
        <w:rPr>
          <w:rStyle w:val="SCCCounselNameChar"/>
          <w:sz w:val="20"/>
          <w:lang w:val="fr-CA"/>
        </w:rPr>
        <w:t>Lindsay Waddell,</w:t>
      </w:r>
      <w:r w:rsidRPr="000F7B76">
        <w:rPr>
          <w:rStyle w:val="SCCCounselSeparatorChar"/>
          <w:sz w:val="20"/>
        </w:rPr>
        <w:t xml:space="preserve"> </w:t>
      </w:r>
      <w:r w:rsidRPr="00B85071">
        <w:rPr>
          <w:rStyle w:val="SCCCounselNameChar"/>
          <w:sz w:val="20"/>
          <w:lang w:val="fr-CA"/>
        </w:rPr>
        <w:t>James Sayre</w:t>
      </w:r>
      <w:r w:rsidRPr="000F7B76">
        <w:rPr>
          <w:rStyle w:val="SCCCounselSeparatorChar"/>
          <w:sz w:val="20"/>
        </w:rPr>
        <w:t xml:space="preserve"> et </w:t>
      </w:r>
      <w:r w:rsidRPr="00B85071">
        <w:rPr>
          <w:rStyle w:val="SCCCounselNameChar"/>
          <w:sz w:val="20"/>
          <w:lang w:val="fr-CA"/>
        </w:rPr>
        <w:t>Kevin Love</w:t>
      </w:r>
      <w:r w:rsidRPr="00B85071">
        <w:rPr>
          <w:rStyle w:val="SCCCounselPartyRoleChar"/>
          <w:sz w:val="20"/>
          <w:lang w:val="fr-CA"/>
        </w:rPr>
        <w:t>, pour les intimés Guiseppe Figliola, Kimberley Sallis et Barry Dearden.</w:t>
      </w:r>
    </w:p>
    <w:p w:rsidR="002574C2" w:rsidRPr="00B85071" w:rsidRDefault="002574C2" w:rsidP="002574C2">
      <w:pPr>
        <w:pStyle w:val="SCCNormalDoubleSpacing"/>
        <w:spacing w:line="240" w:lineRule="auto"/>
        <w:rPr>
          <w:rStyle w:val="SCCCounselNameChar"/>
          <w:i w:val="0"/>
          <w:sz w:val="20"/>
          <w:lang w:val="fr-CA"/>
        </w:rPr>
      </w:pPr>
    </w:p>
    <w:p w:rsidR="002574C2" w:rsidRPr="00B85071" w:rsidRDefault="002574C2" w:rsidP="002574C2">
      <w:pPr>
        <w:pStyle w:val="SCCNormalDoubleSpacing"/>
        <w:spacing w:line="240" w:lineRule="auto"/>
        <w:rPr>
          <w:sz w:val="20"/>
          <w:lang w:val="fr-CA"/>
        </w:rPr>
      </w:pPr>
      <w:r w:rsidRPr="00B85071">
        <w:rPr>
          <w:rStyle w:val="SCCCounselNameChar"/>
          <w:sz w:val="20"/>
          <w:lang w:val="fr-CA"/>
        </w:rPr>
        <w:tab/>
        <w:t>Jessica M. Connell et Katherine Hardie</w:t>
      </w:r>
      <w:r w:rsidRPr="00B85071">
        <w:rPr>
          <w:rStyle w:val="SCCCounselPartyRoleChar"/>
          <w:sz w:val="20"/>
          <w:lang w:val="fr-CA"/>
        </w:rPr>
        <w:t>, pour l’intimé British Columbia Human Rights Tribunal.</w:t>
      </w:r>
    </w:p>
    <w:p w:rsidR="002574C2" w:rsidRPr="00B85071" w:rsidRDefault="002574C2" w:rsidP="002574C2">
      <w:pPr>
        <w:pStyle w:val="SCCNormalDoubleSpacing"/>
        <w:spacing w:line="240" w:lineRule="auto"/>
        <w:rPr>
          <w:rStyle w:val="SCCCounselNameChar"/>
          <w:i w:val="0"/>
          <w:sz w:val="20"/>
          <w:lang w:val="fr-CA"/>
        </w:rPr>
      </w:pPr>
    </w:p>
    <w:p w:rsidR="002574C2" w:rsidRPr="00871B19" w:rsidRDefault="002574C2" w:rsidP="002574C2">
      <w:pPr>
        <w:pStyle w:val="SCCNormalDoubleSpacing"/>
        <w:spacing w:line="240" w:lineRule="auto"/>
        <w:rPr>
          <w:sz w:val="20"/>
          <w:lang w:val="fr-CA"/>
        </w:rPr>
      </w:pPr>
      <w:r w:rsidRPr="00B85071">
        <w:rPr>
          <w:rStyle w:val="SCCCounselNameChar"/>
          <w:sz w:val="20"/>
          <w:lang w:val="fr-CA"/>
        </w:rPr>
        <w:tab/>
      </w:r>
      <w:r w:rsidRPr="00871B19">
        <w:rPr>
          <w:rStyle w:val="SCCCounselNameChar"/>
          <w:sz w:val="20"/>
          <w:lang w:val="fr-CA"/>
        </w:rPr>
        <w:t>Jonathan G. Penner</w:t>
      </w:r>
      <w:r w:rsidRPr="00871B19">
        <w:rPr>
          <w:rStyle w:val="SCCCounselPartyRoleChar"/>
          <w:sz w:val="20"/>
          <w:lang w:val="fr-CA"/>
        </w:rPr>
        <w:t>, pour l’intervenant le procureur général de la Colombie</w:t>
      </w:r>
      <w:r w:rsidRPr="00871B19">
        <w:rPr>
          <w:rStyle w:val="SCCCounselPartyRoleChar"/>
          <w:sz w:val="20"/>
          <w:lang w:val="fr-CA"/>
        </w:rPr>
        <w:noBreakHyphen/>
        <w:t>Britannique.</w:t>
      </w:r>
    </w:p>
    <w:p w:rsidR="002574C2" w:rsidRPr="00871B19" w:rsidRDefault="002574C2" w:rsidP="002574C2">
      <w:pPr>
        <w:pStyle w:val="SCCNormalDoubleSpacing"/>
        <w:spacing w:line="240" w:lineRule="auto"/>
        <w:rPr>
          <w:rStyle w:val="SCCCounselNameChar"/>
          <w:i w:val="0"/>
          <w:sz w:val="20"/>
          <w:lang w:val="fr-CA"/>
        </w:rPr>
      </w:pPr>
    </w:p>
    <w:p w:rsidR="002574C2" w:rsidRPr="00871B19" w:rsidRDefault="002574C2" w:rsidP="002574C2">
      <w:pPr>
        <w:pStyle w:val="SCCNormalDoubleSpacing"/>
        <w:spacing w:line="240" w:lineRule="auto"/>
        <w:rPr>
          <w:sz w:val="20"/>
          <w:lang w:val="fr-CA"/>
        </w:rPr>
      </w:pPr>
      <w:r w:rsidRPr="00871B19">
        <w:rPr>
          <w:rStyle w:val="SCCCounselNameChar"/>
          <w:sz w:val="20"/>
          <w:lang w:val="fr-CA"/>
        </w:rPr>
        <w:tab/>
        <w:t>Peter A. Gall, c.r.,</w:t>
      </w:r>
      <w:r w:rsidRPr="000F7B76">
        <w:rPr>
          <w:rStyle w:val="SCCCounselSeparatorChar"/>
          <w:sz w:val="20"/>
        </w:rPr>
        <w:t xml:space="preserve"> et </w:t>
      </w:r>
      <w:r w:rsidRPr="00871B19">
        <w:rPr>
          <w:rStyle w:val="SCCCounselNameChar"/>
          <w:sz w:val="20"/>
          <w:lang w:val="fr-CA"/>
        </w:rPr>
        <w:t>Nitya Iyer</w:t>
      </w:r>
      <w:r w:rsidRPr="00871B19">
        <w:rPr>
          <w:rStyle w:val="SCCCounselPartyRoleChar"/>
          <w:sz w:val="20"/>
          <w:lang w:val="fr-CA"/>
        </w:rPr>
        <w:t>, pour l’intervenante Coalition of BC Businesses.</w:t>
      </w:r>
    </w:p>
    <w:p w:rsidR="002574C2" w:rsidRPr="00871B19" w:rsidRDefault="002574C2" w:rsidP="002574C2">
      <w:pPr>
        <w:pStyle w:val="SCCNormalDoubleSpacing"/>
        <w:spacing w:line="240" w:lineRule="auto"/>
        <w:rPr>
          <w:rStyle w:val="SCCCounselNameChar"/>
          <w:i w:val="0"/>
          <w:sz w:val="20"/>
          <w:lang w:val="fr-CA"/>
        </w:rPr>
      </w:pPr>
    </w:p>
    <w:p w:rsidR="002574C2" w:rsidRPr="00871B19" w:rsidRDefault="002574C2" w:rsidP="002574C2">
      <w:pPr>
        <w:pStyle w:val="SCCNormalDoubleSpacing"/>
        <w:spacing w:line="240" w:lineRule="auto"/>
        <w:rPr>
          <w:sz w:val="20"/>
          <w:lang w:val="fr-CA"/>
        </w:rPr>
      </w:pPr>
      <w:r w:rsidRPr="00871B19">
        <w:rPr>
          <w:rStyle w:val="SCCCounselNameChar"/>
          <w:sz w:val="20"/>
          <w:lang w:val="fr-CA"/>
        </w:rPr>
        <w:tab/>
        <w:t>Sheila Osborne</w:t>
      </w:r>
      <w:r w:rsidRPr="00871B19">
        <w:rPr>
          <w:rStyle w:val="SCCCounselNameChar"/>
          <w:sz w:val="20"/>
          <w:lang w:val="fr-CA"/>
        </w:rPr>
        <w:noBreakHyphen/>
        <w:t>Brown</w:t>
      </w:r>
      <w:r w:rsidRPr="00871B19">
        <w:rPr>
          <w:rStyle w:val="SCCCounselPartyRoleChar"/>
          <w:sz w:val="20"/>
          <w:lang w:val="fr-CA"/>
        </w:rPr>
        <w:t xml:space="preserve"> et </w:t>
      </w:r>
      <w:r w:rsidRPr="00871B19">
        <w:rPr>
          <w:rStyle w:val="SCCCounselNameChar"/>
          <w:sz w:val="20"/>
          <w:lang w:val="fr-CA"/>
        </w:rPr>
        <w:t>Philippe Dufresne</w:t>
      </w:r>
      <w:r w:rsidRPr="000F7B76">
        <w:rPr>
          <w:rStyle w:val="SCCCounselSeparatorChar"/>
          <w:sz w:val="20"/>
        </w:rPr>
        <w:t xml:space="preserve">, </w:t>
      </w:r>
      <w:r w:rsidRPr="00871B19">
        <w:rPr>
          <w:rStyle w:val="SCCCounselPartyRoleChar"/>
          <w:sz w:val="20"/>
          <w:lang w:val="fr-CA"/>
        </w:rPr>
        <w:t>pour l’intervenante la Commission canadienne des droits de la personne.</w:t>
      </w:r>
    </w:p>
    <w:p w:rsidR="002574C2" w:rsidRPr="00871B19" w:rsidRDefault="002574C2" w:rsidP="002574C2">
      <w:pPr>
        <w:pStyle w:val="SCCNormalDoubleSpacing"/>
        <w:spacing w:line="240" w:lineRule="auto"/>
        <w:rPr>
          <w:rStyle w:val="SCCCounselNameChar"/>
          <w:i w:val="0"/>
          <w:sz w:val="20"/>
          <w:lang w:val="fr-CA"/>
        </w:rPr>
      </w:pPr>
    </w:p>
    <w:p w:rsidR="002574C2" w:rsidRPr="000F7B76" w:rsidRDefault="002574C2" w:rsidP="002574C2">
      <w:pPr>
        <w:pStyle w:val="SCCNormalDoubleSpacing"/>
        <w:spacing w:line="240" w:lineRule="auto"/>
        <w:rPr>
          <w:rStyle w:val="SCCCounselPartyRoleChar"/>
          <w:sz w:val="20"/>
        </w:rPr>
      </w:pPr>
      <w:r w:rsidRPr="00871B19">
        <w:rPr>
          <w:rStyle w:val="SCCCounselNameChar"/>
          <w:sz w:val="20"/>
          <w:lang w:val="fr-CA"/>
        </w:rPr>
        <w:tab/>
      </w:r>
      <w:r w:rsidRPr="000F7B76">
        <w:rPr>
          <w:rStyle w:val="SCCCounselNameChar"/>
          <w:sz w:val="20"/>
        </w:rPr>
        <w:t>Janice R. Ashcroft</w:t>
      </w:r>
      <w:r w:rsidRPr="000F7B76">
        <w:rPr>
          <w:rStyle w:val="SCCCounselPartyRoleChar"/>
          <w:sz w:val="20"/>
        </w:rPr>
        <w:t>, pour l’intervenante Alberta Human Rights Commission.</w:t>
      </w:r>
    </w:p>
    <w:p w:rsidR="002574C2" w:rsidRDefault="002574C2" w:rsidP="002574C2">
      <w:pPr>
        <w:pStyle w:val="SCCNormalDoubleSpacing"/>
        <w:spacing w:line="240" w:lineRule="auto"/>
        <w:rPr>
          <w:rStyle w:val="SCCCounselNameChar"/>
          <w:i w:val="0"/>
          <w:sz w:val="20"/>
        </w:rPr>
      </w:pPr>
    </w:p>
    <w:p w:rsidR="002574C2" w:rsidRPr="000F7B76" w:rsidRDefault="002574C2" w:rsidP="002574C2">
      <w:pPr>
        <w:pStyle w:val="SCCNormalDoubleSpacing"/>
        <w:spacing w:line="240" w:lineRule="auto"/>
        <w:rPr>
          <w:sz w:val="20"/>
        </w:rPr>
      </w:pPr>
      <w:r w:rsidRPr="000F7B76">
        <w:rPr>
          <w:rStyle w:val="SCCCounselNameChar"/>
          <w:sz w:val="20"/>
        </w:rPr>
        <w:tab/>
        <w:t>Ryan D. W. Dalziel</w:t>
      </w:r>
      <w:r w:rsidRPr="000F7B76">
        <w:rPr>
          <w:rStyle w:val="SCCCounselPartyRoleChar"/>
          <w:sz w:val="20"/>
        </w:rPr>
        <w:t>, pour l’intervenante Vancouver Area Human Rights Coalition Society.</w:t>
      </w:r>
    </w:p>
    <w:p w:rsidR="002574C2" w:rsidRDefault="002574C2" w:rsidP="002574C2">
      <w:pPr>
        <w:pStyle w:val="SCCLawFirm"/>
        <w:spacing w:line="240" w:lineRule="auto"/>
        <w:rPr>
          <w:i w:val="0"/>
          <w:sz w:val="20"/>
        </w:rPr>
      </w:pPr>
    </w:p>
    <w:p w:rsidR="002574C2" w:rsidRPr="000F7B76" w:rsidRDefault="002574C2" w:rsidP="002574C2">
      <w:pPr>
        <w:pStyle w:val="SCCLawFirm"/>
        <w:spacing w:line="240" w:lineRule="auto"/>
        <w:rPr>
          <w:sz w:val="20"/>
        </w:rPr>
      </w:pPr>
      <w:r w:rsidRPr="000F7B76">
        <w:rPr>
          <w:sz w:val="20"/>
        </w:rPr>
        <w:tab/>
        <w:t>Procureur de l’appelante : Workers’ Compensation Board, Richmond.</w:t>
      </w:r>
    </w:p>
    <w:p w:rsidR="002574C2" w:rsidRDefault="002574C2" w:rsidP="002574C2">
      <w:pPr>
        <w:pStyle w:val="SCCLawFirm"/>
        <w:spacing w:line="240" w:lineRule="auto"/>
        <w:rPr>
          <w:i w:val="0"/>
          <w:sz w:val="20"/>
        </w:rPr>
      </w:pPr>
    </w:p>
    <w:p w:rsidR="002574C2" w:rsidRPr="000F7B76" w:rsidRDefault="002574C2" w:rsidP="002574C2">
      <w:pPr>
        <w:pStyle w:val="SCCLawFirm"/>
        <w:spacing w:line="240" w:lineRule="auto"/>
        <w:rPr>
          <w:sz w:val="20"/>
        </w:rPr>
      </w:pPr>
      <w:r w:rsidRPr="000F7B76">
        <w:rPr>
          <w:sz w:val="20"/>
        </w:rPr>
        <w:tab/>
        <w:t>Procureur des intimés Guiseppe Figliola, Kimberley Sallis et Barry Dearden : Community Legal Assistance Society, Vancouver.</w:t>
      </w:r>
    </w:p>
    <w:p w:rsidR="002574C2" w:rsidRDefault="002574C2" w:rsidP="002574C2">
      <w:pPr>
        <w:pStyle w:val="SCCLawFirm"/>
        <w:spacing w:line="240" w:lineRule="auto"/>
        <w:rPr>
          <w:i w:val="0"/>
          <w:sz w:val="20"/>
        </w:rPr>
      </w:pPr>
    </w:p>
    <w:p w:rsidR="002574C2" w:rsidRPr="000F7B76" w:rsidRDefault="002574C2" w:rsidP="002574C2">
      <w:pPr>
        <w:pStyle w:val="SCCLawFirm"/>
        <w:spacing w:line="240" w:lineRule="auto"/>
        <w:rPr>
          <w:sz w:val="20"/>
        </w:rPr>
      </w:pPr>
      <w:r w:rsidRPr="000F7B76">
        <w:rPr>
          <w:sz w:val="20"/>
        </w:rPr>
        <w:tab/>
        <w:t>Procureur de l’intimé British Columbia Human Rights Tribunal : British Columbia Human Rights Tribunal, Vancouver.</w:t>
      </w:r>
    </w:p>
    <w:p w:rsidR="002574C2" w:rsidRDefault="002574C2" w:rsidP="002574C2">
      <w:pPr>
        <w:pStyle w:val="SCCLawFirm"/>
        <w:spacing w:line="240" w:lineRule="auto"/>
        <w:rPr>
          <w:i w:val="0"/>
          <w:sz w:val="20"/>
        </w:rPr>
      </w:pPr>
    </w:p>
    <w:p w:rsidR="002574C2" w:rsidRPr="00871B19" w:rsidRDefault="002574C2" w:rsidP="002574C2">
      <w:pPr>
        <w:pStyle w:val="SCCLawFirm"/>
        <w:spacing w:line="240" w:lineRule="auto"/>
        <w:rPr>
          <w:sz w:val="20"/>
          <w:lang w:val="fr-CA"/>
        </w:rPr>
      </w:pPr>
      <w:r w:rsidRPr="000F7B76">
        <w:rPr>
          <w:sz w:val="20"/>
        </w:rPr>
        <w:tab/>
      </w:r>
      <w:r w:rsidRPr="00871B19">
        <w:rPr>
          <w:sz w:val="20"/>
          <w:lang w:val="fr-CA"/>
        </w:rPr>
        <w:t>Procureur de l’intervenant le procureur général de la Colombie</w:t>
      </w:r>
      <w:r w:rsidRPr="00871B19">
        <w:rPr>
          <w:sz w:val="20"/>
          <w:lang w:val="fr-CA"/>
        </w:rPr>
        <w:noBreakHyphen/>
        <w:t>Britannique : Procureur général de la Colombie</w:t>
      </w:r>
      <w:r w:rsidRPr="00871B19">
        <w:rPr>
          <w:sz w:val="20"/>
          <w:lang w:val="fr-CA"/>
        </w:rPr>
        <w:noBreakHyphen/>
        <w:t>Britannique, Victoria.</w:t>
      </w:r>
    </w:p>
    <w:p w:rsidR="002574C2" w:rsidRPr="00871B19" w:rsidRDefault="002574C2" w:rsidP="002574C2">
      <w:pPr>
        <w:pStyle w:val="SCCLawFirm"/>
        <w:spacing w:line="240" w:lineRule="auto"/>
        <w:rPr>
          <w:i w:val="0"/>
          <w:sz w:val="20"/>
          <w:lang w:val="fr-CA"/>
        </w:rPr>
      </w:pPr>
    </w:p>
    <w:p w:rsidR="002574C2" w:rsidRPr="00871B19" w:rsidRDefault="002574C2" w:rsidP="002574C2">
      <w:pPr>
        <w:pStyle w:val="SCCLawFirm"/>
        <w:spacing w:line="240" w:lineRule="auto"/>
        <w:rPr>
          <w:sz w:val="20"/>
          <w:lang w:val="fr-CA"/>
        </w:rPr>
      </w:pPr>
      <w:r w:rsidRPr="00871B19">
        <w:rPr>
          <w:sz w:val="20"/>
          <w:lang w:val="fr-CA"/>
        </w:rPr>
        <w:tab/>
        <w:t>Procureurs de l’intervenante Coalition of BC Businesses : Heenan Blaikie, Vancouver.</w:t>
      </w:r>
    </w:p>
    <w:p w:rsidR="002574C2" w:rsidRPr="00871B19" w:rsidRDefault="002574C2" w:rsidP="002574C2">
      <w:pPr>
        <w:pStyle w:val="SCCLawFirm"/>
        <w:spacing w:line="240" w:lineRule="auto"/>
        <w:rPr>
          <w:i w:val="0"/>
          <w:sz w:val="20"/>
          <w:lang w:val="fr-CA"/>
        </w:rPr>
      </w:pPr>
    </w:p>
    <w:p w:rsidR="002574C2" w:rsidRPr="00871B19" w:rsidRDefault="002574C2" w:rsidP="002574C2">
      <w:pPr>
        <w:pStyle w:val="SCCLawFirm"/>
        <w:spacing w:line="240" w:lineRule="auto"/>
        <w:rPr>
          <w:sz w:val="20"/>
          <w:lang w:val="fr-CA"/>
        </w:rPr>
      </w:pPr>
      <w:r w:rsidRPr="00871B19">
        <w:rPr>
          <w:sz w:val="20"/>
          <w:lang w:val="fr-CA"/>
        </w:rPr>
        <w:tab/>
        <w:t>Procureur de l’intervenante la Commission canadienne des droits de la personne : Commission canadienne des droits de la personne, Ottawa.</w:t>
      </w:r>
    </w:p>
    <w:p w:rsidR="002574C2" w:rsidRPr="00871B19" w:rsidRDefault="002574C2" w:rsidP="002574C2">
      <w:pPr>
        <w:pStyle w:val="SCCLawFirm"/>
        <w:spacing w:line="240" w:lineRule="auto"/>
        <w:rPr>
          <w:i w:val="0"/>
          <w:sz w:val="20"/>
          <w:lang w:val="fr-CA"/>
        </w:rPr>
      </w:pPr>
    </w:p>
    <w:p w:rsidR="002574C2" w:rsidRPr="00871B19" w:rsidRDefault="002574C2" w:rsidP="002574C2">
      <w:pPr>
        <w:pStyle w:val="SCCLawFirm"/>
        <w:spacing w:line="240" w:lineRule="auto"/>
        <w:rPr>
          <w:sz w:val="20"/>
          <w:lang w:val="fr-CA"/>
        </w:rPr>
      </w:pPr>
      <w:r w:rsidRPr="00871B19">
        <w:rPr>
          <w:sz w:val="20"/>
          <w:lang w:val="fr-CA"/>
        </w:rPr>
        <w:tab/>
        <w:t>Procureur de l’intervenante Alberta Human Rights Commission : Alberta Human Rights Commission, Calgary.</w:t>
      </w:r>
    </w:p>
    <w:p w:rsidR="002574C2" w:rsidRPr="00871B19" w:rsidRDefault="002574C2" w:rsidP="002574C2">
      <w:pPr>
        <w:pStyle w:val="SCCLawFirm"/>
        <w:spacing w:line="240" w:lineRule="auto"/>
        <w:rPr>
          <w:i w:val="0"/>
          <w:sz w:val="20"/>
          <w:lang w:val="fr-CA"/>
        </w:rPr>
      </w:pPr>
    </w:p>
    <w:p w:rsidR="002574C2" w:rsidRPr="00871B19" w:rsidRDefault="002574C2" w:rsidP="002574C2">
      <w:pPr>
        <w:pStyle w:val="SCCLawFirm"/>
        <w:spacing w:line="240" w:lineRule="auto"/>
        <w:rPr>
          <w:sz w:val="20"/>
          <w:lang w:val="fr-CA"/>
        </w:rPr>
      </w:pPr>
      <w:r w:rsidRPr="00871B19">
        <w:rPr>
          <w:sz w:val="20"/>
          <w:lang w:val="fr-CA"/>
        </w:rPr>
        <w:tab/>
        <w:t>Procureurs de l’intervenante Vancouver Area Human Rights Coalition Society : Bull, Housser &amp; Tupper, Vancouver.</w:t>
      </w:r>
    </w:p>
    <w:p w:rsidR="002574C2" w:rsidRPr="00871B19" w:rsidRDefault="002574C2" w:rsidP="002574C2">
      <w:pPr>
        <w:rPr>
          <w:sz w:val="20"/>
          <w:szCs w:val="20"/>
          <w:lang w:val="fr-CA"/>
        </w:rPr>
      </w:pPr>
    </w:p>
    <w:p w:rsidR="002574C2" w:rsidRPr="00871B19" w:rsidRDefault="00460701" w:rsidP="002574C2">
      <w:pPr>
        <w:rPr>
          <w:sz w:val="20"/>
          <w:szCs w:val="20"/>
          <w:lang w:val="fr-CA"/>
        </w:rPr>
      </w:pPr>
      <w:r w:rsidRPr="00460701">
        <w:rPr>
          <w:rFonts w:cs="Times New Roman"/>
          <w:sz w:val="20"/>
          <w:szCs w:val="20"/>
          <w:lang w:val="fr-CA"/>
        </w:rPr>
        <w:pict>
          <v:rect id="_x0000_i1084" style="width:144.3pt;height:1pt" o:hrpct="300" o:hralign="center" o:hrstd="t" o:hrnoshade="t" o:hr="t" fillcolor="black [3213]" stroked="f"/>
        </w:pict>
      </w:r>
    </w:p>
    <w:p w:rsidR="002574C2" w:rsidRPr="00871B19" w:rsidRDefault="002574C2" w:rsidP="002574C2">
      <w:pPr>
        <w:rPr>
          <w:sz w:val="20"/>
          <w:szCs w:val="20"/>
          <w:lang w:val="fr-CA"/>
        </w:rPr>
      </w:pPr>
      <w:r w:rsidRPr="00871B19">
        <w:rPr>
          <w:sz w:val="20"/>
          <w:szCs w:val="20"/>
          <w:lang w:val="fr-CA"/>
        </w:rPr>
        <w:br w:type="page"/>
      </w:r>
    </w:p>
    <w:p w:rsidR="002574C2" w:rsidRPr="008A5428" w:rsidRDefault="002574C2" w:rsidP="002574C2">
      <w:pPr>
        <w:jc w:val="both"/>
        <w:rPr>
          <w:rFonts w:eastAsia="Calibri" w:cs="Times New Roman"/>
          <w:sz w:val="20"/>
          <w:szCs w:val="20"/>
        </w:rPr>
      </w:pPr>
      <w:r w:rsidRPr="008A5428">
        <w:rPr>
          <w:rFonts w:eastAsia="Calibri" w:cs="Times New Roman"/>
          <w:i/>
          <w:sz w:val="20"/>
          <w:szCs w:val="20"/>
          <w:lang w:val="en-GB"/>
        </w:rPr>
        <w:lastRenderedPageBreak/>
        <w:t xml:space="preserve">Canadian Human Rights Commission et al. v. Attorney General of Canada </w:t>
      </w:r>
      <w:r w:rsidRPr="008A5428">
        <w:rPr>
          <w:rFonts w:eastAsia="Calibri" w:cs="Times New Roman"/>
          <w:sz w:val="20"/>
          <w:szCs w:val="20"/>
          <w:lang w:val="en-GB"/>
        </w:rPr>
        <w:t>(F.C.) (33507)</w:t>
      </w:r>
    </w:p>
    <w:p w:rsidR="002574C2" w:rsidRPr="00CC1F9E" w:rsidRDefault="002574C2" w:rsidP="002574C2">
      <w:pPr>
        <w:jc w:val="both"/>
        <w:rPr>
          <w:b/>
          <w:sz w:val="20"/>
          <w:szCs w:val="20"/>
        </w:rPr>
      </w:pPr>
      <w:r w:rsidRPr="00CC1F9E">
        <w:rPr>
          <w:b/>
          <w:sz w:val="20"/>
          <w:szCs w:val="20"/>
        </w:rPr>
        <w:t xml:space="preserve">Indexed as:  </w:t>
      </w:r>
      <w:r w:rsidRPr="00F75FDD">
        <w:rPr>
          <w:rStyle w:val="SCCAppellantForIndexChar"/>
          <w:rFonts w:eastAsiaTheme="minorHAnsi"/>
          <w:sz w:val="20"/>
          <w:lang w:val="en-CA"/>
        </w:rPr>
        <w:t>Canada (Canadian Human Rights Commission)</w:t>
      </w:r>
      <w:r w:rsidRPr="00CC1F9E">
        <w:rPr>
          <w:b/>
          <w:sz w:val="20"/>
          <w:szCs w:val="20"/>
        </w:rPr>
        <w:t xml:space="preserve"> </w:t>
      </w:r>
      <w:r w:rsidRPr="00CC1F9E">
        <w:rPr>
          <w:b/>
          <w:i/>
          <w:sz w:val="20"/>
          <w:szCs w:val="20"/>
        </w:rPr>
        <w:t>v.</w:t>
      </w:r>
      <w:r w:rsidRPr="00CC1F9E">
        <w:rPr>
          <w:b/>
          <w:sz w:val="20"/>
          <w:szCs w:val="20"/>
        </w:rPr>
        <w:t xml:space="preserve"> Canada (</w:t>
      </w:r>
      <w:r w:rsidRPr="00CC1F9E">
        <w:rPr>
          <w:rStyle w:val="SCCRespondentForIndexChar"/>
          <w:rFonts w:eastAsiaTheme="minorHAnsi"/>
          <w:sz w:val="20"/>
        </w:rPr>
        <w:t>Attorney General)</w:t>
      </w:r>
      <w:r>
        <w:rPr>
          <w:rStyle w:val="SCCRespondentForIndexChar"/>
          <w:rFonts w:eastAsiaTheme="minorHAnsi"/>
          <w:sz w:val="20"/>
        </w:rPr>
        <w:t xml:space="preserve"> /</w:t>
      </w:r>
    </w:p>
    <w:p w:rsidR="002574C2" w:rsidRPr="009A4C1B" w:rsidRDefault="002574C2" w:rsidP="002574C2">
      <w:pPr>
        <w:tabs>
          <w:tab w:val="left" w:pos="-1440"/>
        </w:tabs>
        <w:ind w:left="720" w:hanging="720"/>
        <w:jc w:val="both"/>
        <w:rPr>
          <w:i/>
          <w:sz w:val="20"/>
          <w:szCs w:val="20"/>
          <w:lang w:val="fr-CA"/>
        </w:rPr>
      </w:pPr>
      <w:r w:rsidRPr="009A4C1B">
        <w:rPr>
          <w:b/>
          <w:sz w:val="20"/>
          <w:szCs w:val="20"/>
          <w:lang w:val="fr-CA"/>
        </w:rPr>
        <w:t>Répertorié : Canada (</w:t>
      </w:r>
      <w:r w:rsidRPr="00D305AF">
        <w:rPr>
          <w:rStyle w:val="SCCAppellantForIndexChar"/>
          <w:rFonts w:eastAsiaTheme="minorHAnsi"/>
          <w:sz w:val="20"/>
        </w:rPr>
        <w:t>Commission canadienne des droits de la personne)</w:t>
      </w:r>
      <w:r w:rsidRPr="009A4C1B">
        <w:rPr>
          <w:b/>
          <w:sz w:val="20"/>
          <w:szCs w:val="20"/>
          <w:lang w:val="fr-CA"/>
        </w:rPr>
        <w:t xml:space="preserve"> </w:t>
      </w:r>
      <w:r w:rsidRPr="009A4C1B">
        <w:rPr>
          <w:b/>
          <w:i/>
          <w:sz w:val="20"/>
          <w:szCs w:val="20"/>
          <w:lang w:val="fr-CA"/>
        </w:rPr>
        <w:t>c.</w:t>
      </w:r>
      <w:r w:rsidRPr="009A4C1B">
        <w:rPr>
          <w:b/>
          <w:sz w:val="20"/>
          <w:szCs w:val="20"/>
          <w:lang w:val="fr-CA"/>
        </w:rPr>
        <w:t xml:space="preserve"> </w:t>
      </w:r>
      <w:r w:rsidRPr="009A4C1B">
        <w:rPr>
          <w:rStyle w:val="SCCRespondentForIndexChar"/>
          <w:rFonts w:eastAsiaTheme="minorHAnsi"/>
          <w:sz w:val="20"/>
          <w:lang w:val="fr-CA"/>
        </w:rPr>
        <w:t>Canada (Procureur général)</w:t>
      </w:r>
    </w:p>
    <w:p w:rsidR="002574C2" w:rsidRPr="009A4C1B" w:rsidRDefault="002574C2" w:rsidP="002574C2">
      <w:pPr>
        <w:pStyle w:val="SCCSystemYear"/>
        <w:jc w:val="both"/>
        <w:rPr>
          <w:sz w:val="20"/>
        </w:rPr>
      </w:pPr>
      <w:r w:rsidRPr="009A4C1B">
        <w:rPr>
          <w:sz w:val="20"/>
        </w:rPr>
        <w:t>Neutral citation:  2011 SCC 53 / Référence neutre : 2011 CSC 53</w:t>
      </w:r>
    </w:p>
    <w:p w:rsidR="002574C2" w:rsidRPr="002574C2" w:rsidRDefault="002574C2" w:rsidP="002574C2">
      <w:pPr>
        <w:rPr>
          <w:sz w:val="20"/>
          <w:szCs w:val="20"/>
          <w:lang w:val="fr-CA"/>
        </w:rPr>
      </w:pPr>
      <w:r w:rsidRPr="002574C2">
        <w:rPr>
          <w:sz w:val="20"/>
          <w:szCs w:val="20"/>
          <w:lang w:val="fr-CA"/>
        </w:rPr>
        <w:t>Hearing:  December 13, 2010 / Judgment:  October 28, 2011</w:t>
      </w:r>
    </w:p>
    <w:p w:rsidR="002574C2" w:rsidRPr="003B3977" w:rsidRDefault="002574C2" w:rsidP="002574C2">
      <w:pPr>
        <w:rPr>
          <w:sz w:val="20"/>
          <w:szCs w:val="20"/>
          <w:lang w:val="fr-CA"/>
        </w:rPr>
      </w:pPr>
      <w:r w:rsidRPr="003B3977">
        <w:rPr>
          <w:sz w:val="20"/>
          <w:szCs w:val="20"/>
          <w:lang w:val="fr-CA"/>
        </w:rPr>
        <w:t>Audition : Le 1</w:t>
      </w:r>
      <w:r>
        <w:rPr>
          <w:sz w:val="20"/>
          <w:szCs w:val="20"/>
          <w:lang w:val="fr-CA"/>
        </w:rPr>
        <w:t>3</w:t>
      </w:r>
      <w:r w:rsidRPr="003B3977">
        <w:rPr>
          <w:sz w:val="20"/>
          <w:szCs w:val="20"/>
          <w:lang w:val="fr-CA"/>
        </w:rPr>
        <w:t xml:space="preserve"> </w:t>
      </w:r>
      <w:r>
        <w:rPr>
          <w:sz w:val="20"/>
          <w:szCs w:val="20"/>
          <w:lang w:val="fr-CA"/>
        </w:rPr>
        <w:t>déce</w:t>
      </w:r>
      <w:r w:rsidRPr="003B3977">
        <w:rPr>
          <w:sz w:val="20"/>
          <w:szCs w:val="20"/>
          <w:lang w:val="fr-CA"/>
        </w:rPr>
        <w:t>m</w:t>
      </w:r>
      <w:r>
        <w:rPr>
          <w:sz w:val="20"/>
          <w:szCs w:val="20"/>
          <w:lang w:val="fr-CA"/>
        </w:rPr>
        <w:t>bre</w:t>
      </w:r>
      <w:r w:rsidRPr="003B3977">
        <w:rPr>
          <w:sz w:val="20"/>
          <w:szCs w:val="20"/>
          <w:lang w:val="fr-CA"/>
        </w:rPr>
        <w:t xml:space="preserve"> 2010 / Jugement : Le 28 octobre 201</w:t>
      </w:r>
      <w:r>
        <w:rPr>
          <w:sz w:val="20"/>
          <w:szCs w:val="20"/>
          <w:lang w:val="fr-CA"/>
        </w:rPr>
        <w:t>1</w:t>
      </w:r>
    </w:p>
    <w:p w:rsidR="002574C2" w:rsidRPr="003B3977" w:rsidRDefault="00460701" w:rsidP="002574C2">
      <w:pPr>
        <w:rPr>
          <w:sz w:val="20"/>
          <w:szCs w:val="20"/>
          <w:lang w:val="fr-CA"/>
        </w:rPr>
      </w:pPr>
      <w:r w:rsidRPr="00460701">
        <w:rPr>
          <w:i/>
          <w:sz w:val="20"/>
          <w:szCs w:val="20"/>
        </w:rPr>
        <w:pict>
          <v:rect id="_x0000_i1085" style="width:480.95pt;height:1pt" o:hralign="center" o:hrstd="t" o:hrnoshade="t" o:hr="t" fillcolor="black [3213]" stroked="f"/>
        </w:pict>
      </w:r>
    </w:p>
    <w:p w:rsidR="002574C2" w:rsidRDefault="002574C2" w:rsidP="002574C2">
      <w:pPr>
        <w:spacing w:line="0" w:lineRule="atLeast"/>
        <w:rPr>
          <w:sz w:val="20"/>
          <w:szCs w:val="20"/>
          <w:lang w:val="fr-CA"/>
        </w:rPr>
      </w:pPr>
    </w:p>
    <w:p w:rsidR="002574C2" w:rsidRPr="00CC1F9E" w:rsidRDefault="002574C2" w:rsidP="002574C2">
      <w:pPr>
        <w:jc w:val="both"/>
        <w:rPr>
          <w:sz w:val="20"/>
          <w:szCs w:val="20"/>
        </w:rPr>
      </w:pPr>
      <w:r w:rsidRPr="00CC1F9E">
        <w:rPr>
          <w:sz w:val="20"/>
          <w:szCs w:val="20"/>
        </w:rPr>
        <w:t>Present:  McLachlin C.J. and LeBel, Deschamps, Abella, Charron, Rothstein and Cromwell JJ.</w:t>
      </w:r>
    </w:p>
    <w:p w:rsidR="002574C2" w:rsidRDefault="002574C2" w:rsidP="002574C2">
      <w:pPr>
        <w:pStyle w:val="SCCLowerCourtNameLowercase"/>
        <w:spacing w:line="240" w:lineRule="auto"/>
        <w:rPr>
          <w:sz w:val="20"/>
        </w:rPr>
      </w:pPr>
    </w:p>
    <w:p w:rsidR="002574C2" w:rsidRPr="00CC1F9E" w:rsidRDefault="002574C2" w:rsidP="002574C2">
      <w:pPr>
        <w:pStyle w:val="SCCNormalDoubleSpacing"/>
        <w:spacing w:line="240" w:lineRule="auto"/>
        <w:rPr>
          <w:i/>
          <w:sz w:val="20"/>
        </w:rPr>
      </w:pPr>
      <w:r w:rsidRPr="00CC1F9E">
        <w:rPr>
          <w:i/>
          <w:sz w:val="20"/>
        </w:rPr>
        <w:tab/>
        <w:t>Administrative law — Judicial Review — Standard of review — Canadian Human Rights Tribunal awarding legal costs to complainant — Whether standard of reasonableness applicable to Tribunal’s decision to award costs — Whether Tribunal made a reviewable error in awarding costs to complainant — Canadian Human Rights Act, R.S.C. 1985, c. H</w:t>
      </w:r>
      <w:r w:rsidRPr="00CC1F9E">
        <w:rPr>
          <w:i/>
          <w:sz w:val="20"/>
        </w:rPr>
        <w:noBreakHyphen/>
        <w:t>6, ss. 53(2)(c), 53(2)(d).</w:t>
      </w:r>
    </w:p>
    <w:p w:rsidR="002574C2" w:rsidRPr="00CC1F9E" w:rsidRDefault="002574C2" w:rsidP="002574C2">
      <w:pPr>
        <w:pStyle w:val="SCCNormalDoubleSpacing"/>
        <w:spacing w:line="240" w:lineRule="auto"/>
        <w:rPr>
          <w:sz w:val="20"/>
        </w:rPr>
      </w:pPr>
    </w:p>
    <w:p w:rsidR="002574C2" w:rsidRPr="00CC1F9E" w:rsidRDefault="002574C2" w:rsidP="002574C2">
      <w:pPr>
        <w:pStyle w:val="SCCNormalDoubleSpacing"/>
        <w:spacing w:line="240" w:lineRule="auto"/>
        <w:rPr>
          <w:i/>
          <w:sz w:val="20"/>
        </w:rPr>
      </w:pPr>
      <w:r w:rsidRPr="00CC1F9E">
        <w:rPr>
          <w:i/>
          <w:sz w:val="20"/>
        </w:rPr>
        <w:tab/>
        <w:t>Administrative law — Boards and Tribunals — Jurisdiction — Costs — Canadian Human Rights Tribunal awarding legal costs to complainant — Whether Tribunal having jurisdiction to award costs — Canadian Human Rights Act, R.S.C. 1985, c. H</w:t>
      </w:r>
      <w:r w:rsidRPr="00CC1F9E">
        <w:rPr>
          <w:i/>
          <w:sz w:val="20"/>
        </w:rPr>
        <w:noBreakHyphen/>
        <w:t>6, ss. 53(2)(c), 53(2)(d).</w:t>
      </w:r>
    </w:p>
    <w:p w:rsidR="002574C2" w:rsidRDefault="002574C2" w:rsidP="002574C2">
      <w:pPr>
        <w:pStyle w:val="SCCNormalDoubleSpacing"/>
        <w:spacing w:line="240" w:lineRule="auto"/>
        <w:rPr>
          <w:sz w:val="20"/>
        </w:rPr>
      </w:pPr>
    </w:p>
    <w:p w:rsidR="002574C2" w:rsidRPr="00CC1F9E" w:rsidRDefault="002574C2" w:rsidP="002574C2">
      <w:pPr>
        <w:pStyle w:val="SCCNormalDoubleSpacing"/>
        <w:spacing w:line="240" w:lineRule="auto"/>
        <w:rPr>
          <w:sz w:val="20"/>
        </w:rPr>
      </w:pPr>
      <w:r w:rsidRPr="00CC1F9E">
        <w:rPr>
          <w:sz w:val="20"/>
        </w:rPr>
        <w:tab/>
        <w:t xml:space="preserve">M filed a human rights complaint with the Canadian Human Rights Commission alleging that the Canadian Forces had discriminated against her on the ground of sex contrary to the provisions of the </w:t>
      </w:r>
      <w:r w:rsidRPr="00CC1F9E">
        <w:rPr>
          <w:i/>
          <w:sz w:val="20"/>
        </w:rPr>
        <w:t>Canadian Human Rights Act</w:t>
      </w:r>
      <w:r w:rsidRPr="00CC1F9E">
        <w:rPr>
          <w:sz w:val="20"/>
        </w:rPr>
        <w:t xml:space="preserve"> (“</w:t>
      </w:r>
      <w:r w:rsidRPr="00CC1F9E">
        <w:rPr>
          <w:i/>
          <w:sz w:val="20"/>
        </w:rPr>
        <w:t>CHRA</w:t>
      </w:r>
      <w:r w:rsidRPr="00CC1F9E">
        <w:rPr>
          <w:sz w:val="20"/>
        </w:rPr>
        <w:t>”).  The Canadian Human Rights Tribunal (“Tribunal”) concluded that M’s complaint of sexual harassment was substantiated in part and she was awarded $4,000 to compensate for “suffering in respect of feelings or self respect.”  M applied for legal costs.  The Tribunal determined that it had the authority to order costs pursuant to s. 53(2)(</w:t>
      </w:r>
      <w:r w:rsidRPr="00CC1F9E">
        <w:rPr>
          <w:i/>
          <w:sz w:val="20"/>
        </w:rPr>
        <w:t>c</w:t>
      </w:r>
      <w:r w:rsidRPr="00CC1F9E">
        <w:rPr>
          <w:sz w:val="20"/>
        </w:rPr>
        <w:t>) and 53(2)(</w:t>
      </w:r>
      <w:r w:rsidRPr="00CC1F9E">
        <w:rPr>
          <w:i/>
          <w:sz w:val="20"/>
        </w:rPr>
        <w:t>d</w:t>
      </w:r>
      <w:r w:rsidRPr="00CC1F9E">
        <w:rPr>
          <w:sz w:val="20"/>
        </w:rPr>
        <w:t xml:space="preserve">) of the </w:t>
      </w:r>
      <w:r w:rsidRPr="00CC1F9E">
        <w:rPr>
          <w:i/>
          <w:sz w:val="20"/>
        </w:rPr>
        <w:t xml:space="preserve">CHRA </w:t>
      </w:r>
      <w:r w:rsidRPr="00CC1F9E">
        <w:rPr>
          <w:sz w:val="20"/>
        </w:rPr>
        <w:t>and awarded M $47,000 in this regard.  The Federal Court upheld  the Tribunal’s decision on its authority to award costs.  The Federal Court of Appeal allowed an appeal of this decision and held that the Tribunal had no authority to make a costs award.</w:t>
      </w:r>
    </w:p>
    <w:p w:rsidR="002574C2" w:rsidRPr="00CC1F9E" w:rsidRDefault="002574C2" w:rsidP="002574C2">
      <w:pPr>
        <w:pStyle w:val="SCCNormalDoubleSpacing"/>
        <w:spacing w:line="240" w:lineRule="auto"/>
        <w:rPr>
          <w:rStyle w:val="QuoteChar"/>
          <w:i w:val="0"/>
        </w:rPr>
      </w:pPr>
    </w:p>
    <w:p w:rsidR="002574C2" w:rsidRPr="00CC1F9E" w:rsidRDefault="002574C2" w:rsidP="002574C2">
      <w:pPr>
        <w:pStyle w:val="SCCNormalDoubleSpacing"/>
        <w:spacing w:line="240" w:lineRule="auto"/>
        <w:rPr>
          <w:sz w:val="20"/>
        </w:rPr>
      </w:pPr>
      <w:r w:rsidRPr="00CC1F9E">
        <w:rPr>
          <w:rStyle w:val="QuoteChar"/>
          <w:sz w:val="20"/>
        </w:rPr>
        <w:tab/>
        <w:t>Held:</w:t>
      </w:r>
      <w:r w:rsidRPr="00CC1F9E">
        <w:rPr>
          <w:sz w:val="20"/>
        </w:rPr>
        <w:t xml:space="preserve">  The appeal should be dismissed. </w:t>
      </w:r>
    </w:p>
    <w:p w:rsidR="002574C2" w:rsidRPr="00CC1F9E" w:rsidRDefault="002574C2" w:rsidP="002574C2">
      <w:pPr>
        <w:pStyle w:val="SCCNormalDoubleSpacing"/>
        <w:spacing w:line="240" w:lineRule="auto"/>
        <w:rPr>
          <w:sz w:val="20"/>
        </w:rPr>
      </w:pPr>
    </w:p>
    <w:p w:rsidR="002574C2" w:rsidRPr="00CC1F9E" w:rsidRDefault="002574C2" w:rsidP="002574C2">
      <w:pPr>
        <w:pStyle w:val="SCCNormalDoubleSpacing"/>
        <w:spacing w:line="240" w:lineRule="auto"/>
        <w:rPr>
          <w:sz w:val="20"/>
        </w:rPr>
      </w:pPr>
      <w:r w:rsidRPr="00CC1F9E">
        <w:rPr>
          <w:i/>
          <w:sz w:val="20"/>
        </w:rPr>
        <w:tab/>
      </w:r>
      <w:r w:rsidRPr="00CC1F9E">
        <w:rPr>
          <w:sz w:val="20"/>
        </w:rPr>
        <w:t>Administrative tribunals are generally entitled to deference in respect of the legal interpretation of their home statues and laws or legal rules closely connected to them.  However, general questions of law that are both of central importance to the legal system as a whole and outside the adjudicator’s specialized area of expertise must be reviewed on a standard of correctness.  The proper standard of review of the Tribunal’s decision to award legal costs to the successful complainant is reasonableness.  Whether the Tribunal has the authority to award costs is a question of law which is located within the core function and expertise of the Tribunal and which relates to the interpretation and the application of its enabling statute.  This issue</w:t>
      </w:r>
      <w:r w:rsidRPr="00CC1F9E">
        <w:rPr>
          <w:sz w:val="20"/>
          <w:lang w:val="en-US"/>
        </w:rPr>
        <w:t xml:space="preserve"> </w:t>
      </w:r>
      <w:r w:rsidRPr="00CC1F9E">
        <w:rPr>
          <w:sz w:val="20"/>
        </w:rPr>
        <w:t xml:space="preserve">is neither a question of jurisdiction, nor a question of law of central importance to the legal system as a whole falling outside the Tribunal’s area of expertise within the meaning of </w:t>
      </w:r>
      <w:r w:rsidRPr="00CC1F9E">
        <w:rPr>
          <w:i/>
          <w:sz w:val="20"/>
        </w:rPr>
        <w:t>Dunsmuir</w:t>
      </w:r>
      <w:r w:rsidRPr="00CC1F9E">
        <w:rPr>
          <w:sz w:val="20"/>
        </w:rPr>
        <w:t>.</w:t>
      </w:r>
    </w:p>
    <w:p w:rsidR="002574C2" w:rsidRDefault="002574C2" w:rsidP="002574C2">
      <w:pPr>
        <w:pStyle w:val="SCCNormalDoubleSpacing"/>
        <w:spacing w:line="240" w:lineRule="auto"/>
        <w:rPr>
          <w:sz w:val="20"/>
        </w:rPr>
      </w:pPr>
    </w:p>
    <w:p w:rsidR="002574C2" w:rsidRPr="00CC1F9E" w:rsidRDefault="002574C2" w:rsidP="002574C2">
      <w:pPr>
        <w:pStyle w:val="SCCNormalDoubleSpacing"/>
        <w:spacing w:line="240" w:lineRule="auto"/>
        <w:rPr>
          <w:sz w:val="20"/>
        </w:rPr>
      </w:pPr>
      <w:r w:rsidRPr="00CC1F9E">
        <w:rPr>
          <w:sz w:val="20"/>
        </w:rPr>
        <w:tab/>
        <w:t>The precise interpretive question before the Tribunal was whether the words of ss. 53(2)(</w:t>
      </w:r>
      <w:r w:rsidRPr="00CC1F9E">
        <w:rPr>
          <w:i/>
          <w:sz w:val="20"/>
        </w:rPr>
        <w:t>c</w:t>
      </w:r>
      <w:r w:rsidRPr="00CC1F9E">
        <w:rPr>
          <w:sz w:val="20"/>
        </w:rPr>
        <w:t>) and (</w:t>
      </w:r>
      <w:r w:rsidRPr="00CC1F9E">
        <w:rPr>
          <w:i/>
          <w:sz w:val="20"/>
        </w:rPr>
        <w:t>d</w:t>
      </w:r>
      <w:r w:rsidRPr="00CC1F9E">
        <w:rPr>
          <w:sz w:val="20"/>
        </w:rPr>
        <w:t>), which authorize the Tribunal to “compensate the victim for . . . any expenses incurred by the victim as a result of the discriminatory practice” permit an award of legal costs.  An  examination of the text, context and purpose of these provisions reveals that the Tribunal’s interpretation was not reasonable.  Human rights legislation expresses fundamental values and pursues fundamental goals.  It must be interpreted liberally and purposively so that the rights enunciated are given their full recognition and effect.  However, the intent of Parliament must be respected by reading the words of their provision in their entire context and according to their grammatical and ordinary sense, harmoniously with the scheme and object of the Act.  The words “any expenses incurred by the victim” taken on their own and divorced from their context are wide enough to include legal costs.  However, when these words are read in their statutory context, they cannot reasonably be interpreted as creating a stand</w:t>
      </w:r>
      <w:r w:rsidRPr="00CC1F9E">
        <w:rPr>
          <w:sz w:val="20"/>
        </w:rPr>
        <w:noBreakHyphen/>
        <w:t>alone category of compensation capable of supporting any type of disbursement causally connected to the discrimination.  The Tribunal’s interpretation violates the legislative presumption against tautology, makes the repetition of the term “expenses” redundant and fails to explain why the term is linked to the particular types of compensation described in those paragraphs.  Moreover, the term “costs” has a well</w:t>
      </w:r>
      <w:r w:rsidRPr="00CC1F9E">
        <w:rPr>
          <w:sz w:val="20"/>
        </w:rPr>
        <w:noBreakHyphen/>
        <w:t xml:space="preserve">understood meaning that is distinct from compensation or expenses.  If Parliament intended to confer authority to confer costs, it is difficult to understand why it did not use this very familiar and widely used legal term of </w:t>
      </w:r>
      <w:r w:rsidRPr="00CC1F9E">
        <w:rPr>
          <w:sz w:val="20"/>
        </w:rPr>
        <w:lastRenderedPageBreak/>
        <w:t xml:space="preserve">art to implement that purpose.  The legislative history of the </w:t>
      </w:r>
      <w:r w:rsidRPr="00CC1F9E">
        <w:rPr>
          <w:i/>
          <w:sz w:val="20"/>
        </w:rPr>
        <w:t xml:space="preserve">CHRA, </w:t>
      </w:r>
      <w:r w:rsidRPr="00CC1F9E">
        <w:rPr>
          <w:sz w:val="20"/>
        </w:rPr>
        <w:t>the Commission’s understanding of costs authority as well as a review of parallel provincial legislation all support the conclusion that the Tribunal has no authority to award costs.  Finally, the Tribunal’s interpretation would permit it to make a free</w:t>
      </w:r>
      <w:r w:rsidRPr="00CC1F9E">
        <w:rPr>
          <w:sz w:val="20"/>
        </w:rPr>
        <w:noBreakHyphen/>
        <w:t xml:space="preserve">standing award for pain and suffering coupled with an award of legal costs in a potentially unlimited amount.  This view is difficult to reconcile with either the monetary limit of an award for pain and suffering or the omission of any express authority to award expenses in s. 53(3). </w:t>
      </w:r>
    </w:p>
    <w:p w:rsidR="002574C2" w:rsidRDefault="002574C2" w:rsidP="002574C2">
      <w:pPr>
        <w:pStyle w:val="SCCNormalDoubleSpacing"/>
        <w:spacing w:line="240" w:lineRule="auto"/>
        <w:rPr>
          <w:sz w:val="20"/>
        </w:rPr>
      </w:pPr>
    </w:p>
    <w:p w:rsidR="002574C2" w:rsidRDefault="002574C2" w:rsidP="002574C2">
      <w:pPr>
        <w:pStyle w:val="SCCNormalDoubleSpacing"/>
        <w:spacing w:line="240" w:lineRule="auto"/>
        <w:rPr>
          <w:sz w:val="20"/>
        </w:rPr>
      </w:pPr>
      <w:r w:rsidRPr="00CC1F9E">
        <w:rPr>
          <w:sz w:val="20"/>
        </w:rPr>
        <w:tab/>
        <w:t>No reasonable interpretation of the relevant statutory provisions can support the view that the Tribunal may award legal costs to successful complainants.  Faced with a difficult point of statutory interpretation and conflicting judicial authority, the Tribunal adopted a dictionary meaning of “expenses” and articulated what it considered to be a beneficial policy outcome rather than engaging in an interpretative process taking account of the text, context and purpose of the provisions in issue.  A liberal and purposive interpretation cannot supplant a textual and contextual analysis simply in order to give effect to a policy decision different from the one made by Parliament.</w:t>
      </w:r>
    </w:p>
    <w:p w:rsidR="002574C2" w:rsidRPr="00CC1F9E" w:rsidRDefault="002574C2" w:rsidP="002574C2">
      <w:pPr>
        <w:pStyle w:val="SCCNormalDoubleSpacing"/>
        <w:spacing w:line="240" w:lineRule="auto"/>
        <w:rPr>
          <w:sz w:val="20"/>
        </w:rPr>
      </w:pPr>
    </w:p>
    <w:p w:rsidR="002574C2" w:rsidRPr="00CC1F9E" w:rsidRDefault="002574C2" w:rsidP="002574C2">
      <w:pPr>
        <w:pStyle w:val="SCCNormalDoubleSpacing"/>
        <w:spacing w:line="240" w:lineRule="auto"/>
        <w:rPr>
          <w:sz w:val="20"/>
        </w:rPr>
      </w:pPr>
      <w:r w:rsidRPr="00CC1F9E">
        <w:rPr>
          <w:sz w:val="20"/>
        </w:rPr>
        <w:tab/>
        <w:t>APPEAL from a judgment of the Federal Court of Appeal (Létourneau, Sexton and Layden</w:t>
      </w:r>
      <w:r w:rsidRPr="00CC1F9E">
        <w:rPr>
          <w:sz w:val="20"/>
        </w:rPr>
        <w:noBreakHyphen/>
        <w:t>Stevenson JJ.A.), 2009 FCA 309, [2010] 4 F.C.R. 579, 312 D.L.R. (4th) 294, 4 Admin. L.R. (5th) 192, 395 N.R. 52, [2009] F.C.J. No. 1359 (QL), 2009 CarswellNat 3405, setting aside a decision of Mandamin J., 2008 FC 118, 322 F.T.R. 222, 78 Admin. L.R. (4th) 127, [2008] F.C.J. No. 143 (QL), 2008 CarswellNat 200.  Appeal dismissed.</w:t>
      </w:r>
    </w:p>
    <w:p w:rsidR="002574C2" w:rsidRPr="00CC1F9E" w:rsidRDefault="002574C2" w:rsidP="002574C2">
      <w:pPr>
        <w:pStyle w:val="SCCNormalDoubleSpacing"/>
        <w:spacing w:line="240" w:lineRule="auto"/>
        <w:rPr>
          <w:rStyle w:val="SCCCounselNameChar"/>
          <w:i w:val="0"/>
          <w:sz w:val="20"/>
        </w:rPr>
      </w:pPr>
    </w:p>
    <w:p w:rsidR="002574C2" w:rsidRPr="00CC1F9E" w:rsidRDefault="002574C2" w:rsidP="002574C2">
      <w:pPr>
        <w:pStyle w:val="SCCNormalDoubleSpacing"/>
        <w:spacing w:line="240" w:lineRule="auto"/>
        <w:rPr>
          <w:sz w:val="20"/>
        </w:rPr>
      </w:pPr>
      <w:r w:rsidRPr="00CC1F9E">
        <w:rPr>
          <w:rStyle w:val="SCCCounselNameChar"/>
          <w:sz w:val="20"/>
        </w:rPr>
        <w:tab/>
        <w:t>Philippe Dufresne</w:t>
      </w:r>
      <w:r w:rsidRPr="009A4C1B">
        <w:rPr>
          <w:rStyle w:val="SCCCounselSeparatorChar"/>
          <w:sz w:val="20"/>
          <w:lang w:val="en-CA"/>
        </w:rPr>
        <w:t xml:space="preserve"> and </w:t>
      </w:r>
      <w:r w:rsidRPr="00CC1F9E">
        <w:rPr>
          <w:rStyle w:val="SCCCounselNameChar"/>
          <w:sz w:val="20"/>
        </w:rPr>
        <w:t>Daniel Poulin</w:t>
      </w:r>
      <w:r w:rsidRPr="00CC1F9E">
        <w:rPr>
          <w:rStyle w:val="SCCCounselPartyRoleChar"/>
          <w:sz w:val="20"/>
        </w:rPr>
        <w:t>, for the appellant the Canadian Human Rights Commission.</w:t>
      </w:r>
    </w:p>
    <w:p w:rsidR="002574C2" w:rsidRDefault="002574C2" w:rsidP="002574C2">
      <w:pPr>
        <w:pStyle w:val="SCCNormalDoubleSpacing"/>
        <w:spacing w:line="240" w:lineRule="auto"/>
        <w:rPr>
          <w:rStyle w:val="SCCCounselNameChar"/>
          <w:i w:val="0"/>
          <w:sz w:val="20"/>
        </w:rPr>
      </w:pPr>
    </w:p>
    <w:p w:rsidR="002574C2" w:rsidRPr="00CC1F9E" w:rsidRDefault="002574C2" w:rsidP="002574C2">
      <w:pPr>
        <w:pStyle w:val="SCCNormalDoubleSpacing"/>
        <w:spacing w:line="240" w:lineRule="auto"/>
        <w:rPr>
          <w:sz w:val="20"/>
        </w:rPr>
      </w:pPr>
      <w:r w:rsidRPr="00CC1F9E">
        <w:rPr>
          <w:rStyle w:val="SCCCounselNameChar"/>
          <w:sz w:val="20"/>
        </w:rPr>
        <w:tab/>
        <w:t>Andrew Raven</w:t>
      </w:r>
      <w:r w:rsidRPr="009A4C1B">
        <w:rPr>
          <w:rStyle w:val="SCCCounselSeparatorChar"/>
          <w:sz w:val="20"/>
          <w:lang w:val="en-CA"/>
        </w:rPr>
        <w:t xml:space="preserve">, </w:t>
      </w:r>
      <w:r w:rsidRPr="00CC1F9E">
        <w:rPr>
          <w:rStyle w:val="SCCCounselNameChar"/>
          <w:sz w:val="20"/>
        </w:rPr>
        <w:t xml:space="preserve">Andrew Astritis </w:t>
      </w:r>
      <w:r w:rsidRPr="009A4C1B">
        <w:rPr>
          <w:rStyle w:val="SCCCounselSeparatorChar"/>
          <w:sz w:val="20"/>
          <w:lang w:val="en-CA"/>
        </w:rPr>
        <w:t>and</w:t>
      </w:r>
      <w:r w:rsidRPr="00CC1F9E">
        <w:rPr>
          <w:rStyle w:val="SCCCounselNameChar"/>
          <w:sz w:val="20"/>
        </w:rPr>
        <w:t xml:space="preserve"> Bijon Roy</w:t>
      </w:r>
      <w:r w:rsidRPr="00CC1F9E">
        <w:rPr>
          <w:rStyle w:val="SCCCounselPartyRoleChar"/>
          <w:sz w:val="20"/>
        </w:rPr>
        <w:t>, for the appellant Donna Mowat.</w:t>
      </w:r>
    </w:p>
    <w:p w:rsidR="002574C2" w:rsidRDefault="002574C2" w:rsidP="002574C2">
      <w:pPr>
        <w:pStyle w:val="SCCNormalDoubleSpacing"/>
        <w:spacing w:line="240" w:lineRule="auto"/>
        <w:rPr>
          <w:rStyle w:val="SCCCounselNameChar"/>
          <w:i w:val="0"/>
          <w:sz w:val="20"/>
        </w:rPr>
      </w:pPr>
    </w:p>
    <w:p w:rsidR="002574C2" w:rsidRPr="00CC1F9E" w:rsidRDefault="002574C2" w:rsidP="002574C2">
      <w:pPr>
        <w:pStyle w:val="SCCNormalDoubleSpacing"/>
        <w:spacing w:line="240" w:lineRule="auto"/>
        <w:rPr>
          <w:sz w:val="20"/>
        </w:rPr>
      </w:pPr>
      <w:r w:rsidRPr="00CC1F9E">
        <w:rPr>
          <w:rStyle w:val="SCCCounselNameChar"/>
          <w:sz w:val="20"/>
        </w:rPr>
        <w:tab/>
        <w:t xml:space="preserve">Peter Southey </w:t>
      </w:r>
      <w:r w:rsidRPr="009A4C1B">
        <w:rPr>
          <w:rStyle w:val="SCCCounselSeparatorChar"/>
          <w:sz w:val="20"/>
          <w:lang w:val="en-CA"/>
        </w:rPr>
        <w:t>and</w:t>
      </w:r>
      <w:r w:rsidRPr="00CC1F9E">
        <w:rPr>
          <w:rStyle w:val="SCCCounselNameChar"/>
          <w:sz w:val="20"/>
        </w:rPr>
        <w:t xml:space="preserve"> Sean Gaudet</w:t>
      </w:r>
      <w:r w:rsidRPr="009A4C1B">
        <w:rPr>
          <w:rStyle w:val="SCCCounselSeparatorChar"/>
          <w:sz w:val="20"/>
          <w:lang w:val="en-CA"/>
        </w:rPr>
        <w:t>,</w:t>
      </w:r>
      <w:r w:rsidRPr="00CC1F9E">
        <w:rPr>
          <w:rStyle w:val="SCCCounselPartyRoleChar"/>
          <w:sz w:val="20"/>
        </w:rPr>
        <w:t xml:space="preserve"> for the respondent.</w:t>
      </w:r>
    </w:p>
    <w:p w:rsidR="002574C2" w:rsidRDefault="002574C2" w:rsidP="002574C2">
      <w:pPr>
        <w:pStyle w:val="SCCNormalDoubleSpacing"/>
        <w:spacing w:line="240" w:lineRule="auto"/>
        <w:rPr>
          <w:rStyle w:val="SCCCounselNameChar"/>
          <w:i w:val="0"/>
          <w:sz w:val="20"/>
        </w:rPr>
      </w:pPr>
    </w:p>
    <w:p w:rsidR="002574C2" w:rsidRPr="00CC1F9E" w:rsidRDefault="002574C2" w:rsidP="002574C2">
      <w:pPr>
        <w:pStyle w:val="SCCNormalDoubleSpacing"/>
        <w:spacing w:line="240" w:lineRule="auto"/>
        <w:rPr>
          <w:sz w:val="20"/>
        </w:rPr>
      </w:pPr>
      <w:r w:rsidRPr="00CC1F9E">
        <w:rPr>
          <w:rStyle w:val="SCCCounselNameChar"/>
          <w:sz w:val="20"/>
        </w:rPr>
        <w:tab/>
        <w:t>Reidar M. Mogerman</w:t>
      </w:r>
      <w:r w:rsidRPr="00CC1F9E">
        <w:rPr>
          <w:rStyle w:val="SCCCounselPartyRoleChar"/>
          <w:sz w:val="20"/>
        </w:rPr>
        <w:t>, for the intervener the Canadian Bar Association.</w:t>
      </w:r>
    </w:p>
    <w:p w:rsidR="002574C2" w:rsidRDefault="002574C2" w:rsidP="002574C2">
      <w:pPr>
        <w:pStyle w:val="SCCNormalDoubleSpacing"/>
        <w:spacing w:line="240" w:lineRule="auto"/>
        <w:rPr>
          <w:rStyle w:val="SCCCounselNameChar"/>
          <w:i w:val="0"/>
          <w:sz w:val="20"/>
        </w:rPr>
      </w:pPr>
    </w:p>
    <w:p w:rsidR="002574C2" w:rsidRPr="00CC1F9E" w:rsidRDefault="002574C2" w:rsidP="002574C2">
      <w:pPr>
        <w:pStyle w:val="SCCNormalDoubleSpacing"/>
        <w:spacing w:line="240" w:lineRule="auto"/>
        <w:rPr>
          <w:sz w:val="20"/>
        </w:rPr>
      </w:pPr>
      <w:r w:rsidRPr="00CC1F9E">
        <w:rPr>
          <w:rStyle w:val="SCCCounselNameChar"/>
          <w:sz w:val="20"/>
        </w:rPr>
        <w:tab/>
        <w:t xml:space="preserve">David Baker </w:t>
      </w:r>
      <w:r w:rsidRPr="009A4C1B">
        <w:rPr>
          <w:rStyle w:val="SCCCounselSeparatorChar"/>
          <w:sz w:val="20"/>
          <w:lang w:val="en-CA"/>
        </w:rPr>
        <w:t xml:space="preserve">and </w:t>
      </w:r>
      <w:r w:rsidRPr="00CC1F9E">
        <w:rPr>
          <w:rStyle w:val="SCCCounselNameChar"/>
          <w:sz w:val="20"/>
        </w:rPr>
        <w:t>Paul Champ</w:t>
      </w:r>
      <w:r w:rsidRPr="009A4C1B">
        <w:rPr>
          <w:rStyle w:val="SCCCounselSeparatorChar"/>
          <w:sz w:val="20"/>
          <w:lang w:val="en-CA"/>
        </w:rPr>
        <w:t xml:space="preserve">, </w:t>
      </w:r>
      <w:r w:rsidRPr="00CC1F9E">
        <w:rPr>
          <w:rStyle w:val="SCCCounselPartyRoleChar"/>
          <w:sz w:val="20"/>
        </w:rPr>
        <w:t>for the intervener the Council of Canadians with Disabilities.</w:t>
      </w:r>
    </w:p>
    <w:p w:rsidR="002574C2" w:rsidRDefault="002574C2" w:rsidP="002574C2">
      <w:pPr>
        <w:pStyle w:val="SCCNormalDoubleSpacing"/>
        <w:spacing w:line="240" w:lineRule="auto"/>
        <w:rPr>
          <w:sz w:val="20"/>
        </w:rPr>
      </w:pPr>
    </w:p>
    <w:p w:rsidR="002574C2" w:rsidRPr="00CC1F9E" w:rsidRDefault="002574C2" w:rsidP="002574C2">
      <w:pPr>
        <w:pStyle w:val="SCCNormalDoubleSpacing"/>
        <w:spacing w:line="240" w:lineRule="auto"/>
        <w:rPr>
          <w:sz w:val="20"/>
        </w:rPr>
      </w:pPr>
      <w:r w:rsidRPr="00CC1F9E">
        <w:rPr>
          <w:sz w:val="20"/>
        </w:rPr>
        <w:tab/>
      </w:r>
      <w:r w:rsidRPr="00CC1F9E">
        <w:rPr>
          <w:rStyle w:val="SCCCounselNameChar"/>
          <w:sz w:val="20"/>
        </w:rPr>
        <w:t>Solicitor</w:t>
      </w:r>
      <w:r w:rsidRPr="00CC1F9E">
        <w:rPr>
          <w:i/>
          <w:sz w:val="20"/>
        </w:rPr>
        <w:t xml:space="preserve"> for the appellant the Canadian Human Rights Commission:  Canadian Human Rights Commission, Ottawa.</w:t>
      </w:r>
    </w:p>
    <w:p w:rsidR="002574C2" w:rsidRDefault="002574C2" w:rsidP="002574C2">
      <w:pPr>
        <w:pStyle w:val="SCCNormalDoubleSpacing"/>
        <w:spacing w:line="240" w:lineRule="auto"/>
        <w:rPr>
          <w:sz w:val="20"/>
        </w:rPr>
      </w:pPr>
    </w:p>
    <w:p w:rsidR="002574C2" w:rsidRPr="00CC1F9E" w:rsidRDefault="002574C2" w:rsidP="002574C2">
      <w:pPr>
        <w:pStyle w:val="SCCNormalDoubleSpacing"/>
        <w:spacing w:line="240" w:lineRule="auto"/>
        <w:rPr>
          <w:i/>
          <w:sz w:val="20"/>
        </w:rPr>
      </w:pPr>
      <w:r w:rsidRPr="00CC1F9E">
        <w:rPr>
          <w:sz w:val="20"/>
        </w:rPr>
        <w:tab/>
      </w:r>
      <w:r w:rsidRPr="00CC1F9E">
        <w:rPr>
          <w:rStyle w:val="SCCCounselNameChar"/>
          <w:sz w:val="20"/>
        </w:rPr>
        <w:t>Solicitors</w:t>
      </w:r>
      <w:r w:rsidRPr="00CC1F9E">
        <w:rPr>
          <w:i/>
          <w:sz w:val="20"/>
        </w:rPr>
        <w:t xml:space="preserve"> for the appellant Donna Mowat:  Raven, Cameron, Ballantyne &amp; Yazbeck, Ottawa.</w:t>
      </w:r>
    </w:p>
    <w:p w:rsidR="002574C2" w:rsidRDefault="002574C2" w:rsidP="002574C2">
      <w:pPr>
        <w:pStyle w:val="SCCNormalDoubleSpacing"/>
        <w:spacing w:line="240" w:lineRule="auto"/>
        <w:rPr>
          <w:sz w:val="20"/>
        </w:rPr>
      </w:pPr>
    </w:p>
    <w:p w:rsidR="002574C2" w:rsidRPr="00CC1F9E" w:rsidRDefault="002574C2" w:rsidP="002574C2">
      <w:pPr>
        <w:pStyle w:val="SCCNormalDoubleSpacing"/>
        <w:spacing w:line="240" w:lineRule="auto"/>
        <w:rPr>
          <w:i/>
          <w:sz w:val="20"/>
        </w:rPr>
      </w:pPr>
      <w:r w:rsidRPr="00CC1F9E">
        <w:rPr>
          <w:i/>
          <w:sz w:val="20"/>
        </w:rPr>
        <w:tab/>
      </w:r>
      <w:r w:rsidRPr="00CC1F9E">
        <w:rPr>
          <w:rStyle w:val="SCCCounselNameChar"/>
          <w:sz w:val="20"/>
        </w:rPr>
        <w:t>Solicitor</w:t>
      </w:r>
      <w:r w:rsidRPr="00CC1F9E">
        <w:rPr>
          <w:i/>
          <w:sz w:val="20"/>
        </w:rPr>
        <w:t xml:space="preserve"> for the respondent:  Attorney General of Canada, Toronto.</w:t>
      </w:r>
    </w:p>
    <w:p w:rsidR="002574C2" w:rsidRDefault="002574C2" w:rsidP="002574C2">
      <w:pPr>
        <w:pStyle w:val="SCCNormalDoubleSpacing"/>
        <w:spacing w:line="240" w:lineRule="auto"/>
        <w:rPr>
          <w:sz w:val="20"/>
        </w:rPr>
      </w:pPr>
    </w:p>
    <w:p w:rsidR="002574C2" w:rsidRPr="00CC1F9E" w:rsidRDefault="002574C2" w:rsidP="002574C2">
      <w:pPr>
        <w:pStyle w:val="SCCNormalDoubleSpacing"/>
        <w:spacing w:line="240" w:lineRule="auto"/>
        <w:rPr>
          <w:i/>
          <w:sz w:val="20"/>
        </w:rPr>
      </w:pPr>
      <w:r w:rsidRPr="00CC1F9E">
        <w:rPr>
          <w:i/>
          <w:sz w:val="20"/>
        </w:rPr>
        <w:tab/>
      </w:r>
      <w:r w:rsidRPr="00CC1F9E">
        <w:rPr>
          <w:rStyle w:val="SCCCounselNameChar"/>
          <w:sz w:val="20"/>
        </w:rPr>
        <w:t>Solicitors</w:t>
      </w:r>
      <w:r w:rsidRPr="00CC1F9E">
        <w:rPr>
          <w:i/>
          <w:sz w:val="20"/>
        </w:rPr>
        <w:t xml:space="preserve"> for the intervener the Canadian Bar Association:  Camp Fiorante Matthews, Vancouver.</w:t>
      </w:r>
    </w:p>
    <w:p w:rsidR="002574C2" w:rsidRDefault="002574C2" w:rsidP="002574C2">
      <w:pPr>
        <w:pStyle w:val="SCCNormalDoubleSpacing"/>
        <w:spacing w:line="240" w:lineRule="auto"/>
        <w:rPr>
          <w:sz w:val="20"/>
        </w:rPr>
      </w:pPr>
    </w:p>
    <w:p w:rsidR="002574C2" w:rsidRDefault="002574C2" w:rsidP="002574C2">
      <w:pPr>
        <w:pStyle w:val="SCCNormalDoubleSpacing"/>
        <w:spacing w:line="240" w:lineRule="auto"/>
        <w:rPr>
          <w:i/>
          <w:sz w:val="20"/>
        </w:rPr>
      </w:pPr>
      <w:r w:rsidRPr="00CC1F9E">
        <w:rPr>
          <w:i/>
          <w:sz w:val="20"/>
        </w:rPr>
        <w:tab/>
      </w:r>
      <w:r w:rsidRPr="00CC1F9E">
        <w:rPr>
          <w:rStyle w:val="SCCCounselNameChar"/>
          <w:sz w:val="20"/>
        </w:rPr>
        <w:t>Solicitors</w:t>
      </w:r>
      <w:r w:rsidRPr="00CC1F9E">
        <w:rPr>
          <w:i/>
          <w:sz w:val="20"/>
        </w:rPr>
        <w:t xml:space="preserve"> for the intervener the Council of Canadians with Disabilities:  Champ &amp; Associates, Ottawa.</w:t>
      </w:r>
    </w:p>
    <w:p w:rsidR="002574C2" w:rsidRPr="009A4C1B" w:rsidRDefault="002574C2" w:rsidP="002574C2">
      <w:pPr>
        <w:rPr>
          <w:sz w:val="20"/>
          <w:szCs w:val="20"/>
          <w:lang w:val="fr-CA"/>
        </w:rPr>
      </w:pPr>
      <w:r w:rsidRPr="009A4C1B">
        <w:rPr>
          <w:sz w:val="20"/>
          <w:szCs w:val="20"/>
          <w:lang w:val="fr-CA"/>
        </w:rPr>
        <w:t>________________________</w:t>
      </w:r>
    </w:p>
    <w:p w:rsidR="002574C2" w:rsidRPr="009A4C1B" w:rsidRDefault="002574C2" w:rsidP="002574C2">
      <w:pPr>
        <w:rPr>
          <w:sz w:val="20"/>
          <w:szCs w:val="20"/>
          <w:lang w:val="fr-CA"/>
        </w:rPr>
      </w:pPr>
    </w:p>
    <w:p w:rsidR="002574C2" w:rsidRPr="009A4C1B" w:rsidRDefault="002574C2" w:rsidP="002574C2">
      <w:pPr>
        <w:jc w:val="both"/>
        <w:rPr>
          <w:sz w:val="20"/>
          <w:szCs w:val="20"/>
          <w:lang w:val="fr-CA"/>
        </w:rPr>
      </w:pPr>
      <w:r w:rsidRPr="009A4C1B">
        <w:rPr>
          <w:sz w:val="20"/>
          <w:szCs w:val="20"/>
          <w:lang w:val="fr-CA"/>
        </w:rPr>
        <w:t>Présents : La juge en chef McLachlin et les juges LeBel, Deschamps, Abella, Charron, Rothstein et Cromwell.</w:t>
      </w:r>
    </w:p>
    <w:p w:rsidR="002574C2" w:rsidRPr="009A4C1B" w:rsidRDefault="002574C2" w:rsidP="002574C2">
      <w:pPr>
        <w:pStyle w:val="SCCLowerCourtNameLowercase"/>
        <w:spacing w:line="240" w:lineRule="auto"/>
        <w:rPr>
          <w:sz w:val="20"/>
          <w:lang w:val="fr-CA"/>
        </w:rPr>
      </w:pPr>
    </w:p>
    <w:p w:rsidR="002574C2" w:rsidRPr="009A4C1B" w:rsidRDefault="002574C2" w:rsidP="002574C2">
      <w:pPr>
        <w:pStyle w:val="SCCNormalDoubleSpacing"/>
        <w:spacing w:line="240" w:lineRule="auto"/>
        <w:rPr>
          <w:i/>
          <w:sz w:val="20"/>
          <w:lang w:val="fr-CA"/>
        </w:rPr>
      </w:pPr>
      <w:r w:rsidRPr="009A4C1B">
        <w:rPr>
          <w:sz w:val="20"/>
          <w:lang w:val="fr-CA"/>
        </w:rPr>
        <w:tab/>
      </w:r>
      <w:r w:rsidRPr="009A4C1B">
        <w:rPr>
          <w:i/>
          <w:sz w:val="20"/>
          <w:lang w:val="fr-CA"/>
        </w:rPr>
        <w:t>Droit administratif — Contrôle judiciaire — Norme de contrôle — Adjudication des dépens à la plaignante par le Tribunal canadien des droits de la personne — La norme du caractère raisonnable s’applique</w:t>
      </w:r>
      <w:r w:rsidRPr="009A4C1B">
        <w:rPr>
          <w:i/>
          <w:sz w:val="20"/>
          <w:lang w:val="fr-CA"/>
        </w:rPr>
        <w:noBreakHyphen/>
        <w:t>t</w:t>
      </w:r>
      <w:r w:rsidRPr="009A4C1B">
        <w:rPr>
          <w:i/>
          <w:sz w:val="20"/>
          <w:lang w:val="fr-CA"/>
        </w:rPr>
        <w:noBreakHyphen/>
        <w:t>elle à la décision du Tribunal d’adjuger des dépens? — Le Tribunal a</w:t>
      </w:r>
      <w:r w:rsidRPr="009A4C1B">
        <w:rPr>
          <w:i/>
          <w:sz w:val="20"/>
          <w:lang w:val="fr-CA"/>
        </w:rPr>
        <w:noBreakHyphen/>
        <w:t>t</w:t>
      </w:r>
      <w:r w:rsidRPr="009A4C1B">
        <w:rPr>
          <w:i/>
          <w:sz w:val="20"/>
          <w:lang w:val="fr-CA"/>
        </w:rPr>
        <w:noBreakHyphen/>
        <w:t>il commis une erreur susceptible de contrôle judiciaire en adjugeant les dépens à la plaignante? — Loi canadienne sur les droits de la personne, L.R.C. 1985, ch. H</w:t>
      </w:r>
      <w:r w:rsidRPr="009A4C1B">
        <w:rPr>
          <w:i/>
          <w:sz w:val="20"/>
          <w:lang w:val="fr-CA"/>
        </w:rPr>
        <w:noBreakHyphen/>
        <w:t>6, art. 53(2)c) et d).</w:t>
      </w:r>
    </w:p>
    <w:p w:rsidR="002574C2" w:rsidRPr="009A4C1B" w:rsidRDefault="002574C2" w:rsidP="002574C2">
      <w:pPr>
        <w:pStyle w:val="SCCNormalDoubleSpacing"/>
        <w:spacing w:line="240" w:lineRule="auto"/>
        <w:rPr>
          <w:sz w:val="20"/>
          <w:lang w:val="fr-CA"/>
        </w:rPr>
      </w:pPr>
    </w:p>
    <w:p w:rsidR="002574C2" w:rsidRPr="009A4C1B" w:rsidRDefault="002574C2" w:rsidP="002574C2">
      <w:pPr>
        <w:pStyle w:val="SCCNormalDoubleSpacing"/>
        <w:spacing w:line="240" w:lineRule="auto"/>
        <w:rPr>
          <w:i/>
          <w:sz w:val="20"/>
          <w:lang w:val="fr-CA"/>
        </w:rPr>
      </w:pPr>
      <w:r w:rsidRPr="009A4C1B">
        <w:rPr>
          <w:i/>
          <w:sz w:val="20"/>
          <w:lang w:val="fr-CA"/>
        </w:rPr>
        <w:tab/>
        <w:t>Droit administratif — Organismes et tribunaux administratifs — Compétence — Dépens — Adjudication des dépens à la plaignante par le Tribunal canadien des droits de la personne — Le Tribunal a</w:t>
      </w:r>
      <w:r w:rsidRPr="009A4C1B">
        <w:rPr>
          <w:i/>
          <w:sz w:val="20"/>
          <w:lang w:val="fr-CA"/>
        </w:rPr>
        <w:noBreakHyphen/>
        <w:t>t</w:t>
      </w:r>
      <w:r w:rsidRPr="009A4C1B">
        <w:rPr>
          <w:i/>
          <w:sz w:val="20"/>
          <w:lang w:val="fr-CA"/>
        </w:rPr>
        <w:noBreakHyphen/>
        <w:t>il le pouvoir d’adjuger des dépens? — Loi canadienne sur les droits de la personne, L.R.C. 1985, ch. H</w:t>
      </w:r>
      <w:r w:rsidRPr="009A4C1B">
        <w:rPr>
          <w:i/>
          <w:sz w:val="20"/>
          <w:lang w:val="fr-CA"/>
        </w:rPr>
        <w:noBreakHyphen/>
        <w:t>6, art. 53(2)c) et d).</w:t>
      </w:r>
    </w:p>
    <w:p w:rsidR="002574C2" w:rsidRPr="009A4C1B" w:rsidRDefault="002574C2" w:rsidP="002574C2">
      <w:pPr>
        <w:pStyle w:val="SCCNormalDoubleSpacing"/>
        <w:spacing w:line="240" w:lineRule="auto"/>
        <w:rPr>
          <w:sz w:val="20"/>
          <w:lang w:val="fr-CA"/>
        </w:rPr>
      </w:pPr>
    </w:p>
    <w:p w:rsidR="002574C2" w:rsidRPr="009A4C1B" w:rsidRDefault="002574C2" w:rsidP="002574C2">
      <w:pPr>
        <w:pStyle w:val="SCCNormalDoubleSpacing"/>
        <w:spacing w:line="240" w:lineRule="auto"/>
        <w:rPr>
          <w:sz w:val="20"/>
          <w:lang w:val="fr-CA"/>
        </w:rPr>
      </w:pPr>
      <w:r w:rsidRPr="009A4C1B">
        <w:rPr>
          <w:sz w:val="20"/>
          <w:lang w:val="fr-CA"/>
        </w:rPr>
        <w:tab/>
        <w:t xml:space="preserve">M a saisi la Commission canadienne des droits de la personne d’une plainte selon laquelle les Forces canadiennes avaient fait preuve à son endroit de discrimination fondée sur le sexe et ainsi contrevenu  aux dispositions </w:t>
      </w:r>
      <w:r w:rsidRPr="009A4C1B">
        <w:rPr>
          <w:sz w:val="20"/>
          <w:lang w:val="fr-CA"/>
        </w:rPr>
        <w:lastRenderedPageBreak/>
        <w:t xml:space="preserve">de la </w:t>
      </w:r>
      <w:r w:rsidRPr="009A4C1B">
        <w:rPr>
          <w:i/>
          <w:sz w:val="20"/>
          <w:lang w:val="fr-CA"/>
        </w:rPr>
        <w:t>Loi canadienne sur les droits de la personne</w:t>
      </w:r>
      <w:r w:rsidRPr="009A4C1B">
        <w:rPr>
          <w:sz w:val="20"/>
          <w:lang w:val="fr-CA"/>
        </w:rPr>
        <w:t xml:space="preserve"> (« </w:t>
      </w:r>
      <w:r w:rsidRPr="009A4C1B">
        <w:rPr>
          <w:i/>
          <w:sz w:val="20"/>
          <w:lang w:val="fr-CA"/>
        </w:rPr>
        <w:t>LCDP</w:t>
      </w:r>
      <w:r w:rsidRPr="009A4C1B">
        <w:rPr>
          <w:sz w:val="20"/>
          <w:lang w:val="fr-CA"/>
        </w:rPr>
        <w:t> »).  Le Tribunal canadien des droits de la personne (« Tribunal ») a conclu que M avait établi en partie le bien</w:t>
      </w:r>
      <w:r w:rsidRPr="009A4C1B">
        <w:rPr>
          <w:sz w:val="20"/>
          <w:lang w:val="fr-CA"/>
        </w:rPr>
        <w:noBreakHyphen/>
        <w:t>fondé de sa plainte de harcèlement sexuel et il lui a accordé la somme de 4 000 $ pour préjudice moral.  M a demandé le remboursement de ses frais de justice.  Estimant que les al. 53(2)</w:t>
      </w:r>
      <w:r w:rsidRPr="009A4C1B">
        <w:rPr>
          <w:i/>
          <w:sz w:val="20"/>
          <w:lang w:val="fr-CA"/>
        </w:rPr>
        <w:t>c</w:t>
      </w:r>
      <w:r w:rsidRPr="009A4C1B">
        <w:rPr>
          <w:sz w:val="20"/>
          <w:lang w:val="fr-CA"/>
        </w:rPr>
        <w:t xml:space="preserve">) et </w:t>
      </w:r>
      <w:r w:rsidRPr="009A4C1B">
        <w:rPr>
          <w:i/>
          <w:sz w:val="20"/>
          <w:lang w:val="fr-CA"/>
        </w:rPr>
        <w:t>d</w:t>
      </w:r>
      <w:r w:rsidRPr="009A4C1B">
        <w:rPr>
          <w:sz w:val="20"/>
          <w:lang w:val="fr-CA"/>
        </w:rPr>
        <w:t xml:space="preserve">) de la </w:t>
      </w:r>
      <w:r w:rsidRPr="009A4C1B">
        <w:rPr>
          <w:i/>
          <w:sz w:val="20"/>
          <w:lang w:val="fr-CA"/>
        </w:rPr>
        <w:t>LCDP</w:t>
      </w:r>
      <w:r w:rsidRPr="009A4C1B">
        <w:rPr>
          <w:sz w:val="20"/>
          <w:lang w:val="fr-CA"/>
        </w:rPr>
        <w:t xml:space="preserve"> lui conféraient le pouvoir d’adjuger des dépens, le Tribunal a fait droit à la demande de M en lui accordant 47 000 $ à ce titre.  La Cour fédérale a confirmé que le Tribunal avait le pouvoir d’adjuger des dépens, mais la Cour d’appel fédérale a accueilli le pourvoi formé contre cette décision, statuant que le Tribunal n’avait pas ce pouvoir. </w:t>
      </w:r>
    </w:p>
    <w:p w:rsidR="002574C2" w:rsidRPr="002574C2" w:rsidRDefault="002574C2" w:rsidP="002574C2">
      <w:pPr>
        <w:pStyle w:val="SCCNormalDoubleSpacing"/>
        <w:spacing w:line="240" w:lineRule="auto"/>
        <w:rPr>
          <w:rStyle w:val="QuoteChar"/>
          <w:i w:val="0"/>
          <w:lang w:val="fr-CA"/>
        </w:rPr>
      </w:pPr>
    </w:p>
    <w:p w:rsidR="002574C2" w:rsidRPr="009A4C1B" w:rsidRDefault="002574C2" w:rsidP="002574C2">
      <w:pPr>
        <w:pStyle w:val="SCCNormalDoubleSpacing"/>
        <w:spacing w:line="240" w:lineRule="auto"/>
        <w:rPr>
          <w:sz w:val="20"/>
          <w:lang w:val="fr-CA"/>
        </w:rPr>
      </w:pPr>
      <w:r w:rsidRPr="002574C2">
        <w:rPr>
          <w:rStyle w:val="QuoteChar"/>
          <w:sz w:val="20"/>
          <w:lang w:val="fr-CA"/>
        </w:rPr>
        <w:tab/>
        <w:t>Arrêt :</w:t>
      </w:r>
      <w:r w:rsidRPr="009A4C1B">
        <w:rPr>
          <w:sz w:val="20"/>
          <w:lang w:val="fr-CA"/>
        </w:rPr>
        <w:t xml:space="preserve"> Le pourvoi est rejeté. </w:t>
      </w:r>
    </w:p>
    <w:p w:rsidR="002574C2" w:rsidRPr="009A4C1B" w:rsidRDefault="002574C2" w:rsidP="002574C2">
      <w:pPr>
        <w:pStyle w:val="SCCNormalDoubleSpacing"/>
        <w:spacing w:line="240" w:lineRule="auto"/>
        <w:rPr>
          <w:sz w:val="20"/>
          <w:lang w:val="fr-CA"/>
        </w:rPr>
      </w:pPr>
    </w:p>
    <w:p w:rsidR="002574C2" w:rsidRPr="009A4C1B" w:rsidRDefault="002574C2" w:rsidP="002574C2">
      <w:pPr>
        <w:pStyle w:val="SCCNormalDoubleSpacing"/>
        <w:spacing w:line="240" w:lineRule="auto"/>
        <w:rPr>
          <w:sz w:val="20"/>
          <w:lang w:val="fr-CA"/>
        </w:rPr>
      </w:pPr>
      <w:r w:rsidRPr="009A4C1B">
        <w:rPr>
          <w:sz w:val="20"/>
          <w:lang w:val="fr-CA"/>
        </w:rPr>
        <w:tab/>
        <w:t>Un tribunal administratif a droit en principe à la déférence en ce qui concerne l’interprétation de sa loi constitutive et des règles de droit qui s’y rattachent de près.  Toutefois, les questions de droit générales qui revêtent une importance capitale pour le système juridique dans son ensemble et qui sont étrangères au domaine d’expertise de l’organisme juridictionnel sont assujetties à la norme de la décision correcte.  La norme applicable à la décision du Tribunal d’adjuger des dépens à la plaignante après que celle</w:t>
      </w:r>
      <w:r w:rsidRPr="009A4C1B">
        <w:rPr>
          <w:sz w:val="20"/>
          <w:lang w:val="fr-CA"/>
        </w:rPr>
        <w:noBreakHyphen/>
        <w:t xml:space="preserve">ci eut obtenu gain de cause est celle de la décision raisonnable.  La question de savoir si le Tribunal peut adjuger des dépens constitue une question de droit qui relève essentiellement du mandat et </w:t>
      </w:r>
      <w:r w:rsidRPr="009A4C1B">
        <w:rPr>
          <w:spacing w:val="-3"/>
          <w:sz w:val="20"/>
          <w:lang w:val="fr-CA"/>
        </w:rPr>
        <w:t xml:space="preserve">de l’expertise du Tribunal liés à </w:t>
      </w:r>
      <w:r w:rsidRPr="009A4C1B">
        <w:rPr>
          <w:sz w:val="20"/>
          <w:lang w:val="fr-CA"/>
        </w:rPr>
        <w:t xml:space="preserve">l’interprétation et à l’application de sa loi constitutive.  Elle ne représente ni une question de compétence ni une question de droit d’une importance capitale pour le système juridique dans son ensemble, étrangère au domaine d’expertise du Tribunal au sens de l’arrêt </w:t>
      </w:r>
      <w:r w:rsidRPr="009A4C1B">
        <w:rPr>
          <w:i/>
          <w:sz w:val="20"/>
          <w:lang w:val="fr-CA"/>
        </w:rPr>
        <w:t>Dunsmuir</w:t>
      </w:r>
      <w:r w:rsidRPr="009A4C1B">
        <w:rPr>
          <w:sz w:val="20"/>
          <w:lang w:val="fr-CA"/>
        </w:rPr>
        <w:t>.</w:t>
      </w:r>
    </w:p>
    <w:p w:rsidR="002574C2" w:rsidRPr="009A4C1B" w:rsidRDefault="002574C2" w:rsidP="002574C2">
      <w:pPr>
        <w:pStyle w:val="SCCNormalDoubleSpacing"/>
        <w:spacing w:line="240" w:lineRule="auto"/>
        <w:rPr>
          <w:sz w:val="20"/>
          <w:lang w:val="fr-CA"/>
        </w:rPr>
      </w:pPr>
    </w:p>
    <w:p w:rsidR="002574C2" w:rsidRPr="009A4C1B" w:rsidRDefault="002574C2" w:rsidP="002574C2">
      <w:pPr>
        <w:pStyle w:val="SCCNormalDoubleSpacing"/>
        <w:spacing w:line="240" w:lineRule="auto"/>
        <w:rPr>
          <w:sz w:val="20"/>
          <w:lang w:val="fr-CA"/>
        </w:rPr>
      </w:pPr>
      <w:r w:rsidRPr="009A4C1B">
        <w:rPr>
          <w:sz w:val="20"/>
          <w:lang w:val="fr-CA"/>
        </w:rPr>
        <w:tab/>
        <w:t>La question d’interprétation précise dont était saisi le Tribunal était celle de savoir si les mots employés aux al. 53(2)</w:t>
      </w:r>
      <w:r w:rsidRPr="009A4C1B">
        <w:rPr>
          <w:i/>
          <w:sz w:val="20"/>
          <w:lang w:val="fr-CA"/>
        </w:rPr>
        <w:t>c</w:t>
      </w:r>
      <w:r w:rsidRPr="009A4C1B">
        <w:rPr>
          <w:sz w:val="20"/>
          <w:lang w:val="fr-CA"/>
        </w:rPr>
        <w:t xml:space="preserve">) et </w:t>
      </w:r>
      <w:r w:rsidRPr="009A4C1B">
        <w:rPr>
          <w:i/>
          <w:sz w:val="20"/>
          <w:lang w:val="fr-CA"/>
        </w:rPr>
        <w:t>d</w:t>
      </w:r>
      <w:r w:rsidRPr="009A4C1B">
        <w:rPr>
          <w:sz w:val="20"/>
          <w:lang w:val="fr-CA"/>
        </w:rPr>
        <w:t xml:space="preserve">) pour l’autoriser à « indemniser la victime [. . .] des dépenses entraînées par l’acte [discriminatoire] » confèrent le pouvoir d’adjuger des dépens.  L’examen du texte des dispositions, de leur contexte et de leur objet révèle que l’interprétation du Tribunal n’était pas raisonnable.  Une loi relative aux droits de la personne exprime des valeurs essentielles et vise la réalisation d’objectifs fondamentaux.  Il convient de l’interpréter libéralement et téléologiquement de manière à reconnaître sans réserve les droits qui y sont énoncés et à leur donner pleinement effet.  Il faut néanmoins respecter l’intention du législateur qui se dégage des termes employés, compte tenu du contexte global et du sens ordinaire et grammatical qui s’harmonise avec l’esprit de la Loi et son objet.  Considérés isolément et indépendamment de leur contexte, les mots « des dépenses entraînées par l’acte » sont suffisamment larges pour englober les dépens.  Or, lorsque ces mots sont considérés dans le contexte de la loi, on ne peut pas raisonnablement les interpréter de manière à créer une catégorie distincte d’indemnité susceptible de viser tout type de débours ayant un lien de causalité avec l’acte discriminatoire.  L’interprétation retenue par le Tribunal va à l’encontre de la présomption d’absence de tautologie qu’établissent les règles d’interprétation législative, rend superflue la répétition du mot « dépenses » et n’explique pas le rattachement de ce terme à l’indemnité visée à ces alinéas.  Qui plus est, le terme « dépens » possède un sens bien défini qui diffère de celui d’indemnité ou de dépenses.  Si le législateur a entendu conférer le pouvoir d’adjuger des dépens, on comprend mal pourquoi il n’a pas employé ce terme juridique consacré et largement répandu pour le faire.  L’historique de la </w:t>
      </w:r>
      <w:r w:rsidRPr="009A4C1B">
        <w:rPr>
          <w:i/>
          <w:sz w:val="20"/>
          <w:lang w:val="fr-CA"/>
        </w:rPr>
        <w:t>LCDP</w:t>
      </w:r>
      <w:r w:rsidRPr="009A4C1B">
        <w:rPr>
          <w:sz w:val="20"/>
          <w:lang w:val="fr-CA"/>
        </w:rPr>
        <w:t xml:space="preserve">, l’opinion de la Commission concernant son pouvoir d’adjuger des dépens et l’examen des lois comparables adoptées par les provinces donnent aussi sérieusement à penser que le Tribunal n’est pas habilité à adjuger des dépens.  Enfin, l’interprétation que retient le Tribunal l’autorise à indemniser le préjudice moral de manière distincte, d’une part, et à adjuger des dépens dont le montant peut être illimité, d’autre part.  Il est difficile de concilier cette interprétation avec la limitation de l’indemnité pour préjudice moral ou le fait que le par. 53(3) ne prévoit pas expressément le pouvoir d’accorder le remboursement des frais. </w:t>
      </w:r>
    </w:p>
    <w:p w:rsidR="002574C2" w:rsidRPr="009A4C1B" w:rsidRDefault="002574C2" w:rsidP="002574C2">
      <w:pPr>
        <w:pStyle w:val="SCCNormalDoubleSpacing"/>
        <w:spacing w:line="240" w:lineRule="auto"/>
        <w:rPr>
          <w:sz w:val="20"/>
          <w:lang w:val="fr-CA"/>
        </w:rPr>
      </w:pPr>
    </w:p>
    <w:p w:rsidR="002574C2" w:rsidRPr="009A4C1B" w:rsidRDefault="002574C2" w:rsidP="002574C2">
      <w:pPr>
        <w:pStyle w:val="SCCNormalDoubleSpacing"/>
        <w:spacing w:line="240" w:lineRule="auto"/>
        <w:rPr>
          <w:sz w:val="20"/>
          <w:lang w:val="fr-CA"/>
        </w:rPr>
      </w:pPr>
      <w:r w:rsidRPr="009A4C1B">
        <w:rPr>
          <w:sz w:val="20"/>
          <w:lang w:val="fr-CA"/>
        </w:rPr>
        <w:tab/>
        <w:t xml:space="preserve">Nulle interprétation raisonnable des dispositions pertinentes n’appuie la conclusion selon laquelle le Tribunal peut adjuger des dépens au plaignant qui a gain de cause.  Aux prises avec une question difficile d’interprétation législative et une jurisprudence contradictoire, le Tribunal a retenu la définition de « dépense » figurant au dictionnaire et il a formulé ce qu’il tenait pour une solution bénéfique sur le plan des principes au lieu d’entreprendre une démarche d’interprétation fondée sur le texte, le contexte et l’objet des dispositions en cause.  On ne saurait substituer à l’analyse textuelle et contextuelle une interprétation libérale et téléologique dans le seul but de donner effet à une autre décision de principe que celle prise par le législateur. </w:t>
      </w:r>
    </w:p>
    <w:p w:rsidR="002574C2" w:rsidRPr="009A4C1B" w:rsidRDefault="002574C2" w:rsidP="002574C2">
      <w:pPr>
        <w:pStyle w:val="SCCNormalDoubleSpacing"/>
        <w:spacing w:line="240" w:lineRule="auto"/>
        <w:rPr>
          <w:sz w:val="20"/>
          <w:lang w:val="fr-CA"/>
        </w:rPr>
      </w:pPr>
    </w:p>
    <w:p w:rsidR="002574C2" w:rsidRDefault="002574C2" w:rsidP="002574C2">
      <w:pPr>
        <w:pStyle w:val="SCCNormalDoubleSpacing"/>
        <w:spacing w:line="240" w:lineRule="auto"/>
        <w:rPr>
          <w:sz w:val="20"/>
          <w:lang w:val="en-US"/>
        </w:rPr>
      </w:pPr>
      <w:r w:rsidRPr="009A4C1B">
        <w:rPr>
          <w:sz w:val="20"/>
          <w:lang w:val="fr-CA"/>
        </w:rPr>
        <w:tab/>
        <w:t>POURVOI contre un arrêt de la Cour d’appel fédérale (les juges Létourneau, Sexton et Layden</w:t>
      </w:r>
      <w:r w:rsidRPr="009A4C1B">
        <w:rPr>
          <w:sz w:val="20"/>
          <w:lang w:val="fr-CA"/>
        </w:rPr>
        <w:noBreakHyphen/>
        <w:t>Stevenson), 2009 CAF 309, [2010] 4 R.C.F. 579, 312 D.L.R. (4th) 294, 4 Admin. L.R. (5th) 192, 395 N.R. 52, [2009] A.C.F. n</w:t>
      </w:r>
      <w:r w:rsidRPr="009A4C1B">
        <w:rPr>
          <w:sz w:val="20"/>
          <w:vertAlign w:val="superscript"/>
          <w:lang w:val="fr-CA"/>
        </w:rPr>
        <w:t>o</w:t>
      </w:r>
      <w:r w:rsidRPr="009A4C1B">
        <w:rPr>
          <w:sz w:val="20"/>
          <w:lang w:val="fr-CA"/>
        </w:rPr>
        <w:t xml:space="preserve"> 1359 (QL), 2009 CarswellNat 3405, qui a infirmé une décision du juge Mandamin, 2008 CF 118, 322 F.T.R. 222, 78 Admin. </w:t>
      </w:r>
      <w:r w:rsidRPr="00D305AF">
        <w:rPr>
          <w:sz w:val="20"/>
        </w:rPr>
        <w:t>L.R. (4th) 127, [2008] A.C.F. n</w:t>
      </w:r>
      <w:r w:rsidRPr="00D305AF">
        <w:rPr>
          <w:sz w:val="20"/>
          <w:vertAlign w:val="superscript"/>
        </w:rPr>
        <w:t>o</w:t>
      </w:r>
      <w:r w:rsidRPr="00D305AF">
        <w:rPr>
          <w:sz w:val="20"/>
        </w:rPr>
        <w:t xml:space="preserve"> 143 (QL), 2008 CarswellNat 200.  </w:t>
      </w:r>
      <w:r w:rsidRPr="00D305AF">
        <w:rPr>
          <w:sz w:val="20"/>
          <w:lang w:val="en-US"/>
        </w:rPr>
        <w:t>Pourvoi rejeté.</w:t>
      </w:r>
      <w:r>
        <w:rPr>
          <w:sz w:val="20"/>
          <w:lang w:val="en-US"/>
        </w:rPr>
        <w:br w:type="page"/>
      </w:r>
    </w:p>
    <w:p w:rsidR="002574C2" w:rsidRPr="009A4C1B" w:rsidRDefault="002574C2" w:rsidP="002574C2">
      <w:pPr>
        <w:pStyle w:val="SCCNormalDoubleSpacing"/>
        <w:spacing w:line="240" w:lineRule="auto"/>
        <w:rPr>
          <w:sz w:val="20"/>
          <w:lang w:val="fr-CA"/>
        </w:rPr>
      </w:pPr>
      <w:r w:rsidRPr="00D305AF">
        <w:rPr>
          <w:rStyle w:val="SCCCounselNameChar"/>
          <w:sz w:val="20"/>
          <w:lang w:val="en-US"/>
        </w:rPr>
        <w:lastRenderedPageBreak/>
        <w:tab/>
      </w:r>
      <w:r w:rsidRPr="009A4C1B">
        <w:rPr>
          <w:rStyle w:val="SCCCounselNameChar"/>
          <w:sz w:val="20"/>
          <w:lang w:val="fr-CA"/>
        </w:rPr>
        <w:t>Philippe Dufresne</w:t>
      </w:r>
      <w:r w:rsidRPr="00D305AF">
        <w:rPr>
          <w:rStyle w:val="SCCCounselSeparatorChar"/>
          <w:sz w:val="20"/>
        </w:rPr>
        <w:t xml:space="preserve"> et </w:t>
      </w:r>
      <w:r w:rsidRPr="009A4C1B">
        <w:rPr>
          <w:rStyle w:val="SCCCounselNameChar"/>
          <w:sz w:val="20"/>
          <w:lang w:val="fr-CA"/>
        </w:rPr>
        <w:t>Daniel Poulin</w:t>
      </w:r>
      <w:r w:rsidRPr="009A4C1B">
        <w:rPr>
          <w:rStyle w:val="SCCCounselPartyRoleChar"/>
          <w:sz w:val="20"/>
          <w:lang w:val="fr-CA"/>
        </w:rPr>
        <w:t>, pour l’appelante la Commission canadienne des droits de la personne.</w:t>
      </w:r>
    </w:p>
    <w:p w:rsidR="002574C2" w:rsidRPr="009A4C1B" w:rsidRDefault="002574C2" w:rsidP="002574C2">
      <w:pPr>
        <w:pStyle w:val="SCCNormalDoubleSpacing"/>
        <w:spacing w:line="240" w:lineRule="auto"/>
        <w:rPr>
          <w:rStyle w:val="SCCCounselNameChar"/>
          <w:i w:val="0"/>
          <w:sz w:val="20"/>
          <w:lang w:val="fr-CA"/>
        </w:rPr>
      </w:pPr>
    </w:p>
    <w:p w:rsidR="002574C2" w:rsidRPr="009A4C1B" w:rsidRDefault="002574C2" w:rsidP="002574C2">
      <w:pPr>
        <w:pStyle w:val="SCCNormalDoubleSpacing"/>
        <w:spacing w:line="240" w:lineRule="auto"/>
        <w:rPr>
          <w:sz w:val="20"/>
          <w:lang w:val="fr-CA"/>
        </w:rPr>
      </w:pPr>
      <w:r w:rsidRPr="009A4C1B">
        <w:rPr>
          <w:rStyle w:val="SCCCounselNameChar"/>
          <w:sz w:val="20"/>
          <w:lang w:val="fr-CA"/>
        </w:rPr>
        <w:tab/>
        <w:t>Andrew Raven</w:t>
      </w:r>
      <w:r w:rsidRPr="00D305AF">
        <w:rPr>
          <w:rStyle w:val="SCCCounselSeparatorChar"/>
          <w:sz w:val="20"/>
        </w:rPr>
        <w:t xml:space="preserve">, </w:t>
      </w:r>
      <w:r w:rsidRPr="009A4C1B">
        <w:rPr>
          <w:rStyle w:val="SCCCounselNameChar"/>
          <w:sz w:val="20"/>
          <w:lang w:val="fr-CA"/>
        </w:rPr>
        <w:t xml:space="preserve">Andrew Astritis </w:t>
      </w:r>
      <w:r w:rsidRPr="00D305AF">
        <w:rPr>
          <w:rStyle w:val="SCCCounselSeparatorChar"/>
          <w:sz w:val="20"/>
        </w:rPr>
        <w:t>et</w:t>
      </w:r>
      <w:r w:rsidRPr="009A4C1B">
        <w:rPr>
          <w:rStyle w:val="SCCCounselNameChar"/>
          <w:sz w:val="20"/>
          <w:lang w:val="fr-CA"/>
        </w:rPr>
        <w:t xml:space="preserve"> Bijon Roy</w:t>
      </w:r>
      <w:r w:rsidRPr="009A4C1B">
        <w:rPr>
          <w:rStyle w:val="SCCCounselPartyRoleChar"/>
          <w:sz w:val="20"/>
          <w:lang w:val="fr-CA"/>
        </w:rPr>
        <w:t>, pour l’appelante Donna Mowat.</w:t>
      </w:r>
    </w:p>
    <w:p w:rsidR="002574C2" w:rsidRPr="009A4C1B" w:rsidRDefault="002574C2" w:rsidP="002574C2">
      <w:pPr>
        <w:pStyle w:val="SCCNormalDoubleSpacing"/>
        <w:spacing w:line="240" w:lineRule="auto"/>
        <w:rPr>
          <w:rStyle w:val="SCCCounselNameChar"/>
          <w:i w:val="0"/>
          <w:sz w:val="20"/>
          <w:lang w:val="fr-CA"/>
        </w:rPr>
      </w:pPr>
    </w:p>
    <w:p w:rsidR="002574C2" w:rsidRPr="009A4C1B" w:rsidRDefault="002574C2" w:rsidP="002574C2">
      <w:pPr>
        <w:pStyle w:val="SCCNormalDoubleSpacing"/>
        <w:spacing w:line="240" w:lineRule="auto"/>
        <w:rPr>
          <w:sz w:val="20"/>
          <w:lang w:val="fr-CA"/>
        </w:rPr>
      </w:pPr>
      <w:r w:rsidRPr="009A4C1B">
        <w:rPr>
          <w:rStyle w:val="SCCCounselNameChar"/>
          <w:sz w:val="20"/>
          <w:lang w:val="fr-CA"/>
        </w:rPr>
        <w:tab/>
        <w:t xml:space="preserve">Peter Southey </w:t>
      </w:r>
      <w:r w:rsidRPr="00D305AF">
        <w:rPr>
          <w:rStyle w:val="SCCCounselSeparatorChar"/>
          <w:sz w:val="20"/>
        </w:rPr>
        <w:t>et</w:t>
      </w:r>
      <w:r w:rsidRPr="009A4C1B">
        <w:rPr>
          <w:rStyle w:val="SCCCounselNameChar"/>
          <w:sz w:val="20"/>
          <w:lang w:val="fr-CA"/>
        </w:rPr>
        <w:t xml:space="preserve"> Sean Gaudet</w:t>
      </w:r>
      <w:r w:rsidRPr="00D305AF">
        <w:rPr>
          <w:rStyle w:val="SCCCounselSeparatorChar"/>
          <w:sz w:val="20"/>
        </w:rPr>
        <w:t xml:space="preserve">, </w:t>
      </w:r>
      <w:r w:rsidRPr="009A4C1B">
        <w:rPr>
          <w:rStyle w:val="SCCCounselPartyRoleChar"/>
          <w:sz w:val="20"/>
          <w:lang w:val="fr-CA"/>
        </w:rPr>
        <w:t>pour l’intimé.</w:t>
      </w:r>
    </w:p>
    <w:p w:rsidR="002574C2" w:rsidRPr="009A4C1B" w:rsidRDefault="002574C2" w:rsidP="002574C2">
      <w:pPr>
        <w:pStyle w:val="SCCNormalDoubleSpacing"/>
        <w:spacing w:line="240" w:lineRule="auto"/>
        <w:rPr>
          <w:rStyle w:val="SCCCounselNameChar"/>
          <w:i w:val="0"/>
          <w:sz w:val="20"/>
          <w:lang w:val="fr-CA"/>
        </w:rPr>
      </w:pPr>
    </w:p>
    <w:p w:rsidR="002574C2" w:rsidRPr="009A4C1B" w:rsidRDefault="002574C2" w:rsidP="002574C2">
      <w:pPr>
        <w:pStyle w:val="SCCNormalDoubleSpacing"/>
        <w:spacing w:line="240" w:lineRule="auto"/>
        <w:rPr>
          <w:sz w:val="20"/>
          <w:lang w:val="fr-CA"/>
        </w:rPr>
      </w:pPr>
      <w:r w:rsidRPr="009A4C1B">
        <w:rPr>
          <w:rStyle w:val="SCCCounselNameChar"/>
          <w:sz w:val="20"/>
          <w:lang w:val="fr-CA"/>
        </w:rPr>
        <w:tab/>
        <w:t>Reidar M. Mogerman</w:t>
      </w:r>
      <w:r w:rsidRPr="009A4C1B">
        <w:rPr>
          <w:rStyle w:val="SCCCounselPartyRoleChar"/>
          <w:sz w:val="20"/>
          <w:lang w:val="fr-CA"/>
        </w:rPr>
        <w:t>, pour l’intervenante l’Association du Barreau canadien.</w:t>
      </w:r>
    </w:p>
    <w:p w:rsidR="002574C2" w:rsidRPr="009A4C1B" w:rsidRDefault="002574C2" w:rsidP="002574C2">
      <w:pPr>
        <w:pStyle w:val="SCCNormalDoubleSpacing"/>
        <w:spacing w:line="240" w:lineRule="auto"/>
        <w:rPr>
          <w:rStyle w:val="SCCCounselNameChar"/>
          <w:i w:val="0"/>
          <w:sz w:val="20"/>
          <w:lang w:val="fr-CA"/>
        </w:rPr>
      </w:pPr>
    </w:p>
    <w:p w:rsidR="002574C2" w:rsidRPr="009A4C1B" w:rsidRDefault="002574C2" w:rsidP="002574C2">
      <w:pPr>
        <w:pStyle w:val="SCCNormalDoubleSpacing"/>
        <w:spacing w:line="240" w:lineRule="auto"/>
        <w:rPr>
          <w:sz w:val="20"/>
          <w:lang w:val="fr-CA"/>
        </w:rPr>
      </w:pPr>
      <w:r w:rsidRPr="009A4C1B">
        <w:rPr>
          <w:rStyle w:val="SCCCounselNameChar"/>
          <w:sz w:val="20"/>
          <w:lang w:val="fr-CA"/>
        </w:rPr>
        <w:tab/>
        <w:t xml:space="preserve">David Baker </w:t>
      </w:r>
      <w:r w:rsidRPr="00D305AF">
        <w:rPr>
          <w:rStyle w:val="SCCCounselSeparatorChar"/>
          <w:sz w:val="20"/>
        </w:rPr>
        <w:t xml:space="preserve">et </w:t>
      </w:r>
      <w:r w:rsidRPr="009A4C1B">
        <w:rPr>
          <w:rStyle w:val="SCCCounselNameChar"/>
          <w:sz w:val="20"/>
          <w:lang w:val="fr-CA"/>
        </w:rPr>
        <w:t>Paul Champ</w:t>
      </w:r>
      <w:r w:rsidRPr="00D305AF">
        <w:rPr>
          <w:rStyle w:val="SCCCounselSeparatorChar"/>
          <w:sz w:val="20"/>
        </w:rPr>
        <w:t>,</w:t>
      </w:r>
      <w:r w:rsidRPr="009A4C1B">
        <w:rPr>
          <w:rStyle w:val="SCCCounselPartyRoleChar"/>
          <w:sz w:val="20"/>
          <w:lang w:val="fr-CA"/>
        </w:rPr>
        <w:t xml:space="preserve"> pour l’intervenant le Conseil des Canadiens avec déficiences.</w:t>
      </w:r>
    </w:p>
    <w:p w:rsidR="002574C2" w:rsidRPr="009A4C1B" w:rsidRDefault="002574C2" w:rsidP="002574C2">
      <w:pPr>
        <w:pStyle w:val="SCCLawFirm"/>
        <w:spacing w:line="240" w:lineRule="auto"/>
        <w:rPr>
          <w:i w:val="0"/>
          <w:sz w:val="20"/>
          <w:lang w:val="fr-CA"/>
        </w:rPr>
      </w:pPr>
    </w:p>
    <w:p w:rsidR="002574C2" w:rsidRPr="009A4C1B" w:rsidRDefault="002574C2" w:rsidP="002574C2">
      <w:pPr>
        <w:pStyle w:val="SCCLawFirm"/>
        <w:spacing w:line="240" w:lineRule="auto"/>
        <w:rPr>
          <w:sz w:val="20"/>
          <w:lang w:val="fr-CA"/>
        </w:rPr>
      </w:pPr>
      <w:r w:rsidRPr="009A4C1B">
        <w:rPr>
          <w:sz w:val="20"/>
          <w:lang w:val="fr-CA"/>
        </w:rPr>
        <w:tab/>
        <w:t>Procureur de l’appelante la Commission canadienne des droits de la personne : Commission canadienne des droits de la personne, Ottawa.</w:t>
      </w:r>
    </w:p>
    <w:p w:rsidR="002574C2" w:rsidRPr="009A4C1B" w:rsidRDefault="002574C2" w:rsidP="002574C2">
      <w:pPr>
        <w:pStyle w:val="SCCLawFirm"/>
        <w:spacing w:line="240" w:lineRule="auto"/>
        <w:rPr>
          <w:i w:val="0"/>
          <w:sz w:val="20"/>
          <w:lang w:val="fr-CA"/>
        </w:rPr>
      </w:pPr>
    </w:p>
    <w:p w:rsidR="002574C2" w:rsidRPr="009A4C1B" w:rsidRDefault="002574C2" w:rsidP="002574C2">
      <w:pPr>
        <w:pStyle w:val="SCCLawFirm"/>
        <w:spacing w:line="240" w:lineRule="auto"/>
        <w:rPr>
          <w:sz w:val="20"/>
          <w:lang w:val="fr-CA"/>
        </w:rPr>
      </w:pPr>
      <w:r w:rsidRPr="009A4C1B">
        <w:rPr>
          <w:sz w:val="20"/>
          <w:lang w:val="fr-CA"/>
        </w:rPr>
        <w:tab/>
        <w:t>Procureurs de l’appelante Donna Mowat : Raven, Cameron, Ballantyne &amp; Yazbeck, Ottawa.</w:t>
      </w:r>
    </w:p>
    <w:p w:rsidR="002574C2" w:rsidRPr="009A4C1B" w:rsidRDefault="002574C2" w:rsidP="002574C2">
      <w:pPr>
        <w:pStyle w:val="SCCLawFirm"/>
        <w:spacing w:line="240" w:lineRule="auto"/>
        <w:rPr>
          <w:i w:val="0"/>
          <w:sz w:val="20"/>
          <w:lang w:val="fr-CA"/>
        </w:rPr>
      </w:pPr>
    </w:p>
    <w:p w:rsidR="002574C2" w:rsidRPr="009A4C1B" w:rsidRDefault="002574C2" w:rsidP="002574C2">
      <w:pPr>
        <w:pStyle w:val="SCCLawFirm"/>
        <w:spacing w:line="240" w:lineRule="auto"/>
        <w:rPr>
          <w:sz w:val="20"/>
          <w:lang w:val="fr-CA"/>
        </w:rPr>
      </w:pPr>
      <w:r w:rsidRPr="009A4C1B">
        <w:rPr>
          <w:sz w:val="20"/>
          <w:lang w:val="fr-CA"/>
        </w:rPr>
        <w:tab/>
        <w:t>Procureur de l’intimé : Procureur général du Canada, Toronto.</w:t>
      </w:r>
    </w:p>
    <w:p w:rsidR="002574C2" w:rsidRPr="009A4C1B" w:rsidRDefault="002574C2" w:rsidP="002574C2">
      <w:pPr>
        <w:pStyle w:val="SCCLawFirm"/>
        <w:spacing w:line="240" w:lineRule="auto"/>
        <w:rPr>
          <w:i w:val="0"/>
          <w:sz w:val="20"/>
          <w:lang w:val="fr-CA"/>
        </w:rPr>
      </w:pPr>
    </w:p>
    <w:p w:rsidR="002574C2" w:rsidRPr="009A4C1B" w:rsidRDefault="002574C2" w:rsidP="002574C2">
      <w:pPr>
        <w:pStyle w:val="SCCLawFirm"/>
        <w:spacing w:line="240" w:lineRule="auto"/>
        <w:rPr>
          <w:sz w:val="20"/>
          <w:lang w:val="fr-CA"/>
        </w:rPr>
      </w:pPr>
      <w:r w:rsidRPr="009A4C1B">
        <w:rPr>
          <w:sz w:val="20"/>
          <w:lang w:val="fr-CA"/>
        </w:rPr>
        <w:tab/>
        <w:t>Procureurs de l’intervenante l’Association du Barreau canadien : Camp Fiorante Matthews, Vancouver.</w:t>
      </w:r>
    </w:p>
    <w:p w:rsidR="002574C2" w:rsidRPr="009A4C1B" w:rsidRDefault="002574C2" w:rsidP="002574C2">
      <w:pPr>
        <w:pStyle w:val="SCCLawFirm"/>
        <w:spacing w:line="240" w:lineRule="auto"/>
        <w:rPr>
          <w:i w:val="0"/>
          <w:sz w:val="20"/>
          <w:lang w:val="fr-CA"/>
        </w:rPr>
      </w:pPr>
    </w:p>
    <w:p w:rsidR="002574C2" w:rsidRPr="009A4C1B" w:rsidRDefault="002574C2" w:rsidP="002574C2">
      <w:pPr>
        <w:pStyle w:val="SCCLawFirm"/>
        <w:spacing w:line="240" w:lineRule="auto"/>
        <w:rPr>
          <w:sz w:val="20"/>
          <w:lang w:val="fr-CA"/>
        </w:rPr>
      </w:pPr>
      <w:r w:rsidRPr="009A4C1B">
        <w:rPr>
          <w:sz w:val="20"/>
          <w:lang w:val="fr-CA"/>
        </w:rPr>
        <w:tab/>
        <w:t>Procureurs de l’intervenant le Conseil des Canadiens avec déficiences : Champ &amp; Avocats, Ottawa.</w:t>
      </w:r>
    </w:p>
    <w:p w:rsidR="002574C2" w:rsidRPr="009A4C1B" w:rsidRDefault="002574C2" w:rsidP="002574C2">
      <w:pPr>
        <w:rPr>
          <w:sz w:val="20"/>
          <w:szCs w:val="20"/>
          <w:lang w:val="fr-CA"/>
        </w:rPr>
      </w:pPr>
    </w:p>
    <w:p w:rsidR="002574C2" w:rsidRDefault="00460701" w:rsidP="002574C2">
      <w:pPr>
        <w:rPr>
          <w:sz w:val="20"/>
          <w:szCs w:val="20"/>
        </w:rPr>
      </w:pPr>
      <w:r w:rsidRPr="00460701">
        <w:rPr>
          <w:rFonts w:cs="Times New Roman"/>
          <w:sz w:val="20"/>
          <w:szCs w:val="20"/>
          <w:lang w:val="fr-CA"/>
        </w:rPr>
        <w:pict>
          <v:rect id="_x0000_i1086" style="width:144.3pt;height:1pt" o:hrpct="300" o:hralign="center" o:hrstd="t" o:hrnoshade="t" o:hr="t" fillcolor="black [3213]" stroked="f"/>
        </w:pict>
      </w:r>
    </w:p>
    <w:p w:rsidR="002574C2" w:rsidRPr="003F4721" w:rsidRDefault="002574C2" w:rsidP="002574C2">
      <w:pPr>
        <w:rPr>
          <w:sz w:val="20"/>
          <w:szCs w:val="20"/>
        </w:rPr>
      </w:pPr>
    </w:p>
    <w:p w:rsidR="003B3977" w:rsidRPr="003F4721" w:rsidRDefault="003B3977" w:rsidP="003B3977">
      <w:pPr>
        <w:rPr>
          <w:sz w:val="20"/>
          <w:szCs w:val="20"/>
        </w:rPr>
      </w:pPr>
    </w:p>
    <w:p w:rsidR="005C6840" w:rsidRPr="00C50A5C" w:rsidRDefault="005C6840" w:rsidP="005C6840">
      <w:pPr>
        <w:jc w:val="both"/>
        <w:rPr>
          <w:sz w:val="20"/>
          <w:szCs w:val="20"/>
        </w:rPr>
      </w:pPr>
    </w:p>
    <w:p w:rsidR="00102926" w:rsidRPr="00C50A5C" w:rsidRDefault="00102926" w:rsidP="00782AE4">
      <w:pPr>
        <w:jc w:val="both"/>
        <w:rPr>
          <w:sz w:val="20"/>
          <w:szCs w:val="20"/>
        </w:rPr>
        <w:sectPr w:rsidR="00102926" w:rsidRPr="00C50A5C" w:rsidSect="00782AE4">
          <w:headerReference w:type="even" r:id="rId46"/>
          <w:headerReference w:type="default" r:id="rId47"/>
          <w:footerReference w:type="even" r:id="rId48"/>
          <w:footerReference w:type="default" r:id="rId49"/>
          <w:headerReference w:type="first" r:id="rId50"/>
          <w:footerReference w:type="first" r:id="rId51"/>
          <w:pgSz w:w="12240" w:h="15840"/>
          <w:pgMar w:top="720" w:right="965" w:bottom="1080" w:left="1656" w:header="576" w:footer="960" w:gutter="0"/>
          <w:cols w:space="720"/>
          <w:titlePg/>
          <w:docGrid w:linePitch="272"/>
        </w:sectPr>
      </w:pPr>
    </w:p>
    <w:tbl>
      <w:tblPr>
        <w:tblW w:w="0" w:type="auto"/>
        <w:tblBorders>
          <w:bottom w:val="single" w:sz="8" w:space="0" w:color="auto"/>
        </w:tblBorders>
        <w:tblLayout w:type="fixed"/>
        <w:tblCellMar>
          <w:left w:w="0" w:type="dxa"/>
          <w:right w:w="0" w:type="dxa"/>
        </w:tblCellMar>
        <w:tblLook w:val="0000"/>
      </w:tblPr>
      <w:tblGrid>
        <w:gridCol w:w="4320"/>
        <w:gridCol w:w="840"/>
        <w:gridCol w:w="4320"/>
      </w:tblGrid>
      <w:tr w:rsidR="0022323B" w:rsidRPr="00C50A5C" w:rsidTr="0085476B">
        <w:tc>
          <w:tcPr>
            <w:tcW w:w="4320" w:type="dxa"/>
            <w:shd w:val="clear" w:color="auto" w:fill="auto"/>
            <w:tcMar>
              <w:left w:w="0" w:type="dxa"/>
              <w:right w:w="0" w:type="dxa"/>
            </w:tcMar>
          </w:tcPr>
          <w:p w:rsidR="0022323B" w:rsidRPr="00C50A5C" w:rsidRDefault="0022323B" w:rsidP="00741DC5">
            <w:pPr>
              <w:keepNext/>
              <w:keepLines/>
              <w:rPr>
                <w:b/>
                <w:szCs w:val="24"/>
              </w:rPr>
            </w:pPr>
            <w:r w:rsidRPr="00C50A5C">
              <w:rPr>
                <w:b/>
                <w:szCs w:val="24"/>
              </w:rPr>
              <w:lastRenderedPageBreak/>
              <w:t xml:space="preserve">AGENDA FOR </w:t>
            </w:r>
            <w:r w:rsidR="00741DC5">
              <w:rPr>
                <w:b/>
                <w:szCs w:val="24"/>
              </w:rPr>
              <w:t>NOVEMB</w:t>
            </w:r>
            <w:r w:rsidRPr="00C50A5C">
              <w:rPr>
                <w:b/>
                <w:szCs w:val="24"/>
              </w:rPr>
              <w:t>ER</w:t>
            </w:r>
            <w:r w:rsidR="00743C89">
              <w:rPr>
                <w:b/>
                <w:szCs w:val="24"/>
              </w:rPr>
              <w:t xml:space="preserve"> 2011</w:t>
            </w:r>
          </w:p>
        </w:tc>
        <w:tc>
          <w:tcPr>
            <w:tcW w:w="840" w:type="dxa"/>
            <w:shd w:val="clear" w:color="auto" w:fill="auto"/>
            <w:tcMar>
              <w:left w:w="0" w:type="dxa"/>
              <w:right w:w="0" w:type="dxa"/>
            </w:tcMar>
          </w:tcPr>
          <w:p w:rsidR="0022323B" w:rsidRPr="00C50A5C" w:rsidRDefault="0022323B" w:rsidP="0022323B">
            <w:pPr>
              <w:keepNext/>
              <w:keepLines/>
              <w:jc w:val="center"/>
              <w:rPr>
                <w:b/>
                <w:szCs w:val="24"/>
              </w:rPr>
            </w:pPr>
          </w:p>
          <w:p w:rsidR="0022323B" w:rsidRPr="00C50A5C" w:rsidRDefault="0022323B" w:rsidP="0022323B">
            <w:pPr>
              <w:keepNext/>
              <w:keepLines/>
              <w:jc w:val="center"/>
              <w:rPr>
                <w:b/>
                <w:szCs w:val="24"/>
              </w:rPr>
            </w:pPr>
          </w:p>
        </w:tc>
        <w:tc>
          <w:tcPr>
            <w:tcW w:w="4320" w:type="dxa"/>
            <w:shd w:val="clear" w:color="auto" w:fill="auto"/>
            <w:tcMar>
              <w:left w:w="0" w:type="dxa"/>
              <w:right w:w="0" w:type="dxa"/>
            </w:tcMar>
          </w:tcPr>
          <w:p w:rsidR="0022323B" w:rsidRPr="00C50A5C" w:rsidRDefault="0022323B" w:rsidP="00741DC5">
            <w:pPr>
              <w:keepNext/>
              <w:keepLines/>
              <w:rPr>
                <w:b/>
                <w:szCs w:val="24"/>
                <w:lang w:val="fr-CA"/>
              </w:rPr>
            </w:pPr>
            <w:r w:rsidRPr="00C50A5C">
              <w:rPr>
                <w:b/>
                <w:szCs w:val="24"/>
                <w:lang w:val="fr-CA"/>
              </w:rPr>
              <w:t>CALENDRIER DE N</w:t>
            </w:r>
            <w:r w:rsidR="00741DC5">
              <w:rPr>
                <w:b/>
                <w:szCs w:val="24"/>
                <w:lang w:val="fr-CA"/>
              </w:rPr>
              <w:t>OV</w:t>
            </w:r>
            <w:r w:rsidRPr="00C50A5C">
              <w:rPr>
                <w:b/>
                <w:szCs w:val="24"/>
                <w:lang w:val="fr-CA"/>
              </w:rPr>
              <w:t>E</w:t>
            </w:r>
            <w:r w:rsidR="00741DC5">
              <w:rPr>
                <w:b/>
                <w:szCs w:val="24"/>
                <w:lang w:val="fr-CA"/>
              </w:rPr>
              <w:t>MB</w:t>
            </w:r>
            <w:r w:rsidRPr="00C50A5C">
              <w:rPr>
                <w:b/>
                <w:szCs w:val="24"/>
                <w:lang w:val="fr-CA"/>
              </w:rPr>
              <w:t>RE</w:t>
            </w:r>
            <w:r w:rsidR="00743C89">
              <w:rPr>
                <w:b/>
                <w:szCs w:val="24"/>
                <w:lang w:val="fr-CA"/>
              </w:rPr>
              <w:t xml:space="preserve"> 2011</w:t>
            </w:r>
          </w:p>
        </w:tc>
      </w:tr>
    </w:tbl>
    <w:p w:rsidR="004B66B4" w:rsidRPr="00DD0B49" w:rsidRDefault="004B66B4" w:rsidP="004B66B4">
      <w:pPr>
        <w:rPr>
          <w:b/>
          <w:sz w:val="20"/>
          <w:szCs w:val="20"/>
        </w:rPr>
      </w:pPr>
    </w:p>
    <w:p w:rsidR="004B66B4" w:rsidRPr="00DD0B49" w:rsidRDefault="004B66B4" w:rsidP="004B66B4">
      <w:pPr>
        <w:rPr>
          <w:b/>
          <w:sz w:val="20"/>
          <w:szCs w:val="20"/>
        </w:rPr>
      </w:pPr>
      <w:r w:rsidRPr="00DD0B49">
        <w:rPr>
          <w:b/>
          <w:sz w:val="20"/>
          <w:szCs w:val="20"/>
        </w:rPr>
        <w:t xml:space="preserve">AGENDA for the weeks of November </w:t>
      </w:r>
      <w:r w:rsidR="00741DC5">
        <w:rPr>
          <w:b/>
          <w:sz w:val="20"/>
          <w:szCs w:val="20"/>
        </w:rPr>
        <w:t>7</w:t>
      </w:r>
      <w:r w:rsidRPr="00DD0B49">
        <w:rPr>
          <w:b/>
          <w:sz w:val="20"/>
          <w:szCs w:val="20"/>
        </w:rPr>
        <w:t xml:space="preserve"> and </w:t>
      </w:r>
      <w:r w:rsidR="00741DC5">
        <w:rPr>
          <w:b/>
          <w:sz w:val="20"/>
          <w:szCs w:val="20"/>
        </w:rPr>
        <w:t>14</w:t>
      </w:r>
      <w:r w:rsidRPr="00DD0B49">
        <w:rPr>
          <w:b/>
          <w:sz w:val="20"/>
          <w:szCs w:val="20"/>
        </w:rPr>
        <w:t>, 201</w:t>
      </w:r>
      <w:r w:rsidR="00741DC5">
        <w:rPr>
          <w:b/>
          <w:sz w:val="20"/>
          <w:szCs w:val="20"/>
        </w:rPr>
        <w:t>1</w:t>
      </w:r>
      <w:r w:rsidRPr="00DD0B49">
        <w:rPr>
          <w:b/>
          <w:sz w:val="20"/>
          <w:szCs w:val="20"/>
        </w:rPr>
        <w:t>.</w:t>
      </w:r>
    </w:p>
    <w:p w:rsidR="004B66B4" w:rsidRPr="00DD0B49" w:rsidRDefault="004B66B4" w:rsidP="004B66B4">
      <w:pPr>
        <w:rPr>
          <w:sz w:val="20"/>
          <w:szCs w:val="20"/>
          <w:lang w:val="fr-CA"/>
        </w:rPr>
      </w:pPr>
      <w:r w:rsidRPr="00DD0B49">
        <w:rPr>
          <w:b/>
          <w:sz w:val="20"/>
          <w:szCs w:val="20"/>
          <w:lang w:val="fr-CA"/>
        </w:rPr>
        <w:t xml:space="preserve">CALENDRIER de la semaine du </w:t>
      </w:r>
      <w:r w:rsidR="00741DC5">
        <w:rPr>
          <w:b/>
          <w:sz w:val="20"/>
          <w:szCs w:val="20"/>
          <w:lang w:val="fr-CA"/>
        </w:rPr>
        <w:t>7</w:t>
      </w:r>
      <w:r w:rsidRPr="00DD0B49">
        <w:rPr>
          <w:b/>
          <w:sz w:val="20"/>
          <w:szCs w:val="20"/>
          <w:lang w:val="fr-CA"/>
        </w:rPr>
        <w:t xml:space="preserve"> novembre et celle du </w:t>
      </w:r>
      <w:r w:rsidR="00741DC5">
        <w:rPr>
          <w:b/>
          <w:sz w:val="20"/>
          <w:szCs w:val="20"/>
          <w:lang w:val="fr-CA"/>
        </w:rPr>
        <w:t>14</w:t>
      </w:r>
      <w:r w:rsidRPr="00DD0B49">
        <w:rPr>
          <w:b/>
          <w:sz w:val="20"/>
          <w:szCs w:val="20"/>
          <w:lang w:val="fr-CA"/>
        </w:rPr>
        <w:t xml:space="preserve"> novembre 201</w:t>
      </w:r>
      <w:r w:rsidR="00741DC5">
        <w:rPr>
          <w:b/>
          <w:sz w:val="20"/>
          <w:szCs w:val="20"/>
          <w:lang w:val="fr-CA"/>
        </w:rPr>
        <w:t>1</w:t>
      </w:r>
      <w:r w:rsidRPr="00DD0B49">
        <w:rPr>
          <w:b/>
          <w:sz w:val="20"/>
          <w:szCs w:val="20"/>
          <w:lang w:val="fr-CA"/>
        </w:rPr>
        <w:t>.</w:t>
      </w:r>
    </w:p>
    <w:p w:rsidR="004B66B4" w:rsidRPr="00DD0B49" w:rsidRDefault="004B66B4" w:rsidP="004B66B4">
      <w:pPr>
        <w:rPr>
          <w:sz w:val="20"/>
          <w:szCs w:val="20"/>
          <w:lang w:val="fr-CA"/>
        </w:rPr>
      </w:pPr>
    </w:p>
    <w:p w:rsidR="004B66B4" w:rsidRPr="00DD0B49" w:rsidRDefault="004B66B4" w:rsidP="004B66B4">
      <w:pPr>
        <w:rPr>
          <w:sz w:val="20"/>
          <w:szCs w:val="20"/>
        </w:rPr>
      </w:pPr>
      <w:r w:rsidRPr="00DD0B49">
        <w:rPr>
          <w:sz w:val="20"/>
          <w:szCs w:val="20"/>
        </w:rPr>
        <w:t xml:space="preserve">The Court will not be sitting during the weeks of November </w:t>
      </w:r>
      <w:r w:rsidR="00741DC5">
        <w:rPr>
          <w:sz w:val="20"/>
          <w:szCs w:val="20"/>
        </w:rPr>
        <w:t>2</w:t>
      </w:r>
      <w:r w:rsidRPr="00DD0B49">
        <w:rPr>
          <w:sz w:val="20"/>
          <w:szCs w:val="20"/>
        </w:rPr>
        <w:t>1 and 2</w:t>
      </w:r>
      <w:r w:rsidR="00741DC5">
        <w:rPr>
          <w:sz w:val="20"/>
          <w:szCs w:val="20"/>
        </w:rPr>
        <w:t>8</w:t>
      </w:r>
      <w:r w:rsidRPr="00DD0B49">
        <w:rPr>
          <w:sz w:val="20"/>
          <w:szCs w:val="20"/>
        </w:rPr>
        <w:t>, 201</w:t>
      </w:r>
      <w:r w:rsidR="00741DC5">
        <w:rPr>
          <w:sz w:val="20"/>
          <w:szCs w:val="20"/>
        </w:rPr>
        <w:t>1</w:t>
      </w:r>
      <w:r w:rsidRPr="00DD0B49">
        <w:rPr>
          <w:sz w:val="20"/>
          <w:szCs w:val="20"/>
        </w:rPr>
        <w:t>.</w:t>
      </w:r>
    </w:p>
    <w:p w:rsidR="004B66B4" w:rsidRPr="00DD0B49" w:rsidRDefault="004B66B4" w:rsidP="004B66B4">
      <w:pPr>
        <w:rPr>
          <w:sz w:val="20"/>
          <w:szCs w:val="20"/>
          <w:lang w:val="fr-CA"/>
        </w:rPr>
      </w:pPr>
      <w:r w:rsidRPr="00DD0B49">
        <w:rPr>
          <w:sz w:val="20"/>
          <w:szCs w:val="20"/>
          <w:lang w:val="fr-CA"/>
        </w:rPr>
        <w:t>La Cour ne siègera pas pendant les semaines du 2</w:t>
      </w:r>
      <w:r w:rsidR="00741DC5">
        <w:rPr>
          <w:sz w:val="20"/>
          <w:szCs w:val="20"/>
          <w:lang w:val="fr-CA"/>
        </w:rPr>
        <w:t>1</w:t>
      </w:r>
      <w:r w:rsidRPr="00DD0B49">
        <w:rPr>
          <w:sz w:val="20"/>
          <w:szCs w:val="20"/>
          <w:lang w:val="fr-CA"/>
        </w:rPr>
        <w:t xml:space="preserve"> et du 2</w:t>
      </w:r>
      <w:r w:rsidR="00741DC5">
        <w:rPr>
          <w:sz w:val="20"/>
          <w:szCs w:val="20"/>
          <w:lang w:val="fr-CA"/>
        </w:rPr>
        <w:t>8</w:t>
      </w:r>
      <w:r w:rsidRPr="00DD0B49">
        <w:rPr>
          <w:sz w:val="20"/>
          <w:szCs w:val="20"/>
          <w:lang w:val="fr-CA"/>
        </w:rPr>
        <w:t xml:space="preserve"> novembre 201</w:t>
      </w:r>
      <w:r w:rsidR="00741DC5">
        <w:rPr>
          <w:sz w:val="20"/>
          <w:szCs w:val="20"/>
          <w:lang w:val="fr-CA"/>
        </w:rPr>
        <w:t>1</w:t>
      </w:r>
      <w:r w:rsidRPr="00DD0B49">
        <w:rPr>
          <w:sz w:val="20"/>
          <w:szCs w:val="20"/>
          <w:lang w:val="fr-CA"/>
        </w:rPr>
        <w:t>.</w:t>
      </w:r>
    </w:p>
    <w:p w:rsidR="004B66B4" w:rsidRPr="00DD0B49" w:rsidRDefault="00460701" w:rsidP="004B66B4">
      <w:pPr>
        <w:rPr>
          <w:sz w:val="20"/>
          <w:szCs w:val="20"/>
        </w:rPr>
      </w:pPr>
      <w:r w:rsidRPr="00460701">
        <w:rPr>
          <w:sz w:val="20"/>
          <w:szCs w:val="20"/>
        </w:rPr>
        <w:pict>
          <v:rect id="_x0000_i1089" style="width:480.95pt;height:1pt" o:hralign="center" o:hrstd="t" o:hrnoshade="t" o:hr="t" fillcolor="black [3213]" stroked="f"/>
        </w:pict>
      </w:r>
    </w:p>
    <w:p w:rsidR="004B66B4" w:rsidRPr="00DD0B49" w:rsidRDefault="004B66B4" w:rsidP="004B66B4">
      <w:pPr>
        <w:rPr>
          <w:sz w:val="20"/>
          <w:szCs w:val="20"/>
          <w:lang w:val="fr-CA"/>
        </w:rPr>
      </w:pPr>
    </w:p>
    <w:p w:rsidR="004B66B4" w:rsidRPr="00DD0B49" w:rsidRDefault="004B66B4" w:rsidP="00DD0B49">
      <w:pPr>
        <w:ind w:left="2160" w:hanging="2160"/>
        <w:jc w:val="both"/>
        <w:rPr>
          <w:sz w:val="20"/>
          <w:szCs w:val="20"/>
        </w:rPr>
      </w:pPr>
      <w:r w:rsidRPr="00DD0B49">
        <w:rPr>
          <w:sz w:val="20"/>
          <w:szCs w:val="20"/>
        </w:rPr>
        <w:t>DATE OF HEARING /</w:t>
      </w:r>
      <w:r w:rsidR="00DD0B49">
        <w:rPr>
          <w:sz w:val="20"/>
          <w:szCs w:val="20"/>
        </w:rPr>
        <w:tab/>
      </w:r>
      <w:r w:rsidRPr="00DD0B49">
        <w:rPr>
          <w:sz w:val="20"/>
          <w:szCs w:val="20"/>
        </w:rPr>
        <w:t>NAME AND CASE NUMBER /</w:t>
      </w:r>
    </w:p>
    <w:p w:rsidR="004B66B4" w:rsidRPr="00DD0B49" w:rsidRDefault="004B66B4" w:rsidP="00DD0B49">
      <w:pPr>
        <w:ind w:left="2160" w:hanging="2160"/>
        <w:jc w:val="both"/>
        <w:rPr>
          <w:sz w:val="20"/>
          <w:szCs w:val="20"/>
          <w:lang w:val="fr-CA"/>
        </w:rPr>
      </w:pPr>
      <w:r w:rsidRPr="00DD0B49">
        <w:rPr>
          <w:sz w:val="20"/>
          <w:szCs w:val="20"/>
          <w:lang w:val="fr-CA"/>
        </w:rPr>
        <w:t>DATE D’AUDITION</w:t>
      </w:r>
      <w:r w:rsidRPr="00DD0B49">
        <w:rPr>
          <w:sz w:val="20"/>
          <w:szCs w:val="20"/>
          <w:lang w:val="fr-CA"/>
        </w:rPr>
        <w:tab/>
        <w:t>NOM DE LA CAUSE ET NUMÉRO</w:t>
      </w:r>
    </w:p>
    <w:p w:rsidR="004B66B4" w:rsidRPr="00DD0B49" w:rsidRDefault="004B66B4" w:rsidP="00DD0B49">
      <w:pPr>
        <w:ind w:left="2160" w:hanging="2160"/>
        <w:jc w:val="both"/>
        <w:rPr>
          <w:sz w:val="20"/>
          <w:szCs w:val="20"/>
          <w:lang w:val="fr-CA"/>
        </w:rPr>
      </w:pPr>
    </w:p>
    <w:p w:rsidR="00C624A8" w:rsidRPr="00A85B4F" w:rsidRDefault="004B66B4" w:rsidP="00C624A8">
      <w:pPr>
        <w:rPr>
          <w:sz w:val="20"/>
          <w:szCs w:val="20"/>
        </w:rPr>
      </w:pPr>
      <w:r w:rsidRPr="00DD0B49">
        <w:rPr>
          <w:sz w:val="20"/>
          <w:szCs w:val="20"/>
        </w:rPr>
        <w:t>201</w:t>
      </w:r>
      <w:r w:rsidR="00741DC5">
        <w:rPr>
          <w:sz w:val="20"/>
          <w:szCs w:val="20"/>
        </w:rPr>
        <w:t>1</w:t>
      </w:r>
      <w:r w:rsidRPr="00DD0B49">
        <w:rPr>
          <w:sz w:val="20"/>
          <w:szCs w:val="20"/>
        </w:rPr>
        <w:t>-11-0</w:t>
      </w:r>
      <w:r w:rsidR="00741DC5">
        <w:rPr>
          <w:sz w:val="20"/>
          <w:szCs w:val="20"/>
        </w:rPr>
        <w:t>8</w:t>
      </w:r>
      <w:r w:rsidR="00C624A8">
        <w:rPr>
          <w:sz w:val="20"/>
          <w:szCs w:val="20"/>
        </w:rPr>
        <w:tab/>
      </w:r>
      <w:r w:rsidRPr="00DD0B49">
        <w:rPr>
          <w:sz w:val="20"/>
          <w:szCs w:val="20"/>
        </w:rPr>
        <w:tab/>
      </w:r>
      <w:r w:rsidR="00C624A8" w:rsidRPr="00A85B4F">
        <w:rPr>
          <w:rStyle w:val="SCCSsocChar"/>
        </w:rPr>
        <w:t>Ewaryst Prokofiew v. Her Majesty the Queen</w:t>
      </w:r>
      <w:r w:rsidR="00C624A8" w:rsidRPr="00A85B4F">
        <w:rPr>
          <w:sz w:val="20"/>
          <w:szCs w:val="20"/>
        </w:rPr>
        <w:t xml:space="preserve"> (Ont.) (Criminal) (By Leave) (33754)</w:t>
      </w:r>
    </w:p>
    <w:p w:rsidR="00C624A8" w:rsidRDefault="00C624A8" w:rsidP="00C624A8">
      <w:pPr>
        <w:ind w:left="2160" w:hanging="2160"/>
        <w:jc w:val="both"/>
        <w:rPr>
          <w:sz w:val="20"/>
          <w:szCs w:val="20"/>
        </w:rPr>
      </w:pPr>
      <w:r>
        <w:rPr>
          <w:sz w:val="20"/>
          <w:szCs w:val="20"/>
        </w:rPr>
        <w:tab/>
      </w:r>
      <w:r w:rsidRPr="00A85B4F">
        <w:rPr>
          <w:sz w:val="20"/>
          <w:szCs w:val="20"/>
        </w:rPr>
        <w:t>(</w:t>
      </w:r>
      <w:r w:rsidRPr="00A85B4F">
        <w:rPr>
          <w:sz w:val="20"/>
          <w:szCs w:val="20"/>
          <w:lang w:val="en-US"/>
        </w:rPr>
        <w:t>Early start time: 9:00 a.m. / Horaire modifié : audience débutant à 9 h)</w:t>
      </w:r>
    </w:p>
    <w:p w:rsidR="004B66B4" w:rsidRPr="00743C89" w:rsidRDefault="004B66B4" w:rsidP="00DD0B49">
      <w:pPr>
        <w:ind w:left="2160" w:hanging="2160"/>
        <w:jc w:val="both"/>
        <w:rPr>
          <w:sz w:val="20"/>
          <w:szCs w:val="20"/>
        </w:rPr>
      </w:pPr>
    </w:p>
    <w:p w:rsidR="00C624A8" w:rsidRPr="00DD0B49" w:rsidRDefault="004B66B4" w:rsidP="00C624A8">
      <w:pPr>
        <w:ind w:left="2160" w:hanging="2160"/>
        <w:jc w:val="both"/>
        <w:rPr>
          <w:sz w:val="20"/>
          <w:szCs w:val="20"/>
        </w:rPr>
      </w:pPr>
      <w:r w:rsidRPr="00DD0B49">
        <w:rPr>
          <w:sz w:val="20"/>
          <w:szCs w:val="20"/>
        </w:rPr>
        <w:t>201</w:t>
      </w:r>
      <w:r w:rsidR="00741DC5">
        <w:rPr>
          <w:sz w:val="20"/>
          <w:szCs w:val="20"/>
        </w:rPr>
        <w:t>1</w:t>
      </w:r>
      <w:r w:rsidRPr="00DD0B49">
        <w:rPr>
          <w:sz w:val="20"/>
          <w:szCs w:val="20"/>
        </w:rPr>
        <w:t>-11-0</w:t>
      </w:r>
      <w:r w:rsidR="00741DC5">
        <w:rPr>
          <w:sz w:val="20"/>
          <w:szCs w:val="20"/>
        </w:rPr>
        <w:t>8</w:t>
      </w:r>
      <w:r w:rsidRPr="00DD0B49">
        <w:rPr>
          <w:sz w:val="20"/>
          <w:szCs w:val="20"/>
        </w:rPr>
        <w:tab/>
      </w:r>
      <w:r w:rsidR="00C624A8" w:rsidRPr="00A85B4F">
        <w:rPr>
          <w:rStyle w:val="SCCSsocChar"/>
        </w:rPr>
        <w:t>Her Majesty the Queen v. Amandeep Banwait</w:t>
      </w:r>
      <w:r w:rsidR="00C624A8" w:rsidRPr="00A85B4F">
        <w:rPr>
          <w:sz w:val="20"/>
          <w:szCs w:val="20"/>
        </w:rPr>
        <w:t xml:space="preserve"> (Ont.) (Criminal) (As of Right) (34044)</w:t>
      </w:r>
    </w:p>
    <w:p w:rsidR="004B66B4" w:rsidRPr="00DD0B49" w:rsidRDefault="004B66B4" w:rsidP="00DD0B49">
      <w:pPr>
        <w:ind w:left="2160" w:hanging="2160"/>
        <w:jc w:val="both"/>
        <w:rPr>
          <w:sz w:val="20"/>
          <w:szCs w:val="20"/>
        </w:rPr>
      </w:pPr>
    </w:p>
    <w:p w:rsidR="004B66B4" w:rsidRPr="00C624A8" w:rsidRDefault="004B66B4" w:rsidP="00DD0B49">
      <w:pPr>
        <w:ind w:left="2160" w:hanging="2160"/>
        <w:jc w:val="both"/>
        <w:rPr>
          <w:sz w:val="20"/>
          <w:szCs w:val="20"/>
          <w:lang w:val="fr-CA"/>
        </w:rPr>
      </w:pPr>
      <w:r w:rsidRPr="00DD0B49">
        <w:rPr>
          <w:sz w:val="20"/>
          <w:szCs w:val="20"/>
        </w:rPr>
        <w:t>201</w:t>
      </w:r>
      <w:r w:rsidR="00741DC5">
        <w:rPr>
          <w:sz w:val="20"/>
          <w:szCs w:val="20"/>
        </w:rPr>
        <w:t>1</w:t>
      </w:r>
      <w:r w:rsidRPr="00DD0B49">
        <w:rPr>
          <w:sz w:val="20"/>
          <w:szCs w:val="20"/>
        </w:rPr>
        <w:t>-11-0</w:t>
      </w:r>
      <w:r w:rsidR="00741DC5">
        <w:rPr>
          <w:sz w:val="20"/>
          <w:szCs w:val="20"/>
        </w:rPr>
        <w:t>9</w:t>
      </w:r>
      <w:r w:rsidRPr="00DD0B49">
        <w:rPr>
          <w:sz w:val="20"/>
          <w:szCs w:val="20"/>
        </w:rPr>
        <w:tab/>
      </w:r>
      <w:r w:rsidR="00C624A8" w:rsidRPr="00C624A8">
        <w:rPr>
          <w:rStyle w:val="SCCSsocChar"/>
        </w:rPr>
        <w:t>Randy Leigh Roy v. Her Majesty the Queen</w:t>
      </w:r>
      <w:r w:rsidR="00C624A8" w:rsidRPr="00C624A8">
        <w:rPr>
          <w:sz w:val="20"/>
          <w:szCs w:val="20"/>
        </w:rPr>
        <w:t xml:space="preserve"> (B.C.) </w:t>
      </w:r>
      <w:r w:rsidR="00C624A8" w:rsidRPr="00C624A8">
        <w:rPr>
          <w:sz w:val="20"/>
          <w:szCs w:val="20"/>
          <w:lang w:val="fr-CA"/>
        </w:rPr>
        <w:t>(Criminal) (By Leave) (33699)</w:t>
      </w:r>
    </w:p>
    <w:p w:rsidR="004B66B4" w:rsidRPr="00C624A8" w:rsidRDefault="004B66B4" w:rsidP="00DD0B49">
      <w:pPr>
        <w:ind w:left="2160" w:hanging="2160"/>
        <w:jc w:val="both"/>
        <w:rPr>
          <w:sz w:val="20"/>
          <w:szCs w:val="20"/>
          <w:lang w:val="fr-CA"/>
        </w:rPr>
      </w:pPr>
    </w:p>
    <w:p w:rsidR="004B66B4" w:rsidRPr="00C624A8" w:rsidRDefault="004B66B4" w:rsidP="00DD0B49">
      <w:pPr>
        <w:ind w:left="2160" w:hanging="2160"/>
        <w:jc w:val="both"/>
        <w:rPr>
          <w:sz w:val="20"/>
          <w:szCs w:val="20"/>
          <w:lang w:val="fr-CA"/>
        </w:rPr>
      </w:pPr>
      <w:r w:rsidRPr="00C624A8">
        <w:rPr>
          <w:sz w:val="20"/>
          <w:szCs w:val="20"/>
          <w:lang w:val="fr-CA"/>
        </w:rPr>
        <w:t>201</w:t>
      </w:r>
      <w:r w:rsidR="00741DC5" w:rsidRPr="00C624A8">
        <w:rPr>
          <w:sz w:val="20"/>
          <w:szCs w:val="20"/>
          <w:lang w:val="fr-CA"/>
        </w:rPr>
        <w:t>1</w:t>
      </w:r>
      <w:r w:rsidRPr="00C624A8">
        <w:rPr>
          <w:sz w:val="20"/>
          <w:szCs w:val="20"/>
          <w:lang w:val="fr-CA"/>
        </w:rPr>
        <w:t>-11-</w:t>
      </w:r>
      <w:r w:rsidR="00741DC5" w:rsidRPr="00C624A8">
        <w:rPr>
          <w:sz w:val="20"/>
          <w:szCs w:val="20"/>
          <w:lang w:val="fr-CA"/>
        </w:rPr>
        <w:t>1</w:t>
      </w:r>
      <w:r w:rsidRPr="00C624A8">
        <w:rPr>
          <w:sz w:val="20"/>
          <w:szCs w:val="20"/>
          <w:lang w:val="fr-CA"/>
        </w:rPr>
        <w:t>0</w:t>
      </w:r>
      <w:r w:rsidRPr="00C624A8">
        <w:rPr>
          <w:sz w:val="20"/>
          <w:szCs w:val="20"/>
          <w:lang w:val="fr-CA"/>
        </w:rPr>
        <w:tab/>
      </w:r>
      <w:r w:rsidR="00C624A8" w:rsidRPr="00A85B4F">
        <w:rPr>
          <w:rStyle w:val="SCCSsocChar"/>
          <w:lang w:val="fr-CA"/>
        </w:rPr>
        <w:t>Johan Sarrazin c. Procureure générale du Québec et autres</w:t>
      </w:r>
      <w:r w:rsidR="00C624A8" w:rsidRPr="00A85B4F">
        <w:rPr>
          <w:sz w:val="20"/>
          <w:szCs w:val="20"/>
          <w:lang w:val="fr-CA"/>
        </w:rPr>
        <w:t xml:space="preserve"> (Qc) (Civile) (Autorisation) (33793)</w:t>
      </w:r>
    </w:p>
    <w:p w:rsidR="004B66B4" w:rsidRPr="00C624A8" w:rsidRDefault="004B66B4" w:rsidP="00DD0B49">
      <w:pPr>
        <w:ind w:left="2160" w:hanging="2160"/>
        <w:jc w:val="both"/>
        <w:rPr>
          <w:sz w:val="20"/>
          <w:szCs w:val="20"/>
          <w:lang w:val="fr-CA"/>
        </w:rPr>
      </w:pPr>
    </w:p>
    <w:p w:rsidR="004B66B4" w:rsidRPr="00DD0B49" w:rsidRDefault="004B66B4" w:rsidP="00DD0B49">
      <w:pPr>
        <w:ind w:left="2160" w:hanging="2160"/>
        <w:jc w:val="both"/>
        <w:rPr>
          <w:sz w:val="20"/>
          <w:szCs w:val="20"/>
        </w:rPr>
      </w:pPr>
      <w:r w:rsidRPr="00DD0B49">
        <w:rPr>
          <w:sz w:val="20"/>
          <w:szCs w:val="20"/>
        </w:rPr>
        <w:t>201</w:t>
      </w:r>
      <w:r w:rsidR="00741DC5">
        <w:rPr>
          <w:sz w:val="20"/>
          <w:szCs w:val="20"/>
        </w:rPr>
        <w:t>1</w:t>
      </w:r>
      <w:r w:rsidRPr="00DD0B49">
        <w:rPr>
          <w:sz w:val="20"/>
          <w:szCs w:val="20"/>
        </w:rPr>
        <w:t>-11-</w:t>
      </w:r>
      <w:r w:rsidR="00741DC5">
        <w:rPr>
          <w:sz w:val="20"/>
          <w:szCs w:val="20"/>
        </w:rPr>
        <w:t>1</w:t>
      </w:r>
      <w:r w:rsidRPr="00DD0B49">
        <w:rPr>
          <w:sz w:val="20"/>
          <w:szCs w:val="20"/>
        </w:rPr>
        <w:t>5</w:t>
      </w:r>
      <w:r w:rsidRPr="00DD0B49">
        <w:rPr>
          <w:sz w:val="20"/>
          <w:szCs w:val="20"/>
        </w:rPr>
        <w:tab/>
      </w:r>
      <w:r w:rsidR="00C624A8" w:rsidRPr="00A85B4F">
        <w:rPr>
          <w:rStyle w:val="SCCSsocChar"/>
        </w:rPr>
        <w:t>City of Calgary v. Her Majesty the Queen</w:t>
      </w:r>
      <w:r w:rsidR="00C624A8" w:rsidRPr="00A85B4F">
        <w:rPr>
          <w:sz w:val="20"/>
          <w:szCs w:val="20"/>
        </w:rPr>
        <w:t xml:space="preserve"> (F.C.) (Civil) (By Leave) (33804)</w:t>
      </w:r>
    </w:p>
    <w:p w:rsidR="004B66B4" w:rsidRPr="00DD0B49" w:rsidRDefault="004B66B4" w:rsidP="00DD0B49">
      <w:pPr>
        <w:ind w:left="2160" w:hanging="2160"/>
        <w:jc w:val="both"/>
        <w:rPr>
          <w:sz w:val="20"/>
          <w:szCs w:val="20"/>
        </w:rPr>
      </w:pPr>
    </w:p>
    <w:p w:rsidR="004B66B4" w:rsidRPr="00DD0B49" w:rsidRDefault="004B66B4" w:rsidP="00DD0B49">
      <w:pPr>
        <w:ind w:left="2160" w:hanging="2160"/>
        <w:jc w:val="both"/>
        <w:rPr>
          <w:sz w:val="20"/>
          <w:szCs w:val="20"/>
        </w:rPr>
      </w:pPr>
      <w:r w:rsidRPr="00DD0B49">
        <w:rPr>
          <w:sz w:val="20"/>
          <w:szCs w:val="20"/>
        </w:rPr>
        <w:t>201</w:t>
      </w:r>
      <w:r w:rsidR="00741DC5">
        <w:rPr>
          <w:sz w:val="20"/>
          <w:szCs w:val="20"/>
        </w:rPr>
        <w:t>1</w:t>
      </w:r>
      <w:r w:rsidRPr="00DD0B49">
        <w:rPr>
          <w:sz w:val="20"/>
          <w:szCs w:val="20"/>
        </w:rPr>
        <w:t>-11-</w:t>
      </w:r>
      <w:r w:rsidR="00741DC5">
        <w:rPr>
          <w:sz w:val="20"/>
          <w:szCs w:val="20"/>
        </w:rPr>
        <w:t>16</w:t>
      </w:r>
      <w:r w:rsidRPr="00DD0B49">
        <w:rPr>
          <w:sz w:val="20"/>
          <w:szCs w:val="20"/>
        </w:rPr>
        <w:tab/>
      </w:r>
      <w:r w:rsidR="00C624A8" w:rsidRPr="00A85B4F">
        <w:rPr>
          <w:rStyle w:val="SCCSsocChar"/>
        </w:rPr>
        <w:t>Her Majesty the Queen in Right of the Province of Newfoundland and Labrador v. Abitibibowater Inc. et al.</w:t>
      </w:r>
      <w:r w:rsidR="00C624A8" w:rsidRPr="00A85B4F">
        <w:rPr>
          <w:sz w:val="20"/>
          <w:szCs w:val="20"/>
        </w:rPr>
        <w:t xml:space="preserve"> (Que.) (Civil) (By Leave) (33797)</w:t>
      </w:r>
    </w:p>
    <w:p w:rsidR="004B66B4" w:rsidRPr="00DD0B49" w:rsidRDefault="004B66B4" w:rsidP="00DD0B49">
      <w:pPr>
        <w:ind w:left="2160" w:hanging="2160"/>
        <w:jc w:val="both"/>
        <w:rPr>
          <w:sz w:val="20"/>
          <w:szCs w:val="20"/>
        </w:rPr>
      </w:pPr>
    </w:p>
    <w:p w:rsidR="004B66B4" w:rsidRPr="00DD0B49" w:rsidRDefault="004B66B4" w:rsidP="00DD0B49">
      <w:pPr>
        <w:ind w:left="2160" w:hanging="2160"/>
        <w:jc w:val="both"/>
        <w:rPr>
          <w:sz w:val="20"/>
          <w:szCs w:val="20"/>
        </w:rPr>
      </w:pPr>
      <w:r w:rsidRPr="00DD0B49">
        <w:rPr>
          <w:sz w:val="20"/>
          <w:szCs w:val="20"/>
        </w:rPr>
        <w:t>201</w:t>
      </w:r>
      <w:r w:rsidR="00741DC5">
        <w:rPr>
          <w:sz w:val="20"/>
          <w:szCs w:val="20"/>
        </w:rPr>
        <w:t>1</w:t>
      </w:r>
      <w:r w:rsidRPr="00DD0B49">
        <w:rPr>
          <w:sz w:val="20"/>
          <w:szCs w:val="20"/>
        </w:rPr>
        <w:t>-11-</w:t>
      </w:r>
      <w:r w:rsidR="00741DC5">
        <w:rPr>
          <w:sz w:val="20"/>
          <w:szCs w:val="20"/>
        </w:rPr>
        <w:t>17</w:t>
      </w:r>
      <w:r w:rsidRPr="00DD0B49">
        <w:rPr>
          <w:sz w:val="20"/>
          <w:szCs w:val="20"/>
        </w:rPr>
        <w:tab/>
      </w:r>
      <w:r w:rsidR="00C624A8" w:rsidRPr="00A85B4F">
        <w:rPr>
          <w:rStyle w:val="SCCSsocChar"/>
        </w:rPr>
        <w:t>Public Service Alliance of Canada v. Canada Post Corporation et al.</w:t>
      </w:r>
      <w:r w:rsidR="00C624A8" w:rsidRPr="00A85B4F">
        <w:rPr>
          <w:sz w:val="20"/>
          <w:szCs w:val="20"/>
        </w:rPr>
        <w:t xml:space="preserve"> (F.C.) (Civil) (By Leave) (33668)</w:t>
      </w:r>
    </w:p>
    <w:p w:rsidR="004B66B4" w:rsidRPr="00DD0B49" w:rsidRDefault="004B66B4" w:rsidP="00DD0B49">
      <w:pPr>
        <w:ind w:left="2160" w:hanging="2160"/>
        <w:jc w:val="both"/>
        <w:rPr>
          <w:sz w:val="20"/>
          <w:szCs w:val="20"/>
        </w:rPr>
      </w:pPr>
    </w:p>
    <w:p w:rsidR="004B66B4" w:rsidRPr="00DD0B49" w:rsidRDefault="004B66B4" w:rsidP="00DD0B49">
      <w:pPr>
        <w:ind w:left="2160" w:hanging="2160"/>
        <w:jc w:val="both"/>
        <w:rPr>
          <w:sz w:val="20"/>
          <w:szCs w:val="20"/>
        </w:rPr>
      </w:pPr>
      <w:r w:rsidRPr="00DD0B49">
        <w:rPr>
          <w:sz w:val="20"/>
          <w:szCs w:val="20"/>
        </w:rPr>
        <w:t>201</w:t>
      </w:r>
      <w:r w:rsidR="00741DC5">
        <w:rPr>
          <w:sz w:val="20"/>
          <w:szCs w:val="20"/>
        </w:rPr>
        <w:t>1</w:t>
      </w:r>
      <w:r w:rsidRPr="00DD0B49">
        <w:rPr>
          <w:sz w:val="20"/>
          <w:szCs w:val="20"/>
        </w:rPr>
        <w:t>-11-</w:t>
      </w:r>
      <w:r w:rsidR="00741DC5">
        <w:rPr>
          <w:sz w:val="20"/>
          <w:szCs w:val="20"/>
        </w:rPr>
        <w:t>17</w:t>
      </w:r>
      <w:r w:rsidRPr="00DD0B49">
        <w:rPr>
          <w:sz w:val="20"/>
          <w:szCs w:val="20"/>
        </w:rPr>
        <w:tab/>
      </w:r>
      <w:r w:rsidR="00C624A8" w:rsidRPr="00A85B4F">
        <w:rPr>
          <w:rStyle w:val="SCCSsocChar"/>
        </w:rPr>
        <w:t>Public Service Alliance of Canada v. Canada Post Corporation et al.</w:t>
      </w:r>
      <w:r w:rsidR="00C624A8" w:rsidRPr="00A85B4F">
        <w:rPr>
          <w:sz w:val="20"/>
          <w:szCs w:val="20"/>
        </w:rPr>
        <w:t xml:space="preserve"> (F.C.) (Civil) (By Leave) (33669)</w:t>
      </w:r>
    </w:p>
    <w:p w:rsidR="004B66B4" w:rsidRPr="00DD0B49" w:rsidRDefault="004B66B4" w:rsidP="00DD0B49">
      <w:pPr>
        <w:ind w:left="2160" w:hanging="2160"/>
        <w:jc w:val="both"/>
        <w:rPr>
          <w:sz w:val="20"/>
          <w:szCs w:val="20"/>
        </w:rPr>
      </w:pPr>
    </w:p>
    <w:p w:rsidR="004B66B4" w:rsidRPr="00C624A8" w:rsidRDefault="004B66B4" w:rsidP="00DD0B49">
      <w:pPr>
        <w:ind w:left="2160" w:hanging="2160"/>
        <w:jc w:val="both"/>
        <w:rPr>
          <w:sz w:val="20"/>
          <w:szCs w:val="20"/>
        </w:rPr>
      </w:pPr>
      <w:r w:rsidRPr="00DD0B49">
        <w:rPr>
          <w:sz w:val="20"/>
          <w:szCs w:val="20"/>
        </w:rPr>
        <w:t>201</w:t>
      </w:r>
      <w:r w:rsidR="00741DC5">
        <w:rPr>
          <w:sz w:val="20"/>
          <w:szCs w:val="20"/>
        </w:rPr>
        <w:t>1</w:t>
      </w:r>
      <w:r w:rsidRPr="00DD0B49">
        <w:rPr>
          <w:sz w:val="20"/>
          <w:szCs w:val="20"/>
        </w:rPr>
        <w:t>-11-1</w:t>
      </w:r>
      <w:r w:rsidR="00741DC5">
        <w:rPr>
          <w:sz w:val="20"/>
          <w:szCs w:val="20"/>
        </w:rPr>
        <w:t>7</w:t>
      </w:r>
      <w:r w:rsidRPr="00DD0B49">
        <w:rPr>
          <w:sz w:val="20"/>
          <w:szCs w:val="20"/>
        </w:rPr>
        <w:tab/>
      </w:r>
      <w:r w:rsidR="00C624A8" w:rsidRPr="00A85B4F">
        <w:rPr>
          <w:rStyle w:val="SCCSsocChar"/>
        </w:rPr>
        <w:t>Canadian Human Rights Commission v. Canada Post Corporation et al.</w:t>
      </w:r>
      <w:r w:rsidR="00C624A8" w:rsidRPr="00A85B4F">
        <w:rPr>
          <w:sz w:val="20"/>
          <w:szCs w:val="20"/>
        </w:rPr>
        <w:t xml:space="preserve"> (F.C.) (Civil) (By Leave) (33670)</w:t>
      </w:r>
    </w:p>
    <w:p w:rsidR="004B66B4" w:rsidRPr="00C624A8" w:rsidRDefault="004B66B4" w:rsidP="00DD0B49">
      <w:pPr>
        <w:ind w:left="2160" w:hanging="2160"/>
        <w:jc w:val="both"/>
        <w:rPr>
          <w:sz w:val="20"/>
          <w:szCs w:val="20"/>
        </w:rPr>
      </w:pPr>
    </w:p>
    <w:p w:rsidR="004B66B4" w:rsidRPr="00C624A8" w:rsidRDefault="004B66B4" w:rsidP="00DD0B49">
      <w:pPr>
        <w:ind w:left="2160" w:hanging="2160"/>
        <w:jc w:val="both"/>
        <w:rPr>
          <w:sz w:val="20"/>
          <w:szCs w:val="20"/>
        </w:rPr>
      </w:pPr>
      <w:r w:rsidRPr="00C624A8">
        <w:rPr>
          <w:sz w:val="20"/>
          <w:szCs w:val="20"/>
        </w:rPr>
        <w:t>201</w:t>
      </w:r>
      <w:r w:rsidR="00741DC5" w:rsidRPr="00C624A8">
        <w:rPr>
          <w:sz w:val="20"/>
          <w:szCs w:val="20"/>
        </w:rPr>
        <w:t>1</w:t>
      </w:r>
      <w:r w:rsidRPr="00C624A8">
        <w:rPr>
          <w:sz w:val="20"/>
          <w:szCs w:val="20"/>
        </w:rPr>
        <w:t>-11-1</w:t>
      </w:r>
      <w:r w:rsidR="00741DC5" w:rsidRPr="00C624A8">
        <w:rPr>
          <w:sz w:val="20"/>
          <w:szCs w:val="20"/>
        </w:rPr>
        <w:t>8</w:t>
      </w:r>
      <w:r w:rsidRPr="00C624A8">
        <w:rPr>
          <w:sz w:val="20"/>
          <w:szCs w:val="20"/>
        </w:rPr>
        <w:tab/>
      </w:r>
      <w:r w:rsidR="00C624A8" w:rsidRPr="00A85B4F">
        <w:rPr>
          <w:rStyle w:val="SCCSsocChar"/>
        </w:rPr>
        <w:t>Her Majesty the Queen v. Yat Fung Albert Tse et al.</w:t>
      </w:r>
      <w:r w:rsidR="00C624A8" w:rsidRPr="00A85B4F">
        <w:rPr>
          <w:sz w:val="20"/>
          <w:szCs w:val="20"/>
        </w:rPr>
        <w:t xml:space="preserve"> (B.C.) (Criminal) (By Leave) (33751)</w:t>
      </w:r>
    </w:p>
    <w:p w:rsidR="004B66B4" w:rsidRPr="00DD0B49" w:rsidRDefault="004B66B4" w:rsidP="004B66B4">
      <w:pPr>
        <w:ind w:left="1890" w:hanging="1890"/>
        <w:jc w:val="both"/>
        <w:rPr>
          <w:sz w:val="20"/>
          <w:szCs w:val="20"/>
        </w:rPr>
      </w:pPr>
    </w:p>
    <w:p w:rsidR="004B66B4" w:rsidRPr="00DD0B49" w:rsidRDefault="00460701" w:rsidP="002868D0">
      <w:pPr>
        <w:jc w:val="both"/>
        <w:rPr>
          <w:sz w:val="20"/>
          <w:szCs w:val="20"/>
        </w:rPr>
      </w:pPr>
      <w:r w:rsidRPr="00460701">
        <w:rPr>
          <w:sz w:val="20"/>
          <w:szCs w:val="20"/>
          <w:lang w:val="fr-CA"/>
        </w:rPr>
        <w:pict>
          <v:rect id="_x0000_i1090" style="width:2in;height:1pt" o:hrpct="0" o:hralign="center" o:hrstd="t" o:hrnoshade="t" o:hr="t" fillcolor="black [3213]" stroked="f"/>
        </w:pict>
      </w:r>
    </w:p>
    <w:p w:rsidR="004B66B4" w:rsidRPr="00DD0B49" w:rsidRDefault="004B66B4" w:rsidP="004B66B4">
      <w:pPr>
        <w:tabs>
          <w:tab w:val="left" w:pos="1980"/>
        </w:tabs>
        <w:jc w:val="both"/>
        <w:rPr>
          <w:sz w:val="20"/>
          <w:szCs w:val="20"/>
        </w:rPr>
      </w:pPr>
    </w:p>
    <w:p w:rsidR="004B66B4" w:rsidRPr="00DD0B49" w:rsidRDefault="004B66B4" w:rsidP="004B66B4">
      <w:pPr>
        <w:jc w:val="both"/>
        <w:rPr>
          <w:sz w:val="20"/>
          <w:szCs w:val="20"/>
        </w:rPr>
      </w:pPr>
      <w:r w:rsidRPr="00DD0B49">
        <w:rPr>
          <w:b/>
          <w:sz w:val="20"/>
          <w:szCs w:val="20"/>
        </w:rPr>
        <w:t>NOTE:</w:t>
      </w:r>
      <w:r w:rsidRPr="00DD0B49">
        <w:rPr>
          <w:sz w:val="20"/>
          <w:szCs w:val="20"/>
        </w:rPr>
        <w:t xml:space="preserve"> This agenda is subject to change. Hearings normally commence at 9:30 a.m.; however, cases with multiple parties often commence at 9:00 a.m.  Where two cases are scheduled on a given day, the second case may be heard immediately after the first one or at 2:00 p.m.  Hearing dates and times should be confirmed with Registry staff at (613) 996-8666.</w:t>
      </w:r>
    </w:p>
    <w:p w:rsidR="004B66B4" w:rsidRPr="00DD0B49" w:rsidRDefault="004B66B4" w:rsidP="004B66B4">
      <w:pPr>
        <w:jc w:val="both"/>
        <w:rPr>
          <w:sz w:val="20"/>
          <w:szCs w:val="20"/>
        </w:rPr>
      </w:pPr>
    </w:p>
    <w:p w:rsidR="004B66B4" w:rsidRPr="00DD0B49" w:rsidRDefault="004B66B4" w:rsidP="004B66B4">
      <w:pPr>
        <w:jc w:val="both"/>
        <w:rPr>
          <w:sz w:val="20"/>
          <w:szCs w:val="20"/>
          <w:lang w:val="fr-CA"/>
        </w:rPr>
      </w:pPr>
      <w:r w:rsidRPr="00DD0B49">
        <w:rPr>
          <w:sz w:val="20"/>
          <w:szCs w:val="20"/>
          <w:lang w:val="fr-CA"/>
        </w:rPr>
        <w:t>Ce calendrier est sujet à modification. Les audiences débutent normalement à 9h30; toutefois; l’audition des affaires concernant des parties multiples commence souvent à 9 h.  Lorsque deux affaires doivent être entendues le même jour, l’audition de la deuxième affaire peut avoir lieu immédiatement après celle de la première ou encore à 14 h. La date et l’heure d’une audience doivent être confirmées auprès du personnel du greffe au (613) 996-8666.</w:t>
      </w:r>
    </w:p>
    <w:p w:rsidR="00C50A5C" w:rsidRDefault="00C50A5C" w:rsidP="0022323B">
      <w:pPr>
        <w:rPr>
          <w:sz w:val="20"/>
          <w:szCs w:val="20"/>
          <w:lang w:val="fr-CA"/>
        </w:rPr>
      </w:pPr>
    </w:p>
    <w:p w:rsidR="00C624A8" w:rsidRDefault="00C624A8" w:rsidP="0022323B">
      <w:pPr>
        <w:rPr>
          <w:sz w:val="20"/>
          <w:szCs w:val="20"/>
          <w:lang w:val="fr-CA"/>
        </w:rPr>
      </w:pPr>
    </w:p>
    <w:p w:rsidR="00102926" w:rsidRPr="00C50A5C" w:rsidRDefault="00102926" w:rsidP="00782AE4">
      <w:pPr>
        <w:jc w:val="both"/>
        <w:rPr>
          <w:sz w:val="20"/>
          <w:szCs w:val="20"/>
          <w:lang w:val="fr-CA"/>
        </w:rPr>
      </w:pPr>
    </w:p>
    <w:p w:rsidR="0022323B" w:rsidRPr="00C50A5C" w:rsidRDefault="0022323B" w:rsidP="00782AE4">
      <w:pPr>
        <w:jc w:val="both"/>
        <w:rPr>
          <w:sz w:val="20"/>
          <w:szCs w:val="20"/>
          <w:lang w:val="fr-CA"/>
        </w:rPr>
        <w:sectPr w:rsidR="0022323B" w:rsidRPr="00C50A5C" w:rsidSect="0022323B">
          <w:headerReference w:type="even" r:id="rId52"/>
          <w:headerReference w:type="default" r:id="rId53"/>
          <w:footerReference w:type="even" r:id="rId54"/>
          <w:footerReference w:type="default" r:id="rId55"/>
          <w:headerReference w:type="first" r:id="rId56"/>
          <w:footerReference w:type="first" r:id="rId57"/>
          <w:pgSz w:w="12240" w:h="15840"/>
          <w:pgMar w:top="720" w:right="965" w:bottom="1080" w:left="1656" w:header="720" w:footer="965" w:gutter="0"/>
          <w:cols w:space="720"/>
          <w:titlePg/>
          <w:docGrid w:linePitch="326"/>
        </w:sectPr>
      </w:pPr>
    </w:p>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5F263E" w:rsidRPr="00C50A5C" w:rsidTr="0085476B">
        <w:tc>
          <w:tcPr>
            <w:tcW w:w="4200" w:type="dxa"/>
            <w:shd w:val="clear" w:color="auto" w:fill="auto"/>
            <w:tcMar>
              <w:left w:w="0" w:type="dxa"/>
              <w:right w:w="0" w:type="dxa"/>
            </w:tcMar>
          </w:tcPr>
          <w:p w:rsidR="005F263E" w:rsidRPr="00C50A5C" w:rsidRDefault="005F263E" w:rsidP="006B6926">
            <w:pPr>
              <w:keepNext/>
              <w:keepLines/>
              <w:rPr>
                <w:b/>
                <w:szCs w:val="24"/>
              </w:rPr>
            </w:pPr>
            <w:r w:rsidRPr="00C50A5C">
              <w:rPr>
                <w:b/>
                <w:szCs w:val="24"/>
              </w:rPr>
              <w:lastRenderedPageBreak/>
              <w:t>SUMMARIES OF THE CASES</w:t>
            </w:r>
          </w:p>
        </w:tc>
        <w:tc>
          <w:tcPr>
            <w:tcW w:w="1200" w:type="dxa"/>
            <w:shd w:val="clear" w:color="auto" w:fill="auto"/>
            <w:tcMar>
              <w:left w:w="0" w:type="dxa"/>
              <w:right w:w="0" w:type="dxa"/>
            </w:tcMar>
          </w:tcPr>
          <w:p w:rsidR="005F263E" w:rsidRPr="00C50A5C" w:rsidRDefault="005F263E" w:rsidP="005F263E">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p>
          <w:p w:rsidR="005F263E" w:rsidRPr="00C50A5C" w:rsidRDefault="005F263E" w:rsidP="005F263E">
            <w:pPr>
              <w:keepNext/>
              <w:keepLines/>
              <w:tabs>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Cs w:val="24"/>
              </w:rPr>
            </w:pPr>
          </w:p>
        </w:tc>
        <w:tc>
          <w:tcPr>
            <w:tcW w:w="4080" w:type="dxa"/>
            <w:shd w:val="clear" w:color="auto" w:fill="auto"/>
            <w:tcMar>
              <w:left w:w="0" w:type="dxa"/>
              <w:right w:w="0" w:type="dxa"/>
            </w:tcMar>
          </w:tcPr>
          <w:p w:rsidR="005F263E" w:rsidRPr="00C50A5C" w:rsidRDefault="005F263E" w:rsidP="006B6926">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Cs w:val="24"/>
                <w:lang w:val="fr-CA"/>
              </w:rPr>
            </w:pPr>
            <w:r w:rsidRPr="00C50A5C">
              <w:rPr>
                <w:b/>
                <w:szCs w:val="24"/>
                <w:lang w:val="fr-CA"/>
              </w:rPr>
              <w:t>RÉSUMÉS DES AFFAIRES</w:t>
            </w:r>
          </w:p>
        </w:tc>
      </w:tr>
    </w:tbl>
    <w:p w:rsidR="005F263E" w:rsidRPr="00C50A5C" w:rsidRDefault="005F263E" w:rsidP="005F263E">
      <w:pPr>
        <w:tabs>
          <w:tab w:val="left" w:pos="-1440"/>
          <w:tab w:val="left" w:pos="-720"/>
        </w:tabs>
        <w:ind w:left="720" w:hanging="720"/>
        <w:jc w:val="both"/>
        <w:rPr>
          <w:b/>
          <w:sz w:val="20"/>
          <w:szCs w:val="20"/>
        </w:rPr>
      </w:pPr>
    </w:p>
    <w:p w:rsidR="00471E8A" w:rsidRPr="00A85B4F" w:rsidRDefault="00460701" w:rsidP="00471E8A">
      <w:pPr>
        <w:widowControl w:val="0"/>
        <w:ind w:left="720" w:hanging="720"/>
        <w:jc w:val="both"/>
        <w:rPr>
          <w:rFonts w:cs="Times New Roman"/>
          <w:sz w:val="20"/>
          <w:szCs w:val="20"/>
        </w:rPr>
      </w:pPr>
      <w:r w:rsidRPr="00A85B4F">
        <w:rPr>
          <w:rFonts w:cs="Times New Roman"/>
          <w:b/>
          <w:sz w:val="20"/>
          <w:szCs w:val="20"/>
        </w:rPr>
        <w:fldChar w:fldCharType="begin"/>
      </w:r>
      <w:r w:rsidR="00471E8A" w:rsidRPr="00A85B4F">
        <w:rPr>
          <w:rFonts w:cs="Times New Roman"/>
          <w:b/>
          <w:sz w:val="20"/>
          <w:szCs w:val="20"/>
        </w:rPr>
        <w:instrText xml:space="preserve"> SEQ CHAPTER \h \r 1</w:instrText>
      </w:r>
      <w:r w:rsidRPr="00A85B4F">
        <w:rPr>
          <w:rFonts w:cs="Times New Roman"/>
          <w:b/>
          <w:sz w:val="20"/>
          <w:szCs w:val="20"/>
        </w:rPr>
        <w:fldChar w:fldCharType="end"/>
      </w:r>
      <w:r w:rsidR="00471E8A" w:rsidRPr="00A85B4F">
        <w:rPr>
          <w:rFonts w:cs="Times New Roman"/>
          <w:b/>
          <w:sz w:val="20"/>
          <w:szCs w:val="20"/>
        </w:rPr>
        <w:t>33754</w:t>
      </w:r>
      <w:r w:rsidR="00471E8A" w:rsidRPr="00A85B4F">
        <w:rPr>
          <w:rFonts w:cs="Times New Roman"/>
          <w:sz w:val="20"/>
          <w:szCs w:val="20"/>
        </w:rPr>
        <w:tab/>
      </w:r>
      <w:bookmarkStart w:id="3" w:name="3"/>
      <w:bookmarkEnd w:id="3"/>
      <w:r w:rsidR="00471E8A" w:rsidRPr="00A85B4F">
        <w:rPr>
          <w:rFonts w:cs="Times New Roman"/>
          <w:b/>
          <w:i/>
          <w:sz w:val="20"/>
          <w:szCs w:val="20"/>
        </w:rPr>
        <w:t>Ewaryst Prokofiew v. Her Majesty the Queen</w:t>
      </w:r>
    </w:p>
    <w:p w:rsidR="00471E8A" w:rsidRPr="00A85B4F" w:rsidRDefault="00471E8A" w:rsidP="00471E8A">
      <w:pPr>
        <w:widowControl w:val="0"/>
        <w:jc w:val="both"/>
        <w:rPr>
          <w:rFonts w:cs="Times New Roman"/>
          <w:sz w:val="20"/>
          <w:szCs w:val="20"/>
        </w:rPr>
      </w:pPr>
    </w:p>
    <w:p w:rsidR="00471E8A" w:rsidRPr="00A85B4F" w:rsidRDefault="00471E8A" w:rsidP="00471E8A">
      <w:pPr>
        <w:jc w:val="both"/>
        <w:rPr>
          <w:rFonts w:cs="Times New Roman"/>
          <w:sz w:val="20"/>
          <w:szCs w:val="20"/>
        </w:rPr>
      </w:pPr>
      <w:r w:rsidRPr="00A85B4F">
        <w:rPr>
          <w:rFonts w:cs="Times New Roman"/>
          <w:i/>
          <w:sz w:val="20"/>
          <w:szCs w:val="20"/>
        </w:rPr>
        <w:t>Charter of Rights and Freedoms</w:t>
      </w:r>
      <w:r w:rsidRPr="00A85B4F">
        <w:rPr>
          <w:rFonts w:cs="Times New Roman"/>
          <w:sz w:val="20"/>
          <w:szCs w:val="20"/>
        </w:rPr>
        <w:t xml:space="preserve"> </w:t>
      </w:r>
      <w:r w:rsidRPr="00A85B4F">
        <w:rPr>
          <w:rFonts w:cs="Times New Roman"/>
          <w:sz w:val="20"/>
          <w:szCs w:val="20"/>
        </w:rPr>
        <w:noBreakHyphen/>
        <w:t xml:space="preserve"> Criminal law </w:t>
      </w:r>
      <w:r w:rsidRPr="00A85B4F">
        <w:rPr>
          <w:rFonts w:cs="Times New Roman"/>
          <w:sz w:val="20"/>
          <w:szCs w:val="20"/>
        </w:rPr>
        <w:noBreakHyphen/>
        <w:t xml:space="preserve"> Charge to jury </w:t>
      </w:r>
      <w:r w:rsidRPr="00A85B4F">
        <w:rPr>
          <w:rFonts w:cs="Times New Roman"/>
          <w:sz w:val="20"/>
          <w:szCs w:val="20"/>
        </w:rPr>
        <w:noBreakHyphen/>
        <w:t xml:space="preserve"> Right to silence </w:t>
      </w:r>
      <w:r w:rsidRPr="00A85B4F">
        <w:rPr>
          <w:rFonts w:cs="Times New Roman"/>
          <w:sz w:val="20"/>
          <w:szCs w:val="20"/>
        </w:rPr>
        <w:noBreakHyphen/>
        <w:t xml:space="preserve"> Consideration of s. 4(6) of the </w:t>
      </w:r>
      <w:r w:rsidRPr="00A85B4F">
        <w:rPr>
          <w:rFonts w:cs="Times New Roman"/>
          <w:i/>
          <w:sz w:val="20"/>
          <w:szCs w:val="20"/>
        </w:rPr>
        <w:t>Canada Evidence Act</w:t>
      </w:r>
      <w:r w:rsidRPr="00A85B4F">
        <w:rPr>
          <w:rFonts w:cs="Times New Roman"/>
          <w:sz w:val="20"/>
          <w:szCs w:val="20"/>
        </w:rPr>
        <w:t xml:space="preserve"> </w:t>
      </w:r>
      <w:r w:rsidRPr="00A85B4F">
        <w:rPr>
          <w:rFonts w:cs="Times New Roman"/>
          <w:sz w:val="20"/>
          <w:szCs w:val="20"/>
        </w:rPr>
        <w:noBreakHyphen/>
        <w:t xml:space="preserve"> Whether the trial judge erred in failing to charge the jury on the impermissibility of drawing an inference of guilt from the failure of the appellant to testify </w:t>
      </w:r>
      <w:r w:rsidRPr="00A85B4F">
        <w:rPr>
          <w:rFonts w:cs="Times New Roman"/>
          <w:sz w:val="20"/>
          <w:szCs w:val="20"/>
        </w:rPr>
        <w:noBreakHyphen/>
        <w:t xml:space="preserve"> Whether s. 4(6) of the </w:t>
      </w:r>
      <w:r w:rsidRPr="00A85B4F">
        <w:rPr>
          <w:rFonts w:cs="Times New Roman"/>
          <w:i/>
          <w:sz w:val="20"/>
          <w:szCs w:val="20"/>
        </w:rPr>
        <w:t>Canada Evidence Act</w:t>
      </w:r>
      <w:r w:rsidRPr="00A85B4F">
        <w:rPr>
          <w:rFonts w:cs="Times New Roman"/>
          <w:sz w:val="20"/>
          <w:szCs w:val="20"/>
        </w:rPr>
        <w:t xml:space="preserve"> should be interpreted such as to allow a trial judge to instuct a jury on the impermissibility of drawing an inference of guilt from the failure of an accused to testify </w:t>
      </w:r>
      <w:r w:rsidRPr="00A85B4F">
        <w:rPr>
          <w:rFonts w:cs="Times New Roman"/>
          <w:sz w:val="20"/>
          <w:szCs w:val="20"/>
        </w:rPr>
        <w:noBreakHyphen/>
        <w:t xml:space="preserve"> Whether the Court of Appeal erred in its interpretation of the curative proviso at s. 686(1)(b)(iii) of the </w:t>
      </w:r>
      <w:r w:rsidRPr="00A85B4F">
        <w:rPr>
          <w:rFonts w:cs="Times New Roman"/>
          <w:i/>
          <w:sz w:val="20"/>
          <w:szCs w:val="20"/>
        </w:rPr>
        <w:t>Criminal Code</w:t>
      </w:r>
      <w:r w:rsidRPr="00A85B4F">
        <w:rPr>
          <w:rFonts w:cs="Times New Roman"/>
          <w:sz w:val="20"/>
          <w:szCs w:val="20"/>
        </w:rPr>
        <w:t xml:space="preserve"> with respect to the trial judge’s erroneous admission of hearsay evidence </w:t>
      </w:r>
      <w:r w:rsidRPr="00A85B4F">
        <w:rPr>
          <w:rFonts w:cs="Times New Roman"/>
          <w:sz w:val="20"/>
          <w:szCs w:val="20"/>
        </w:rPr>
        <w:noBreakHyphen/>
        <w:t xml:space="preserve"> Does s. 4(6) of the </w:t>
      </w:r>
      <w:r w:rsidRPr="00A85B4F">
        <w:rPr>
          <w:rFonts w:cs="Times New Roman"/>
          <w:i/>
          <w:sz w:val="20"/>
          <w:szCs w:val="20"/>
        </w:rPr>
        <w:t>Canada Evidence Act</w:t>
      </w:r>
      <w:r w:rsidRPr="00A85B4F">
        <w:rPr>
          <w:rFonts w:cs="Times New Roman"/>
          <w:sz w:val="20"/>
          <w:szCs w:val="20"/>
        </w:rPr>
        <w:t>, R.S.C. 1985, chap. C</w:t>
      </w:r>
      <w:r w:rsidRPr="00A85B4F">
        <w:rPr>
          <w:rFonts w:cs="Times New Roman"/>
          <w:sz w:val="20"/>
          <w:szCs w:val="20"/>
        </w:rPr>
        <w:noBreakHyphen/>
        <w:t xml:space="preserve">5, infringe s. 7 of the </w:t>
      </w:r>
      <w:r w:rsidRPr="00A85B4F">
        <w:rPr>
          <w:rFonts w:cs="Times New Roman"/>
          <w:i/>
          <w:sz w:val="20"/>
          <w:szCs w:val="20"/>
        </w:rPr>
        <w:t>Canadian Charter of Rights and Freedoms</w:t>
      </w:r>
      <w:r w:rsidRPr="00A85B4F">
        <w:rPr>
          <w:rFonts w:cs="Times New Roman"/>
          <w:sz w:val="20"/>
          <w:szCs w:val="20"/>
        </w:rPr>
        <w:t xml:space="preserve">? </w:t>
      </w:r>
      <w:r w:rsidRPr="00A85B4F">
        <w:rPr>
          <w:rFonts w:cs="Times New Roman"/>
          <w:sz w:val="20"/>
          <w:szCs w:val="20"/>
        </w:rPr>
        <w:noBreakHyphen/>
        <w:t xml:space="preserve"> If so, is the infringement a reasonable limit prescribed by law as can be demonstrably justified in a free and democratic society under s. 1 of the </w:t>
      </w:r>
      <w:r w:rsidRPr="00A85B4F">
        <w:rPr>
          <w:rFonts w:cs="Times New Roman"/>
          <w:i/>
          <w:sz w:val="20"/>
          <w:szCs w:val="20"/>
        </w:rPr>
        <w:t>Canadian Charter of Rights and Freedoms</w:t>
      </w:r>
      <w:r w:rsidRPr="00A85B4F">
        <w:rPr>
          <w:rFonts w:cs="Times New Roman"/>
          <w:sz w:val="20"/>
          <w:szCs w:val="20"/>
        </w:rPr>
        <w:t xml:space="preserve">? </w:t>
      </w:r>
      <w:r w:rsidRPr="00A85B4F">
        <w:rPr>
          <w:rFonts w:cs="Times New Roman"/>
          <w:sz w:val="20"/>
          <w:szCs w:val="20"/>
        </w:rPr>
        <w:noBreakHyphen/>
        <w:t xml:space="preserve"> Does s. 4(6) of the </w:t>
      </w:r>
      <w:r w:rsidRPr="00A85B4F">
        <w:rPr>
          <w:rFonts w:cs="Times New Roman"/>
          <w:i/>
          <w:sz w:val="20"/>
          <w:szCs w:val="20"/>
        </w:rPr>
        <w:t>Canada Evidence Act</w:t>
      </w:r>
      <w:r w:rsidRPr="00A85B4F">
        <w:rPr>
          <w:rFonts w:cs="Times New Roman"/>
          <w:sz w:val="20"/>
          <w:szCs w:val="20"/>
        </w:rPr>
        <w:t>, R.S.C. 1985, chap. C</w:t>
      </w:r>
      <w:r w:rsidRPr="00A85B4F">
        <w:rPr>
          <w:rFonts w:cs="Times New Roman"/>
          <w:sz w:val="20"/>
          <w:szCs w:val="20"/>
        </w:rPr>
        <w:noBreakHyphen/>
        <w:t xml:space="preserve">5, infringe s. 11(c) of the </w:t>
      </w:r>
      <w:r w:rsidRPr="00A85B4F">
        <w:rPr>
          <w:rFonts w:cs="Times New Roman"/>
          <w:i/>
          <w:sz w:val="20"/>
          <w:szCs w:val="20"/>
        </w:rPr>
        <w:t>Canadian Charter of Rights and Freedoms</w:t>
      </w:r>
      <w:r w:rsidRPr="00A85B4F">
        <w:rPr>
          <w:rFonts w:cs="Times New Roman"/>
          <w:sz w:val="20"/>
          <w:szCs w:val="20"/>
        </w:rPr>
        <w:t xml:space="preserve">? </w:t>
      </w:r>
      <w:r w:rsidRPr="00A85B4F">
        <w:rPr>
          <w:rFonts w:cs="Times New Roman"/>
          <w:sz w:val="20"/>
          <w:szCs w:val="20"/>
        </w:rPr>
        <w:noBreakHyphen/>
        <w:t xml:space="preserve"> If so, is the infringement a reasonable limit prescribed by law as can be demonstrably justified in a free and democratic society under s. 1 of the </w:t>
      </w:r>
      <w:r w:rsidRPr="00A85B4F">
        <w:rPr>
          <w:rFonts w:cs="Times New Roman"/>
          <w:i/>
          <w:sz w:val="20"/>
          <w:szCs w:val="20"/>
        </w:rPr>
        <w:t>Canadian Charter of Rights and Freedoms</w:t>
      </w:r>
      <w:r w:rsidRPr="00A85B4F">
        <w:rPr>
          <w:rFonts w:cs="Times New Roman"/>
          <w:sz w:val="20"/>
          <w:szCs w:val="20"/>
        </w:rPr>
        <w:t xml:space="preserve">? </w:t>
      </w:r>
      <w:r w:rsidRPr="00A85B4F">
        <w:rPr>
          <w:rFonts w:cs="Times New Roman"/>
          <w:sz w:val="20"/>
          <w:szCs w:val="20"/>
        </w:rPr>
        <w:noBreakHyphen/>
        <w:t xml:space="preserve"> Does s. 4(6) of the </w:t>
      </w:r>
      <w:r w:rsidRPr="00A85B4F">
        <w:rPr>
          <w:rFonts w:cs="Times New Roman"/>
          <w:i/>
          <w:sz w:val="20"/>
          <w:szCs w:val="20"/>
        </w:rPr>
        <w:t>Canada Evidence Act</w:t>
      </w:r>
      <w:r w:rsidRPr="00A85B4F">
        <w:rPr>
          <w:rFonts w:cs="Times New Roman"/>
          <w:sz w:val="20"/>
          <w:szCs w:val="20"/>
        </w:rPr>
        <w:t>, R.S.C. 1985, chap. C</w:t>
      </w:r>
      <w:r w:rsidRPr="00A85B4F">
        <w:rPr>
          <w:rFonts w:cs="Times New Roman"/>
          <w:sz w:val="20"/>
          <w:szCs w:val="20"/>
        </w:rPr>
        <w:noBreakHyphen/>
        <w:t xml:space="preserve">5, infringe s. 11(d) of the </w:t>
      </w:r>
      <w:r w:rsidRPr="00A85B4F">
        <w:rPr>
          <w:rFonts w:cs="Times New Roman"/>
          <w:i/>
          <w:sz w:val="20"/>
          <w:szCs w:val="20"/>
        </w:rPr>
        <w:t>Canadian Charter of Rights and Freedoms</w:t>
      </w:r>
      <w:r w:rsidRPr="00A85B4F">
        <w:rPr>
          <w:rFonts w:cs="Times New Roman"/>
          <w:sz w:val="20"/>
          <w:szCs w:val="20"/>
        </w:rPr>
        <w:t>?</w:t>
      </w:r>
    </w:p>
    <w:p w:rsidR="00471E8A" w:rsidRPr="00A85B4F" w:rsidRDefault="00471E8A" w:rsidP="00471E8A">
      <w:pPr>
        <w:widowControl w:val="0"/>
        <w:jc w:val="both"/>
        <w:rPr>
          <w:rFonts w:cs="Times New Roman"/>
          <w:sz w:val="20"/>
          <w:szCs w:val="20"/>
        </w:rPr>
      </w:pPr>
    </w:p>
    <w:p w:rsidR="00471E8A" w:rsidRPr="00A85B4F" w:rsidRDefault="00471E8A" w:rsidP="00471E8A">
      <w:pPr>
        <w:jc w:val="both"/>
        <w:rPr>
          <w:rFonts w:cs="Times New Roman"/>
          <w:sz w:val="20"/>
          <w:szCs w:val="20"/>
        </w:rPr>
      </w:pPr>
      <w:r w:rsidRPr="00A85B4F">
        <w:rPr>
          <w:rFonts w:cs="Times New Roman"/>
          <w:sz w:val="20"/>
          <w:szCs w:val="20"/>
        </w:rPr>
        <w:t>The appellant and his co</w:t>
      </w:r>
      <w:r w:rsidRPr="00A85B4F">
        <w:rPr>
          <w:rFonts w:cs="Times New Roman"/>
          <w:sz w:val="20"/>
          <w:szCs w:val="20"/>
        </w:rPr>
        <w:noBreakHyphen/>
        <w:t>accused, Peter Solty, were charged with one count of conspiracy to defraud the Government of Canada and one count of defrauding the Government of Canada of about $3.25 million.  The Crown alleged that both accused participated in a fraudulent scheme involving the fictitious sale of heavy equipment to generate harmonized Sales Tax (“HST”) that was then not remitted to the federal government as required.  The fraudulent nature of the scheme was never challenged.  The involvement of the appellant and Mr. Solty in the scheme was also conceded.  The question for the jury was whether either or both accused were aware of the fraudulent nature of the scheme.  The appellant did not testify.  He was convicted and sentenced and his appeals were dismissed.</w:t>
      </w:r>
    </w:p>
    <w:p w:rsidR="00471E8A" w:rsidRPr="00A85B4F" w:rsidRDefault="00471E8A" w:rsidP="00471E8A">
      <w:pPr>
        <w:widowControl w:val="0"/>
        <w:jc w:val="both"/>
        <w:rPr>
          <w:rFonts w:cs="Times New Roman"/>
          <w:sz w:val="20"/>
          <w:szCs w:val="20"/>
        </w:rPr>
      </w:pPr>
    </w:p>
    <w:p w:rsidR="00471E8A" w:rsidRPr="00A85B4F" w:rsidRDefault="00471E8A" w:rsidP="00471E8A">
      <w:pPr>
        <w:widowControl w:val="0"/>
        <w:jc w:val="both"/>
        <w:rPr>
          <w:rFonts w:cs="Times New Roman"/>
          <w:sz w:val="20"/>
          <w:szCs w:val="20"/>
        </w:rPr>
      </w:pPr>
    </w:p>
    <w:p w:rsidR="00471E8A" w:rsidRPr="00A85B4F" w:rsidRDefault="00471E8A" w:rsidP="00471E8A">
      <w:pPr>
        <w:widowControl w:val="0"/>
        <w:jc w:val="both"/>
        <w:rPr>
          <w:rFonts w:cs="Times New Roman"/>
          <w:sz w:val="20"/>
          <w:szCs w:val="20"/>
        </w:rPr>
      </w:pPr>
      <w:r w:rsidRPr="00A85B4F">
        <w:rPr>
          <w:rFonts w:cs="Times New Roman"/>
          <w:sz w:val="20"/>
          <w:szCs w:val="20"/>
        </w:rPr>
        <w:t>Origin of the case:</w:t>
      </w:r>
      <w:r w:rsidRPr="00A85B4F">
        <w:rPr>
          <w:rFonts w:cs="Times New Roman"/>
          <w:sz w:val="20"/>
          <w:szCs w:val="20"/>
        </w:rPr>
        <w:tab/>
      </w:r>
      <w:r w:rsidR="009C560C">
        <w:rPr>
          <w:rFonts w:cs="Times New Roman"/>
          <w:sz w:val="20"/>
          <w:szCs w:val="20"/>
        </w:rPr>
        <w:tab/>
      </w:r>
      <w:r w:rsidRPr="00A85B4F">
        <w:rPr>
          <w:rFonts w:cs="Times New Roman"/>
          <w:sz w:val="20"/>
          <w:szCs w:val="20"/>
        </w:rPr>
        <w:tab/>
      </w:r>
      <w:bookmarkStart w:id="4" w:name="4"/>
      <w:bookmarkEnd w:id="4"/>
      <w:r w:rsidRPr="00A85B4F">
        <w:rPr>
          <w:rFonts w:cs="Times New Roman"/>
          <w:sz w:val="20"/>
          <w:szCs w:val="20"/>
        </w:rPr>
        <w:t>Ontario</w:t>
      </w:r>
    </w:p>
    <w:p w:rsidR="00471E8A" w:rsidRPr="00A85B4F" w:rsidRDefault="00471E8A" w:rsidP="00471E8A">
      <w:pPr>
        <w:widowControl w:val="0"/>
        <w:jc w:val="both"/>
        <w:rPr>
          <w:rFonts w:cs="Times New Roman"/>
          <w:sz w:val="20"/>
          <w:szCs w:val="20"/>
        </w:rPr>
      </w:pPr>
    </w:p>
    <w:p w:rsidR="00471E8A" w:rsidRPr="00A85B4F" w:rsidRDefault="00471E8A" w:rsidP="00471E8A">
      <w:pPr>
        <w:widowControl w:val="0"/>
        <w:jc w:val="both"/>
        <w:rPr>
          <w:rFonts w:cs="Times New Roman"/>
          <w:sz w:val="20"/>
          <w:szCs w:val="20"/>
        </w:rPr>
      </w:pPr>
      <w:r w:rsidRPr="00A85B4F">
        <w:rPr>
          <w:rFonts w:cs="Times New Roman"/>
          <w:sz w:val="20"/>
          <w:szCs w:val="20"/>
        </w:rPr>
        <w:t>File No.:</w:t>
      </w:r>
      <w:r w:rsidRPr="00A85B4F">
        <w:rPr>
          <w:rFonts w:cs="Times New Roman"/>
          <w:sz w:val="20"/>
          <w:szCs w:val="20"/>
        </w:rPr>
        <w:tab/>
      </w:r>
      <w:r w:rsidRPr="00A85B4F">
        <w:rPr>
          <w:rFonts w:cs="Times New Roman"/>
          <w:sz w:val="20"/>
          <w:szCs w:val="20"/>
        </w:rPr>
        <w:tab/>
      </w:r>
      <w:r w:rsidRPr="00A85B4F">
        <w:rPr>
          <w:rFonts w:cs="Times New Roman"/>
          <w:sz w:val="20"/>
          <w:szCs w:val="20"/>
        </w:rPr>
        <w:tab/>
      </w:r>
      <w:r w:rsidRPr="00A85B4F">
        <w:rPr>
          <w:rFonts w:cs="Times New Roman"/>
          <w:sz w:val="20"/>
          <w:szCs w:val="20"/>
        </w:rPr>
        <w:tab/>
      </w:r>
      <w:bookmarkStart w:id="5" w:name="2"/>
      <w:bookmarkEnd w:id="5"/>
      <w:r w:rsidR="009C560C">
        <w:rPr>
          <w:rFonts w:cs="Times New Roman"/>
          <w:sz w:val="20"/>
          <w:szCs w:val="20"/>
        </w:rPr>
        <w:tab/>
      </w:r>
      <w:r w:rsidRPr="00A85B4F">
        <w:rPr>
          <w:rFonts w:cs="Times New Roman"/>
          <w:sz w:val="20"/>
          <w:szCs w:val="20"/>
        </w:rPr>
        <w:t>33754</w:t>
      </w:r>
    </w:p>
    <w:p w:rsidR="00471E8A" w:rsidRPr="00A85B4F" w:rsidRDefault="00471E8A" w:rsidP="00471E8A">
      <w:pPr>
        <w:widowControl w:val="0"/>
        <w:jc w:val="both"/>
        <w:rPr>
          <w:rFonts w:cs="Times New Roman"/>
          <w:sz w:val="20"/>
          <w:szCs w:val="20"/>
        </w:rPr>
      </w:pPr>
    </w:p>
    <w:p w:rsidR="00471E8A" w:rsidRPr="00A85B4F" w:rsidRDefault="00471E8A" w:rsidP="00471E8A">
      <w:pPr>
        <w:widowControl w:val="0"/>
        <w:jc w:val="both"/>
        <w:rPr>
          <w:rFonts w:cs="Times New Roman"/>
          <w:sz w:val="20"/>
          <w:szCs w:val="20"/>
        </w:rPr>
      </w:pPr>
      <w:r w:rsidRPr="00A85B4F">
        <w:rPr>
          <w:rFonts w:cs="Times New Roman"/>
          <w:sz w:val="20"/>
          <w:szCs w:val="20"/>
        </w:rPr>
        <w:t>Judgment of the Court of Appeal:</w:t>
      </w:r>
      <w:r w:rsidR="009C560C">
        <w:rPr>
          <w:rFonts w:cs="Times New Roman"/>
          <w:sz w:val="20"/>
          <w:szCs w:val="20"/>
        </w:rPr>
        <w:tab/>
      </w:r>
      <w:r w:rsidRPr="00A85B4F">
        <w:rPr>
          <w:rFonts w:cs="Times New Roman"/>
          <w:sz w:val="20"/>
          <w:szCs w:val="20"/>
        </w:rPr>
        <w:tab/>
      </w:r>
      <w:bookmarkStart w:id="6" w:name="5"/>
      <w:bookmarkEnd w:id="6"/>
      <w:r w:rsidRPr="00A85B4F">
        <w:rPr>
          <w:rFonts w:cs="Times New Roman"/>
          <w:sz w:val="20"/>
          <w:szCs w:val="20"/>
        </w:rPr>
        <w:t>June 10, 2010</w:t>
      </w:r>
    </w:p>
    <w:p w:rsidR="00471E8A" w:rsidRPr="00A85B4F" w:rsidRDefault="00471E8A" w:rsidP="00471E8A">
      <w:pPr>
        <w:widowControl w:val="0"/>
        <w:jc w:val="both"/>
        <w:rPr>
          <w:rFonts w:cs="Times New Roman"/>
          <w:sz w:val="20"/>
          <w:szCs w:val="20"/>
        </w:rPr>
      </w:pPr>
    </w:p>
    <w:p w:rsidR="00471E8A" w:rsidRPr="00A85B4F" w:rsidRDefault="00471E8A" w:rsidP="00471E8A">
      <w:pPr>
        <w:widowControl w:val="0"/>
        <w:jc w:val="both"/>
        <w:rPr>
          <w:rFonts w:cs="Times New Roman"/>
          <w:sz w:val="20"/>
          <w:szCs w:val="20"/>
        </w:rPr>
      </w:pPr>
      <w:r w:rsidRPr="00A85B4F">
        <w:rPr>
          <w:rFonts w:cs="Times New Roman"/>
          <w:sz w:val="20"/>
          <w:szCs w:val="20"/>
        </w:rPr>
        <w:t>Counsel:</w:t>
      </w:r>
      <w:r w:rsidRPr="00A85B4F">
        <w:rPr>
          <w:rFonts w:cs="Times New Roman"/>
          <w:sz w:val="20"/>
          <w:szCs w:val="20"/>
        </w:rPr>
        <w:tab/>
      </w:r>
      <w:r w:rsidRPr="00A85B4F">
        <w:rPr>
          <w:rFonts w:cs="Times New Roman"/>
          <w:sz w:val="20"/>
          <w:szCs w:val="20"/>
        </w:rPr>
        <w:tab/>
      </w:r>
      <w:r w:rsidRPr="00A85B4F">
        <w:rPr>
          <w:rFonts w:cs="Times New Roman"/>
          <w:sz w:val="20"/>
          <w:szCs w:val="20"/>
        </w:rPr>
        <w:tab/>
      </w:r>
      <w:r w:rsidR="009C560C">
        <w:rPr>
          <w:rFonts w:cs="Times New Roman"/>
          <w:sz w:val="20"/>
          <w:szCs w:val="20"/>
        </w:rPr>
        <w:tab/>
      </w:r>
      <w:r w:rsidRPr="00A85B4F">
        <w:rPr>
          <w:rFonts w:cs="Times New Roman"/>
          <w:sz w:val="20"/>
          <w:szCs w:val="20"/>
        </w:rPr>
        <w:tab/>
      </w:r>
      <w:bookmarkStart w:id="7" w:name="6"/>
      <w:bookmarkEnd w:id="7"/>
      <w:r w:rsidRPr="00A85B4F">
        <w:rPr>
          <w:rFonts w:cs="Times New Roman"/>
          <w:sz w:val="20"/>
          <w:szCs w:val="20"/>
        </w:rPr>
        <w:t>Russell Silverstein for the appellant</w:t>
      </w:r>
      <w:bookmarkStart w:id="8" w:name="7"/>
      <w:bookmarkEnd w:id="8"/>
    </w:p>
    <w:p w:rsidR="00471E8A" w:rsidRPr="00A85B4F" w:rsidRDefault="00471E8A" w:rsidP="00471E8A">
      <w:pPr>
        <w:widowControl w:val="0"/>
        <w:jc w:val="both"/>
        <w:rPr>
          <w:rFonts w:cs="Times New Roman"/>
          <w:sz w:val="20"/>
          <w:szCs w:val="20"/>
        </w:rPr>
      </w:pPr>
      <w:r w:rsidRPr="00A85B4F">
        <w:rPr>
          <w:rFonts w:cs="Times New Roman"/>
          <w:sz w:val="20"/>
          <w:szCs w:val="20"/>
        </w:rPr>
        <w:tab/>
      </w:r>
      <w:r w:rsidRPr="00A85B4F">
        <w:rPr>
          <w:rFonts w:cs="Times New Roman"/>
          <w:sz w:val="20"/>
          <w:szCs w:val="20"/>
        </w:rPr>
        <w:tab/>
      </w:r>
      <w:r w:rsidRPr="00A85B4F">
        <w:rPr>
          <w:rFonts w:cs="Times New Roman"/>
          <w:sz w:val="20"/>
          <w:szCs w:val="20"/>
        </w:rPr>
        <w:tab/>
      </w:r>
      <w:r w:rsidR="009C560C">
        <w:rPr>
          <w:rFonts w:cs="Times New Roman"/>
          <w:sz w:val="20"/>
          <w:szCs w:val="20"/>
        </w:rPr>
        <w:tab/>
      </w:r>
      <w:r w:rsidRPr="00A85B4F">
        <w:rPr>
          <w:rFonts w:cs="Times New Roman"/>
          <w:sz w:val="20"/>
          <w:szCs w:val="20"/>
        </w:rPr>
        <w:tab/>
        <w:t>Jennifer Woolcombe and Ivan Bloom, Q.C. for the respondent</w:t>
      </w:r>
    </w:p>
    <w:p w:rsidR="00471E8A" w:rsidRDefault="00471E8A" w:rsidP="000B3C9A">
      <w:pPr>
        <w:tabs>
          <w:tab w:val="left" w:pos="-1440"/>
          <w:tab w:val="left" w:pos="-720"/>
        </w:tabs>
        <w:ind w:left="720" w:hanging="720"/>
        <w:jc w:val="both"/>
        <w:rPr>
          <w:sz w:val="20"/>
          <w:szCs w:val="20"/>
        </w:rPr>
      </w:pPr>
    </w:p>
    <w:p w:rsidR="000B3C9A" w:rsidRPr="00DD0B49" w:rsidRDefault="00460701" w:rsidP="000B3C9A">
      <w:pPr>
        <w:tabs>
          <w:tab w:val="left" w:pos="-1440"/>
          <w:tab w:val="left" w:pos="-720"/>
        </w:tabs>
        <w:ind w:left="720" w:hanging="720"/>
        <w:jc w:val="both"/>
        <w:rPr>
          <w:sz w:val="20"/>
          <w:szCs w:val="20"/>
        </w:rPr>
      </w:pPr>
      <w:r w:rsidRPr="00460701">
        <w:rPr>
          <w:sz w:val="20"/>
          <w:szCs w:val="20"/>
          <w:lang w:val="fr-CA"/>
        </w:rPr>
        <w:pict>
          <v:rect id="_x0000_i1093" style="width:2in;height:1pt" o:hrpct="0" o:hralign="center" o:hrstd="t" o:hrnoshade="t" o:hr="t" fillcolor="black [3213]" stroked="f"/>
        </w:pict>
      </w:r>
    </w:p>
    <w:p w:rsidR="000B3C9A" w:rsidRDefault="000B3C9A" w:rsidP="000B3C9A">
      <w:pPr>
        <w:tabs>
          <w:tab w:val="left" w:pos="-1440"/>
          <w:tab w:val="left" w:pos="-720"/>
        </w:tabs>
        <w:ind w:left="720" w:hanging="720"/>
        <w:jc w:val="both"/>
        <w:rPr>
          <w:sz w:val="20"/>
          <w:szCs w:val="20"/>
        </w:rPr>
      </w:pPr>
    </w:p>
    <w:p w:rsidR="00201497" w:rsidRDefault="00201497" w:rsidP="000B3C9A">
      <w:pPr>
        <w:tabs>
          <w:tab w:val="left" w:pos="-1440"/>
          <w:tab w:val="left" w:pos="-720"/>
        </w:tabs>
        <w:ind w:left="720" w:hanging="720"/>
        <w:jc w:val="both"/>
        <w:rPr>
          <w:sz w:val="20"/>
          <w:szCs w:val="20"/>
        </w:rPr>
      </w:pPr>
    </w:p>
    <w:p w:rsidR="00201497" w:rsidRDefault="00201497" w:rsidP="000B3C9A">
      <w:pPr>
        <w:tabs>
          <w:tab w:val="left" w:pos="-1440"/>
          <w:tab w:val="left" w:pos="-720"/>
        </w:tabs>
        <w:ind w:left="720" w:hanging="720"/>
        <w:jc w:val="both"/>
        <w:rPr>
          <w:sz w:val="20"/>
          <w:szCs w:val="20"/>
        </w:rPr>
      </w:pPr>
    </w:p>
    <w:p w:rsidR="00201497" w:rsidRDefault="00201497">
      <w:pPr>
        <w:rPr>
          <w:sz w:val="20"/>
          <w:szCs w:val="20"/>
        </w:rPr>
      </w:pPr>
      <w:r>
        <w:rPr>
          <w:sz w:val="20"/>
          <w:szCs w:val="20"/>
        </w:rPr>
        <w:br w:type="page"/>
      </w:r>
    </w:p>
    <w:p w:rsidR="00201497" w:rsidRPr="00A85B4F" w:rsidRDefault="00460701" w:rsidP="00201497">
      <w:pPr>
        <w:widowControl w:val="0"/>
        <w:ind w:left="720" w:hanging="720"/>
        <w:jc w:val="both"/>
        <w:rPr>
          <w:rFonts w:cs="Times New Roman"/>
          <w:sz w:val="20"/>
          <w:szCs w:val="20"/>
          <w:lang w:val="fr-CA"/>
        </w:rPr>
      </w:pPr>
      <w:r w:rsidRPr="00A85B4F">
        <w:rPr>
          <w:rFonts w:cs="Times New Roman"/>
          <w:b/>
          <w:sz w:val="20"/>
          <w:szCs w:val="20"/>
          <w:lang w:val="fr-CA"/>
        </w:rPr>
        <w:lastRenderedPageBreak/>
        <w:fldChar w:fldCharType="begin"/>
      </w:r>
      <w:r w:rsidR="00201497" w:rsidRPr="00A85B4F">
        <w:rPr>
          <w:rFonts w:cs="Times New Roman"/>
          <w:b/>
          <w:sz w:val="20"/>
          <w:szCs w:val="20"/>
          <w:lang w:val="fr-CA"/>
        </w:rPr>
        <w:instrText xml:space="preserve"> SEQ CHAPTER \h \r 1</w:instrText>
      </w:r>
      <w:r w:rsidRPr="00A85B4F">
        <w:rPr>
          <w:rFonts w:cs="Times New Roman"/>
          <w:b/>
          <w:sz w:val="20"/>
          <w:szCs w:val="20"/>
          <w:lang w:val="fr-CA"/>
        </w:rPr>
        <w:fldChar w:fldCharType="end"/>
      </w:r>
      <w:r w:rsidR="00201497" w:rsidRPr="00A85B4F">
        <w:rPr>
          <w:rFonts w:cs="Times New Roman"/>
          <w:b/>
          <w:sz w:val="20"/>
          <w:szCs w:val="20"/>
          <w:lang w:val="fr-CA"/>
        </w:rPr>
        <w:t>33754</w:t>
      </w:r>
      <w:r w:rsidR="00201497" w:rsidRPr="00A85B4F">
        <w:rPr>
          <w:rFonts w:cs="Times New Roman"/>
          <w:sz w:val="20"/>
          <w:szCs w:val="20"/>
          <w:lang w:val="fr-CA"/>
        </w:rPr>
        <w:tab/>
      </w:r>
      <w:r w:rsidR="00201497" w:rsidRPr="00A85B4F">
        <w:rPr>
          <w:rFonts w:cs="Times New Roman"/>
          <w:b/>
          <w:i/>
          <w:sz w:val="20"/>
          <w:szCs w:val="20"/>
          <w:lang w:val="fr-CA"/>
        </w:rPr>
        <w:t>Ewaryst Prokofiew c. Sa Majesté la Reine</w:t>
      </w:r>
    </w:p>
    <w:p w:rsidR="00201497" w:rsidRPr="00A85B4F" w:rsidRDefault="00201497" w:rsidP="00201497">
      <w:pPr>
        <w:widowControl w:val="0"/>
        <w:jc w:val="both"/>
        <w:rPr>
          <w:rFonts w:cs="Times New Roman"/>
          <w:sz w:val="20"/>
          <w:szCs w:val="20"/>
          <w:lang w:val="fr-CA"/>
        </w:rPr>
      </w:pPr>
    </w:p>
    <w:p w:rsidR="00201497" w:rsidRPr="00A85B4F" w:rsidRDefault="00201497" w:rsidP="00201497">
      <w:pPr>
        <w:jc w:val="both"/>
        <w:rPr>
          <w:rFonts w:cs="Times New Roman"/>
          <w:sz w:val="20"/>
          <w:szCs w:val="20"/>
          <w:lang w:val="fr-CA"/>
        </w:rPr>
      </w:pPr>
      <w:r w:rsidRPr="00A85B4F">
        <w:rPr>
          <w:rFonts w:cs="Times New Roman"/>
          <w:i/>
          <w:iCs/>
          <w:sz w:val="20"/>
          <w:szCs w:val="20"/>
          <w:lang w:val="fr-CA"/>
        </w:rPr>
        <w:t>Charte des droits et libertés</w:t>
      </w:r>
      <w:r w:rsidRPr="00A85B4F">
        <w:rPr>
          <w:rFonts w:cs="Times New Roman"/>
          <w:sz w:val="20"/>
          <w:szCs w:val="20"/>
          <w:lang w:val="fr-CA"/>
        </w:rPr>
        <w:t xml:space="preserve"> </w:t>
      </w:r>
      <w:r w:rsidRPr="00A85B4F">
        <w:rPr>
          <w:rFonts w:cs="Times New Roman"/>
          <w:sz w:val="20"/>
          <w:szCs w:val="20"/>
          <w:lang w:val="fr-CA"/>
        </w:rPr>
        <w:noBreakHyphen/>
        <w:t xml:space="preserve"> Droit criminel </w:t>
      </w:r>
      <w:r w:rsidRPr="00A85B4F">
        <w:rPr>
          <w:rFonts w:cs="Times New Roman"/>
          <w:sz w:val="20"/>
          <w:szCs w:val="20"/>
          <w:lang w:val="fr-CA"/>
        </w:rPr>
        <w:noBreakHyphen/>
        <w:t xml:space="preserve"> Exposé au jury </w:t>
      </w:r>
      <w:r w:rsidRPr="00A85B4F">
        <w:rPr>
          <w:rFonts w:cs="Times New Roman"/>
          <w:sz w:val="20"/>
          <w:szCs w:val="20"/>
          <w:lang w:val="fr-CA"/>
        </w:rPr>
        <w:noBreakHyphen/>
        <w:t xml:space="preserve"> Droit de garder le silence </w:t>
      </w:r>
      <w:r w:rsidRPr="00A85B4F">
        <w:rPr>
          <w:rFonts w:cs="Times New Roman"/>
          <w:sz w:val="20"/>
          <w:szCs w:val="20"/>
          <w:lang w:val="fr-CA"/>
        </w:rPr>
        <w:noBreakHyphen/>
        <w:t xml:space="preserve"> Considération du par. 4(6) de la </w:t>
      </w:r>
      <w:r w:rsidRPr="00A85B4F">
        <w:rPr>
          <w:rFonts w:cs="Times New Roman"/>
          <w:i/>
          <w:iCs/>
          <w:sz w:val="20"/>
          <w:szCs w:val="20"/>
          <w:lang w:val="fr-CA"/>
        </w:rPr>
        <w:t>Loi sur la preuve au Canada</w:t>
      </w:r>
      <w:r w:rsidRPr="00A85B4F">
        <w:rPr>
          <w:rFonts w:cs="Times New Roman"/>
          <w:sz w:val="20"/>
          <w:szCs w:val="20"/>
          <w:lang w:val="fr-CA"/>
        </w:rPr>
        <w:t xml:space="preserve"> </w:t>
      </w:r>
      <w:r w:rsidRPr="00A85B4F">
        <w:rPr>
          <w:rFonts w:cs="Times New Roman"/>
          <w:sz w:val="20"/>
          <w:szCs w:val="20"/>
          <w:lang w:val="fr-CA"/>
        </w:rPr>
        <w:noBreakHyphen/>
        <w:t xml:space="preserve"> Le juge du procès a</w:t>
      </w:r>
      <w:r w:rsidRPr="00A85B4F">
        <w:rPr>
          <w:rFonts w:cs="Times New Roman"/>
          <w:sz w:val="20"/>
          <w:szCs w:val="20"/>
          <w:lang w:val="fr-CA"/>
        </w:rPr>
        <w:noBreakHyphen/>
        <w:t>t</w:t>
      </w:r>
      <w:r w:rsidRPr="00A85B4F">
        <w:rPr>
          <w:rFonts w:cs="Times New Roman"/>
          <w:sz w:val="20"/>
          <w:szCs w:val="20"/>
          <w:lang w:val="fr-CA"/>
        </w:rPr>
        <w:noBreakHyphen/>
        <w:t xml:space="preserve">il eu tort de ne pas avoir donné au jury une directive sur l’interdiction de tirer une inférence de culpabilité de l’appelant du fait qu’il n’a pas témoigné? </w:t>
      </w:r>
      <w:r w:rsidRPr="00A85B4F">
        <w:rPr>
          <w:rFonts w:cs="Times New Roman"/>
          <w:sz w:val="20"/>
          <w:szCs w:val="20"/>
          <w:lang w:val="fr-CA"/>
        </w:rPr>
        <w:noBreakHyphen/>
        <w:t xml:space="preserve"> Faut</w:t>
      </w:r>
      <w:r w:rsidRPr="00A85B4F">
        <w:rPr>
          <w:rFonts w:cs="Times New Roman"/>
          <w:sz w:val="20"/>
          <w:szCs w:val="20"/>
          <w:lang w:val="fr-CA"/>
        </w:rPr>
        <w:noBreakHyphen/>
        <w:t xml:space="preserve">il interpréter le par. 4(6) de la </w:t>
      </w:r>
      <w:r w:rsidRPr="00A85B4F">
        <w:rPr>
          <w:rFonts w:cs="Times New Roman"/>
          <w:i/>
          <w:sz w:val="20"/>
          <w:szCs w:val="20"/>
          <w:lang w:val="fr-CA"/>
        </w:rPr>
        <w:t>Loi sur la preuve au Canada</w:t>
      </w:r>
      <w:r w:rsidRPr="00A85B4F">
        <w:rPr>
          <w:rFonts w:cs="Times New Roman"/>
          <w:sz w:val="20"/>
          <w:szCs w:val="20"/>
          <w:lang w:val="fr-CA"/>
        </w:rPr>
        <w:t xml:space="preserve"> comme permettant à un juge du procès de donner au jury une directive sur l’interdiction de tirer une inférence de culpabilité d’un accusé du fait qu’il n’a pas témoigné? </w:t>
      </w:r>
      <w:r w:rsidRPr="00A85B4F">
        <w:rPr>
          <w:rFonts w:cs="Times New Roman"/>
          <w:sz w:val="20"/>
          <w:szCs w:val="20"/>
          <w:lang w:val="fr-CA"/>
        </w:rPr>
        <w:noBreakHyphen/>
        <w:t xml:space="preserve"> La Cour d’appel a</w:t>
      </w:r>
      <w:r w:rsidRPr="00A85B4F">
        <w:rPr>
          <w:rFonts w:cs="Times New Roman"/>
          <w:sz w:val="20"/>
          <w:szCs w:val="20"/>
          <w:lang w:val="fr-CA"/>
        </w:rPr>
        <w:noBreakHyphen/>
        <w:t>t</w:t>
      </w:r>
      <w:r w:rsidRPr="00A85B4F">
        <w:rPr>
          <w:rFonts w:cs="Times New Roman"/>
          <w:sz w:val="20"/>
          <w:szCs w:val="20"/>
          <w:lang w:val="fr-CA"/>
        </w:rPr>
        <w:noBreakHyphen/>
        <w:t>elle commis une erreur dans son interprétation de la disposition réparatrice du sous</w:t>
      </w:r>
      <w:r w:rsidRPr="00A85B4F">
        <w:rPr>
          <w:rFonts w:cs="Times New Roman"/>
          <w:sz w:val="20"/>
          <w:szCs w:val="20"/>
          <w:lang w:val="fr-CA"/>
        </w:rPr>
        <w:noBreakHyphen/>
        <w:t xml:space="preserve">al. 686(1)b)(iii) du </w:t>
      </w:r>
      <w:r w:rsidRPr="00A85B4F">
        <w:rPr>
          <w:rFonts w:cs="Times New Roman"/>
          <w:i/>
          <w:sz w:val="20"/>
          <w:szCs w:val="20"/>
          <w:lang w:val="fr-CA"/>
        </w:rPr>
        <w:t>Code criminel</w:t>
      </w:r>
      <w:r w:rsidRPr="00A85B4F">
        <w:rPr>
          <w:rFonts w:cs="Times New Roman"/>
          <w:sz w:val="20"/>
          <w:szCs w:val="20"/>
          <w:lang w:val="fr-CA"/>
        </w:rPr>
        <w:t xml:space="preserve"> à l’égard de l’admission erronée par le juge du procès d’une preuve par ouï</w:t>
      </w:r>
      <w:r w:rsidRPr="00A85B4F">
        <w:rPr>
          <w:rFonts w:cs="Times New Roman"/>
          <w:sz w:val="20"/>
          <w:szCs w:val="20"/>
          <w:lang w:val="fr-CA"/>
        </w:rPr>
        <w:noBreakHyphen/>
        <w:t xml:space="preserve">dire? </w:t>
      </w:r>
      <w:r w:rsidRPr="00A85B4F">
        <w:rPr>
          <w:rFonts w:cs="Times New Roman"/>
          <w:sz w:val="20"/>
          <w:szCs w:val="20"/>
          <w:lang w:val="fr-CA"/>
        </w:rPr>
        <w:noBreakHyphen/>
        <w:t xml:space="preserve"> Le par. 4(6) de la </w:t>
      </w:r>
      <w:r w:rsidRPr="00A85B4F">
        <w:rPr>
          <w:rFonts w:cs="Times New Roman"/>
          <w:i/>
          <w:sz w:val="20"/>
          <w:szCs w:val="20"/>
          <w:lang w:val="fr-CA"/>
        </w:rPr>
        <w:t>Loi sur la preuve au Canada</w:t>
      </w:r>
      <w:r w:rsidRPr="00A85B4F">
        <w:rPr>
          <w:rFonts w:cs="Times New Roman"/>
          <w:sz w:val="20"/>
          <w:szCs w:val="20"/>
          <w:lang w:val="fr-CA"/>
        </w:rPr>
        <w:t>, L.R.C. 1985, ch. C</w:t>
      </w:r>
      <w:r w:rsidRPr="00A85B4F">
        <w:rPr>
          <w:rFonts w:cs="Times New Roman"/>
          <w:sz w:val="20"/>
          <w:szCs w:val="20"/>
          <w:lang w:val="fr-CA"/>
        </w:rPr>
        <w:noBreakHyphen/>
        <w:t>5, porte</w:t>
      </w:r>
      <w:r w:rsidRPr="00A85B4F">
        <w:rPr>
          <w:rFonts w:cs="Times New Roman"/>
          <w:sz w:val="20"/>
          <w:szCs w:val="20"/>
          <w:lang w:val="fr-CA"/>
        </w:rPr>
        <w:noBreakHyphen/>
        <w:t>t</w:t>
      </w:r>
      <w:r w:rsidRPr="00A85B4F">
        <w:rPr>
          <w:rFonts w:cs="Times New Roman"/>
          <w:sz w:val="20"/>
          <w:szCs w:val="20"/>
          <w:lang w:val="fr-CA"/>
        </w:rPr>
        <w:noBreakHyphen/>
        <w:t xml:space="preserve">il atteinte à l’art. 7 de la </w:t>
      </w:r>
      <w:r w:rsidRPr="00A85B4F">
        <w:rPr>
          <w:rFonts w:cs="Times New Roman"/>
          <w:i/>
          <w:sz w:val="20"/>
          <w:szCs w:val="20"/>
          <w:lang w:val="fr-CA"/>
        </w:rPr>
        <w:t>Charte canadienne des droits et libertés</w:t>
      </w:r>
      <w:r w:rsidRPr="00A85B4F">
        <w:rPr>
          <w:rFonts w:cs="Times New Roman"/>
          <w:sz w:val="20"/>
          <w:szCs w:val="20"/>
          <w:lang w:val="fr-CA"/>
        </w:rPr>
        <w:t xml:space="preserve">? </w:t>
      </w:r>
      <w:r w:rsidRPr="00A85B4F">
        <w:rPr>
          <w:rFonts w:cs="Times New Roman"/>
          <w:sz w:val="20"/>
          <w:szCs w:val="20"/>
          <w:lang w:val="fr-CA"/>
        </w:rPr>
        <w:noBreakHyphen/>
        <w:t xml:space="preserve"> Dans l’affirmative, cette atteinte constitue</w:t>
      </w:r>
      <w:r w:rsidRPr="00A85B4F">
        <w:rPr>
          <w:rFonts w:cs="Times New Roman"/>
          <w:sz w:val="20"/>
          <w:szCs w:val="20"/>
          <w:lang w:val="fr-CA"/>
        </w:rPr>
        <w:noBreakHyphen/>
        <w:t>t</w:t>
      </w:r>
      <w:r w:rsidRPr="00A85B4F">
        <w:rPr>
          <w:rFonts w:cs="Times New Roman"/>
          <w:sz w:val="20"/>
          <w:szCs w:val="20"/>
          <w:lang w:val="fr-CA"/>
        </w:rPr>
        <w:noBreakHyphen/>
        <w:t xml:space="preserve">elle une limite raisonnable prescrite par une règle de droit, dont la justification peut se démontrer dans le cadre d’une société libre et démocratique, au sens de l’article premier de la </w:t>
      </w:r>
      <w:r w:rsidRPr="00A85B4F">
        <w:rPr>
          <w:rFonts w:cs="Times New Roman"/>
          <w:i/>
          <w:iCs/>
          <w:sz w:val="20"/>
          <w:szCs w:val="20"/>
          <w:lang w:val="fr-CA"/>
        </w:rPr>
        <w:t>Charte canadienne des droits et libertés</w:t>
      </w:r>
      <w:r w:rsidRPr="00A85B4F">
        <w:rPr>
          <w:rFonts w:cs="Times New Roman"/>
          <w:sz w:val="20"/>
          <w:szCs w:val="20"/>
          <w:lang w:val="fr-CA"/>
        </w:rPr>
        <w:t xml:space="preserve">? </w:t>
      </w:r>
      <w:r w:rsidRPr="00A85B4F">
        <w:rPr>
          <w:rFonts w:cs="Times New Roman"/>
          <w:sz w:val="20"/>
          <w:szCs w:val="20"/>
          <w:lang w:val="fr-CA"/>
        </w:rPr>
        <w:noBreakHyphen/>
        <w:t xml:space="preserve"> Le par. 4(6) de la </w:t>
      </w:r>
      <w:r w:rsidRPr="00A85B4F">
        <w:rPr>
          <w:rFonts w:cs="Times New Roman"/>
          <w:i/>
          <w:sz w:val="20"/>
          <w:szCs w:val="20"/>
          <w:lang w:val="fr-CA"/>
        </w:rPr>
        <w:t>Loi sur la preuve au Canada</w:t>
      </w:r>
      <w:r w:rsidRPr="00A85B4F">
        <w:rPr>
          <w:rFonts w:cs="Times New Roman"/>
          <w:sz w:val="20"/>
          <w:szCs w:val="20"/>
          <w:lang w:val="fr-CA"/>
        </w:rPr>
        <w:t>, L.R.C. 1985, ch. C</w:t>
      </w:r>
      <w:r w:rsidRPr="00A85B4F">
        <w:rPr>
          <w:rFonts w:cs="Times New Roman"/>
          <w:sz w:val="20"/>
          <w:szCs w:val="20"/>
          <w:lang w:val="fr-CA"/>
        </w:rPr>
        <w:noBreakHyphen/>
        <w:t>5, porte</w:t>
      </w:r>
      <w:r w:rsidRPr="00A85B4F">
        <w:rPr>
          <w:rFonts w:cs="Times New Roman"/>
          <w:sz w:val="20"/>
          <w:szCs w:val="20"/>
          <w:lang w:val="fr-CA"/>
        </w:rPr>
        <w:noBreakHyphen/>
        <w:t>t</w:t>
      </w:r>
      <w:r w:rsidRPr="00A85B4F">
        <w:rPr>
          <w:rFonts w:cs="Times New Roman"/>
          <w:sz w:val="20"/>
          <w:szCs w:val="20"/>
          <w:lang w:val="fr-CA"/>
        </w:rPr>
        <w:noBreakHyphen/>
        <w:t xml:space="preserve">il atteinte à l’al. 11c) de la </w:t>
      </w:r>
      <w:r w:rsidRPr="00A85B4F">
        <w:rPr>
          <w:rFonts w:cs="Times New Roman"/>
          <w:i/>
          <w:sz w:val="20"/>
          <w:szCs w:val="20"/>
          <w:lang w:val="fr-CA"/>
        </w:rPr>
        <w:t>Charte canadienne des droits et libertés</w:t>
      </w:r>
      <w:r w:rsidRPr="00A85B4F">
        <w:rPr>
          <w:rFonts w:cs="Times New Roman"/>
          <w:sz w:val="20"/>
          <w:szCs w:val="20"/>
          <w:lang w:val="fr-CA"/>
        </w:rPr>
        <w:t xml:space="preserve">? </w:t>
      </w:r>
      <w:r w:rsidRPr="00A85B4F">
        <w:rPr>
          <w:rFonts w:cs="Times New Roman"/>
          <w:sz w:val="20"/>
          <w:szCs w:val="20"/>
          <w:lang w:val="fr-CA"/>
        </w:rPr>
        <w:noBreakHyphen/>
        <w:t xml:space="preserve"> Dans l’affirmative, cette atteinte constitue</w:t>
      </w:r>
      <w:r w:rsidRPr="00A85B4F">
        <w:rPr>
          <w:rFonts w:cs="Times New Roman"/>
          <w:sz w:val="20"/>
          <w:szCs w:val="20"/>
          <w:lang w:val="fr-CA"/>
        </w:rPr>
        <w:noBreakHyphen/>
        <w:t>t</w:t>
      </w:r>
      <w:r w:rsidRPr="00A85B4F">
        <w:rPr>
          <w:rFonts w:cs="Times New Roman"/>
          <w:sz w:val="20"/>
          <w:szCs w:val="20"/>
          <w:lang w:val="fr-CA"/>
        </w:rPr>
        <w:noBreakHyphen/>
        <w:t xml:space="preserve">elle une limite raisonnable prescrite par une règle de droit, dont la justification peut se démontrer dans le cadre d’une société libre et démocratique, au sens de l’article premier de la </w:t>
      </w:r>
      <w:r w:rsidRPr="00A85B4F">
        <w:rPr>
          <w:rFonts w:cs="Times New Roman"/>
          <w:i/>
          <w:iCs/>
          <w:sz w:val="20"/>
          <w:szCs w:val="20"/>
          <w:lang w:val="fr-CA"/>
        </w:rPr>
        <w:t>Charte canadienne des droits et libertés</w:t>
      </w:r>
      <w:r w:rsidRPr="00A85B4F">
        <w:rPr>
          <w:rFonts w:cs="Times New Roman"/>
          <w:sz w:val="20"/>
          <w:szCs w:val="20"/>
          <w:lang w:val="fr-CA"/>
        </w:rPr>
        <w:t xml:space="preserve">? </w:t>
      </w:r>
      <w:r w:rsidRPr="00A85B4F">
        <w:rPr>
          <w:rFonts w:cs="Times New Roman"/>
          <w:sz w:val="20"/>
          <w:szCs w:val="20"/>
          <w:lang w:val="fr-CA"/>
        </w:rPr>
        <w:noBreakHyphen/>
        <w:t xml:space="preserve"> Le par. 4(6) de la </w:t>
      </w:r>
      <w:r w:rsidRPr="00A85B4F">
        <w:rPr>
          <w:rFonts w:cs="Times New Roman"/>
          <w:i/>
          <w:sz w:val="20"/>
          <w:szCs w:val="20"/>
          <w:lang w:val="fr-CA"/>
        </w:rPr>
        <w:t>Loi sur la preuve au Canada</w:t>
      </w:r>
      <w:r w:rsidRPr="00A85B4F">
        <w:rPr>
          <w:rFonts w:cs="Times New Roman"/>
          <w:sz w:val="20"/>
          <w:szCs w:val="20"/>
          <w:lang w:val="fr-CA"/>
        </w:rPr>
        <w:t>, L.R.C. 1985, ch. C</w:t>
      </w:r>
      <w:r w:rsidRPr="00A85B4F">
        <w:rPr>
          <w:rFonts w:cs="Times New Roman"/>
          <w:sz w:val="20"/>
          <w:szCs w:val="20"/>
          <w:lang w:val="fr-CA"/>
        </w:rPr>
        <w:noBreakHyphen/>
        <w:t>5, porte</w:t>
      </w:r>
      <w:r w:rsidRPr="00A85B4F">
        <w:rPr>
          <w:rFonts w:cs="Times New Roman"/>
          <w:sz w:val="20"/>
          <w:szCs w:val="20"/>
          <w:lang w:val="fr-CA"/>
        </w:rPr>
        <w:noBreakHyphen/>
        <w:t>t</w:t>
      </w:r>
      <w:r w:rsidRPr="00A85B4F">
        <w:rPr>
          <w:rFonts w:cs="Times New Roman"/>
          <w:sz w:val="20"/>
          <w:szCs w:val="20"/>
          <w:lang w:val="fr-CA"/>
        </w:rPr>
        <w:noBreakHyphen/>
        <w:t xml:space="preserve">il atteinte à l’al. 11d) de la </w:t>
      </w:r>
      <w:r w:rsidRPr="00A85B4F">
        <w:rPr>
          <w:rFonts w:cs="Times New Roman"/>
          <w:i/>
          <w:sz w:val="20"/>
          <w:szCs w:val="20"/>
          <w:lang w:val="fr-CA"/>
        </w:rPr>
        <w:t>Charte canadienne des droits et libertés</w:t>
      </w:r>
      <w:r w:rsidRPr="00A85B4F">
        <w:rPr>
          <w:rFonts w:cs="Times New Roman"/>
          <w:sz w:val="20"/>
          <w:szCs w:val="20"/>
          <w:lang w:val="fr-CA"/>
        </w:rPr>
        <w:t>?</w:t>
      </w:r>
    </w:p>
    <w:p w:rsidR="00201497" w:rsidRPr="00A85B4F" w:rsidRDefault="00201497" w:rsidP="00201497">
      <w:pPr>
        <w:widowControl w:val="0"/>
        <w:jc w:val="both"/>
        <w:rPr>
          <w:rFonts w:cs="Times New Roman"/>
          <w:sz w:val="20"/>
          <w:szCs w:val="20"/>
          <w:lang w:val="fr-CA"/>
        </w:rPr>
      </w:pPr>
    </w:p>
    <w:p w:rsidR="00201497" w:rsidRPr="00A85B4F" w:rsidRDefault="00201497" w:rsidP="00201497">
      <w:pPr>
        <w:jc w:val="both"/>
        <w:rPr>
          <w:rFonts w:cs="Times New Roman"/>
          <w:sz w:val="20"/>
          <w:szCs w:val="20"/>
          <w:lang w:val="fr-CA"/>
        </w:rPr>
      </w:pPr>
      <w:r w:rsidRPr="00A85B4F">
        <w:rPr>
          <w:rFonts w:cs="Times New Roman"/>
          <w:sz w:val="20"/>
          <w:szCs w:val="20"/>
          <w:lang w:val="fr-CA"/>
        </w:rPr>
        <w:t>L’appelant et le coaccusé, Peter Solty, ont été inculpés sous un chef de complot de fraude contre le gouvernement du Canada et un chef de fraude contre le gouvernement du Canada pour un montant d’environ 3,25 millions de dollars.  Le ministère public a allégué que les deux accusés avaient participé à une manoeuvre frauduleuse par laquelle la vente fictive de matériel lourd produisait une taxe de vente harmonisée (« TVH ») qui n’était pas ensuite versée au gouvernement fédéral comme le prescrit la loi.  Le caractère frauduleux de la manœuvre n’a jamais été contesté.  Il a également été admis que l’appelant et M. Solty étaient impliqués dans la manoeuvre.  La question que devait trancher le jury était de savoir si les accusés ou l’un deux connaissaient le caractère frauduleux de la manoeuvre.  L’appelant n’a pas témoigné.  Il a été déclaré coupable et condamné et ses appels ont été rejetés.</w:t>
      </w:r>
    </w:p>
    <w:p w:rsidR="00201497" w:rsidRPr="00A85B4F" w:rsidRDefault="00201497" w:rsidP="00201497">
      <w:pPr>
        <w:widowControl w:val="0"/>
        <w:jc w:val="both"/>
        <w:rPr>
          <w:rFonts w:cs="Times New Roman"/>
          <w:sz w:val="20"/>
          <w:szCs w:val="20"/>
          <w:lang w:val="fr-CA"/>
        </w:rPr>
      </w:pPr>
    </w:p>
    <w:p w:rsidR="00201497" w:rsidRPr="00A85B4F" w:rsidRDefault="00201497" w:rsidP="00201497">
      <w:pPr>
        <w:widowControl w:val="0"/>
        <w:jc w:val="both"/>
        <w:rPr>
          <w:rFonts w:cs="Times New Roman"/>
          <w:sz w:val="20"/>
          <w:szCs w:val="20"/>
          <w:lang w:val="fr-CA"/>
        </w:rPr>
      </w:pPr>
    </w:p>
    <w:p w:rsidR="00201497" w:rsidRPr="00A85B4F" w:rsidRDefault="00201497" w:rsidP="00201497">
      <w:pPr>
        <w:widowControl w:val="0"/>
        <w:jc w:val="both"/>
        <w:rPr>
          <w:rFonts w:cs="Times New Roman"/>
          <w:sz w:val="20"/>
          <w:szCs w:val="20"/>
          <w:lang w:val="fr-CA"/>
        </w:rPr>
      </w:pPr>
      <w:r w:rsidRPr="00A85B4F">
        <w:rPr>
          <w:rFonts w:cs="Times New Roman"/>
          <w:sz w:val="20"/>
          <w:szCs w:val="20"/>
          <w:lang w:val="fr-CA"/>
        </w:rPr>
        <w:t>Origine :</w:t>
      </w:r>
      <w:r w:rsidRPr="00A85B4F">
        <w:rPr>
          <w:rFonts w:cs="Times New Roman"/>
          <w:sz w:val="20"/>
          <w:szCs w:val="20"/>
          <w:lang w:val="fr-CA"/>
        </w:rPr>
        <w:tab/>
      </w:r>
      <w:r w:rsidRPr="00A85B4F">
        <w:rPr>
          <w:rFonts w:cs="Times New Roman"/>
          <w:sz w:val="20"/>
          <w:szCs w:val="20"/>
          <w:lang w:val="fr-CA"/>
        </w:rPr>
        <w:tab/>
      </w:r>
      <w:r w:rsidRPr="00A85B4F">
        <w:rPr>
          <w:rFonts w:cs="Times New Roman"/>
          <w:sz w:val="20"/>
          <w:szCs w:val="20"/>
          <w:lang w:val="fr-CA"/>
        </w:rPr>
        <w:tab/>
      </w:r>
      <w:r w:rsidR="009C560C">
        <w:rPr>
          <w:rFonts w:cs="Times New Roman"/>
          <w:sz w:val="20"/>
          <w:szCs w:val="20"/>
          <w:lang w:val="fr-CA"/>
        </w:rPr>
        <w:tab/>
      </w:r>
      <w:r w:rsidRPr="00A85B4F">
        <w:rPr>
          <w:rFonts w:cs="Times New Roman"/>
          <w:sz w:val="20"/>
          <w:szCs w:val="20"/>
          <w:lang w:val="fr-CA"/>
        </w:rPr>
        <w:tab/>
        <w:t>Ontario</w:t>
      </w:r>
    </w:p>
    <w:p w:rsidR="00201497" w:rsidRPr="00A85B4F" w:rsidRDefault="00201497" w:rsidP="00201497">
      <w:pPr>
        <w:widowControl w:val="0"/>
        <w:jc w:val="both"/>
        <w:rPr>
          <w:rFonts w:cs="Times New Roman"/>
          <w:sz w:val="20"/>
          <w:szCs w:val="20"/>
          <w:lang w:val="fr-CA"/>
        </w:rPr>
      </w:pPr>
    </w:p>
    <w:p w:rsidR="00201497" w:rsidRPr="00A85B4F" w:rsidRDefault="00201497" w:rsidP="00201497">
      <w:pPr>
        <w:widowControl w:val="0"/>
        <w:jc w:val="both"/>
        <w:rPr>
          <w:rFonts w:cs="Times New Roman"/>
          <w:sz w:val="20"/>
          <w:szCs w:val="20"/>
          <w:lang w:val="fr-CA"/>
        </w:rPr>
      </w:pPr>
      <w:r w:rsidRPr="00A85B4F">
        <w:rPr>
          <w:rFonts w:cs="Times New Roman"/>
          <w:sz w:val="20"/>
          <w:szCs w:val="20"/>
          <w:lang w:val="fr-CA"/>
        </w:rPr>
        <w:t>N</w:t>
      </w:r>
      <w:r w:rsidRPr="00A85B4F">
        <w:rPr>
          <w:rFonts w:cs="Times New Roman"/>
          <w:sz w:val="20"/>
          <w:szCs w:val="20"/>
          <w:vertAlign w:val="superscript"/>
          <w:lang w:val="fr-CA"/>
        </w:rPr>
        <w:t>o</w:t>
      </w:r>
      <w:r w:rsidRPr="00A85B4F">
        <w:rPr>
          <w:rFonts w:cs="Times New Roman"/>
          <w:sz w:val="20"/>
          <w:szCs w:val="20"/>
          <w:lang w:val="fr-CA"/>
        </w:rPr>
        <w:t xml:space="preserve"> du greffe :</w:t>
      </w:r>
      <w:r w:rsidRPr="00A85B4F">
        <w:rPr>
          <w:rFonts w:cs="Times New Roman"/>
          <w:sz w:val="20"/>
          <w:szCs w:val="20"/>
          <w:lang w:val="fr-CA"/>
        </w:rPr>
        <w:tab/>
      </w:r>
      <w:r w:rsidRPr="00A85B4F">
        <w:rPr>
          <w:rFonts w:cs="Times New Roman"/>
          <w:sz w:val="20"/>
          <w:szCs w:val="20"/>
          <w:lang w:val="fr-CA"/>
        </w:rPr>
        <w:tab/>
      </w:r>
      <w:r w:rsidR="009C560C">
        <w:rPr>
          <w:rFonts w:cs="Times New Roman"/>
          <w:sz w:val="20"/>
          <w:szCs w:val="20"/>
          <w:lang w:val="fr-CA"/>
        </w:rPr>
        <w:tab/>
      </w:r>
      <w:r w:rsidRPr="00A85B4F">
        <w:rPr>
          <w:rFonts w:cs="Times New Roman"/>
          <w:sz w:val="20"/>
          <w:szCs w:val="20"/>
          <w:lang w:val="fr-CA"/>
        </w:rPr>
        <w:tab/>
        <w:t>33754</w:t>
      </w:r>
    </w:p>
    <w:p w:rsidR="00201497" w:rsidRPr="00A85B4F" w:rsidRDefault="00201497" w:rsidP="00201497">
      <w:pPr>
        <w:widowControl w:val="0"/>
        <w:jc w:val="both"/>
        <w:rPr>
          <w:rFonts w:cs="Times New Roman"/>
          <w:sz w:val="20"/>
          <w:szCs w:val="20"/>
          <w:lang w:val="fr-CA"/>
        </w:rPr>
      </w:pPr>
    </w:p>
    <w:p w:rsidR="00201497" w:rsidRPr="00A85B4F" w:rsidRDefault="00201497" w:rsidP="00201497">
      <w:pPr>
        <w:widowControl w:val="0"/>
        <w:jc w:val="both"/>
        <w:rPr>
          <w:rFonts w:cs="Times New Roman"/>
          <w:sz w:val="20"/>
          <w:szCs w:val="20"/>
          <w:lang w:val="fr-CA"/>
        </w:rPr>
      </w:pPr>
      <w:r w:rsidRPr="00A85B4F">
        <w:rPr>
          <w:rFonts w:cs="Times New Roman"/>
          <w:sz w:val="20"/>
          <w:szCs w:val="20"/>
          <w:lang w:val="fr-CA"/>
        </w:rPr>
        <w:t>Arrêt de la Cour d’appel :</w:t>
      </w:r>
      <w:r w:rsidRPr="00A85B4F">
        <w:rPr>
          <w:rFonts w:cs="Times New Roman"/>
          <w:sz w:val="20"/>
          <w:szCs w:val="20"/>
          <w:lang w:val="fr-CA"/>
        </w:rPr>
        <w:tab/>
      </w:r>
      <w:r w:rsidR="009C560C">
        <w:rPr>
          <w:rFonts w:cs="Times New Roman"/>
          <w:sz w:val="20"/>
          <w:szCs w:val="20"/>
          <w:lang w:val="fr-CA"/>
        </w:rPr>
        <w:tab/>
      </w:r>
      <w:r w:rsidRPr="00A85B4F">
        <w:rPr>
          <w:rFonts w:cs="Times New Roman"/>
          <w:sz w:val="20"/>
          <w:szCs w:val="20"/>
          <w:lang w:val="fr-CA"/>
        </w:rPr>
        <w:tab/>
        <w:t>le 10 juin 2010</w:t>
      </w:r>
    </w:p>
    <w:p w:rsidR="00201497" w:rsidRPr="00A85B4F" w:rsidRDefault="00201497" w:rsidP="00201497">
      <w:pPr>
        <w:widowControl w:val="0"/>
        <w:jc w:val="both"/>
        <w:rPr>
          <w:rFonts w:cs="Times New Roman"/>
          <w:sz w:val="20"/>
          <w:szCs w:val="20"/>
          <w:lang w:val="fr-CA"/>
        </w:rPr>
      </w:pPr>
    </w:p>
    <w:p w:rsidR="00201497" w:rsidRPr="00A85B4F" w:rsidRDefault="00201497" w:rsidP="00201497">
      <w:pPr>
        <w:widowControl w:val="0"/>
        <w:jc w:val="both"/>
        <w:rPr>
          <w:rFonts w:cs="Times New Roman"/>
          <w:sz w:val="20"/>
          <w:szCs w:val="20"/>
          <w:lang w:val="fr-CA"/>
        </w:rPr>
      </w:pPr>
      <w:r w:rsidRPr="00A85B4F">
        <w:rPr>
          <w:rFonts w:cs="Times New Roman"/>
          <w:sz w:val="20"/>
          <w:szCs w:val="20"/>
          <w:lang w:val="fr-CA"/>
        </w:rPr>
        <w:t>Avocats :</w:t>
      </w:r>
      <w:r w:rsidRPr="00A85B4F">
        <w:rPr>
          <w:rFonts w:cs="Times New Roman"/>
          <w:sz w:val="20"/>
          <w:szCs w:val="20"/>
          <w:lang w:val="fr-CA"/>
        </w:rPr>
        <w:tab/>
      </w:r>
      <w:r w:rsidRPr="00A85B4F">
        <w:rPr>
          <w:rFonts w:cs="Times New Roman"/>
          <w:sz w:val="20"/>
          <w:szCs w:val="20"/>
          <w:lang w:val="fr-CA"/>
        </w:rPr>
        <w:tab/>
      </w:r>
      <w:r w:rsidR="009C560C">
        <w:rPr>
          <w:rFonts w:cs="Times New Roman"/>
          <w:sz w:val="20"/>
          <w:szCs w:val="20"/>
          <w:lang w:val="fr-CA"/>
        </w:rPr>
        <w:tab/>
      </w:r>
      <w:r w:rsidRPr="00A85B4F">
        <w:rPr>
          <w:rFonts w:cs="Times New Roman"/>
          <w:sz w:val="20"/>
          <w:szCs w:val="20"/>
          <w:lang w:val="fr-CA"/>
        </w:rPr>
        <w:tab/>
        <w:t>Russell Silverstein pour l’appelant</w:t>
      </w:r>
    </w:p>
    <w:p w:rsidR="00201497" w:rsidRPr="00A85B4F" w:rsidRDefault="00201497" w:rsidP="00201497">
      <w:pPr>
        <w:widowControl w:val="0"/>
        <w:jc w:val="both"/>
        <w:rPr>
          <w:rFonts w:cs="Times New Roman"/>
          <w:sz w:val="20"/>
          <w:szCs w:val="20"/>
          <w:lang w:val="fr-CA"/>
        </w:rPr>
      </w:pPr>
      <w:r w:rsidRPr="00A85B4F">
        <w:rPr>
          <w:rFonts w:cs="Times New Roman"/>
          <w:sz w:val="20"/>
          <w:szCs w:val="20"/>
          <w:lang w:val="fr-CA"/>
        </w:rPr>
        <w:tab/>
      </w:r>
      <w:r w:rsidRPr="00A85B4F">
        <w:rPr>
          <w:rFonts w:cs="Times New Roman"/>
          <w:sz w:val="20"/>
          <w:szCs w:val="20"/>
          <w:lang w:val="fr-CA"/>
        </w:rPr>
        <w:tab/>
      </w:r>
      <w:r w:rsidRPr="00A85B4F">
        <w:rPr>
          <w:rFonts w:cs="Times New Roman"/>
          <w:sz w:val="20"/>
          <w:szCs w:val="20"/>
          <w:lang w:val="fr-CA"/>
        </w:rPr>
        <w:tab/>
      </w:r>
      <w:r w:rsidR="009C560C">
        <w:rPr>
          <w:rFonts w:cs="Times New Roman"/>
          <w:sz w:val="20"/>
          <w:szCs w:val="20"/>
          <w:lang w:val="fr-CA"/>
        </w:rPr>
        <w:tab/>
      </w:r>
      <w:r w:rsidRPr="00A85B4F">
        <w:rPr>
          <w:rFonts w:cs="Times New Roman"/>
          <w:sz w:val="20"/>
          <w:szCs w:val="20"/>
          <w:lang w:val="fr-CA"/>
        </w:rPr>
        <w:tab/>
        <w:t>Jennifer Woolcombe et Ivan Bloom, c.r. pour l’intimée</w:t>
      </w:r>
    </w:p>
    <w:p w:rsidR="00201497" w:rsidRDefault="00201497" w:rsidP="000B3C9A">
      <w:pPr>
        <w:tabs>
          <w:tab w:val="left" w:pos="-1440"/>
          <w:tab w:val="left" w:pos="-720"/>
        </w:tabs>
        <w:ind w:left="720" w:hanging="720"/>
        <w:jc w:val="both"/>
        <w:rPr>
          <w:sz w:val="20"/>
          <w:szCs w:val="20"/>
          <w:lang w:val="fr-CA"/>
        </w:rPr>
      </w:pPr>
    </w:p>
    <w:p w:rsidR="00201497" w:rsidRDefault="00460701" w:rsidP="000B3C9A">
      <w:pPr>
        <w:tabs>
          <w:tab w:val="left" w:pos="-1440"/>
          <w:tab w:val="left" w:pos="-720"/>
        </w:tabs>
        <w:ind w:left="720" w:hanging="720"/>
        <w:jc w:val="both"/>
        <w:rPr>
          <w:sz w:val="20"/>
          <w:szCs w:val="20"/>
          <w:lang w:val="fr-CA"/>
        </w:rPr>
      </w:pPr>
      <w:r w:rsidRPr="00460701">
        <w:rPr>
          <w:sz w:val="20"/>
          <w:szCs w:val="20"/>
          <w:lang w:val="fr-CA"/>
        </w:rPr>
        <w:pict>
          <v:rect id="_x0000_i1094" style="width:2in;height:1pt" o:hrpct="0" o:hralign="center" o:hrstd="t" o:hrnoshade="t" o:hr="t" fillcolor="black [3213]" stroked="f"/>
        </w:pict>
      </w:r>
    </w:p>
    <w:p w:rsidR="00201497" w:rsidRDefault="00201497" w:rsidP="000B3C9A">
      <w:pPr>
        <w:tabs>
          <w:tab w:val="left" w:pos="-1440"/>
          <w:tab w:val="left" w:pos="-720"/>
        </w:tabs>
        <w:ind w:left="720" w:hanging="720"/>
        <w:jc w:val="both"/>
        <w:rPr>
          <w:sz w:val="20"/>
          <w:szCs w:val="20"/>
          <w:lang w:val="fr-CA"/>
        </w:rPr>
      </w:pPr>
    </w:p>
    <w:p w:rsidR="00201497" w:rsidRDefault="00201497">
      <w:pPr>
        <w:rPr>
          <w:sz w:val="20"/>
          <w:szCs w:val="20"/>
          <w:lang w:val="fr-CA"/>
        </w:rPr>
      </w:pPr>
      <w:r>
        <w:rPr>
          <w:sz w:val="20"/>
          <w:szCs w:val="20"/>
          <w:lang w:val="fr-CA"/>
        </w:rPr>
        <w:br w:type="page"/>
      </w:r>
    </w:p>
    <w:p w:rsidR="002B130F" w:rsidRPr="00A85B4F" w:rsidRDefault="00460701" w:rsidP="002B130F">
      <w:pPr>
        <w:widowControl w:val="0"/>
        <w:ind w:left="720" w:hanging="720"/>
        <w:jc w:val="both"/>
        <w:rPr>
          <w:rFonts w:cs="Times New Roman"/>
          <w:sz w:val="20"/>
          <w:szCs w:val="20"/>
        </w:rPr>
      </w:pPr>
      <w:r w:rsidRPr="00A85B4F">
        <w:rPr>
          <w:rFonts w:cs="Times New Roman"/>
          <w:b/>
          <w:sz w:val="20"/>
          <w:szCs w:val="20"/>
        </w:rPr>
        <w:lastRenderedPageBreak/>
        <w:fldChar w:fldCharType="begin"/>
      </w:r>
      <w:r w:rsidR="002B130F" w:rsidRPr="00A85B4F">
        <w:rPr>
          <w:rFonts w:cs="Times New Roman"/>
          <w:b/>
          <w:sz w:val="20"/>
          <w:szCs w:val="20"/>
        </w:rPr>
        <w:instrText xml:space="preserve"> SEQ CHAPTER \h \r 1</w:instrText>
      </w:r>
      <w:r w:rsidRPr="00A85B4F">
        <w:rPr>
          <w:rFonts w:cs="Times New Roman"/>
          <w:b/>
          <w:sz w:val="20"/>
          <w:szCs w:val="20"/>
        </w:rPr>
        <w:fldChar w:fldCharType="end"/>
      </w:r>
      <w:r w:rsidR="002B130F" w:rsidRPr="00A85B4F">
        <w:rPr>
          <w:rFonts w:cs="Times New Roman"/>
          <w:b/>
          <w:sz w:val="20"/>
          <w:szCs w:val="20"/>
        </w:rPr>
        <w:t>34044</w:t>
      </w:r>
      <w:r w:rsidR="002B130F" w:rsidRPr="00A85B4F">
        <w:rPr>
          <w:rFonts w:cs="Times New Roman"/>
          <w:sz w:val="20"/>
          <w:szCs w:val="20"/>
        </w:rPr>
        <w:tab/>
      </w:r>
      <w:r w:rsidR="002B130F" w:rsidRPr="00A85B4F">
        <w:rPr>
          <w:rFonts w:cs="Times New Roman"/>
          <w:b/>
          <w:i/>
          <w:sz w:val="20"/>
          <w:szCs w:val="20"/>
        </w:rPr>
        <w:t>Her Majesty the Queen v. Amandeep Banwait</w:t>
      </w:r>
    </w:p>
    <w:p w:rsidR="002B130F" w:rsidRPr="00A85B4F" w:rsidRDefault="002B130F" w:rsidP="002B130F">
      <w:pPr>
        <w:widowControl w:val="0"/>
        <w:jc w:val="both"/>
        <w:rPr>
          <w:rFonts w:cs="Times New Roman"/>
          <w:sz w:val="20"/>
          <w:szCs w:val="20"/>
        </w:rPr>
      </w:pPr>
    </w:p>
    <w:p w:rsidR="002B130F" w:rsidRPr="00A85B4F" w:rsidRDefault="002B130F" w:rsidP="002B130F">
      <w:pPr>
        <w:widowControl w:val="0"/>
        <w:jc w:val="both"/>
        <w:rPr>
          <w:rFonts w:cs="Times New Roman"/>
          <w:sz w:val="20"/>
          <w:szCs w:val="20"/>
        </w:rPr>
      </w:pPr>
      <w:r w:rsidRPr="00A85B4F">
        <w:rPr>
          <w:rFonts w:cs="Times New Roman"/>
          <w:sz w:val="20"/>
          <w:szCs w:val="20"/>
        </w:rPr>
        <w:t xml:space="preserve">Criminal law </w:t>
      </w:r>
      <w:r w:rsidRPr="00A85B4F">
        <w:rPr>
          <w:rFonts w:cs="Times New Roman"/>
          <w:sz w:val="20"/>
          <w:szCs w:val="20"/>
        </w:rPr>
        <w:noBreakHyphen/>
        <w:t xml:space="preserve"> Trial </w:t>
      </w:r>
      <w:r w:rsidRPr="00A85B4F">
        <w:rPr>
          <w:rFonts w:cs="Times New Roman"/>
          <w:sz w:val="20"/>
          <w:szCs w:val="20"/>
        </w:rPr>
        <w:noBreakHyphen/>
        <w:t xml:space="preserve"> Charge to jury </w:t>
      </w:r>
      <w:r w:rsidRPr="00A85B4F">
        <w:rPr>
          <w:rFonts w:cs="Times New Roman"/>
          <w:sz w:val="20"/>
          <w:szCs w:val="20"/>
        </w:rPr>
        <w:noBreakHyphen/>
        <w:t xml:space="preserve"> Offences </w:t>
      </w:r>
      <w:r w:rsidRPr="00A85B4F">
        <w:rPr>
          <w:rFonts w:cs="Times New Roman"/>
          <w:sz w:val="20"/>
          <w:szCs w:val="20"/>
        </w:rPr>
        <w:noBreakHyphen/>
        <w:t xml:space="preserve"> First degree murder </w:t>
      </w:r>
      <w:r w:rsidRPr="00A85B4F">
        <w:rPr>
          <w:rFonts w:cs="Times New Roman"/>
          <w:sz w:val="20"/>
          <w:szCs w:val="20"/>
        </w:rPr>
        <w:noBreakHyphen/>
        <w:t xml:space="preserve"> Elements of the offence </w:t>
      </w:r>
      <w:r w:rsidRPr="00A85B4F">
        <w:rPr>
          <w:rFonts w:cs="Times New Roman"/>
          <w:sz w:val="20"/>
          <w:szCs w:val="20"/>
        </w:rPr>
        <w:noBreakHyphen/>
        <w:t xml:space="preserve"> Whether the trial judge properly instructed the jury on the relationship between planning and deliberation and murder as defined under s. 229(a)(ii) of the </w:t>
      </w:r>
      <w:r w:rsidRPr="00A85B4F">
        <w:rPr>
          <w:rFonts w:cs="Times New Roman"/>
          <w:i/>
          <w:sz w:val="20"/>
          <w:szCs w:val="20"/>
        </w:rPr>
        <w:t>Criminal Code</w:t>
      </w:r>
      <w:r w:rsidRPr="00A85B4F">
        <w:rPr>
          <w:rFonts w:cs="Times New Roman"/>
          <w:sz w:val="20"/>
          <w:szCs w:val="20"/>
        </w:rPr>
        <w:t>.</w:t>
      </w:r>
    </w:p>
    <w:p w:rsidR="002B130F" w:rsidRPr="00A85B4F" w:rsidRDefault="002B130F" w:rsidP="002B130F">
      <w:pPr>
        <w:widowControl w:val="0"/>
        <w:jc w:val="both"/>
        <w:rPr>
          <w:rFonts w:cs="Times New Roman"/>
          <w:sz w:val="20"/>
          <w:szCs w:val="20"/>
        </w:rPr>
      </w:pPr>
    </w:p>
    <w:p w:rsidR="002B130F" w:rsidRPr="00A85B4F" w:rsidRDefault="002B130F" w:rsidP="002B130F">
      <w:pPr>
        <w:widowControl w:val="0"/>
        <w:jc w:val="both"/>
        <w:rPr>
          <w:rFonts w:cs="Times New Roman"/>
          <w:sz w:val="20"/>
          <w:szCs w:val="20"/>
        </w:rPr>
      </w:pPr>
      <w:r w:rsidRPr="00A85B4F">
        <w:rPr>
          <w:rFonts w:cs="Times New Roman"/>
          <w:sz w:val="20"/>
          <w:szCs w:val="20"/>
        </w:rPr>
        <w:t>The respondent was convicted of first degree murder.  It is alleged that he and several others attacked the victim in a parking lot with various weapons, including a hammer, a wooden two</w:t>
      </w:r>
      <w:r w:rsidRPr="00A85B4F">
        <w:rPr>
          <w:rFonts w:cs="Times New Roman"/>
          <w:sz w:val="20"/>
          <w:szCs w:val="20"/>
        </w:rPr>
        <w:noBreakHyphen/>
        <w:t>by</w:t>
      </w:r>
      <w:r w:rsidRPr="00A85B4F">
        <w:rPr>
          <w:rFonts w:cs="Times New Roman"/>
          <w:sz w:val="20"/>
          <w:szCs w:val="20"/>
        </w:rPr>
        <w:noBreakHyphen/>
        <w:t>four and possibly a metal pipe.  The victim lapsed into a coma, never regained consciousness, and died of pneumonia in hospital 20 days after the assault.  The respondent appealed his conviction, arguing that the verdict was unreasonable, that the jury had not been properly instructed on the relationship between planning, deliberation and murder, and that the trial judge had erred by failing to direct the jury on the negligible value of his post</w:t>
      </w:r>
      <w:r w:rsidRPr="00A85B4F">
        <w:rPr>
          <w:rFonts w:cs="Times New Roman"/>
          <w:sz w:val="20"/>
          <w:szCs w:val="20"/>
        </w:rPr>
        <w:noBreakHyphen/>
        <w:t>offence conduct.  The majority of the Court of Appeal allowed the appeal in part and substituted a conviction for second degree murder.  MacPherson J.A., dissenting, would have dismissed the appeal.  In his view, the trial judge had not erred in his charge on planning and deliberation, nor on the requisite mental element.  He further found that the structure and content of the jury charge, in relation to both the description of legal concepts in ss. 231(2) and 229(a)(ii) and the review of relevant evidence, provided the jury with an explicit and sufficient linkage between the two provisions.</w:t>
      </w:r>
    </w:p>
    <w:p w:rsidR="002B130F" w:rsidRPr="00A85B4F" w:rsidRDefault="002B130F" w:rsidP="002B130F">
      <w:pPr>
        <w:widowControl w:val="0"/>
        <w:jc w:val="both"/>
        <w:rPr>
          <w:rFonts w:cs="Times New Roman"/>
          <w:sz w:val="20"/>
          <w:szCs w:val="20"/>
        </w:rPr>
      </w:pPr>
    </w:p>
    <w:p w:rsidR="002B130F" w:rsidRPr="00A85B4F" w:rsidRDefault="002B130F" w:rsidP="002B130F">
      <w:pPr>
        <w:widowControl w:val="0"/>
        <w:jc w:val="both"/>
        <w:rPr>
          <w:rFonts w:cs="Times New Roman"/>
          <w:sz w:val="20"/>
          <w:szCs w:val="20"/>
        </w:rPr>
      </w:pPr>
    </w:p>
    <w:p w:rsidR="002B130F" w:rsidRPr="00A85B4F" w:rsidRDefault="002B130F" w:rsidP="002B130F">
      <w:pPr>
        <w:widowControl w:val="0"/>
        <w:jc w:val="both"/>
        <w:rPr>
          <w:rFonts w:cs="Times New Roman"/>
          <w:sz w:val="20"/>
          <w:szCs w:val="20"/>
        </w:rPr>
      </w:pPr>
      <w:r w:rsidRPr="00A85B4F">
        <w:rPr>
          <w:rFonts w:cs="Times New Roman"/>
          <w:sz w:val="20"/>
          <w:szCs w:val="20"/>
        </w:rPr>
        <w:t>Origin of the case:</w:t>
      </w:r>
      <w:r w:rsidRPr="00A85B4F">
        <w:rPr>
          <w:rFonts w:cs="Times New Roman"/>
          <w:sz w:val="20"/>
          <w:szCs w:val="20"/>
        </w:rPr>
        <w:tab/>
      </w:r>
      <w:r w:rsidR="009C560C">
        <w:rPr>
          <w:rFonts w:cs="Times New Roman"/>
          <w:sz w:val="20"/>
          <w:szCs w:val="20"/>
        </w:rPr>
        <w:tab/>
      </w:r>
      <w:r w:rsidRPr="00A85B4F">
        <w:rPr>
          <w:rFonts w:cs="Times New Roman"/>
          <w:sz w:val="20"/>
          <w:szCs w:val="20"/>
        </w:rPr>
        <w:tab/>
        <w:t>Ontario</w:t>
      </w:r>
    </w:p>
    <w:p w:rsidR="002B130F" w:rsidRPr="00A85B4F" w:rsidRDefault="002B130F" w:rsidP="002B130F">
      <w:pPr>
        <w:widowControl w:val="0"/>
        <w:jc w:val="both"/>
        <w:rPr>
          <w:rFonts w:cs="Times New Roman"/>
          <w:sz w:val="20"/>
          <w:szCs w:val="20"/>
        </w:rPr>
      </w:pPr>
    </w:p>
    <w:p w:rsidR="002B130F" w:rsidRPr="00A85B4F" w:rsidRDefault="002B130F" w:rsidP="002B130F">
      <w:pPr>
        <w:widowControl w:val="0"/>
        <w:jc w:val="both"/>
        <w:rPr>
          <w:rFonts w:cs="Times New Roman"/>
          <w:sz w:val="20"/>
          <w:szCs w:val="20"/>
        </w:rPr>
      </w:pPr>
      <w:r w:rsidRPr="00A85B4F">
        <w:rPr>
          <w:rFonts w:cs="Times New Roman"/>
          <w:sz w:val="20"/>
          <w:szCs w:val="20"/>
        </w:rPr>
        <w:t>File No.:</w:t>
      </w:r>
      <w:r w:rsidRPr="00A85B4F">
        <w:rPr>
          <w:rFonts w:cs="Times New Roman"/>
          <w:sz w:val="20"/>
          <w:szCs w:val="20"/>
        </w:rPr>
        <w:tab/>
      </w:r>
      <w:r w:rsidRPr="00A85B4F">
        <w:rPr>
          <w:rFonts w:cs="Times New Roman"/>
          <w:sz w:val="20"/>
          <w:szCs w:val="20"/>
        </w:rPr>
        <w:tab/>
      </w:r>
      <w:r w:rsidRPr="00A85B4F">
        <w:rPr>
          <w:rFonts w:cs="Times New Roman"/>
          <w:sz w:val="20"/>
          <w:szCs w:val="20"/>
        </w:rPr>
        <w:tab/>
      </w:r>
      <w:r w:rsidR="009C560C">
        <w:rPr>
          <w:rFonts w:cs="Times New Roman"/>
          <w:sz w:val="20"/>
          <w:szCs w:val="20"/>
        </w:rPr>
        <w:tab/>
      </w:r>
      <w:r w:rsidRPr="00A85B4F">
        <w:rPr>
          <w:rFonts w:cs="Times New Roman"/>
          <w:sz w:val="20"/>
          <w:szCs w:val="20"/>
        </w:rPr>
        <w:tab/>
        <w:t>34044</w:t>
      </w:r>
    </w:p>
    <w:p w:rsidR="002B130F" w:rsidRPr="00A85B4F" w:rsidRDefault="002B130F" w:rsidP="002B130F">
      <w:pPr>
        <w:widowControl w:val="0"/>
        <w:jc w:val="both"/>
        <w:rPr>
          <w:rFonts w:cs="Times New Roman"/>
          <w:sz w:val="20"/>
          <w:szCs w:val="20"/>
        </w:rPr>
      </w:pPr>
    </w:p>
    <w:p w:rsidR="002B130F" w:rsidRPr="00A85B4F" w:rsidRDefault="002B130F" w:rsidP="002B130F">
      <w:pPr>
        <w:widowControl w:val="0"/>
        <w:jc w:val="both"/>
        <w:rPr>
          <w:rFonts w:cs="Times New Roman"/>
          <w:sz w:val="20"/>
          <w:szCs w:val="20"/>
        </w:rPr>
      </w:pPr>
      <w:r w:rsidRPr="00A85B4F">
        <w:rPr>
          <w:rFonts w:cs="Times New Roman"/>
          <w:sz w:val="20"/>
          <w:szCs w:val="20"/>
        </w:rPr>
        <w:t>Judgment of the Court of Appeal:</w:t>
      </w:r>
      <w:r w:rsidR="009C560C">
        <w:rPr>
          <w:rFonts w:cs="Times New Roman"/>
          <w:sz w:val="20"/>
          <w:szCs w:val="20"/>
        </w:rPr>
        <w:tab/>
      </w:r>
      <w:r w:rsidRPr="00A85B4F">
        <w:rPr>
          <w:rFonts w:cs="Times New Roman"/>
          <w:sz w:val="20"/>
          <w:szCs w:val="20"/>
        </w:rPr>
        <w:tab/>
        <w:t>December 17, 2010</w:t>
      </w:r>
    </w:p>
    <w:p w:rsidR="002B130F" w:rsidRPr="00A85B4F" w:rsidRDefault="002B130F" w:rsidP="002B130F">
      <w:pPr>
        <w:widowControl w:val="0"/>
        <w:jc w:val="both"/>
        <w:rPr>
          <w:rFonts w:cs="Times New Roman"/>
          <w:sz w:val="20"/>
          <w:szCs w:val="20"/>
        </w:rPr>
      </w:pPr>
    </w:p>
    <w:p w:rsidR="002B130F" w:rsidRPr="00A85B4F" w:rsidRDefault="002B130F" w:rsidP="002B130F">
      <w:pPr>
        <w:widowControl w:val="0"/>
        <w:jc w:val="both"/>
        <w:rPr>
          <w:rFonts w:cs="Times New Roman"/>
          <w:sz w:val="20"/>
          <w:szCs w:val="20"/>
        </w:rPr>
      </w:pPr>
      <w:r w:rsidRPr="00A85B4F">
        <w:rPr>
          <w:rFonts w:cs="Times New Roman"/>
          <w:sz w:val="20"/>
          <w:szCs w:val="20"/>
        </w:rPr>
        <w:t>Counsel:</w:t>
      </w:r>
      <w:r w:rsidRPr="00A85B4F">
        <w:rPr>
          <w:rFonts w:cs="Times New Roman"/>
          <w:sz w:val="20"/>
          <w:szCs w:val="20"/>
        </w:rPr>
        <w:tab/>
      </w:r>
      <w:r w:rsidRPr="00A85B4F">
        <w:rPr>
          <w:rFonts w:cs="Times New Roman"/>
          <w:sz w:val="20"/>
          <w:szCs w:val="20"/>
        </w:rPr>
        <w:tab/>
      </w:r>
      <w:r w:rsidRPr="00A85B4F">
        <w:rPr>
          <w:rFonts w:cs="Times New Roman"/>
          <w:sz w:val="20"/>
          <w:szCs w:val="20"/>
        </w:rPr>
        <w:tab/>
      </w:r>
      <w:r w:rsidR="009C560C">
        <w:rPr>
          <w:rFonts w:cs="Times New Roman"/>
          <w:sz w:val="20"/>
          <w:szCs w:val="20"/>
        </w:rPr>
        <w:tab/>
      </w:r>
      <w:r w:rsidRPr="00A85B4F">
        <w:rPr>
          <w:rFonts w:cs="Times New Roman"/>
          <w:sz w:val="20"/>
          <w:szCs w:val="20"/>
        </w:rPr>
        <w:tab/>
        <w:t>Gillian Roberts and Stacey Young for the appellant</w:t>
      </w:r>
    </w:p>
    <w:p w:rsidR="002B130F" w:rsidRPr="00A85B4F" w:rsidRDefault="002B130F" w:rsidP="002B130F">
      <w:pPr>
        <w:widowControl w:val="0"/>
        <w:jc w:val="both"/>
        <w:rPr>
          <w:rFonts w:cs="Times New Roman"/>
          <w:sz w:val="20"/>
          <w:szCs w:val="20"/>
        </w:rPr>
      </w:pPr>
      <w:r w:rsidRPr="00A85B4F">
        <w:rPr>
          <w:rFonts w:cs="Times New Roman"/>
          <w:sz w:val="20"/>
          <w:szCs w:val="20"/>
        </w:rPr>
        <w:tab/>
      </w:r>
      <w:r w:rsidRPr="00A85B4F">
        <w:rPr>
          <w:rFonts w:cs="Times New Roman"/>
          <w:sz w:val="20"/>
          <w:szCs w:val="20"/>
        </w:rPr>
        <w:tab/>
      </w:r>
      <w:r w:rsidRPr="00A85B4F">
        <w:rPr>
          <w:rFonts w:cs="Times New Roman"/>
          <w:sz w:val="20"/>
          <w:szCs w:val="20"/>
        </w:rPr>
        <w:tab/>
      </w:r>
      <w:r w:rsidR="009C560C">
        <w:rPr>
          <w:rFonts w:cs="Times New Roman"/>
          <w:sz w:val="20"/>
          <w:szCs w:val="20"/>
        </w:rPr>
        <w:tab/>
      </w:r>
      <w:r w:rsidRPr="00A85B4F">
        <w:rPr>
          <w:rFonts w:cs="Times New Roman"/>
          <w:sz w:val="20"/>
          <w:szCs w:val="20"/>
        </w:rPr>
        <w:tab/>
        <w:t>Phillip Campbell for the respondent</w:t>
      </w:r>
    </w:p>
    <w:p w:rsidR="00201497" w:rsidRDefault="00201497">
      <w:pPr>
        <w:rPr>
          <w:sz w:val="20"/>
          <w:szCs w:val="20"/>
          <w:lang w:val="fr-CA"/>
        </w:rPr>
      </w:pPr>
    </w:p>
    <w:p w:rsidR="00201497" w:rsidRDefault="00460701">
      <w:pPr>
        <w:rPr>
          <w:sz w:val="20"/>
          <w:szCs w:val="20"/>
          <w:lang w:val="fr-CA"/>
        </w:rPr>
      </w:pPr>
      <w:r w:rsidRPr="00460701">
        <w:rPr>
          <w:sz w:val="20"/>
          <w:szCs w:val="20"/>
          <w:lang w:val="fr-CA"/>
        </w:rPr>
        <w:pict>
          <v:rect id="_x0000_i1095" style="width:2in;height:1pt" o:hrpct="0" o:hralign="center" o:hrstd="t" o:hrnoshade="t" o:hr="t" fillcolor="black [3213]" stroked="f"/>
        </w:pict>
      </w:r>
    </w:p>
    <w:p w:rsidR="00201497" w:rsidRDefault="00201497">
      <w:pPr>
        <w:rPr>
          <w:sz w:val="20"/>
          <w:szCs w:val="20"/>
          <w:lang w:val="fr-CA"/>
        </w:rPr>
      </w:pPr>
    </w:p>
    <w:p w:rsidR="00201497" w:rsidRDefault="00201497">
      <w:pPr>
        <w:rPr>
          <w:sz w:val="20"/>
          <w:szCs w:val="20"/>
          <w:lang w:val="fr-CA"/>
        </w:rPr>
      </w:pPr>
      <w:r>
        <w:rPr>
          <w:sz w:val="20"/>
          <w:szCs w:val="20"/>
          <w:lang w:val="fr-CA"/>
        </w:rPr>
        <w:br w:type="page"/>
      </w:r>
    </w:p>
    <w:p w:rsidR="002B130F" w:rsidRPr="00A85B4F" w:rsidRDefault="00460701" w:rsidP="002B130F">
      <w:pPr>
        <w:widowControl w:val="0"/>
        <w:ind w:left="720" w:hanging="720"/>
        <w:jc w:val="both"/>
        <w:rPr>
          <w:rFonts w:cs="Times New Roman"/>
          <w:sz w:val="20"/>
          <w:szCs w:val="20"/>
          <w:lang w:val="fr-CA"/>
        </w:rPr>
      </w:pPr>
      <w:r w:rsidRPr="00A85B4F">
        <w:rPr>
          <w:rFonts w:cs="Times New Roman"/>
          <w:b/>
          <w:sz w:val="20"/>
          <w:szCs w:val="20"/>
          <w:lang w:val="fr-CA"/>
        </w:rPr>
        <w:lastRenderedPageBreak/>
        <w:fldChar w:fldCharType="begin"/>
      </w:r>
      <w:r w:rsidR="002B130F" w:rsidRPr="00A85B4F">
        <w:rPr>
          <w:rFonts w:cs="Times New Roman"/>
          <w:b/>
          <w:sz w:val="20"/>
          <w:szCs w:val="20"/>
          <w:lang w:val="fr-CA"/>
        </w:rPr>
        <w:instrText xml:space="preserve"> SEQ CHAPTER \h \r 1</w:instrText>
      </w:r>
      <w:r w:rsidRPr="00A85B4F">
        <w:rPr>
          <w:rFonts w:cs="Times New Roman"/>
          <w:b/>
          <w:sz w:val="20"/>
          <w:szCs w:val="20"/>
          <w:lang w:val="fr-CA"/>
        </w:rPr>
        <w:fldChar w:fldCharType="end"/>
      </w:r>
      <w:r w:rsidR="002B130F" w:rsidRPr="00A85B4F">
        <w:rPr>
          <w:rFonts w:cs="Times New Roman"/>
          <w:b/>
          <w:sz w:val="20"/>
          <w:szCs w:val="20"/>
          <w:lang w:val="fr-CA"/>
        </w:rPr>
        <w:t>34044</w:t>
      </w:r>
      <w:r w:rsidR="002B130F" w:rsidRPr="00A85B4F">
        <w:rPr>
          <w:rFonts w:cs="Times New Roman"/>
          <w:sz w:val="20"/>
          <w:szCs w:val="20"/>
          <w:lang w:val="fr-CA"/>
        </w:rPr>
        <w:tab/>
      </w:r>
      <w:bookmarkStart w:id="9" w:name="BM3"/>
      <w:bookmarkEnd w:id="9"/>
      <w:r w:rsidR="002B130F" w:rsidRPr="00A85B4F">
        <w:rPr>
          <w:rFonts w:cs="Times New Roman"/>
          <w:b/>
          <w:i/>
          <w:sz w:val="20"/>
          <w:szCs w:val="20"/>
          <w:lang w:val="fr-CA"/>
        </w:rPr>
        <w:t>Sa Majesté la Reine c. Amandeep Banwait</w:t>
      </w:r>
    </w:p>
    <w:p w:rsidR="002B130F" w:rsidRPr="00A85B4F" w:rsidRDefault="002B130F" w:rsidP="002B130F">
      <w:pPr>
        <w:widowControl w:val="0"/>
        <w:jc w:val="both"/>
        <w:rPr>
          <w:rFonts w:cs="Times New Roman"/>
          <w:sz w:val="20"/>
          <w:szCs w:val="20"/>
          <w:lang w:val="fr-CA"/>
        </w:rPr>
      </w:pPr>
    </w:p>
    <w:p w:rsidR="002B130F" w:rsidRPr="00A85B4F" w:rsidRDefault="002B130F" w:rsidP="002B130F">
      <w:pPr>
        <w:widowControl w:val="0"/>
        <w:jc w:val="both"/>
        <w:rPr>
          <w:rFonts w:cs="Times New Roman"/>
          <w:sz w:val="20"/>
          <w:szCs w:val="20"/>
          <w:lang w:val="fr-CA"/>
        </w:rPr>
      </w:pPr>
      <w:r w:rsidRPr="00A85B4F">
        <w:rPr>
          <w:rFonts w:cs="Times New Roman"/>
          <w:sz w:val="20"/>
          <w:szCs w:val="20"/>
          <w:lang w:val="fr-CA"/>
        </w:rPr>
        <w:t xml:space="preserve">Droit criminel </w:t>
      </w:r>
      <w:r w:rsidRPr="00A85B4F">
        <w:rPr>
          <w:rFonts w:cs="Times New Roman"/>
          <w:sz w:val="20"/>
          <w:szCs w:val="20"/>
          <w:lang w:val="fr-CA"/>
        </w:rPr>
        <w:noBreakHyphen/>
        <w:t xml:space="preserve"> Procès </w:t>
      </w:r>
      <w:r w:rsidRPr="00A85B4F">
        <w:rPr>
          <w:rFonts w:cs="Times New Roman"/>
          <w:sz w:val="20"/>
          <w:szCs w:val="20"/>
          <w:lang w:val="fr-CA"/>
        </w:rPr>
        <w:noBreakHyphen/>
        <w:t xml:space="preserve"> Exposé au jury </w:t>
      </w:r>
      <w:r w:rsidRPr="00A85B4F">
        <w:rPr>
          <w:rFonts w:cs="Times New Roman"/>
          <w:sz w:val="20"/>
          <w:szCs w:val="20"/>
          <w:lang w:val="fr-CA"/>
        </w:rPr>
        <w:noBreakHyphen/>
        <w:t xml:space="preserve"> Infractions </w:t>
      </w:r>
      <w:r w:rsidRPr="00A85B4F">
        <w:rPr>
          <w:rFonts w:cs="Times New Roman"/>
          <w:sz w:val="20"/>
          <w:szCs w:val="20"/>
          <w:lang w:val="fr-CA"/>
        </w:rPr>
        <w:noBreakHyphen/>
        <w:t xml:space="preserve"> Meurtre au premier degré </w:t>
      </w:r>
      <w:r w:rsidRPr="00A85B4F">
        <w:rPr>
          <w:rFonts w:cs="Times New Roman"/>
          <w:sz w:val="20"/>
          <w:szCs w:val="20"/>
          <w:lang w:val="fr-CA"/>
        </w:rPr>
        <w:noBreakHyphen/>
        <w:t xml:space="preserve"> Éléments de l’infraction </w:t>
      </w:r>
      <w:r w:rsidRPr="00A85B4F">
        <w:rPr>
          <w:rFonts w:cs="Times New Roman"/>
          <w:sz w:val="20"/>
          <w:szCs w:val="20"/>
          <w:lang w:val="fr-CA"/>
        </w:rPr>
        <w:noBreakHyphen/>
        <w:t xml:space="preserve"> Le juge de première instance a</w:t>
      </w:r>
      <w:r w:rsidRPr="00A85B4F">
        <w:rPr>
          <w:rFonts w:cs="Times New Roman"/>
          <w:sz w:val="20"/>
          <w:szCs w:val="20"/>
          <w:lang w:val="fr-CA"/>
        </w:rPr>
        <w:noBreakHyphen/>
        <w:t>t</w:t>
      </w:r>
      <w:r w:rsidRPr="00A85B4F">
        <w:rPr>
          <w:rFonts w:cs="Times New Roman"/>
          <w:sz w:val="20"/>
          <w:szCs w:val="20"/>
          <w:lang w:val="fr-CA"/>
        </w:rPr>
        <w:noBreakHyphen/>
        <w:t>il donné des directives appropriées au jury sur le rapport entre la préméditation, le propos délibéré et le meurtre tel qu’il est défini au sous</w:t>
      </w:r>
      <w:r w:rsidRPr="00A85B4F">
        <w:rPr>
          <w:rFonts w:cs="Times New Roman"/>
          <w:sz w:val="20"/>
          <w:szCs w:val="20"/>
          <w:lang w:val="fr-CA"/>
        </w:rPr>
        <w:noBreakHyphen/>
        <w:t>al. 229</w:t>
      </w:r>
      <w:r w:rsidRPr="00A85B4F">
        <w:rPr>
          <w:rFonts w:cs="Times New Roman"/>
          <w:i/>
          <w:sz w:val="20"/>
          <w:szCs w:val="20"/>
          <w:lang w:val="fr-CA"/>
        </w:rPr>
        <w:t>a</w:t>
      </w:r>
      <w:r w:rsidRPr="00A85B4F">
        <w:rPr>
          <w:rFonts w:cs="Times New Roman"/>
          <w:sz w:val="20"/>
          <w:szCs w:val="20"/>
          <w:lang w:val="fr-CA"/>
        </w:rPr>
        <w:t xml:space="preserve">)(ii) du </w:t>
      </w:r>
      <w:r w:rsidRPr="00A85B4F">
        <w:rPr>
          <w:rFonts w:cs="Times New Roman"/>
          <w:i/>
          <w:sz w:val="20"/>
          <w:szCs w:val="20"/>
          <w:lang w:val="fr-CA"/>
        </w:rPr>
        <w:t>Code criminel</w:t>
      </w:r>
      <w:r w:rsidRPr="00A85B4F">
        <w:rPr>
          <w:rFonts w:cs="Times New Roman"/>
          <w:sz w:val="20"/>
          <w:szCs w:val="20"/>
          <w:lang w:val="fr-CA"/>
        </w:rPr>
        <w:t>?</w:t>
      </w:r>
    </w:p>
    <w:p w:rsidR="002B130F" w:rsidRPr="00A85B4F" w:rsidRDefault="002B130F" w:rsidP="002B130F">
      <w:pPr>
        <w:widowControl w:val="0"/>
        <w:jc w:val="both"/>
        <w:rPr>
          <w:rFonts w:cs="Times New Roman"/>
          <w:sz w:val="20"/>
          <w:szCs w:val="20"/>
          <w:lang w:val="fr-CA"/>
        </w:rPr>
      </w:pPr>
    </w:p>
    <w:p w:rsidR="002B130F" w:rsidRPr="00A85B4F" w:rsidRDefault="002B130F" w:rsidP="002B130F">
      <w:pPr>
        <w:widowControl w:val="0"/>
        <w:jc w:val="both"/>
        <w:rPr>
          <w:rFonts w:cs="Times New Roman"/>
          <w:sz w:val="20"/>
          <w:szCs w:val="20"/>
          <w:lang w:val="fr-CA"/>
        </w:rPr>
      </w:pPr>
      <w:r w:rsidRPr="00A85B4F">
        <w:rPr>
          <w:rFonts w:cs="Times New Roman"/>
          <w:sz w:val="20"/>
          <w:szCs w:val="20"/>
          <w:lang w:val="fr-CA"/>
        </w:rPr>
        <w:t>L’intimé a été déclaré coupable de meurtre au premier degré.  Avec d’autres personnes, il aurait agressé la victime dans un terrain de stationnement avec diverses armes, dont un marteau, un « deux par quatre » et peut</w:t>
      </w:r>
      <w:r w:rsidRPr="00A85B4F">
        <w:rPr>
          <w:rFonts w:cs="Times New Roman"/>
          <w:sz w:val="20"/>
          <w:szCs w:val="20"/>
          <w:lang w:val="fr-CA"/>
        </w:rPr>
        <w:noBreakHyphen/>
        <w:t>être un tuyau de métal.  La victime est tombée dans le coma, n’a jamais repris conscience et est morte à l’hôpital d’une pneumonie 20 jours après l’agression.  L’intimé a interjeté appel de la déclaration de culpabilité, en soutenant que le verdict n’était pas raisonnable, que le jury n’avait pas reçu des explications adéquates sur le rapport entre la préméditation, le propos délibéré et le meurtre, et que le juge de première instance avait commis une erreur en ne donnant pas de directives au jury quant à l’importance négligeable de son comportement postérieur à l’infraction.  La majorité de la Cour d’appel a accueilli l’appel en partie et prononcé une déclaration de culpabilité pour meurtre au deuxième degré plutôt qu’au premier degré.  Le juge MacPherson, dissident, aurait rejeté l’appel.  À son avis, le juge de première instance n’avait commis d’erreur ni dans ses directives sur la préméditation et le propos délibéré, ni au sujet de l’élément moral requis.  Il a également conclu que la structure et la teneur de l’exposé au jury, en ce qui a trait tant à la description des notions juridiques du par. 231(2) et du sous</w:t>
      </w:r>
      <w:r w:rsidRPr="00A85B4F">
        <w:rPr>
          <w:rFonts w:cs="Times New Roman"/>
          <w:sz w:val="20"/>
          <w:szCs w:val="20"/>
          <w:lang w:val="fr-CA"/>
        </w:rPr>
        <w:noBreakHyphen/>
        <w:t>al. 229</w:t>
      </w:r>
      <w:r w:rsidRPr="00A85B4F">
        <w:rPr>
          <w:rFonts w:cs="Times New Roman"/>
          <w:i/>
          <w:sz w:val="20"/>
          <w:szCs w:val="20"/>
          <w:lang w:val="fr-CA"/>
        </w:rPr>
        <w:t>a</w:t>
      </w:r>
      <w:r w:rsidRPr="00A85B4F">
        <w:rPr>
          <w:rFonts w:cs="Times New Roman"/>
          <w:sz w:val="20"/>
          <w:szCs w:val="20"/>
          <w:lang w:val="fr-CA"/>
        </w:rPr>
        <w:t>)(ii) qu’à l’examen de la preuve pertinente, avaient fourni au jury un lien explicite et suffisant entre les deux dispositions.</w:t>
      </w:r>
    </w:p>
    <w:p w:rsidR="002B130F" w:rsidRPr="00A85B4F" w:rsidRDefault="002B130F" w:rsidP="002B130F">
      <w:pPr>
        <w:widowControl w:val="0"/>
        <w:jc w:val="both"/>
        <w:rPr>
          <w:rFonts w:cs="Times New Roman"/>
          <w:sz w:val="20"/>
          <w:szCs w:val="20"/>
          <w:lang w:val="fr-CA"/>
        </w:rPr>
      </w:pPr>
    </w:p>
    <w:p w:rsidR="002B130F" w:rsidRPr="00A85B4F" w:rsidRDefault="002B130F" w:rsidP="002B130F">
      <w:pPr>
        <w:widowControl w:val="0"/>
        <w:jc w:val="both"/>
        <w:rPr>
          <w:rFonts w:cs="Times New Roman"/>
          <w:sz w:val="20"/>
          <w:szCs w:val="20"/>
          <w:lang w:val="fr-CA"/>
        </w:rPr>
      </w:pPr>
    </w:p>
    <w:p w:rsidR="002B130F" w:rsidRPr="00A85B4F" w:rsidRDefault="002B130F" w:rsidP="002B130F">
      <w:pPr>
        <w:widowControl w:val="0"/>
        <w:jc w:val="both"/>
        <w:rPr>
          <w:rFonts w:cs="Times New Roman"/>
          <w:sz w:val="20"/>
          <w:szCs w:val="20"/>
          <w:lang w:val="fr-CA"/>
        </w:rPr>
      </w:pPr>
      <w:r w:rsidRPr="00A85B4F">
        <w:rPr>
          <w:rFonts w:cs="Times New Roman"/>
          <w:sz w:val="20"/>
          <w:szCs w:val="20"/>
          <w:lang w:val="fr-CA"/>
        </w:rPr>
        <w:t>Origine :</w:t>
      </w:r>
      <w:r w:rsidRPr="00A85B4F">
        <w:rPr>
          <w:rFonts w:cs="Times New Roman"/>
          <w:sz w:val="20"/>
          <w:szCs w:val="20"/>
          <w:lang w:val="fr-CA"/>
        </w:rPr>
        <w:tab/>
      </w:r>
      <w:r w:rsidRPr="00A85B4F">
        <w:rPr>
          <w:rFonts w:cs="Times New Roman"/>
          <w:sz w:val="20"/>
          <w:szCs w:val="20"/>
          <w:lang w:val="fr-CA"/>
        </w:rPr>
        <w:tab/>
      </w:r>
      <w:r w:rsidRPr="00A85B4F">
        <w:rPr>
          <w:rFonts w:cs="Times New Roman"/>
          <w:sz w:val="20"/>
          <w:szCs w:val="20"/>
          <w:lang w:val="fr-CA"/>
        </w:rPr>
        <w:tab/>
      </w:r>
      <w:r w:rsidRPr="00A85B4F">
        <w:rPr>
          <w:rFonts w:cs="Times New Roman"/>
          <w:sz w:val="20"/>
          <w:szCs w:val="20"/>
          <w:lang w:val="fr-CA"/>
        </w:rPr>
        <w:tab/>
      </w:r>
      <w:bookmarkStart w:id="10" w:name="BM4"/>
      <w:bookmarkEnd w:id="10"/>
      <w:r w:rsidR="009C560C">
        <w:rPr>
          <w:rFonts w:cs="Times New Roman"/>
          <w:sz w:val="20"/>
          <w:szCs w:val="20"/>
          <w:lang w:val="fr-CA"/>
        </w:rPr>
        <w:tab/>
      </w:r>
      <w:r w:rsidRPr="00A85B4F">
        <w:rPr>
          <w:rFonts w:cs="Times New Roman"/>
          <w:sz w:val="20"/>
          <w:szCs w:val="20"/>
          <w:lang w:val="fr-CA"/>
        </w:rPr>
        <w:t>Ontario</w:t>
      </w:r>
    </w:p>
    <w:p w:rsidR="002B130F" w:rsidRPr="00A85B4F" w:rsidRDefault="002B130F" w:rsidP="002B130F">
      <w:pPr>
        <w:widowControl w:val="0"/>
        <w:jc w:val="both"/>
        <w:rPr>
          <w:rFonts w:cs="Times New Roman"/>
          <w:sz w:val="20"/>
          <w:szCs w:val="20"/>
          <w:lang w:val="fr-CA"/>
        </w:rPr>
      </w:pPr>
    </w:p>
    <w:p w:rsidR="002B130F" w:rsidRPr="00A85B4F" w:rsidRDefault="002B130F" w:rsidP="002B130F">
      <w:pPr>
        <w:widowControl w:val="0"/>
        <w:jc w:val="both"/>
        <w:rPr>
          <w:rFonts w:cs="Times New Roman"/>
          <w:sz w:val="20"/>
          <w:szCs w:val="20"/>
          <w:lang w:val="fr-CA"/>
        </w:rPr>
      </w:pPr>
      <w:r w:rsidRPr="00A85B4F">
        <w:rPr>
          <w:rFonts w:cs="Times New Roman"/>
          <w:sz w:val="20"/>
          <w:szCs w:val="20"/>
          <w:lang w:val="fr-CA"/>
        </w:rPr>
        <w:t>N</w:t>
      </w:r>
      <w:r w:rsidRPr="00A85B4F">
        <w:rPr>
          <w:rFonts w:cs="Times New Roman"/>
          <w:sz w:val="20"/>
          <w:szCs w:val="20"/>
          <w:vertAlign w:val="superscript"/>
          <w:lang w:val="fr-CA"/>
        </w:rPr>
        <w:t>o</w:t>
      </w:r>
      <w:r w:rsidRPr="00A85B4F">
        <w:rPr>
          <w:rFonts w:cs="Times New Roman"/>
          <w:sz w:val="20"/>
          <w:szCs w:val="20"/>
          <w:lang w:val="fr-CA"/>
        </w:rPr>
        <w:t xml:space="preserve"> du greffe</w:t>
      </w:r>
      <w:r w:rsidRPr="00A85B4F">
        <w:rPr>
          <w:rFonts w:cs="Times New Roman"/>
          <w:sz w:val="20"/>
          <w:szCs w:val="20"/>
          <w:lang w:val="fr-CA"/>
        </w:rPr>
        <w:tab/>
      </w:r>
      <w:r w:rsidRPr="00A85B4F">
        <w:rPr>
          <w:rFonts w:cs="Times New Roman"/>
          <w:sz w:val="20"/>
          <w:szCs w:val="20"/>
          <w:lang w:val="fr-CA"/>
        </w:rPr>
        <w:tab/>
      </w:r>
      <w:r w:rsidR="009C560C">
        <w:rPr>
          <w:rFonts w:cs="Times New Roman"/>
          <w:sz w:val="20"/>
          <w:szCs w:val="20"/>
          <w:lang w:val="fr-CA"/>
        </w:rPr>
        <w:tab/>
      </w:r>
      <w:r w:rsidRPr="00A85B4F">
        <w:rPr>
          <w:rFonts w:cs="Times New Roman"/>
          <w:sz w:val="20"/>
          <w:szCs w:val="20"/>
          <w:lang w:val="fr-CA"/>
        </w:rPr>
        <w:tab/>
      </w:r>
      <w:bookmarkStart w:id="11" w:name="BM2"/>
      <w:bookmarkEnd w:id="11"/>
      <w:r w:rsidRPr="00A85B4F">
        <w:rPr>
          <w:rFonts w:cs="Times New Roman"/>
          <w:sz w:val="20"/>
          <w:szCs w:val="20"/>
          <w:lang w:val="fr-CA"/>
        </w:rPr>
        <w:t>34044</w:t>
      </w:r>
    </w:p>
    <w:p w:rsidR="002B130F" w:rsidRPr="00A85B4F" w:rsidRDefault="002B130F" w:rsidP="002B130F">
      <w:pPr>
        <w:widowControl w:val="0"/>
        <w:jc w:val="both"/>
        <w:rPr>
          <w:rFonts w:cs="Times New Roman"/>
          <w:sz w:val="20"/>
          <w:szCs w:val="20"/>
          <w:lang w:val="fr-CA"/>
        </w:rPr>
      </w:pPr>
    </w:p>
    <w:p w:rsidR="002B130F" w:rsidRPr="00A85B4F" w:rsidRDefault="002B130F" w:rsidP="002B130F">
      <w:pPr>
        <w:widowControl w:val="0"/>
        <w:jc w:val="both"/>
        <w:rPr>
          <w:rFonts w:cs="Times New Roman"/>
          <w:sz w:val="20"/>
          <w:szCs w:val="20"/>
          <w:lang w:val="fr-CA"/>
        </w:rPr>
      </w:pPr>
      <w:r w:rsidRPr="00A85B4F">
        <w:rPr>
          <w:rFonts w:cs="Times New Roman"/>
          <w:sz w:val="20"/>
          <w:szCs w:val="20"/>
          <w:lang w:val="fr-CA"/>
        </w:rPr>
        <w:t>Arrêt de la Cour d’appel :</w:t>
      </w:r>
      <w:r w:rsidRPr="00A85B4F">
        <w:rPr>
          <w:rFonts w:cs="Times New Roman"/>
          <w:sz w:val="20"/>
          <w:szCs w:val="20"/>
          <w:lang w:val="fr-CA"/>
        </w:rPr>
        <w:tab/>
      </w:r>
      <w:r w:rsidR="009C560C">
        <w:rPr>
          <w:rFonts w:cs="Times New Roman"/>
          <w:sz w:val="20"/>
          <w:szCs w:val="20"/>
          <w:lang w:val="fr-CA"/>
        </w:rPr>
        <w:tab/>
      </w:r>
      <w:r w:rsidRPr="00A85B4F">
        <w:rPr>
          <w:rFonts w:cs="Times New Roman"/>
          <w:sz w:val="20"/>
          <w:szCs w:val="20"/>
          <w:lang w:val="fr-CA"/>
        </w:rPr>
        <w:tab/>
      </w:r>
      <w:bookmarkStart w:id="12" w:name="BM5"/>
      <w:bookmarkEnd w:id="12"/>
      <w:r w:rsidRPr="00A85B4F">
        <w:rPr>
          <w:rFonts w:cs="Times New Roman"/>
          <w:sz w:val="20"/>
          <w:szCs w:val="20"/>
          <w:lang w:val="fr-CA"/>
        </w:rPr>
        <w:t>17 décembre 2010</w:t>
      </w:r>
    </w:p>
    <w:p w:rsidR="002B130F" w:rsidRPr="00A85B4F" w:rsidRDefault="002B130F" w:rsidP="002B130F">
      <w:pPr>
        <w:widowControl w:val="0"/>
        <w:jc w:val="both"/>
        <w:rPr>
          <w:rFonts w:cs="Times New Roman"/>
          <w:sz w:val="20"/>
          <w:szCs w:val="20"/>
          <w:lang w:val="fr-CA"/>
        </w:rPr>
      </w:pPr>
    </w:p>
    <w:p w:rsidR="002B130F" w:rsidRPr="00A85B4F" w:rsidRDefault="002B130F" w:rsidP="002B130F">
      <w:pPr>
        <w:widowControl w:val="0"/>
        <w:jc w:val="both"/>
        <w:rPr>
          <w:rFonts w:cs="Times New Roman"/>
          <w:sz w:val="20"/>
          <w:szCs w:val="20"/>
          <w:lang w:val="fr-CA"/>
        </w:rPr>
      </w:pPr>
      <w:r w:rsidRPr="00A85B4F">
        <w:rPr>
          <w:rFonts w:cs="Times New Roman"/>
          <w:sz w:val="20"/>
          <w:szCs w:val="20"/>
          <w:lang w:val="fr-CA"/>
        </w:rPr>
        <w:t>Avocats :</w:t>
      </w:r>
      <w:r w:rsidRPr="00A85B4F">
        <w:rPr>
          <w:rFonts w:cs="Times New Roman"/>
          <w:sz w:val="20"/>
          <w:szCs w:val="20"/>
          <w:lang w:val="fr-CA"/>
        </w:rPr>
        <w:tab/>
      </w:r>
      <w:r w:rsidRPr="00A85B4F">
        <w:rPr>
          <w:rFonts w:cs="Times New Roman"/>
          <w:sz w:val="20"/>
          <w:szCs w:val="20"/>
          <w:lang w:val="fr-CA"/>
        </w:rPr>
        <w:tab/>
      </w:r>
      <w:r w:rsidR="009C560C">
        <w:rPr>
          <w:rFonts w:cs="Times New Roman"/>
          <w:sz w:val="20"/>
          <w:szCs w:val="20"/>
          <w:lang w:val="fr-CA"/>
        </w:rPr>
        <w:tab/>
      </w:r>
      <w:r w:rsidRPr="00A85B4F">
        <w:rPr>
          <w:rFonts w:cs="Times New Roman"/>
          <w:sz w:val="20"/>
          <w:szCs w:val="20"/>
          <w:lang w:val="fr-CA"/>
        </w:rPr>
        <w:tab/>
      </w:r>
      <w:bookmarkStart w:id="13" w:name="BM6"/>
      <w:bookmarkEnd w:id="13"/>
      <w:r w:rsidRPr="00A85B4F">
        <w:rPr>
          <w:rFonts w:cs="Times New Roman"/>
          <w:sz w:val="20"/>
          <w:szCs w:val="20"/>
          <w:lang w:val="fr-CA"/>
        </w:rPr>
        <w:t>Gillian Roberts et Stacey Young pour l’appelante</w:t>
      </w:r>
    </w:p>
    <w:p w:rsidR="002B130F" w:rsidRPr="00A85B4F" w:rsidRDefault="002B130F" w:rsidP="002B130F">
      <w:pPr>
        <w:widowControl w:val="0"/>
        <w:jc w:val="both"/>
        <w:rPr>
          <w:rFonts w:cs="Times New Roman"/>
          <w:sz w:val="20"/>
          <w:szCs w:val="20"/>
          <w:lang w:val="fr-CA"/>
        </w:rPr>
      </w:pPr>
      <w:r w:rsidRPr="00A85B4F">
        <w:rPr>
          <w:rFonts w:cs="Times New Roman"/>
          <w:sz w:val="20"/>
          <w:szCs w:val="20"/>
          <w:lang w:val="fr-CA"/>
        </w:rPr>
        <w:tab/>
      </w:r>
      <w:r w:rsidRPr="00A85B4F">
        <w:rPr>
          <w:rFonts w:cs="Times New Roman"/>
          <w:sz w:val="20"/>
          <w:szCs w:val="20"/>
          <w:lang w:val="fr-CA"/>
        </w:rPr>
        <w:tab/>
      </w:r>
      <w:r w:rsidRPr="00A85B4F">
        <w:rPr>
          <w:rFonts w:cs="Times New Roman"/>
          <w:sz w:val="20"/>
          <w:szCs w:val="20"/>
          <w:lang w:val="fr-CA"/>
        </w:rPr>
        <w:tab/>
      </w:r>
      <w:r w:rsidR="009C560C">
        <w:rPr>
          <w:rFonts w:cs="Times New Roman"/>
          <w:sz w:val="20"/>
          <w:szCs w:val="20"/>
          <w:lang w:val="fr-CA"/>
        </w:rPr>
        <w:tab/>
      </w:r>
      <w:r w:rsidRPr="00A85B4F">
        <w:rPr>
          <w:rFonts w:cs="Times New Roman"/>
          <w:sz w:val="20"/>
          <w:szCs w:val="20"/>
          <w:lang w:val="fr-CA"/>
        </w:rPr>
        <w:tab/>
      </w:r>
      <w:bookmarkStart w:id="14" w:name="BM7"/>
      <w:bookmarkEnd w:id="14"/>
      <w:r w:rsidRPr="00A85B4F">
        <w:rPr>
          <w:rFonts w:cs="Times New Roman"/>
          <w:sz w:val="20"/>
          <w:szCs w:val="20"/>
          <w:lang w:val="fr-CA"/>
        </w:rPr>
        <w:t>Phillip Campbell pour l’intimé</w:t>
      </w:r>
    </w:p>
    <w:p w:rsidR="00201497" w:rsidRDefault="00201497">
      <w:pPr>
        <w:rPr>
          <w:sz w:val="20"/>
          <w:szCs w:val="20"/>
          <w:lang w:val="fr-CA"/>
        </w:rPr>
      </w:pPr>
    </w:p>
    <w:p w:rsidR="00201497" w:rsidRDefault="00460701">
      <w:pPr>
        <w:rPr>
          <w:sz w:val="20"/>
          <w:szCs w:val="20"/>
          <w:lang w:val="fr-CA"/>
        </w:rPr>
      </w:pPr>
      <w:r w:rsidRPr="00460701">
        <w:rPr>
          <w:sz w:val="20"/>
          <w:szCs w:val="20"/>
          <w:lang w:val="fr-CA"/>
        </w:rPr>
        <w:pict>
          <v:rect id="_x0000_i1096" style="width:2in;height:1pt" o:hrpct="0" o:hralign="center" o:hrstd="t" o:hrnoshade="t" o:hr="t" fillcolor="black [3213]" stroked="f"/>
        </w:pict>
      </w:r>
    </w:p>
    <w:p w:rsidR="00201497" w:rsidRDefault="00201497">
      <w:pPr>
        <w:rPr>
          <w:sz w:val="20"/>
          <w:szCs w:val="20"/>
          <w:lang w:val="fr-CA"/>
        </w:rPr>
      </w:pPr>
    </w:p>
    <w:p w:rsidR="00201497" w:rsidRDefault="00201497">
      <w:pPr>
        <w:rPr>
          <w:sz w:val="20"/>
          <w:szCs w:val="20"/>
          <w:lang w:val="fr-CA"/>
        </w:rPr>
      </w:pPr>
      <w:r>
        <w:rPr>
          <w:sz w:val="20"/>
          <w:szCs w:val="20"/>
          <w:lang w:val="fr-CA"/>
        </w:rPr>
        <w:br w:type="page"/>
      </w:r>
    </w:p>
    <w:p w:rsidR="002B130F" w:rsidRPr="00A85B4F" w:rsidRDefault="00460701" w:rsidP="002B130F">
      <w:pPr>
        <w:widowControl w:val="0"/>
        <w:ind w:left="720" w:hanging="720"/>
        <w:jc w:val="both"/>
        <w:rPr>
          <w:rFonts w:cs="Times New Roman"/>
          <w:sz w:val="20"/>
          <w:szCs w:val="20"/>
        </w:rPr>
      </w:pPr>
      <w:r w:rsidRPr="00A85B4F">
        <w:rPr>
          <w:rFonts w:cs="Times New Roman"/>
          <w:b/>
          <w:sz w:val="20"/>
          <w:szCs w:val="20"/>
        </w:rPr>
        <w:lastRenderedPageBreak/>
        <w:fldChar w:fldCharType="begin"/>
      </w:r>
      <w:r w:rsidR="002B130F" w:rsidRPr="00A85B4F">
        <w:rPr>
          <w:rFonts w:cs="Times New Roman"/>
          <w:b/>
          <w:sz w:val="20"/>
          <w:szCs w:val="20"/>
        </w:rPr>
        <w:instrText xml:space="preserve"> SEQ CHAPTER \h \r 1</w:instrText>
      </w:r>
      <w:r w:rsidRPr="00A85B4F">
        <w:rPr>
          <w:rFonts w:cs="Times New Roman"/>
          <w:b/>
          <w:sz w:val="20"/>
          <w:szCs w:val="20"/>
        </w:rPr>
        <w:fldChar w:fldCharType="end"/>
      </w:r>
      <w:r w:rsidR="002B130F" w:rsidRPr="00A85B4F">
        <w:rPr>
          <w:rFonts w:cs="Times New Roman"/>
          <w:b/>
          <w:sz w:val="20"/>
          <w:szCs w:val="20"/>
        </w:rPr>
        <w:t>33699</w:t>
      </w:r>
      <w:r w:rsidR="002B130F" w:rsidRPr="00A85B4F">
        <w:rPr>
          <w:rFonts w:cs="Times New Roman"/>
          <w:sz w:val="20"/>
          <w:szCs w:val="20"/>
        </w:rPr>
        <w:tab/>
      </w:r>
      <w:r w:rsidR="002B130F" w:rsidRPr="00A85B4F">
        <w:rPr>
          <w:rFonts w:cs="Times New Roman"/>
          <w:b/>
          <w:i/>
          <w:sz w:val="20"/>
          <w:szCs w:val="20"/>
        </w:rPr>
        <w:t>Randy Leigh Roy v. Her Majesty the Queen</w:t>
      </w:r>
    </w:p>
    <w:p w:rsidR="002B130F" w:rsidRPr="00A85B4F" w:rsidRDefault="002B130F" w:rsidP="002B130F">
      <w:pPr>
        <w:widowControl w:val="0"/>
        <w:jc w:val="both"/>
        <w:rPr>
          <w:rFonts w:cs="Times New Roman"/>
          <w:sz w:val="20"/>
          <w:szCs w:val="20"/>
        </w:rPr>
      </w:pPr>
    </w:p>
    <w:p w:rsidR="002B130F" w:rsidRPr="00A85B4F" w:rsidRDefault="00460701" w:rsidP="002B130F">
      <w:pPr>
        <w:widowControl w:val="0"/>
        <w:jc w:val="both"/>
        <w:rPr>
          <w:rFonts w:cs="Times New Roman"/>
          <w:sz w:val="20"/>
          <w:szCs w:val="20"/>
        </w:rPr>
      </w:pPr>
      <w:r w:rsidRPr="00A85B4F">
        <w:rPr>
          <w:rFonts w:cs="Times New Roman"/>
          <w:sz w:val="20"/>
          <w:szCs w:val="20"/>
        </w:rPr>
        <w:fldChar w:fldCharType="begin"/>
      </w:r>
      <w:r w:rsidR="002B130F" w:rsidRPr="00A85B4F">
        <w:rPr>
          <w:rFonts w:cs="Times New Roman"/>
          <w:sz w:val="20"/>
          <w:szCs w:val="20"/>
        </w:rPr>
        <w:instrText xml:space="preserve"> SEQ CHAPTER \h \r 1</w:instrText>
      </w:r>
      <w:r w:rsidRPr="00A85B4F">
        <w:rPr>
          <w:rFonts w:cs="Times New Roman"/>
          <w:sz w:val="20"/>
          <w:szCs w:val="20"/>
        </w:rPr>
        <w:fldChar w:fldCharType="end"/>
      </w:r>
      <w:r w:rsidR="002B130F" w:rsidRPr="00A85B4F">
        <w:rPr>
          <w:rFonts w:cs="Times New Roman"/>
          <w:sz w:val="20"/>
          <w:szCs w:val="20"/>
        </w:rPr>
        <w:t xml:space="preserve">Criminal law </w:t>
      </w:r>
      <w:r w:rsidR="002B130F" w:rsidRPr="00A85B4F">
        <w:rPr>
          <w:rFonts w:cs="Times New Roman"/>
          <w:sz w:val="20"/>
          <w:szCs w:val="20"/>
        </w:rPr>
        <w:noBreakHyphen/>
        <w:t xml:space="preserve"> Appeal </w:t>
      </w:r>
      <w:r w:rsidR="002B130F" w:rsidRPr="00A85B4F">
        <w:rPr>
          <w:rFonts w:cs="Times New Roman"/>
          <w:sz w:val="20"/>
          <w:szCs w:val="20"/>
        </w:rPr>
        <w:noBreakHyphen/>
        <w:t xml:space="preserve"> Application of curative proviso in </w:t>
      </w:r>
      <w:r w:rsidR="002B130F" w:rsidRPr="00A85B4F">
        <w:rPr>
          <w:rFonts w:cs="Times New Roman"/>
          <w:i/>
          <w:iCs/>
          <w:sz w:val="20"/>
          <w:szCs w:val="20"/>
        </w:rPr>
        <w:t>Criminal Code</w:t>
      </w:r>
      <w:r w:rsidR="002B130F" w:rsidRPr="00A85B4F">
        <w:rPr>
          <w:rFonts w:cs="Times New Roman"/>
          <w:sz w:val="20"/>
          <w:szCs w:val="20"/>
        </w:rPr>
        <w:t>, R.S.C. 1985, c. C</w:t>
      </w:r>
      <w:r w:rsidR="002B130F" w:rsidRPr="00A85B4F">
        <w:rPr>
          <w:rFonts w:cs="Times New Roman"/>
          <w:sz w:val="20"/>
          <w:szCs w:val="20"/>
        </w:rPr>
        <w:noBreakHyphen/>
        <w:t>46, s. 686(</w:t>
      </w:r>
      <w:r w:rsidR="002B130F" w:rsidRPr="00A85B4F">
        <w:rPr>
          <w:rFonts w:cs="Times New Roman"/>
          <w:i/>
          <w:iCs/>
          <w:sz w:val="20"/>
          <w:szCs w:val="20"/>
        </w:rPr>
        <w:t>b</w:t>
      </w:r>
      <w:r w:rsidR="002B130F" w:rsidRPr="00A85B4F">
        <w:rPr>
          <w:rFonts w:cs="Times New Roman"/>
          <w:sz w:val="20"/>
          <w:szCs w:val="20"/>
        </w:rPr>
        <w:t xml:space="preserve">)(iii) </w:t>
      </w:r>
      <w:r w:rsidR="002B130F" w:rsidRPr="00A85B4F">
        <w:rPr>
          <w:rFonts w:cs="Times New Roman"/>
          <w:sz w:val="20"/>
          <w:szCs w:val="20"/>
        </w:rPr>
        <w:noBreakHyphen/>
        <w:t xml:space="preserve"> Is it proper for an appellate court to uphold a conviction for dangerous driving causing death that is based on an incorrect </w:t>
      </w:r>
      <w:r w:rsidR="002B130F" w:rsidRPr="00A85B4F">
        <w:rPr>
          <w:rFonts w:cs="Times New Roman"/>
          <w:i/>
          <w:sz w:val="20"/>
          <w:szCs w:val="20"/>
        </w:rPr>
        <w:t>mens rea</w:t>
      </w:r>
      <w:r w:rsidR="002B130F" w:rsidRPr="00A85B4F">
        <w:rPr>
          <w:rFonts w:cs="Times New Roman"/>
          <w:sz w:val="20"/>
          <w:szCs w:val="20"/>
        </w:rPr>
        <w:t xml:space="preserve"> analysis, by drawing its own inferences and by substituting evidence of the </w:t>
      </w:r>
      <w:r w:rsidR="002B130F" w:rsidRPr="00A85B4F">
        <w:rPr>
          <w:rFonts w:cs="Times New Roman"/>
          <w:i/>
          <w:sz w:val="20"/>
          <w:szCs w:val="20"/>
        </w:rPr>
        <w:t>actus reus</w:t>
      </w:r>
      <w:r w:rsidR="002B130F" w:rsidRPr="00A85B4F">
        <w:rPr>
          <w:rFonts w:cs="Times New Roman"/>
          <w:sz w:val="20"/>
          <w:szCs w:val="20"/>
        </w:rPr>
        <w:t xml:space="preserve"> for evidence of the </w:t>
      </w:r>
      <w:r w:rsidR="002B130F" w:rsidRPr="00A85B4F">
        <w:rPr>
          <w:rFonts w:cs="Times New Roman"/>
          <w:i/>
          <w:sz w:val="20"/>
          <w:szCs w:val="20"/>
        </w:rPr>
        <w:t>mens rea</w:t>
      </w:r>
      <w:r w:rsidR="002B130F" w:rsidRPr="00A85B4F">
        <w:rPr>
          <w:rFonts w:cs="Times New Roman"/>
          <w:sz w:val="20"/>
          <w:szCs w:val="20"/>
        </w:rPr>
        <w:t xml:space="preserve">? </w:t>
      </w:r>
      <w:r w:rsidR="002B130F" w:rsidRPr="00A85B4F">
        <w:rPr>
          <w:rFonts w:cs="Times New Roman"/>
          <w:sz w:val="20"/>
          <w:szCs w:val="20"/>
        </w:rPr>
        <w:noBreakHyphen/>
        <w:t xml:space="preserve"> Has </w:t>
      </w:r>
      <w:r w:rsidR="002B130F" w:rsidRPr="00A85B4F">
        <w:rPr>
          <w:rFonts w:cs="Times New Roman"/>
          <w:i/>
          <w:sz w:val="20"/>
          <w:szCs w:val="20"/>
        </w:rPr>
        <w:t>R. v. Roy</w:t>
      </w:r>
      <w:r w:rsidR="002B130F" w:rsidRPr="00A85B4F">
        <w:rPr>
          <w:rFonts w:cs="Times New Roman"/>
          <w:sz w:val="20"/>
          <w:szCs w:val="20"/>
        </w:rPr>
        <w:t xml:space="preserve">, 2010 BCCA 130, created uncertainty, confusion or inconsistency in relation to the </w:t>
      </w:r>
      <w:r w:rsidR="002B130F" w:rsidRPr="00A85B4F">
        <w:rPr>
          <w:rFonts w:cs="Times New Roman"/>
          <w:i/>
          <w:sz w:val="20"/>
          <w:szCs w:val="20"/>
        </w:rPr>
        <w:t>mens rea</w:t>
      </w:r>
      <w:r w:rsidR="002B130F" w:rsidRPr="00A85B4F">
        <w:rPr>
          <w:rFonts w:cs="Times New Roman"/>
          <w:sz w:val="20"/>
          <w:szCs w:val="20"/>
        </w:rPr>
        <w:t xml:space="preserve"> for dangerous driving causing death?</w:t>
      </w:r>
    </w:p>
    <w:p w:rsidR="002B130F" w:rsidRPr="00A85B4F" w:rsidRDefault="002B130F" w:rsidP="002B130F">
      <w:pPr>
        <w:widowControl w:val="0"/>
        <w:jc w:val="both"/>
        <w:rPr>
          <w:rFonts w:cs="Times New Roman"/>
          <w:sz w:val="20"/>
          <w:szCs w:val="20"/>
        </w:rPr>
      </w:pPr>
    </w:p>
    <w:p w:rsidR="002B130F" w:rsidRPr="00A85B4F" w:rsidRDefault="00460701" w:rsidP="002B130F">
      <w:pPr>
        <w:widowControl w:val="0"/>
        <w:jc w:val="both"/>
        <w:rPr>
          <w:rFonts w:cs="Times New Roman"/>
          <w:sz w:val="20"/>
          <w:szCs w:val="20"/>
        </w:rPr>
      </w:pPr>
      <w:r w:rsidRPr="00A85B4F">
        <w:rPr>
          <w:rFonts w:cs="Times New Roman"/>
          <w:sz w:val="20"/>
          <w:szCs w:val="20"/>
        </w:rPr>
        <w:fldChar w:fldCharType="begin"/>
      </w:r>
      <w:r w:rsidR="002B130F" w:rsidRPr="00A85B4F">
        <w:rPr>
          <w:rFonts w:cs="Times New Roman"/>
          <w:sz w:val="20"/>
          <w:szCs w:val="20"/>
        </w:rPr>
        <w:instrText xml:space="preserve"> SEQ CHAPTER \h \r 1</w:instrText>
      </w:r>
      <w:r w:rsidRPr="00A85B4F">
        <w:rPr>
          <w:rFonts w:cs="Times New Roman"/>
          <w:sz w:val="20"/>
          <w:szCs w:val="20"/>
        </w:rPr>
        <w:fldChar w:fldCharType="end"/>
      </w:r>
      <w:r w:rsidR="002B130F" w:rsidRPr="00A85B4F">
        <w:rPr>
          <w:rFonts w:cs="Times New Roman"/>
          <w:sz w:val="20"/>
          <w:szCs w:val="20"/>
        </w:rPr>
        <w:t>In foggy conditions, and coming off a snow</w:t>
      </w:r>
      <w:r w:rsidR="002B130F" w:rsidRPr="00A85B4F">
        <w:rPr>
          <w:rFonts w:cs="Times New Roman"/>
          <w:sz w:val="20"/>
          <w:szCs w:val="20"/>
        </w:rPr>
        <w:noBreakHyphen/>
        <w:t>covered side road with an uphill grade, Mr. Roy stopped at a stop sign, and then drove onto a highway and into the path of an oncoming tractor</w:t>
      </w:r>
      <w:r w:rsidR="002B130F" w:rsidRPr="00A85B4F">
        <w:rPr>
          <w:rFonts w:cs="Times New Roman"/>
          <w:sz w:val="20"/>
          <w:szCs w:val="20"/>
        </w:rPr>
        <w:noBreakHyphen/>
        <w:t>trailer.  His passenger was killed, and Mr. Roy was left with no recollection of the accident.  He was therefore unable to provide evidence as to why he was driving or why he had left the stop sign without first ascertaining that it was safe to do so.  He was familiar with the road and was well aware that the highway was a heavily</w:t>
      </w:r>
      <w:r w:rsidR="002B130F" w:rsidRPr="00A85B4F">
        <w:rPr>
          <w:rFonts w:cs="Times New Roman"/>
          <w:sz w:val="20"/>
          <w:szCs w:val="20"/>
        </w:rPr>
        <w:noBreakHyphen/>
        <w:t>travelled truck route.  The driver of the tractor</w:t>
      </w:r>
      <w:r w:rsidR="002B130F" w:rsidRPr="00A85B4F">
        <w:rPr>
          <w:rFonts w:cs="Times New Roman"/>
          <w:sz w:val="20"/>
          <w:szCs w:val="20"/>
        </w:rPr>
        <w:noBreakHyphen/>
        <w:t>trailer testified that he had slowed due to the fog, and slowed further when he saw lights which he thought belonged to a vehicle stopped on the shoulder of the highway.  When he realized that the vehicle was crossing the highway in front of him, he braked and his tractor</w:t>
      </w:r>
      <w:r w:rsidR="002B130F" w:rsidRPr="00A85B4F">
        <w:rPr>
          <w:rFonts w:cs="Times New Roman"/>
          <w:sz w:val="20"/>
          <w:szCs w:val="20"/>
        </w:rPr>
        <w:noBreakHyphen/>
        <w:t>trailer swerved.  He was unable to avoid the collision: the front of the tractor</w:t>
      </w:r>
      <w:r w:rsidR="002B130F" w:rsidRPr="00A85B4F">
        <w:rPr>
          <w:rFonts w:cs="Times New Roman"/>
          <w:sz w:val="20"/>
          <w:szCs w:val="20"/>
        </w:rPr>
        <w:noBreakHyphen/>
        <w:t xml:space="preserve">trailer struck the left front side of the vehicle.  The trial judge convicted Mr. Roy of dangerous driving causing death based, in part, on </w:t>
      </w:r>
      <w:r w:rsidR="002B130F" w:rsidRPr="00A85B4F">
        <w:rPr>
          <w:rFonts w:cs="Times New Roman"/>
          <w:i/>
          <w:iCs/>
          <w:sz w:val="20"/>
          <w:szCs w:val="20"/>
        </w:rPr>
        <w:t>R. v. Beatty</w:t>
      </w:r>
      <w:r w:rsidR="002B130F" w:rsidRPr="00A85B4F">
        <w:rPr>
          <w:rFonts w:cs="Times New Roman"/>
          <w:sz w:val="20"/>
          <w:szCs w:val="20"/>
        </w:rPr>
        <w:t xml:space="preserve">, 2006 BCCA 229, 225 B.C.A.C. 154.  Following the release of the reasons for judgment by the trial judge, </w:t>
      </w:r>
      <w:r w:rsidR="002B130F" w:rsidRPr="00A85B4F">
        <w:rPr>
          <w:rFonts w:cs="Times New Roman"/>
          <w:i/>
          <w:iCs/>
          <w:sz w:val="20"/>
          <w:szCs w:val="20"/>
        </w:rPr>
        <w:t>Beatty</w:t>
      </w:r>
      <w:r w:rsidR="002B130F" w:rsidRPr="00A85B4F">
        <w:rPr>
          <w:rFonts w:cs="Times New Roman"/>
          <w:sz w:val="20"/>
          <w:szCs w:val="20"/>
        </w:rPr>
        <w:t xml:space="preserve"> was reversed by the Supreme Court of Canada and the </w:t>
      </w:r>
      <w:r w:rsidR="002B130F" w:rsidRPr="00A85B4F">
        <w:rPr>
          <w:rFonts w:cs="Times New Roman"/>
          <w:i/>
          <w:iCs/>
          <w:sz w:val="20"/>
          <w:szCs w:val="20"/>
        </w:rPr>
        <w:t>mens rea</w:t>
      </w:r>
      <w:r w:rsidR="002B130F" w:rsidRPr="00A85B4F">
        <w:rPr>
          <w:rFonts w:cs="Times New Roman"/>
          <w:sz w:val="20"/>
          <w:szCs w:val="20"/>
        </w:rPr>
        <w:t xml:space="preserve"> element of dangerous driving was clarified.  The Court of Appeal applied the curative proviso found in s. 686(1)(</w:t>
      </w:r>
      <w:r w:rsidR="002B130F" w:rsidRPr="00A85B4F">
        <w:rPr>
          <w:rFonts w:cs="Times New Roman"/>
          <w:i/>
          <w:iCs/>
          <w:sz w:val="20"/>
          <w:szCs w:val="20"/>
        </w:rPr>
        <w:t>b</w:t>
      </w:r>
      <w:r w:rsidR="002B130F" w:rsidRPr="00A85B4F">
        <w:rPr>
          <w:rFonts w:cs="Times New Roman"/>
          <w:sz w:val="20"/>
          <w:szCs w:val="20"/>
        </w:rPr>
        <w:t xml:space="preserve">)(iii) of the </w:t>
      </w:r>
      <w:r w:rsidR="002B130F" w:rsidRPr="00A85B4F">
        <w:rPr>
          <w:rFonts w:cs="Times New Roman"/>
          <w:i/>
          <w:iCs/>
          <w:sz w:val="20"/>
          <w:szCs w:val="20"/>
        </w:rPr>
        <w:t>Criminal Code</w:t>
      </w:r>
      <w:r w:rsidR="002B130F" w:rsidRPr="00A85B4F">
        <w:rPr>
          <w:rFonts w:cs="Times New Roman"/>
          <w:sz w:val="20"/>
          <w:szCs w:val="20"/>
        </w:rPr>
        <w:t xml:space="preserve"> and dismissed the appeal.  While the trial judge had analyzed the relevant facts in considering the </w:t>
      </w:r>
      <w:r w:rsidR="002B130F" w:rsidRPr="00A85B4F">
        <w:rPr>
          <w:rFonts w:cs="Times New Roman"/>
          <w:i/>
          <w:iCs/>
          <w:sz w:val="20"/>
          <w:szCs w:val="20"/>
        </w:rPr>
        <w:t>actus reus</w:t>
      </w:r>
      <w:r w:rsidR="002B130F" w:rsidRPr="00A85B4F">
        <w:rPr>
          <w:rFonts w:cs="Times New Roman"/>
          <w:sz w:val="20"/>
          <w:szCs w:val="20"/>
        </w:rPr>
        <w:t xml:space="preserve">, his factual findings were properly made and could be applied to the </w:t>
      </w:r>
      <w:r w:rsidR="002B130F" w:rsidRPr="00A85B4F">
        <w:rPr>
          <w:rFonts w:cs="Times New Roman"/>
          <w:i/>
          <w:iCs/>
          <w:sz w:val="20"/>
          <w:szCs w:val="20"/>
        </w:rPr>
        <w:t>mens rea</w:t>
      </w:r>
      <w:r w:rsidR="002B130F" w:rsidRPr="00A85B4F">
        <w:rPr>
          <w:rFonts w:cs="Times New Roman"/>
          <w:sz w:val="20"/>
          <w:szCs w:val="20"/>
        </w:rPr>
        <w:t xml:space="preserve"> analysis.  They allowed the Court of Appeal to conclude that Mr. Roy had possessed the requisite mental element for conviction of dangerous driving.</w:t>
      </w:r>
    </w:p>
    <w:p w:rsidR="002B130F" w:rsidRPr="00A85B4F" w:rsidRDefault="002B130F" w:rsidP="002B130F">
      <w:pPr>
        <w:widowControl w:val="0"/>
        <w:jc w:val="both"/>
        <w:rPr>
          <w:rFonts w:cs="Times New Roman"/>
          <w:sz w:val="20"/>
          <w:szCs w:val="20"/>
        </w:rPr>
      </w:pPr>
    </w:p>
    <w:p w:rsidR="002B130F" w:rsidRPr="00A85B4F" w:rsidRDefault="002B130F" w:rsidP="002B130F">
      <w:pPr>
        <w:widowControl w:val="0"/>
        <w:jc w:val="both"/>
        <w:rPr>
          <w:rFonts w:cs="Times New Roman"/>
          <w:sz w:val="20"/>
          <w:szCs w:val="20"/>
        </w:rPr>
      </w:pPr>
    </w:p>
    <w:p w:rsidR="002B130F" w:rsidRPr="00A85B4F" w:rsidRDefault="002B130F" w:rsidP="002B130F">
      <w:pPr>
        <w:widowControl w:val="0"/>
        <w:jc w:val="both"/>
        <w:rPr>
          <w:rFonts w:cs="Times New Roman"/>
          <w:sz w:val="20"/>
          <w:szCs w:val="20"/>
        </w:rPr>
      </w:pPr>
      <w:r w:rsidRPr="00A85B4F">
        <w:rPr>
          <w:rFonts w:cs="Times New Roman"/>
          <w:sz w:val="20"/>
          <w:szCs w:val="20"/>
        </w:rPr>
        <w:t>Origin of the case:</w:t>
      </w:r>
      <w:r w:rsidRPr="00A85B4F">
        <w:rPr>
          <w:rFonts w:cs="Times New Roman"/>
          <w:sz w:val="20"/>
          <w:szCs w:val="20"/>
        </w:rPr>
        <w:tab/>
      </w:r>
      <w:r w:rsidR="009C560C">
        <w:rPr>
          <w:rFonts w:cs="Times New Roman"/>
          <w:sz w:val="20"/>
          <w:szCs w:val="20"/>
        </w:rPr>
        <w:tab/>
      </w:r>
      <w:r w:rsidRPr="00A85B4F">
        <w:rPr>
          <w:rFonts w:cs="Times New Roman"/>
          <w:sz w:val="20"/>
          <w:szCs w:val="20"/>
        </w:rPr>
        <w:tab/>
        <w:t>British Columbia</w:t>
      </w:r>
    </w:p>
    <w:p w:rsidR="002B130F" w:rsidRPr="00A85B4F" w:rsidRDefault="002B130F" w:rsidP="002B130F">
      <w:pPr>
        <w:widowControl w:val="0"/>
        <w:jc w:val="both"/>
        <w:rPr>
          <w:rFonts w:cs="Times New Roman"/>
          <w:sz w:val="20"/>
          <w:szCs w:val="20"/>
        </w:rPr>
      </w:pPr>
    </w:p>
    <w:p w:rsidR="002B130F" w:rsidRPr="00A85B4F" w:rsidRDefault="002B130F" w:rsidP="002B130F">
      <w:pPr>
        <w:widowControl w:val="0"/>
        <w:jc w:val="both"/>
        <w:rPr>
          <w:rFonts w:cs="Times New Roman"/>
          <w:sz w:val="20"/>
          <w:szCs w:val="20"/>
        </w:rPr>
      </w:pPr>
      <w:r w:rsidRPr="00A85B4F">
        <w:rPr>
          <w:rFonts w:cs="Times New Roman"/>
          <w:sz w:val="20"/>
          <w:szCs w:val="20"/>
        </w:rPr>
        <w:t>File No.:</w:t>
      </w:r>
      <w:r w:rsidRPr="00A85B4F">
        <w:rPr>
          <w:rFonts w:cs="Times New Roman"/>
          <w:sz w:val="20"/>
          <w:szCs w:val="20"/>
        </w:rPr>
        <w:tab/>
      </w:r>
      <w:r w:rsidRPr="00A85B4F">
        <w:rPr>
          <w:rFonts w:cs="Times New Roman"/>
          <w:sz w:val="20"/>
          <w:szCs w:val="20"/>
        </w:rPr>
        <w:tab/>
      </w:r>
      <w:r w:rsidRPr="00A85B4F">
        <w:rPr>
          <w:rFonts w:cs="Times New Roman"/>
          <w:sz w:val="20"/>
          <w:szCs w:val="20"/>
        </w:rPr>
        <w:tab/>
      </w:r>
      <w:r w:rsidR="009C560C">
        <w:rPr>
          <w:rFonts w:cs="Times New Roman"/>
          <w:sz w:val="20"/>
          <w:szCs w:val="20"/>
        </w:rPr>
        <w:tab/>
      </w:r>
      <w:r w:rsidRPr="00A85B4F">
        <w:rPr>
          <w:rFonts w:cs="Times New Roman"/>
          <w:sz w:val="20"/>
          <w:szCs w:val="20"/>
        </w:rPr>
        <w:tab/>
        <w:t>33699</w:t>
      </w:r>
    </w:p>
    <w:p w:rsidR="002B130F" w:rsidRPr="00A85B4F" w:rsidRDefault="002B130F" w:rsidP="002B130F">
      <w:pPr>
        <w:widowControl w:val="0"/>
        <w:jc w:val="both"/>
        <w:rPr>
          <w:rFonts w:cs="Times New Roman"/>
          <w:sz w:val="20"/>
          <w:szCs w:val="20"/>
        </w:rPr>
      </w:pPr>
    </w:p>
    <w:p w:rsidR="002B130F" w:rsidRPr="00A85B4F" w:rsidRDefault="002B130F" w:rsidP="002B130F">
      <w:pPr>
        <w:widowControl w:val="0"/>
        <w:jc w:val="both"/>
        <w:rPr>
          <w:rFonts w:cs="Times New Roman"/>
          <w:sz w:val="20"/>
          <w:szCs w:val="20"/>
        </w:rPr>
      </w:pPr>
      <w:r w:rsidRPr="00A85B4F">
        <w:rPr>
          <w:rFonts w:cs="Times New Roman"/>
          <w:sz w:val="20"/>
          <w:szCs w:val="20"/>
        </w:rPr>
        <w:t>Judgment of the Court of Appeal:</w:t>
      </w:r>
      <w:r w:rsidR="009C560C">
        <w:rPr>
          <w:rFonts w:cs="Times New Roman"/>
          <w:sz w:val="20"/>
          <w:szCs w:val="20"/>
        </w:rPr>
        <w:tab/>
      </w:r>
      <w:r w:rsidRPr="00A85B4F">
        <w:rPr>
          <w:rFonts w:cs="Times New Roman"/>
          <w:sz w:val="20"/>
          <w:szCs w:val="20"/>
        </w:rPr>
        <w:tab/>
        <w:t>March 16, 2010</w:t>
      </w:r>
    </w:p>
    <w:p w:rsidR="002B130F" w:rsidRPr="00A85B4F" w:rsidRDefault="002B130F" w:rsidP="002B130F">
      <w:pPr>
        <w:widowControl w:val="0"/>
        <w:jc w:val="both"/>
        <w:rPr>
          <w:rFonts w:cs="Times New Roman"/>
          <w:sz w:val="20"/>
          <w:szCs w:val="20"/>
        </w:rPr>
      </w:pPr>
    </w:p>
    <w:p w:rsidR="002B130F" w:rsidRPr="00A85B4F" w:rsidRDefault="002B130F" w:rsidP="002B130F">
      <w:pPr>
        <w:widowControl w:val="0"/>
        <w:jc w:val="both"/>
        <w:rPr>
          <w:rFonts w:cs="Times New Roman"/>
          <w:sz w:val="20"/>
          <w:szCs w:val="20"/>
        </w:rPr>
      </w:pPr>
      <w:r w:rsidRPr="00A85B4F">
        <w:rPr>
          <w:rFonts w:cs="Times New Roman"/>
          <w:sz w:val="20"/>
          <w:szCs w:val="20"/>
        </w:rPr>
        <w:t>Counsel:</w:t>
      </w:r>
      <w:r w:rsidRPr="00A85B4F">
        <w:rPr>
          <w:rFonts w:cs="Times New Roman"/>
          <w:sz w:val="20"/>
          <w:szCs w:val="20"/>
        </w:rPr>
        <w:tab/>
      </w:r>
      <w:r w:rsidRPr="00A85B4F">
        <w:rPr>
          <w:rFonts w:cs="Times New Roman"/>
          <w:sz w:val="20"/>
          <w:szCs w:val="20"/>
        </w:rPr>
        <w:tab/>
      </w:r>
      <w:r w:rsidRPr="00A85B4F">
        <w:rPr>
          <w:rFonts w:cs="Times New Roman"/>
          <w:sz w:val="20"/>
          <w:szCs w:val="20"/>
        </w:rPr>
        <w:tab/>
      </w:r>
      <w:r w:rsidR="009C560C">
        <w:rPr>
          <w:rFonts w:cs="Times New Roman"/>
          <w:sz w:val="20"/>
          <w:szCs w:val="20"/>
        </w:rPr>
        <w:tab/>
      </w:r>
      <w:r w:rsidRPr="00A85B4F">
        <w:rPr>
          <w:rFonts w:cs="Times New Roman"/>
          <w:sz w:val="20"/>
          <w:szCs w:val="20"/>
        </w:rPr>
        <w:tab/>
        <w:t>Christopher J. Nowlin for the appellant</w:t>
      </w:r>
    </w:p>
    <w:p w:rsidR="002B130F" w:rsidRPr="00A85B4F" w:rsidRDefault="002B130F" w:rsidP="002B130F">
      <w:pPr>
        <w:widowControl w:val="0"/>
        <w:jc w:val="both"/>
        <w:rPr>
          <w:rFonts w:cs="Times New Roman"/>
          <w:sz w:val="20"/>
          <w:szCs w:val="20"/>
        </w:rPr>
      </w:pPr>
      <w:r w:rsidRPr="00A85B4F">
        <w:rPr>
          <w:rFonts w:cs="Times New Roman"/>
          <w:sz w:val="20"/>
          <w:szCs w:val="20"/>
        </w:rPr>
        <w:tab/>
      </w:r>
      <w:r w:rsidRPr="00A85B4F">
        <w:rPr>
          <w:rFonts w:cs="Times New Roman"/>
          <w:sz w:val="20"/>
          <w:szCs w:val="20"/>
        </w:rPr>
        <w:tab/>
      </w:r>
      <w:r w:rsidRPr="00A85B4F">
        <w:rPr>
          <w:rFonts w:cs="Times New Roman"/>
          <w:sz w:val="20"/>
          <w:szCs w:val="20"/>
        </w:rPr>
        <w:tab/>
      </w:r>
      <w:r w:rsidR="009C560C">
        <w:rPr>
          <w:rFonts w:cs="Times New Roman"/>
          <w:sz w:val="20"/>
          <w:szCs w:val="20"/>
        </w:rPr>
        <w:tab/>
      </w:r>
      <w:r w:rsidRPr="00A85B4F">
        <w:rPr>
          <w:rFonts w:cs="Times New Roman"/>
          <w:sz w:val="20"/>
          <w:szCs w:val="20"/>
        </w:rPr>
        <w:tab/>
        <w:t>Michael J. Brundrett for the respondent</w:t>
      </w:r>
    </w:p>
    <w:p w:rsidR="00201497" w:rsidRPr="002B130F" w:rsidRDefault="00201497">
      <w:pPr>
        <w:rPr>
          <w:sz w:val="20"/>
          <w:szCs w:val="20"/>
        </w:rPr>
      </w:pPr>
    </w:p>
    <w:p w:rsidR="00201497" w:rsidRDefault="00460701">
      <w:pPr>
        <w:rPr>
          <w:sz w:val="20"/>
          <w:szCs w:val="20"/>
          <w:lang w:val="fr-CA"/>
        </w:rPr>
      </w:pPr>
      <w:r w:rsidRPr="00460701">
        <w:rPr>
          <w:sz w:val="20"/>
          <w:szCs w:val="20"/>
          <w:lang w:val="fr-CA"/>
        </w:rPr>
        <w:pict>
          <v:rect id="_x0000_i1097" style="width:2in;height:1pt" o:hrpct="0" o:hralign="center" o:hrstd="t" o:hrnoshade="t" o:hr="t" fillcolor="black [3213]" stroked="f"/>
        </w:pict>
      </w:r>
    </w:p>
    <w:p w:rsidR="00201497" w:rsidRDefault="00201497">
      <w:pPr>
        <w:rPr>
          <w:sz w:val="20"/>
          <w:szCs w:val="20"/>
          <w:lang w:val="fr-CA"/>
        </w:rPr>
      </w:pPr>
    </w:p>
    <w:p w:rsidR="00201497" w:rsidRDefault="00201497">
      <w:pPr>
        <w:rPr>
          <w:sz w:val="20"/>
          <w:szCs w:val="20"/>
          <w:lang w:val="fr-CA"/>
        </w:rPr>
      </w:pPr>
      <w:r>
        <w:rPr>
          <w:sz w:val="20"/>
          <w:szCs w:val="20"/>
          <w:lang w:val="fr-CA"/>
        </w:rPr>
        <w:br w:type="page"/>
      </w:r>
    </w:p>
    <w:p w:rsidR="002B130F" w:rsidRPr="00A85B4F" w:rsidRDefault="00460701" w:rsidP="002B130F">
      <w:pPr>
        <w:widowControl w:val="0"/>
        <w:ind w:left="720" w:hanging="720"/>
        <w:jc w:val="both"/>
        <w:rPr>
          <w:rFonts w:cs="Times New Roman"/>
          <w:sz w:val="20"/>
          <w:szCs w:val="20"/>
          <w:lang w:val="fr-CA"/>
        </w:rPr>
      </w:pPr>
      <w:r w:rsidRPr="00A85B4F">
        <w:rPr>
          <w:rFonts w:cs="Times New Roman"/>
          <w:b/>
          <w:sz w:val="20"/>
          <w:szCs w:val="20"/>
          <w:lang w:val="fr-CA"/>
        </w:rPr>
        <w:lastRenderedPageBreak/>
        <w:fldChar w:fldCharType="begin"/>
      </w:r>
      <w:r w:rsidR="002B130F" w:rsidRPr="00A85B4F">
        <w:rPr>
          <w:rFonts w:cs="Times New Roman"/>
          <w:b/>
          <w:sz w:val="20"/>
          <w:szCs w:val="20"/>
          <w:lang w:val="fr-CA"/>
        </w:rPr>
        <w:instrText xml:space="preserve"> SEQ CHAPTER \h \r 1</w:instrText>
      </w:r>
      <w:r w:rsidRPr="00A85B4F">
        <w:rPr>
          <w:rFonts w:cs="Times New Roman"/>
          <w:b/>
          <w:sz w:val="20"/>
          <w:szCs w:val="20"/>
          <w:lang w:val="fr-CA"/>
        </w:rPr>
        <w:fldChar w:fldCharType="end"/>
      </w:r>
      <w:r w:rsidR="002B130F" w:rsidRPr="00A85B4F">
        <w:rPr>
          <w:rFonts w:cs="Times New Roman"/>
          <w:b/>
          <w:sz w:val="20"/>
          <w:szCs w:val="20"/>
          <w:lang w:val="fr-CA"/>
        </w:rPr>
        <w:t>33699</w:t>
      </w:r>
      <w:r w:rsidR="002B130F" w:rsidRPr="00A85B4F">
        <w:rPr>
          <w:rFonts w:cs="Times New Roman"/>
          <w:sz w:val="20"/>
          <w:szCs w:val="20"/>
          <w:lang w:val="fr-CA"/>
        </w:rPr>
        <w:tab/>
      </w:r>
      <w:r w:rsidR="002B130F" w:rsidRPr="00A85B4F">
        <w:rPr>
          <w:rFonts w:cs="Times New Roman"/>
          <w:b/>
          <w:i/>
          <w:sz w:val="20"/>
          <w:szCs w:val="20"/>
          <w:lang w:val="fr-CA"/>
        </w:rPr>
        <w:t>Randy Leigh Roy c. Sa Majesté la Reine</w:t>
      </w:r>
    </w:p>
    <w:p w:rsidR="002B130F" w:rsidRPr="00A85B4F" w:rsidRDefault="002B130F" w:rsidP="002B130F">
      <w:pPr>
        <w:widowControl w:val="0"/>
        <w:jc w:val="both"/>
        <w:rPr>
          <w:rFonts w:cs="Times New Roman"/>
          <w:sz w:val="20"/>
          <w:szCs w:val="20"/>
          <w:lang w:val="fr-CA"/>
        </w:rPr>
      </w:pPr>
    </w:p>
    <w:p w:rsidR="002B130F" w:rsidRPr="00A85B4F" w:rsidRDefault="00460701" w:rsidP="002B130F">
      <w:pPr>
        <w:widowControl w:val="0"/>
        <w:jc w:val="both"/>
        <w:rPr>
          <w:rFonts w:cs="Times New Roman"/>
          <w:sz w:val="20"/>
          <w:szCs w:val="20"/>
          <w:lang w:val="fr-CA"/>
        </w:rPr>
      </w:pPr>
      <w:r w:rsidRPr="00A85B4F">
        <w:rPr>
          <w:rFonts w:cs="Times New Roman"/>
          <w:sz w:val="20"/>
          <w:szCs w:val="20"/>
          <w:lang w:val="fr-CA"/>
        </w:rPr>
        <w:fldChar w:fldCharType="begin"/>
      </w:r>
      <w:r w:rsidR="002B130F" w:rsidRPr="00A85B4F">
        <w:rPr>
          <w:rFonts w:cs="Times New Roman"/>
          <w:sz w:val="20"/>
          <w:szCs w:val="20"/>
          <w:lang w:val="fr-CA"/>
        </w:rPr>
        <w:instrText xml:space="preserve"> SEQ CHAPTER \h \r 1</w:instrText>
      </w:r>
      <w:r w:rsidRPr="00A85B4F">
        <w:rPr>
          <w:rFonts w:cs="Times New Roman"/>
          <w:sz w:val="20"/>
          <w:szCs w:val="20"/>
          <w:lang w:val="fr-CA"/>
        </w:rPr>
        <w:fldChar w:fldCharType="end"/>
      </w:r>
      <w:r w:rsidR="002B130F" w:rsidRPr="00A85B4F">
        <w:rPr>
          <w:rFonts w:cs="Times New Roman"/>
          <w:sz w:val="20"/>
          <w:szCs w:val="20"/>
          <w:lang w:val="fr-CA"/>
        </w:rPr>
        <w:t xml:space="preserve">Droit criminel </w:t>
      </w:r>
      <w:r w:rsidR="002B130F" w:rsidRPr="00A85B4F">
        <w:rPr>
          <w:rFonts w:cs="Times New Roman"/>
          <w:sz w:val="20"/>
          <w:szCs w:val="20"/>
          <w:lang w:val="fr-CA"/>
        </w:rPr>
        <w:noBreakHyphen/>
        <w:t xml:space="preserve"> Appel </w:t>
      </w:r>
      <w:r w:rsidR="002B130F" w:rsidRPr="00A85B4F">
        <w:rPr>
          <w:rFonts w:cs="Times New Roman"/>
          <w:sz w:val="20"/>
          <w:szCs w:val="20"/>
          <w:lang w:val="fr-CA"/>
        </w:rPr>
        <w:noBreakHyphen/>
        <w:t xml:space="preserve"> Application de la disposition réparatrice du </w:t>
      </w:r>
      <w:r w:rsidR="002B130F" w:rsidRPr="00A85B4F">
        <w:rPr>
          <w:rFonts w:cs="Times New Roman"/>
          <w:i/>
          <w:iCs/>
          <w:sz w:val="20"/>
          <w:szCs w:val="20"/>
          <w:lang w:val="fr-CA"/>
        </w:rPr>
        <w:t>Code criminel</w:t>
      </w:r>
      <w:r w:rsidR="002B130F" w:rsidRPr="00A85B4F">
        <w:rPr>
          <w:rFonts w:cs="Times New Roman"/>
          <w:sz w:val="20"/>
          <w:szCs w:val="20"/>
          <w:lang w:val="fr-CA"/>
        </w:rPr>
        <w:t>, L.R.C. 1985, ch. C</w:t>
      </w:r>
      <w:r w:rsidR="002B130F" w:rsidRPr="00A85B4F">
        <w:rPr>
          <w:rFonts w:cs="Times New Roman"/>
          <w:sz w:val="20"/>
          <w:szCs w:val="20"/>
          <w:lang w:val="fr-CA"/>
        </w:rPr>
        <w:noBreakHyphen/>
        <w:t>46, sous</w:t>
      </w:r>
      <w:r w:rsidR="002B130F" w:rsidRPr="00A85B4F">
        <w:rPr>
          <w:rFonts w:cs="Times New Roman"/>
          <w:sz w:val="20"/>
          <w:szCs w:val="20"/>
          <w:lang w:val="fr-CA"/>
        </w:rPr>
        <w:noBreakHyphen/>
        <w:t>al. 686</w:t>
      </w:r>
      <w:r w:rsidR="002B130F" w:rsidRPr="00A85B4F">
        <w:rPr>
          <w:rFonts w:cs="Times New Roman"/>
          <w:i/>
          <w:iCs/>
          <w:sz w:val="20"/>
          <w:szCs w:val="20"/>
          <w:lang w:val="fr-CA"/>
        </w:rPr>
        <w:t xml:space="preserve"> b</w:t>
      </w:r>
      <w:r w:rsidR="002B130F" w:rsidRPr="00A85B4F">
        <w:rPr>
          <w:rFonts w:cs="Times New Roman"/>
          <w:sz w:val="20"/>
          <w:szCs w:val="20"/>
          <w:lang w:val="fr-CA"/>
        </w:rPr>
        <w:t xml:space="preserve">)(iii) </w:t>
      </w:r>
      <w:r w:rsidR="002B130F" w:rsidRPr="00A85B4F">
        <w:rPr>
          <w:rFonts w:cs="Times New Roman"/>
          <w:sz w:val="20"/>
          <w:szCs w:val="20"/>
          <w:lang w:val="fr-CA"/>
        </w:rPr>
        <w:noBreakHyphen/>
        <w:t xml:space="preserve"> Une cour d’appel peut</w:t>
      </w:r>
      <w:r w:rsidR="002B130F" w:rsidRPr="00A85B4F">
        <w:rPr>
          <w:rFonts w:cs="Times New Roman"/>
          <w:sz w:val="20"/>
          <w:szCs w:val="20"/>
          <w:lang w:val="fr-CA"/>
        </w:rPr>
        <w:noBreakHyphen/>
        <w:t xml:space="preserve">elle valablement confirmer une déclaration de culpabilité de conduite dangereuse causant la mort fondée sur une analyse erronée de la </w:t>
      </w:r>
      <w:r w:rsidR="002B130F" w:rsidRPr="00A85B4F">
        <w:rPr>
          <w:rFonts w:cs="Times New Roman"/>
          <w:i/>
          <w:sz w:val="20"/>
          <w:szCs w:val="20"/>
          <w:lang w:val="fr-CA"/>
        </w:rPr>
        <w:t>mens rea</w:t>
      </w:r>
      <w:r w:rsidR="002B130F" w:rsidRPr="00A85B4F">
        <w:rPr>
          <w:rFonts w:cs="Times New Roman"/>
          <w:sz w:val="20"/>
          <w:szCs w:val="20"/>
          <w:lang w:val="fr-CA"/>
        </w:rPr>
        <w:t>, en tirant ses propres conclusions et en substituant des éléments de preuve de l’</w:t>
      </w:r>
      <w:r w:rsidR="002B130F" w:rsidRPr="00A85B4F">
        <w:rPr>
          <w:rFonts w:cs="Times New Roman"/>
          <w:i/>
          <w:sz w:val="20"/>
          <w:szCs w:val="20"/>
          <w:lang w:val="fr-CA"/>
        </w:rPr>
        <w:t>actus reus</w:t>
      </w:r>
      <w:r w:rsidR="002B130F" w:rsidRPr="00A85B4F">
        <w:rPr>
          <w:rFonts w:cs="Times New Roman"/>
          <w:sz w:val="20"/>
          <w:szCs w:val="20"/>
          <w:lang w:val="fr-CA"/>
        </w:rPr>
        <w:t xml:space="preserve"> à des éléments de preuve de la </w:t>
      </w:r>
      <w:r w:rsidR="002B130F" w:rsidRPr="00A85B4F">
        <w:rPr>
          <w:rFonts w:cs="Times New Roman"/>
          <w:i/>
          <w:sz w:val="20"/>
          <w:szCs w:val="20"/>
          <w:lang w:val="fr-CA"/>
        </w:rPr>
        <w:t>mens rea</w:t>
      </w:r>
      <w:r w:rsidR="002B130F" w:rsidRPr="00A85B4F">
        <w:rPr>
          <w:rFonts w:cs="Times New Roman"/>
          <w:sz w:val="20"/>
          <w:szCs w:val="20"/>
          <w:lang w:val="fr-CA"/>
        </w:rPr>
        <w:t xml:space="preserve">? L’arrêt </w:t>
      </w:r>
      <w:r w:rsidR="002B130F" w:rsidRPr="00A85B4F">
        <w:rPr>
          <w:rFonts w:cs="Times New Roman"/>
          <w:i/>
          <w:iCs/>
          <w:sz w:val="20"/>
          <w:szCs w:val="20"/>
          <w:lang w:val="fr-CA"/>
        </w:rPr>
        <w:t>R. c. Roy</w:t>
      </w:r>
      <w:r w:rsidR="002B130F" w:rsidRPr="00A85B4F">
        <w:rPr>
          <w:rFonts w:cs="Times New Roman"/>
          <w:sz w:val="20"/>
          <w:szCs w:val="20"/>
          <w:lang w:val="fr-CA"/>
        </w:rPr>
        <w:t>, 2010 BCCA 130 a</w:t>
      </w:r>
      <w:r w:rsidR="002B130F" w:rsidRPr="00A85B4F">
        <w:rPr>
          <w:rFonts w:cs="Times New Roman"/>
          <w:sz w:val="20"/>
          <w:szCs w:val="20"/>
          <w:lang w:val="fr-CA"/>
        </w:rPr>
        <w:noBreakHyphen/>
        <w:t>t</w:t>
      </w:r>
      <w:r w:rsidR="002B130F" w:rsidRPr="00A85B4F">
        <w:rPr>
          <w:rFonts w:cs="Times New Roman"/>
          <w:sz w:val="20"/>
          <w:szCs w:val="20"/>
          <w:lang w:val="fr-CA"/>
        </w:rPr>
        <w:noBreakHyphen/>
        <w:t xml:space="preserve">il créé de l’incertitude, de la confusion ou de l’incohérence en lien avec la </w:t>
      </w:r>
      <w:r w:rsidR="002B130F" w:rsidRPr="00A85B4F">
        <w:rPr>
          <w:rFonts w:cs="Times New Roman"/>
          <w:i/>
          <w:sz w:val="20"/>
          <w:szCs w:val="20"/>
          <w:lang w:val="fr-CA"/>
        </w:rPr>
        <w:t>mens rea</w:t>
      </w:r>
      <w:r w:rsidR="002B130F" w:rsidRPr="00A85B4F">
        <w:rPr>
          <w:rFonts w:cs="Times New Roman"/>
          <w:sz w:val="20"/>
          <w:szCs w:val="20"/>
          <w:lang w:val="fr-CA"/>
        </w:rPr>
        <w:t xml:space="preserve"> de la conduite dangereuse causant la mort?</w:t>
      </w:r>
    </w:p>
    <w:p w:rsidR="002B130F" w:rsidRPr="00A85B4F" w:rsidRDefault="002B130F" w:rsidP="002B130F">
      <w:pPr>
        <w:widowControl w:val="0"/>
        <w:jc w:val="both"/>
        <w:rPr>
          <w:rFonts w:cs="Times New Roman"/>
          <w:sz w:val="20"/>
          <w:szCs w:val="20"/>
          <w:lang w:val="fr-CA"/>
        </w:rPr>
      </w:pPr>
    </w:p>
    <w:p w:rsidR="002B130F" w:rsidRPr="00A85B4F" w:rsidRDefault="00460701" w:rsidP="002B130F">
      <w:pPr>
        <w:widowControl w:val="0"/>
        <w:jc w:val="both"/>
        <w:rPr>
          <w:rFonts w:cs="Times New Roman"/>
          <w:sz w:val="20"/>
          <w:szCs w:val="20"/>
          <w:lang w:val="fr-CA"/>
        </w:rPr>
      </w:pPr>
      <w:r w:rsidRPr="00A85B4F">
        <w:rPr>
          <w:rFonts w:cs="Times New Roman"/>
          <w:sz w:val="20"/>
          <w:szCs w:val="20"/>
          <w:lang w:val="fr-CA"/>
        </w:rPr>
        <w:fldChar w:fldCharType="begin"/>
      </w:r>
      <w:r w:rsidR="002B130F" w:rsidRPr="00A85B4F">
        <w:rPr>
          <w:rFonts w:cs="Times New Roman"/>
          <w:sz w:val="20"/>
          <w:szCs w:val="20"/>
          <w:lang w:val="fr-CA"/>
        </w:rPr>
        <w:instrText xml:space="preserve"> SEQ CHAPTER \h \r 1</w:instrText>
      </w:r>
      <w:r w:rsidRPr="00A85B4F">
        <w:rPr>
          <w:rFonts w:cs="Times New Roman"/>
          <w:sz w:val="20"/>
          <w:szCs w:val="20"/>
          <w:lang w:val="fr-CA"/>
        </w:rPr>
        <w:fldChar w:fldCharType="end"/>
      </w:r>
      <w:r w:rsidR="002B130F" w:rsidRPr="00A85B4F">
        <w:rPr>
          <w:rFonts w:cs="Times New Roman"/>
          <w:sz w:val="20"/>
          <w:szCs w:val="20"/>
          <w:lang w:val="fr-CA"/>
        </w:rPr>
        <w:t>Par un temps brumeux, alors qu’il quittait une route secondaire enneigée en pente ascendante, M. Roy a immobilisé son véhicule à un panneau d’arrêt, puis s’est engagé sur une route principale dans la trajectoire d’un camion</w:t>
      </w:r>
      <w:r w:rsidR="002B130F" w:rsidRPr="00A85B4F">
        <w:rPr>
          <w:rFonts w:cs="Times New Roman"/>
          <w:sz w:val="20"/>
          <w:szCs w:val="20"/>
          <w:lang w:val="fr-CA"/>
        </w:rPr>
        <w:noBreakHyphen/>
        <w:t>remorque qui s’en venait.  Son passager a été tué et M. Roy n’a aucun souvenir de l’accident.  Il n’était donc pas en mesure de donner une preuve expliquant pourquoi il conduisait ou pourquoi il avait poursuivi sa route après le panneau d’arrêt sans d’abord vérifier s’il pouvait le faire en toute sécurité.  Il connaissait la route et savait très bien que plusieurs camions y circulaient.  Dans son témoignage, le chauffeur du camion</w:t>
      </w:r>
      <w:r w:rsidR="002B130F" w:rsidRPr="00A85B4F">
        <w:rPr>
          <w:rFonts w:cs="Times New Roman"/>
          <w:sz w:val="20"/>
          <w:szCs w:val="20"/>
          <w:lang w:val="fr-CA"/>
        </w:rPr>
        <w:noBreakHyphen/>
        <w:t>remorque a affirmé qu’il avait ralenti en raison de la brume et qu’il avait ralenti davantage lorsqu’il a aperçu les phares d’un véhicule qu’il croyait immobilisé sur l’accotement de la route principale.  Lorsqu’il s’est rendu compte que le véhicule traversait la route devant lui, il a freiné et son camion</w:t>
      </w:r>
      <w:r w:rsidR="002B130F" w:rsidRPr="00A85B4F">
        <w:rPr>
          <w:rFonts w:cs="Times New Roman"/>
          <w:sz w:val="20"/>
          <w:szCs w:val="20"/>
          <w:lang w:val="fr-CA"/>
        </w:rPr>
        <w:noBreakHyphen/>
        <w:t>remorque a fait une embardée.  Il a été incapable d’éviter la collision: le devant du camion</w:t>
      </w:r>
      <w:r w:rsidR="002B130F" w:rsidRPr="00A85B4F">
        <w:rPr>
          <w:rFonts w:cs="Times New Roman"/>
          <w:sz w:val="20"/>
          <w:szCs w:val="20"/>
          <w:lang w:val="fr-CA"/>
        </w:rPr>
        <w:noBreakHyphen/>
        <w:t xml:space="preserve">remorque a heurté l’avant du véhicule, du côté gauche.  Le juge du procès a déclaré M. Roy coupable de conduite dangereuse causant la mort, en s’appuyant en partie sur l’arrêt </w:t>
      </w:r>
      <w:r w:rsidR="002B130F" w:rsidRPr="00A85B4F">
        <w:rPr>
          <w:rFonts w:cs="Times New Roman"/>
          <w:i/>
          <w:iCs/>
          <w:sz w:val="20"/>
          <w:szCs w:val="20"/>
          <w:lang w:val="fr-CA"/>
        </w:rPr>
        <w:t>R. c. Beatty</w:t>
      </w:r>
      <w:r w:rsidR="002B130F" w:rsidRPr="00A85B4F">
        <w:rPr>
          <w:rFonts w:cs="Times New Roman"/>
          <w:sz w:val="20"/>
          <w:szCs w:val="20"/>
          <w:lang w:val="fr-CA"/>
        </w:rPr>
        <w:t xml:space="preserve">, 2006 BCCA 229, 225 B.C.A.C. 154.  Après la publication des motifs du jugement par le juge du procès, la Cour suprême du Canada a infirmé l’arrêt </w:t>
      </w:r>
      <w:r w:rsidR="002B130F" w:rsidRPr="00A85B4F">
        <w:rPr>
          <w:rFonts w:cs="Times New Roman"/>
          <w:i/>
          <w:iCs/>
          <w:sz w:val="20"/>
          <w:szCs w:val="20"/>
          <w:lang w:val="fr-CA"/>
        </w:rPr>
        <w:t>Beatty</w:t>
      </w:r>
      <w:r w:rsidR="002B130F" w:rsidRPr="00A85B4F">
        <w:rPr>
          <w:rFonts w:cs="Times New Roman"/>
          <w:sz w:val="20"/>
          <w:szCs w:val="20"/>
          <w:lang w:val="fr-CA"/>
        </w:rPr>
        <w:t xml:space="preserve"> et l’élément </w:t>
      </w:r>
      <w:r w:rsidR="002B130F" w:rsidRPr="00A85B4F">
        <w:rPr>
          <w:rFonts w:cs="Times New Roman"/>
          <w:i/>
          <w:iCs/>
          <w:sz w:val="20"/>
          <w:szCs w:val="20"/>
          <w:lang w:val="fr-CA"/>
        </w:rPr>
        <w:t>mens rea</w:t>
      </w:r>
      <w:r w:rsidR="002B130F" w:rsidRPr="00A85B4F">
        <w:rPr>
          <w:rFonts w:cs="Times New Roman"/>
          <w:sz w:val="20"/>
          <w:szCs w:val="20"/>
          <w:lang w:val="fr-CA"/>
        </w:rPr>
        <w:t xml:space="preserve"> de la conduite dangereuse a été clarifié.  La Cour d’appel a appliqué la disposition réparatrice du sous</w:t>
      </w:r>
      <w:r w:rsidR="002B130F" w:rsidRPr="00A85B4F">
        <w:rPr>
          <w:rFonts w:cs="Times New Roman"/>
          <w:sz w:val="20"/>
          <w:szCs w:val="20"/>
          <w:lang w:val="fr-CA"/>
        </w:rPr>
        <w:noBreakHyphen/>
        <w:t xml:space="preserve">al. 686(1) </w:t>
      </w:r>
      <w:r w:rsidR="002B130F" w:rsidRPr="00A85B4F">
        <w:rPr>
          <w:rFonts w:cs="Times New Roman"/>
          <w:i/>
          <w:iCs/>
          <w:sz w:val="20"/>
          <w:szCs w:val="20"/>
          <w:lang w:val="fr-CA"/>
        </w:rPr>
        <w:t>b</w:t>
      </w:r>
      <w:r w:rsidR="002B130F" w:rsidRPr="00A85B4F">
        <w:rPr>
          <w:rFonts w:cs="Times New Roman"/>
          <w:sz w:val="20"/>
          <w:szCs w:val="20"/>
          <w:lang w:val="fr-CA"/>
        </w:rPr>
        <w:t xml:space="preserve">)(iii) du </w:t>
      </w:r>
      <w:r w:rsidR="002B130F" w:rsidRPr="00A85B4F">
        <w:rPr>
          <w:rFonts w:cs="Times New Roman"/>
          <w:i/>
          <w:iCs/>
          <w:sz w:val="20"/>
          <w:szCs w:val="20"/>
          <w:lang w:val="fr-CA"/>
        </w:rPr>
        <w:t>Code criminel</w:t>
      </w:r>
      <w:r w:rsidR="002B130F" w:rsidRPr="00A85B4F">
        <w:rPr>
          <w:rFonts w:cs="Times New Roman"/>
          <w:sz w:val="20"/>
          <w:szCs w:val="20"/>
          <w:lang w:val="fr-CA"/>
        </w:rPr>
        <w:t xml:space="preserve"> et a rejeté l’appel.  Même si le juge du procès avait analysé les faits pertinents dans sa considération de l’</w:t>
      </w:r>
      <w:r w:rsidR="002B130F" w:rsidRPr="00A85B4F">
        <w:rPr>
          <w:rFonts w:cs="Times New Roman"/>
          <w:i/>
          <w:iCs/>
          <w:sz w:val="20"/>
          <w:szCs w:val="20"/>
          <w:lang w:val="fr-CA"/>
        </w:rPr>
        <w:t>actus reus</w:t>
      </w:r>
      <w:r w:rsidR="002B130F" w:rsidRPr="00A85B4F">
        <w:rPr>
          <w:rFonts w:cs="Times New Roman"/>
          <w:sz w:val="20"/>
          <w:szCs w:val="20"/>
          <w:lang w:val="fr-CA"/>
        </w:rPr>
        <w:t xml:space="preserve">, ses conclusions de fait avaient été bien tirées et pouvaient être appliquées à l’analyse de la </w:t>
      </w:r>
      <w:r w:rsidR="002B130F" w:rsidRPr="00A85B4F">
        <w:rPr>
          <w:rFonts w:cs="Times New Roman"/>
          <w:i/>
          <w:iCs/>
          <w:sz w:val="20"/>
          <w:szCs w:val="20"/>
          <w:lang w:val="fr-CA"/>
        </w:rPr>
        <w:t>mens rea</w:t>
      </w:r>
      <w:r w:rsidR="002B130F" w:rsidRPr="00A85B4F">
        <w:rPr>
          <w:rFonts w:cs="Times New Roman"/>
          <w:sz w:val="20"/>
          <w:szCs w:val="20"/>
          <w:lang w:val="fr-CA"/>
        </w:rPr>
        <w:t>.  Elles ont permis à la Cour d’appel de conclure que M. Roy avait eu l’élément moral voulu de l’infraction pour être déclaré coupable de conduite dangereuse.</w:t>
      </w:r>
    </w:p>
    <w:p w:rsidR="002B130F" w:rsidRPr="00A85B4F" w:rsidRDefault="002B130F" w:rsidP="002B130F">
      <w:pPr>
        <w:widowControl w:val="0"/>
        <w:jc w:val="both"/>
        <w:rPr>
          <w:rFonts w:cs="Times New Roman"/>
          <w:sz w:val="20"/>
          <w:szCs w:val="20"/>
          <w:lang w:val="fr-CA"/>
        </w:rPr>
      </w:pPr>
    </w:p>
    <w:p w:rsidR="002B130F" w:rsidRPr="00A85B4F" w:rsidRDefault="002B130F" w:rsidP="002B130F">
      <w:pPr>
        <w:widowControl w:val="0"/>
        <w:jc w:val="both"/>
        <w:rPr>
          <w:rFonts w:cs="Times New Roman"/>
          <w:sz w:val="20"/>
          <w:szCs w:val="20"/>
          <w:lang w:val="fr-CA"/>
        </w:rPr>
      </w:pPr>
    </w:p>
    <w:p w:rsidR="002B130F" w:rsidRPr="00A85B4F" w:rsidRDefault="002B130F" w:rsidP="002B130F">
      <w:pPr>
        <w:widowControl w:val="0"/>
        <w:jc w:val="both"/>
        <w:rPr>
          <w:rFonts w:cs="Times New Roman"/>
          <w:sz w:val="20"/>
          <w:szCs w:val="20"/>
          <w:lang w:val="fr-CA"/>
        </w:rPr>
      </w:pPr>
      <w:r w:rsidRPr="00A85B4F">
        <w:rPr>
          <w:rFonts w:cs="Times New Roman"/>
          <w:sz w:val="20"/>
          <w:szCs w:val="20"/>
          <w:lang w:val="fr-CA"/>
        </w:rPr>
        <w:t>Origine :</w:t>
      </w:r>
      <w:r w:rsidRPr="00A85B4F">
        <w:rPr>
          <w:rFonts w:cs="Times New Roman"/>
          <w:sz w:val="20"/>
          <w:szCs w:val="20"/>
          <w:lang w:val="fr-CA"/>
        </w:rPr>
        <w:tab/>
      </w:r>
      <w:r w:rsidRPr="00A85B4F">
        <w:rPr>
          <w:rFonts w:cs="Times New Roman"/>
          <w:sz w:val="20"/>
          <w:szCs w:val="20"/>
          <w:lang w:val="fr-CA"/>
        </w:rPr>
        <w:tab/>
      </w:r>
      <w:r w:rsidRPr="00A85B4F">
        <w:rPr>
          <w:rFonts w:cs="Times New Roman"/>
          <w:sz w:val="20"/>
          <w:szCs w:val="20"/>
          <w:lang w:val="fr-CA"/>
        </w:rPr>
        <w:tab/>
      </w:r>
      <w:r w:rsidR="009C560C">
        <w:rPr>
          <w:rFonts w:cs="Times New Roman"/>
          <w:sz w:val="20"/>
          <w:szCs w:val="20"/>
          <w:lang w:val="fr-CA"/>
        </w:rPr>
        <w:tab/>
      </w:r>
      <w:r w:rsidRPr="00A85B4F">
        <w:rPr>
          <w:rFonts w:cs="Times New Roman"/>
          <w:sz w:val="20"/>
          <w:szCs w:val="20"/>
          <w:lang w:val="fr-CA"/>
        </w:rPr>
        <w:tab/>
        <w:t>Colombie</w:t>
      </w:r>
      <w:r w:rsidRPr="00A85B4F">
        <w:rPr>
          <w:rFonts w:cs="Times New Roman"/>
          <w:sz w:val="20"/>
          <w:szCs w:val="20"/>
          <w:lang w:val="fr-CA"/>
        </w:rPr>
        <w:noBreakHyphen/>
        <w:t>Britannique</w:t>
      </w:r>
    </w:p>
    <w:p w:rsidR="002B130F" w:rsidRPr="00A85B4F" w:rsidRDefault="002B130F" w:rsidP="002B130F">
      <w:pPr>
        <w:widowControl w:val="0"/>
        <w:jc w:val="both"/>
        <w:rPr>
          <w:rFonts w:cs="Times New Roman"/>
          <w:sz w:val="20"/>
          <w:szCs w:val="20"/>
          <w:lang w:val="fr-CA"/>
        </w:rPr>
      </w:pPr>
    </w:p>
    <w:p w:rsidR="002B130F" w:rsidRPr="00A85B4F" w:rsidRDefault="002B130F" w:rsidP="002B130F">
      <w:pPr>
        <w:widowControl w:val="0"/>
        <w:jc w:val="both"/>
        <w:rPr>
          <w:rFonts w:cs="Times New Roman"/>
          <w:sz w:val="20"/>
          <w:szCs w:val="20"/>
          <w:lang w:val="fr-CA"/>
        </w:rPr>
      </w:pPr>
      <w:r w:rsidRPr="00A85B4F">
        <w:rPr>
          <w:rFonts w:cs="Times New Roman"/>
          <w:sz w:val="20"/>
          <w:szCs w:val="20"/>
          <w:lang w:val="fr-CA"/>
        </w:rPr>
        <w:t>N</w:t>
      </w:r>
      <w:r w:rsidRPr="00A85B4F">
        <w:rPr>
          <w:rFonts w:cs="Times New Roman"/>
          <w:sz w:val="20"/>
          <w:szCs w:val="20"/>
          <w:vertAlign w:val="superscript"/>
          <w:lang w:val="fr-CA"/>
        </w:rPr>
        <w:t>o</w:t>
      </w:r>
      <w:r w:rsidRPr="00A85B4F">
        <w:rPr>
          <w:rFonts w:cs="Times New Roman"/>
          <w:sz w:val="20"/>
          <w:szCs w:val="20"/>
          <w:lang w:val="fr-CA"/>
        </w:rPr>
        <w:t xml:space="preserve"> du greffe :</w:t>
      </w:r>
      <w:r w:rsidRPr="00A85B4F">
        <w:rPr>
          <w:rFonts w:cs="Times New Roman"/>
          <w:sz w:val="20"/>
          <w:szCs w:val="20"/>
          <w:lang w:val="fr-CA"/>
        </w:rPr>
        <w:tab/>
      </w:r>
      <w:r w:rsidRPr="00A85B4F">
        <w:rPr>
          <w:rFonts w:cs="Times New Roman"/>
          <w:sz w:val="20"/>
          <w:szCs w:val="20"/>
          <w:lang w:val="fr-CA"/>
        </w:rPr>
        <w:tab/>
      </w:r>
      <w:r w:rsidR="009C560C">
        <w:rPr>
          <w:rFonts w:cs="Times New Roman"/>
          <w:sz w:val="20"/>
          <w:szCs w:val="20"/>
          <w:lang w:val="fr-CA"/>
        </w:rPr>
        <w:tab/>
      </w:r>
      <w:r w:rsidRPr="00A85B4F">
        <w:rPr>
          <w:rFonts w:cs="Times New Roman"/>
          <w:sz w:val="20"/>
          <w:szCs w:val="20"/>
          <w:lang w:val="fr-CA"/>
        </w:rPr>
        <w:tab/>
        <w:t>33699</w:t>
      </w:r>
    </w:p>
    <w:p w:rsidR="002B130F" w:rsidRPr="00A85B4F" w:rsidRDefault="002B130F" w:rsidP="002B130F">
      <w:pPr>
        <w:widowControl w:val="0"/>
        <w:jc w:val="both"/>
        <w:rPr>
          <w:rFonts w:cs="Times New Roman"/>
          <w:sz w:val="20"/>
          <w:szCs w:val="20"/>
          <w:lang w:val="fr-CA"/>
        </w:rPr>
      </w:pPr>
    </w:p>
    <w:p w:rsidR="002B130F" w:rsidRPr="00A85B4F" w:rsidRDefault="002B130F" w:rsidP="002B130F">
      <w:pPr>
        <w:widowControl w:val="0"/>
        <w:jc w:val="both"/>
        <w:rPr>
          <w:rFonts w:cs="Times New Roman"/>
          <w:sz w:val="20"/>
          <w:szCs w:val="20"/>
          <w:lang w:val="fr-CA"/>
        </w:rPr>
      </w:pPr>
      <w:r w:rsidRPr="00A85B4F">
        <w:rPr>
          <w:rFonts w:cs="Times New Roman"/>
          <w:sz w:val="20"/>
          <w:szCs w:val="20"/>
          <w:lang w:val="fr-CA"/>
        </w:rPr>
        <w:t>Arrêt de la Cour d’appel :</w:t>
      </w:r>
      <w:r w:rsidRPr="00A85B4F">
        <w:rPr>
          <w:rFonts w:cs="Times New Roman"/>
          <w:sz w:val="20"/>
          <w:szCs w:val="20"/>
          <w:lang w:val="fr-CA"/>
        </w:rPr>
        <w:tab/>
      </w:r>
      <w:r w:rsidR="009C560C">
        <w:rPr>
          <w:rFonts w:cs="Times New Roman"/>
          <w:sz w:val="20"/>
          <w:szCs w:val="20"/>
          <w:lang w:val="fr-CA"/>
        </w:rPr>
        <w:tab/>
      </w:r>
      <w:r w:rsidRPr="00A85B4F">
        <w:rPr>
          <w:rFonts w:cs="Times New Roman"/>
          <w:sz w:val="20"/>
          <w:szCs w:val="20"/>
          <w:lang w:val="fr-CA"/>
        </w:rPr>
        <w:tab/>
        <w:t>le 16 mars 2010</w:t>
      </w:r>
    </w:p>
    <w:p w:rsidR="002B130F" w:rsidRPr="00A85B4F" w:rsidRDefault="002B130F" w:rsidP="002B130F">
      <w:pPr>
        <w:widowControl w:val="0"/>
        <w:jc w:val="both"/>
        <w:rPr>
          <w:rFonts w:cs="Times New Roman"/>
          <w:sz w:val="20"/>
          <w:szCs w:val="20"/>
          <w:lang w:val="fr-CA"/>
        </w:rPr>
      </w:pPr>
    </w:p>
    <w:p w:rsidR="002B130F" w:rsidRPr="00A85B4F" w:rsidRDefault="002B130F" w:rsidP="002B130F">
      <w:pPr>
        <w:widowControl w:val="0"/>
        <w:jc w:val="both"/>
        <w:rPr>
          <w:rFonts w:cs="Times New Roman"/>
          <w:sz w:val="20"/>
          <w:szCs w:val="20"/>
          <w:lang w:val="fr-CA"/>
        </w:rPr>
      </w:pPr>
      <w:r w:rsidRPr="00A85B4F">
        <w:rPr>
          <w:rFonts w:cs="Times New Roman"/>
          <w:sz w:val="20"/>
          <w:szCs w:val="20"/>
          <w:lang w:val="fr-CA"/>
        </w:rPr>
        <w:t>Avocats :</w:t>
      </w:r>
      <w:r w:rsidRPr="00A85B4F">
        <w:rPr>
          <w:rFonts w:cs="Times New Roman"/>
          <w:sz w:val="20"/>
          <w:szCs w:val="20"/>
          <w:lang w:val="fr-CA"/>
        </w:rPr>
        <w:tab/>
      </w:r>
      <w:r w:rsidRPr="00A85B4F">
        <w:rPr>
          <w:rFonts w:cs="Times New Roman"/>
          <w:sz w:val="20"/>
          <w:szCs w:val="20"/>
          <w:lang w:val="fr-CA"/>
        </w:rPr>
        <w:tab/>
      </w:r>
      <w:r w:rsidR="009C560C">
        <w:rPr>
          <w:rFonts w:cs="Times New Roman"/>
          <w:sz w:val="20"/>
          <w:szCs w:val="20"/>
          <w:lang w:val="fr-CA"/>
        </w:rPr>
        <w:tab/>
      </w:r>
      <w:r w:rsidRPr="00A85B4F">
        <w:rPr>
          <w:rFonts w:cs="Times New Roman"/>
          <w:sz w:val="20"/>
          <w:szCs w:val="20"/>
          <w:lang w:val="fr-CA"/>
        </w:rPr>
        <w:tab/>
        <w:t>Christopher J. Nowlin pour l’appelant</w:t>
      </w:r>
    </w:p>
    <w:p w:rsidR="002B130F" w:rsidRPr="00A85B4F" w:rsidRDefault="002B130F" w:rsidP="002B130F">
      <w:pPr>
        <w:widowControl w:val="0"/>
        <w:jc w:val="both"/>
        <w:rPr>
          <w:rFonts w:cs="Times New Roman"/>
          <w:sz w:val="20"/>
          <w:szCs w:val="20"/>
          <w:lang w:val="fr-CA"/>
        </w:rPr>
      </w:pPr>
      <w:r w:rsidRPr="00A85B4F">
        <w:rPr>
          <w:rFonts w:cs="Times New Roman"/>
          <w:sz w:val="20"/>
          <w:szCs w:val="20"/>
          <w:lang w:val="fr-CA"/>
        </w:rPr>
        <w:tab/>
      </w:r>
      <w:r w:rsidRPr="00A85B4F">
        <w:rPr>
          <w:rFonts w:cs="Times New Roman"/>
          <w:sz w:val="20"/>
          <w:szCs w:val="20"/>
          <w:lang w:val="fr-CA"/>
        </w:rPr>
        <w:tab/>
      </w:r>
      <w:r w:rsidRPr="00A85B4F">
        <w:rPr>
          <w:rFonts w:cs="Times New Roman"/>
          <w:sz w:val="20"/>
          <w:szCs w:val="20"/>
          <w:lang w:val="fr-CA"/>
        </w:rPr>
        <w:tab/>
      </w:r>
      <w:r w:rsidR="009C560C">
        <w:rPr>
          <w:rFonts w:cs="Times New Roman"/>
          <w:sz w:val="20"/>
          <w:szCs w:val="20"/>
          <w:lang w:val="fr-CA"/>
        </w:rPr>
        <w:tab/>
      </w:r>
      <w:r w:rsidRPr="00A85B4F">
        <w:rPr>
          <w:rFonts w:cs="Times New Roman"/>
          <w:sz w:val="20"/>
          <w:szCs w:val="20"/>
          <w:lang w:val="fr-CA"/>
        </w:rPr>
        <w:tab/>
        <w:t>Michael J. Brundrett pour l’intimée</w:t>
      </w:r>
    </w:p>
    <w:p w:rsidR="00201497" w:rsidRDefault="00201497">
      <w:pPr>
        <w:rPr>
          <w:sz w:val="20"/>
          <w:szCs w:val="20"/>
          <w:lang w:val="fr-CA"/>
        </w:rPr>
      </w:pPr>
    </w:p>
    <w:p w:rsidR="00201497" w:rsidRDefault="00460701">
      <w:pPr>
        <w:rPr>
          <w:sz w:val="20"/>
          <w:szCs w:val="20"/>
          <w:lang w:val="fr-CA"/>
        </w:rPr>
      </w:pPr>
      <w:r w:rsidRPr="00460701">
        <w:rPr>
          <w:sz w:val="20"/>
          <w:szCs w:val="20"/>
          <w:lang w:val="fr-CA"/>
        </w:rPr>
        <w:pict>
          <v:rect id="_x0000_i1098" style="width:2in;height:1pt" o:hrpct="0" o:hralign="center" o:hrstd="t" o:hrnoshade="t" o:hr="t" fillcolor="black [3213]" stroked="f"/>
        </w:pict>
      </w:r>
    </w:p>
    <w:p w:rsidR="00201497" w:rsidRDefault="00201497">
      <w:pPr>
        <w:rPr>
          <w:sz w:val="20"/>
          <w:szCs w:val="20"/>
          <w:lang w:val="fr-CA"/>
        </w:rPr>
      </w:pPr>
    </w:p>
    <w:p w:rsidR="00201497" w:rsidRDefault="00201497">
      <w:pPr>
        <w:rPr>
          <w:sz w:val="20"/>
          <w:szCs w:val="20"/>
          <w:lang w:val="fr-CA"/>
        </w:rPr>
      </w:pPr>
      <w:r>
        <w:rPr>
          <w:sz w:val="20"/>
          <w:szCs w:val="20"/>
          <w:lang w:val="fr-CA"/>
        </w:rPr>
        <w:br w:type="page"/>
      </w:r>
    </w:p>
    <w:p w:rsidR="009C560C" w:rsidRPr="00A85B4F" w:rsidRDefault="00460701" w:rsidP="009C560C">
      <w:pPr>
        <w:widowControl w:val="0"/>
        <w:ind w:left="720" w:hanging="720"/>
        <w:jc w:val="both"/>
        <w:rPr>
          <w:rFonts w:cs="Times New Roman"/>
          <w:sz w:val="20"/>
          <w:szCs w:val="20"/>
          <w:lang w:val="fr-CA"/>
        </w:rPr>
      </w:pPr>
      <w:r w:rsidRPr="00A85B4F">
        <w:rPr>
          <w:rFonts w:cs="Times New Roman"/>
          <w:b/>
          <w:sz w:val="20"/>
          <w:szCs w:val="20"/>
        </w:rPr>
        <w:lastRenderedPageBreak/>
        <w:fldChar w:fldCharType="begin"/>
      </w:r>
      <w:r w:rsidR="009C560C" w:rsidRPr="00A85B4F">
        <w:rPr>
          <w:rFonts w:cs="Times New Roman"/>
          <w:b/>
          <w:sz w:val="20"/>
          <w:szCs w:val="20"/>
          <w:lang w:val="fr-CA"/>
        </w:rPr>
        <w:instrText xml:space="preserve"> SEQ CHAPTER \h \r 1</w:instrText>
      </w:r>
      <w:r w:rsidRPr="00A85B4F">
        <w:rPr>
          <w:rFonts w:cs="Times New Roman"/>
          <w:b/>
          <w:sz w:val="20"/>
          <w:szCs w:val="20"/>
        </w:rPr>
        <w:fldChar w:fldCharType="end"/>
      </w:r>
      <w:r w:rsidR="009C560C" w:rsidRPr="00A85B4F">
        <w:rPr>
          <w:rFonts w:cs="Times New Roman"/>
          <w:b/>
          <w:sz w:val="20"/>
          <w:szCs w:val="20"/>
          <w:lang w:val="fr-CA"/>
        </w:rPr>
        <w:t>33793</w:t>
      </w:r>
      <w:r w:rsidR="009C560C" w:rsidRPr="00A85B4F">
        <w:rPr>
          <w:rFonts w:cs="Times New Roman"/>
          <w:sz w:val="20"/>
          <w:szCs w:val="20"/>
          <w:lang w:val="fr-CA"/>
        </w:rPr>
        <w:tab/>
      </w:r>
      <w:r w:rsidR="009C560C" w:rsidRPr="00A85B4F">
        <w:rPr>
          <w:rFonts w:cs="Times New Roman"/>
          <w:b/>
          <w:i/>
          <w:sz w:val="20"/>
          <w:szCs w:val="20"/>
          <w:lang w:val="fr-CA"/>
        </w:rPr>
        <w:t>Johan Sarrazin v. Attorney General of Quebec, Ministère de la sécurité publique and Établissement de détention de St</w:t>
      </w:r>
      <w:r w:rsidR="009C560C" w:rsidRPr="00A85B4F">
        <w:rPr>
          <w:rFonts w:cs="Times New Roman"/>
          <w:b/>
          <w:i/>
          <w:sz w:val="20"/>
          <w:szCs w:val="20"/>
          <w:lang w:val="fr-CA"/>
        </w:rPr>
        <w:noBreakHyphen/>
        <w:t>Jérôme</w:t>
      </w:r>
    </w:p>
    <w:p w:rsidR="009C560C" w:rsidRPr="00A85B4F" w:rsidRDefault="009C560C" w:rsidP="009C560C">
      <w:pPr>
        <w:widowControl w:val="0"/>
        <w:jc w:val="both"/>
        <w:rPr>
          <w:rFonts w:cs="Times New Roman"/>
          <w:sz w:val="20"/>
          <w:szCs w:val="20"/>
          <w:lang w:val="fr-CA"/>
        </w:rPr>
      </w:pPr>
    </w:p>
    <w:p w:rsidR="009C560C" w:rsidRPr="00A85B4F" w:rsidRDefault="009C560C" w:rsidP="009C560C">
      <w:pPr>
        <w:widowControl w:val="0"/>
        <w:jc w:val="both"/>
        <w:rPr>
          <w:rFonts w:cs="Times New Roman"/>
          <w:sz w:val="20"/>
          <w:szCs w:val="20"/>
        </w:rPr>
      </w:pPr>
      <w:r w:rsidRPr="00A85B4F">
        <w:rPr>
          <w:rFonts w:cs="Times New Roman"/>
          <w:sz w:val="20"/>
          <w:szCs w:val="20"/>
        </w:rPr>
        <w:t xml:space="preserve">Human rights </w:t>
      </w:r>
      <w:r w:rsidRPr="00A85B4F">
        <w:rPr>
          <w:rFonts w:cs="Times New Roman"/>
          <w:sz w:val="20"/>
          <w:szCs w:val="20"/>
        </w:rPr>
        <w:noBreakHyphen/>
        <w:t xml:space="preserve"> Right of confined person to be kept apart </w:t>
      </w:r>
      <w:r w:rsidRPr="00A85B4F">
        <w:rPr>
          <w:rFonts w:cs="Times New Roman"/>
          <w:sz w:val="20"/>
          <w:szCs w:val="20"/>
        </w:rPr>
        <w:noBreakHyphen/>
        <w:t xml:space="preserve"> Burden of proof where right interfered with </w:t>
      </w:r>
      <w:r w:rsidRPr="00A85B4F">
        <w:rPr>
          <w:rFonts w:cs="Times New Roman"/>
          <w:sz w:val="20"/>
          <w:szCs w:val="20"/>
        </w:rPr>
        <w:noBreakHyphen/>
        <w:t xml:space="preserve"> Accused confined with prisoners </w:t>
      </w:r>
      <w:r w:rsidRPr="00A85B4F">
        <w:rPr>
          <w:rFonts w:cs="Times New Roman"/>
          <w:sz w:val="20"/>
          <w:szCs w:val="20"/>
        </w:rPr>
        <w:noBreakHyphen/>
        <w:t xml:space="preserve"> Rumour of pedophilia followed by assault </w:t>
      </w:r>
      <w:r w:rsidRPr="00A85B4F">
        <w:rPr>
          <w:rFonts w:cs="Times New Roman"/>
          <w:sz w:val="20"/>
          <w:szCs w:val="20"/>
        </w:rPr>
        <w:noBreakHyphen/>
        <w:t xml:space="preserve"> Lengthy confinement before initial charges dropped </w:t>
      </w:r>
      <w:r w:rsidRPr="00A85B4F">
        <w:rPr>
          <w:rFonts w:cs="Times New Roman"/>
          <w:sz w:val="20"/>
          <w:szCs w:val="20"/>
        </w:rPr>
        <w:noBreakHyphen/>
        <w:t xml:space="preserve"> Action in damages </w:t>
      </w:r>
      <w:r w:rsidRPr="00A85B4F">
        <w:rPr>
          <w:rFonts w:cs="Times New Roman"/>
          <w:sz w:val="20"/>
          <w:szCs w:val="20"/>
        </w:rPr>
        <w:noBreakHyphen/>
        <w:t xml:space="preserve"> Whether s. 27 of Quebec </w:t>
      </w:r>
      <w:r w:rsidRPr="00A85B4F">
        <w:rPr>
          <w:rFonts w:cs="Times New Roman"/>
          <w:i/>
          <w:sz w:val="20"/>
          <w:szCs w:val="20"/>
        </w:rPr>
        <w:t>Charter of human rights</w:t>
      </w:r>
      <w:r w:rsidRPr="00A85B4F">
        <w:rPr>
          <w:rFonts w:cs="Times New Roman"/>
          <w:sz w:val="20"/>
          <w:szCs w:val="20"/>
        </w:rPr>
        <w:t xml:space="preserve"> must be interpreted restrictively and whether its purpose is only to protect accused persons’ fundamental right to dignity, to exclusion of their fundamental right to personal security and inviolability </w:t>
      </w:r>
      <w:r w:rsidRPr="00A85B4F">
        <w:rPr>
          <w:rFonts w:cs="Times New Roman"/>
          <w:sz w:val="20"/>
          <w:szCs w:val="20"/>
        </w:rPr>
        <w:noBreakHyphen/>
        <w:t xml:space="preserve"> Whether causal connection can be presumed between interference with accused person’s security and physical and psychological inviolability and concomitant violation of accused person’s right to be kept apart </w:t>
      </w:r>
      <w:r w:rsidRPr="00A85B4F">
        <w:rPr>
          <w:rFonts w:cs="Times New Roman"/>
          <w:sz w:val="20"/>
          <w:szCs w:val="20"/>
        </w:rPr>
        <w:noBreakHyphen/>
        <w:t xml:space="preserve"> Whether principle of contributory fault applies to violation of right guaranteed by s. 27 of Quebec </w:t>
      </w:r>
      <w:r w:rsidRPr="00A85B4F">
        <w:rPr>
          <w:rFonts w:cs="Times New Roman"/>
          <w:i/>
          <w:sz w:val="20"/>
          <w:szCs w:val="20"/>
        </w:rPr>
        <w:t>Charter of human rights</w:t>
      </w:r>
      <w:r w:rsidRPr="00A85B4F">
        <w:rPr>
          <w:rFonts w:cs="Times New Roman"/>
          <w:sz w:val="20"/>
          <w:szCs w:val="20"/>
        </w:rPr>
        <w:t xml:space="preserve"> </w:t>
      </w:r>
      <w:r w:rsidRPr="00A85B4F">
        <w:rPr>
          <w:rFonts w:cs="Times New Roman"/>
          <w:sz w:val="20"/>
          <w:szCs w:val="20"/>
        </w:rPr>
        <w:noBreakHyphen/>
        <w:t xml:space="preserve"> If violation of appellant’s right to be kept apart contributed to him being assaulted in place where his confinement was unlawful pursuant to s. 27, amount of compensatory material and moral damages owed to him by respondents </w:t>
      </w:r>
      <w:r w:rsidRPr="00A85B4F">
        <w:rPr>
          <w:rFonts w:cs="Times New Roman"/>
          <w:sz w:val="20"/>
          <w:szCs w:val="20"/>
        </w:rPr>
        <w:noBreakHyphen/>
        <w:t xml:space="preserve"> Whether </w:t>
      </w:r>
      <w:r w:rsidRPr="00A85B4F">
        <w:rPr>
          <w:rFonts w:cs="Times New Roman"/>
          <w:i/>
          <w:sz w:val="20"/>
          <w:szCs w:val="20"/>
        </w:rPr>
        <w:t>res ipsa loquitur</w:t>
      </w:r>
      <w:r w:rsidRPr="00A85B4F">
        <w:rPr>
          <w:rFonts w:cs="Times New Roman"/>
          <w:sz w:val="20"/>
          <w:szCs w:val="20"/>
        </w:rPr>
        <w:t xml:space="preserve"> applies to evidence of intrinsic indignity resulting from violation of right to be kept apart; if so, amount of appellant’s moral damages arising from such humiliation </w:t>
      </w:r>
      <w:r w:rsidRPr="00A85B4F">
        <w:rPr>
          <w:rFonts w:cs="Times New Roman"/>
          <w:sz w:val="20"/>
          <w:szCs w:val="20"/>
        </w:rPr>
        <w:noBreakHyphen/>
        <w:t xml:space="preserve"> Whether appellant’s right to be kept apart was violated wilfully, which would indicate wilfulness of intrinsic impairment of dignity resulting from fact that respondents intentionally treated him as guilty when he was presumed innocent </w:t>
      </w:r>
      <w:r w:rsidRPr="00A85B4F">
        <w:rPr>
          <w:rFonts w:cs="Times New Roman"/>
          <w:sz w:val="20"/>
          <w:szCs w:val="20"/>
        </w:rPr>
        <w:noBreakHyphen/>
        <w:t xml:space="preserve"> </w:t>
      </w:r>
      <w:r w:rsidRPr="00A85B4F">
        <w:rPr>
          <w:rFonts w:cs="Times New Roman"/>
          <w:i/>
          <w:iCs/>
          <w:sz w:val="20"/>
          <w:szCs w:val="20"/>
        </w:rPr>
        <w:t>Charter of human rights and freedoms</w:t>
      </w:r>
      <w:r w:rsidRPr="00A85B4F">
        <w:rPr>
          <w:rFonts w:cs="Times New Roman"/>
          <w:sz w:val="20"/>
          <w:szCs w:val="20"/>
        </w:rPr>
        <w:t>, R.S.Q. c. C</w:t>
      </w:r>
      <w:r w:rsidRPr="00A85B4F">
        <w:rPr>
          <w:rFonts w:cs="Times New Roman"/>
          <w:sz w:val="20"/>
          <w:szCs w:val="20"/>
        </w:rPr>
        <w:noBreakHyphen/>
        <w:t xml:space="preserve">12, s. 27 </w:t>
      </w:r>
      <w:r w:rsidRPr="00A85B4F">
        <w:rPr>
          <w:rFonts w:cs="Times New Roman"/>
          <w:sz w:val="20"/>
          <w:szCs w:val="20"/>
        </w:rPr>
        <w:noBreakHyphen/>
        <w:t xml:space="preserve"> </w:t>
      </w:r>
      <w:r w:rsidRPr="00A85B4F">
        <w:rPr>
          <w:rFonts w:cs="Times New Roman"/>
          <w:i/>
          <w:iCs/>
          <w:sz w:val="20"/>
          <w:szCs w:val="20"/>
        </w:rPr>
        <w:t>Act respecting correctional services</w:t>
      </w:r>
      <w:r w:rsidRPr="00A85B4F">
        <w:rPr>
          <w:rFonts w:cs="Times New Roman"/>
          <w:sz w:val="20"/>
          <w:szCs w:val="20"/>
        </w:rPr>
        <w:t>, R.S.Q. c. S</w:t>
      </w:r>
      <w:r w:rsidRPr="00A85B4F">
        <w:rPr>
          <w:rFonts w:cs="Times New Roman"/>
          <w:sz w:val="20"/>
          <w:szCs w:val="20"/>
        </w:rPr>
        <w:noBreakHyphen/>
        <w:t>4.01, s. 17.</w:t>
      </w:r>
    </w:p>
    <w:p w:rsidR="009C560C" w:rsidRPr="00A85B4F" w:rsidRDefault="009C560C" w:rsidP="009C560C">
      <w:pPr>
        <w:widowControl w:val="0"/>
        <w:jc w:val="both"/>
        <w:rPr>
          <w:rFonts w:cs="Times New Roman"/>
          <w:sz w:val="20"/>
          <w:szCs w:val="20"/>
        </w:rPr>
      </w:pPr>
    </w:p>
    <w:p w:rsidR="009C560C" w:rsidRPr="00A85B4F" w:rsidRDefault="009C560C" w:rsidP="009C560C">
      <w:pPr>
        <w:jc w:val="both"/>
        <w:rPr>
          <w:rFonts w:cs="Times New Roman"/>
          <w:sz w:val="20"/>
          <w:szCs w:val="20"/>
        </w:rPr>
      </w:pPr>
      <w:r w:rsidRPr="00A85B4F">
        <w:rPr>
          <w:rFonts w:cs="Times New Roman"/>
          <w:sz w:val="20"/>
          <w:szCs w:val="20"/>
        </w:rPr>
        <w:t>In August 2002, the appellant, a known businessman in L’Annonciation, was arrested and charged with sexual activity with a minor, possession of cannabis and assault.  He was released pending his trial but arrested again the following October 15 and charged with breaching his conditions.  He was then confined at the St</w:t>
      </w:r>
      <w:r w:rsidRPr="00A85B4F">
        <w:rPr>
          <w:rFonts w:cs="Times New Roman"/>
          <w:sz w:val="20"/>
          <w:szCs w:val="20"/>
        </w:rPr>
        <w:noBreakHyphen/>
        <w:t xml:space="preserve">Jérôme prison in an area containing fourteen inmates serving sentences as well as three other accused persons.  On the morning of October 16, some inmates received a newspaper in which the appellant was identified as a pedophile.  Shortly thereafter, he was beaten by several inmates and then treated in the health care centre.  After two months in confinement, the initial charges were dropped.  Mr. Sarrazin sued the public authorities for, </w:t>
      </w:r>
      <w:r w:rsidRPr="00A85B4F">
        <w:rPr>
          <w:rFonts w:cs="Times New Roman"/>
          <w:i/>
          <w:sz w:val="20"/>
          <w:szCs w:val="20"/>
        </w:rPr>
        <w:t>inter alia</w:t>
      </w:r>
      <w:r w:rsidRPr="00A85B4F">
        <w:rPr>
          <w:rFonts w:cs="Times New Roman"/>
          <w:sz w:val="20"/>
          <w:szCs w:val="20"/>
        </w:rPr>
        <w:t>, the violation of his right to be kept apart.</w:t>
      </w:r>
      <w:r w:rsidR="00460701" w:rsidRPr="00A85B4F">
        <w:rPr>
          <w:rFonts w:cs="Times New Roman"/>
          <w:sz w:val="20"/>
          <w:szCs w:val="20"/>
        </w:rPr>
        <w:fldChar w:fldCharType="begin"/>
      </w:r>
      <w:r w:rsidRPr="00A85B4F">
        <w:rPr>
          <w:rFonts w:cs="Times New Roman"/>
          <w:sz w:val="20"/>
          <w:szCs w:val="20"/>
        </w:rPr>
        <w:instrText xml:space="preserve"> SEQ CHAPTER \h \r 1</w:instrText>
      </w:r>
      <w:r w:rsidR="00460701" w:rsidRPr="00A85B4F">
        <w:rPr>
          <w:rFonts w:cs="Times New Roman"/>
          <w:sz w:val="20"/>
          <w:szCs w:val="20"/>
        </w:rPr>
        <w:fldChar w:fldCharType="end"/>
      </w:r>
      <w:r w:rsidRPr="00A85B4F">
        <w:rPr>
          <w:rFonts w:cs="Times New Roman"/>
          <w:sz w:val="20"/>
          <w:szCs w:val="20"/>
        </w:rPr>
        <w:t xml:space="preserve">  The Superior Court dismissed his action and the Court of Appeal affirmed that decision.</w:t>
      </w:r>
    </w:p>
    <w:p w:rsidR="009C560C" w:rsidRPr="00A85B4F" w:rsidRDefault="009C560C" w:rsidP="009C560C">
      <w:pPr>
        <w:widowControl w:val="0"/>
        <w:jc w:val="both"/>
        <w:rPr>
          <w:rFonts w:cs="Times New Roman"/>
          <w:sz w:val="20"/>
          <w:szCs w:val="20"/>
        </w:rPr>
      </w:pPr>
    </w:p>
    <w:p w:rsidR="009C560C" w:rsidRPr="00A85B4F" w:rsidRDefault="009C560C" w:rsidP="009C560C">
      <w:pPr>
        <w:widowControl w:val="0"/>
        <w:jc w:val="both"/>
        <w:rPr>
          <w:rFonts w:cs="Times New Roman"/>
          <w:sz w:val="20"/>
          <w:szCs w:val="20"/>
        </w:rPr>
      </w:pPr>
    </w:p>
    <w:p w:rsidR="009C560C" w:rsidRPr="00A85B4F" w:rsidRDefault="009C560C" w:rsidP="009C560C">
      <w:pPr>
        <w:widowControl w:val="0"/>
        <w:jc w:val="both"/>
        <w:rPr>
          <w:rFonts w:cs="Times New Roman"/>
          <w:sz w:val="20"/>
          <w:szCs w:val="20"/>
        </w:rPr>
      </w:pPr>
      <w:r w:rsidRPr="00A85B4F">
        <w:rPr>
          <w:rFonts w:cs="Times New Roman"/>
          <w:sz w:val="20"/>
          <w:szCs w:val="20"/>
        </w:rPr>
        <w:t>Origin of the case:</w:t>
      </w:r>
      <w:r w:rsidRPr="00A85B4F">
        <w:rPr>
          <w:rFonts w:cs="Times New Roman"/>
          <w:sz w:val="20"/>
          <w:szCs w:val="20"/>
        </w:rPr>
        <w:tab/>
      </w:r>
      <w:r w:rsidRPr="00A85B4F">
        <w:rPr>
          <w:rFonts w:cs="Times New Roman"/>
          <w:sz w:val="20"/>
          <w:szCs w:val="20"/>
        </w:rPr>
        <w:tab/>
      </w:r>
      <w:r w:rsidRPr="00A85B4F">
        <w:rPr>
          <w:rFonts w:cs="Times New Roman"/>
          <w:sz w:val="20"/>
          <w:szCs w:val="20"/>
        </w:rPr>
        <w:tab/>
        <w:t>Quebec</w:t>
      </w:r>
    </w:p>
    <w:p w:rsidR="009C560C" w:rsidRPr="00A85B4F" w:rsidRDefault="009C560C" w:rsidP="009C560C">
      <w:pPr>
        <w:widowControl w:val="0"/>
        <w:jc w:val="both"/>
        <w:rPr>
          <w:rFonts w:cs="Times New Roman"/>
          <w:sz w:val="20"/>
          <w:szCs w:val="20"/>
        </w:rPr>
      </w:pPr>
    </w:p>
    <w:p w:rsidR="009C560C" w:rsidRPr="00A85B4F" w:rsidRDefault="009C560C" w:rsidP="009C560C">
      <w:pPr>
        <w:widowControl w:val="0"/>
        <w:jc w:val="both"/>
        <w:rPr>
          <w:rFonts w:cs="Times New Roman"/>
          <w:sz w:val="20"/>
          <w:szCs w:val="20"/>
        </w:rPr>
      </w:pPr>
      <w:r w:rsidRPr="00A85B4F">
        <w:rPr>
          <w:rFonts w:cs="Times New Roman"/>
          <w:sz w:val="20"/>
          <w:szCs w:val="20"/>
        </w:rPr>
        <w:t>File No.:</w:t>
      </w:r>
      <w:r w:rsidRPr="00A85B4F">
        <w:rPr>
          <w:rFonts w:cs="Times New Roman"/>
          <w:sz w:val="20"/>
          <w:szCs w:val="20"/>
        </w:rPr>
        <w:tab/>
      </w:r>
      <w:r w:rsidRPr="00A85B4F">
        <w:rPr>
          <w:rFonts w:cs="Times New Roman"/>
          <w:sz w:val="20"/>
          <w:szCs w:val="20"/>
        </w:rPr>
        <w:tab/>
      </w:r>
      <w:r w:rsidRPr="00A85B4F">
        <w:rPr>
          <w:rFonts w:cs="Times New Roman"/>
          <w:sz w:val="20"/>
          <w:szCs w:val="20"/>
        </w:rPr>
        <w:tab/>
      </w:r>
      <w:r w:rsidRPr="00A85B4F">
        <w:rPr>
          <w:rFonts w:cs="Times New Roman"/>
          <w:sz w:val="20"/>
          <w:szCs w:val="20"/>
        </w:rPr>
        <w:tab/>
      </w:r>
      <w:r w:rsidRPr="00A85B4F">
        <w:rPr>
          <w:rFonts w:cs="Times New Roman"/>
          <w:sz w:val="20"/>
          <w:szCs w:val="20"/>
        </w:rPr>
        <w:tab/>
        <w:t>33793</w:t>
      </w:r>
    </w:p>
    <w:p w:rsidR="009C560C" w:rsidRPr="00A85B4F" w:rsidRDefault="009C560C" w:rsidP="009C560C">
      <w:pPr>
        <w:widowControl w:val="0"/>
        <w:jc w:val="both"/>
        <w:rPr>
          <w:rFonts w:cs="Times New Roman"/>
          <w:sz w:val="20"/>
          <w:szCs w:val="20"/>
        </w:rPr>
      </w:pPr>
    </w:p>
    <w:p w:rsidR="009C560C" w:rsidRPr="00A85B4F" w:rsidRDefault="009C560C" w:rsidP="009C560C">
      <w:pPr>
        <w:widowControl w:val="0"/>
        <w:jc w:val="both"/>
        <w:rPr>
          <w:rFonts w:cs="Times New Roman"/>
          <w:sz w:val="20"/>
          <w:szCs w:val="20"/>
        </w:rPr>
      </w:pPr>
      <w:r w:rsidRPr="00A85B4F">
        <w:rPr>
          <w:rFonts w:cs="Times New Roman"/>
          <w:sz w:val="20"/>
          <w:szCs w:val="20"/>
        </w:rPr>
        <w:t>Judgment of the Quebec Court of Appeal:</w:t>
      </w:r>
      <w:r w:rsidRPr="00A85B4F">
        <w:rPr>
          <w:rFonts w:cs="Times New Roman"/>
          <w:sz w:val="20"/>
          <w:szCs w:val="20"/>
        </w:rPr>
        <w:tab/>
        <w:t>May 21, 2010</w:t>
      </w:r>
    </w:p>
    <w:p w:rsidR="009C560C" w:rsidRPr="00A85B4F" w:rsidRDefault="009C560C" w:rsidP="009C560C">
      <w:pPr>
        <w:widowControl w:val="0"/>
        <w:jc w:val="both"/>
        <w:rPr>
          <w:rFonts w:cs="Times New Roman"/>
          <w:sz w:val="20"/>
          <w:szCs w:val="20"/>
        </w:rPr>
      </w:pPr>
    </w:p>
    <w:p w:rsidR="009C560C" w:rsidRPr="00A85B4F" w:rsidRDefault="009C560C" w:rsidP="009C560C">
      <w:pPr>
        <w:widowControl w:val="0"/>
        <w:jc w:val="both"/>
        <w:rPr>
          <w:rFonts w:cs="Times New Roman"/>
          <w:sz w:val="20"/>
          <w:szCs w:val="20"/>
        </w:rPr>
      </w:pPr>
      <w:r w:rsidRPr="00A85B4F">
        <w:rPr>
          <w:rFonts w:cs="Times New Roman"/>
          <w:sz w:val="20"/>
          <w:szCs w:val="20"/>
        </w:rPr>
        <w:t>Counsel:</w:t>
      </w:r>
      <w:r w:rsidRPr="00A85B4F">
        <w:rPr>
          <w:rFonts w:cs="Times New Roman"/>
          <w:sz w:val="20"/>
          <w:szCs w:val="20"/>
        </w:rPr>
        <w:tab/>
      </w:r>
      <w:r w:rsidRPr="00A85B4F">
        <w:rPr>
          <w:rFonts w:cs="Times New Roman"/>
          <w:sz w:val="20"/>
          <w:szCs w:val="20"/>
        </w:rPr>
        <w:tab/>
      </w:r>
      <w:r w:rsidRPr="00A85B4F">
        <w:rPr>
          <w:rFonts w:cs="Times New Roman"/>
          <w:sz w:val="20"/>
          <w:szCs w:val="20"/>
        </w:rPr>
        <w:tab/>
      </w:r>
      <w:r w:rsidRPr="00A85B4F">
        <w:rPr>
          <w:rFonts w:cs="Times New Roman"/>
          <w:sz w:val="20"/>
          <w:szCs w:val="20"/>
        </w:rPr>
        <w:tab/>
      </w:r>
      <w:r w:rsidRPr="00A85B4F">
        <w:rPr>
          <w:rFonts w:cs="Times New Roman"/>
          <w:sz w:val="20"/>
          <w:szCs w:val="20"/>
        </w:rPr>
        <w:tab/>
        <w:t>Jean</w:t>
      </w:r>
      <w:r w:rsidRPr="00A85B4F">
        <w:rPr>
          <w:rFonts w:cs="Times New Roman"/>
          <w:sz w:val="20"/>
          <w:szCs w:val="20"/>
        </w:rPr>
        <w:noBreakHyphen/>
        <w:t>René Maranda for the appellant</w:t>
      </w:r>
    </w:p>
    <w:p w:rsidR="009C560C" w:rsidRPr="00A85B4F" w:rsidRDefault="009C560C" w:rsidP="009C560C">
      <w:pPr>
        <w:widowControl w:val="0"/>
        <w:jc w:val="both"/>
        <w:rPr>
          <w:rFonts w:cs="Times New Roman"/>
          <w:sz w:val="20"/>
          <w:szCs w:val="20"/>
        </w:rPr>
      </w:pPr>
      <w:r w:rsidRPr="00A85B4F">
        <w:rPr>
          <w:rFonts w:cs="Times New Roman"/>
          <w:sz w:val="20"/>
          <w:szCs w:val="20"/>
        </w:rPr>
        <w:tab/>
      </w:r>
      <w:r w:rsidRPr="00A85B4F">
        <w:rPr>
          <w:rFonts w:cs="Times New Roman"/>
          <w:sz w:val="20"/>
          <w:szCs w:val="20"/>
        </w:rPr>
        <w:tab/>
      </w:r>
      <w:r w:rsidRPr="00A85B4F">
        <w:rPr>
          <w:rFonts w:cs="Times New Roman"/>
          <w:sz w:val="20"/>
          <w:szCs w:val="20"/>
        </w:rPr>
        <w:tab/>
      </w:r>
      <w:r w:rsidRPr="00A85B4F">
        <w:rPr>
          <w:rFonts w:cs="Times New Roman"/>
          <w:sz w:val="20"/>
          <w:szCs w:val="20"/>
        </w:rPr>
        <w:tab/>
      </w:r>
      <w:r w:rsidRPr="00A85B4F">
        <w:rPr>
          <w:rFonts w:cs="Times New Roman"/>
          <w:sz w:val="20"/>
          <w:szCs w:val="20"/>
        </w:rPr>
        <w:tab/>
        <w:t>Denise Robillard and Jean</w:t>
      </w:r>
      <w:r w:rsidRPr="00A85B4F">
        <w:rPr>
          <w:rFonts w:cs="Times New Roman"/>
          <w:sz w:val="20"/>
          <w:szCs w:val="20"/>
        </w:rPr>
        <w:noBreakHyphen/>
        <w:t>Yves Bernard for the respondents</w:t>
      </w:r>
    </w:p>
    <w:p w:rsidR="00201497" w:rsidRPr="009C560C" w:rsidRDefault="00201497">
      <w:pPr>
        <w:rPr>
          <w:sz w:val="20"/>
          <w:szCs w:val="20"/>
        </w:rPr>
      </w:pPr>
    </w:p>
    <w:p w:rsidR="00201497" w:rsidRDefault="00460701">
      <w:pPr>
        <w:rPr>
          <w:sz w:val="20"/>
          <w:szCs w:val="20"/>
          <w:lang w:val="fr-CA"/>
        </w:rPr>
      </w:pPr>
      <w:r w:rsidRPr="00460701">
        <w:rPr>
          <w:sz w:val="20"/>
          <w:szCs w:val="20"/>
          <w:lang w:val="fr-CA"/>
        </w:rPr>
        <w:pict>
          <v:rect id="_x0000_i1099" style="width:2in;height:1pt" o:hrpct="0" o:hralign="center" o:hrstd="t" o:hrnoshade="t" o:hr="t" fillcolor="black [3213]" stroked="f"/>
        </w:pict>
      </w:r>
    </w:p>
    <w:p w:rsidR="00201497" w:rsidRDefault="00201497">
      <w:pPr>
        <w:rPr>
          <w:sz w:val="20"/>
          <w:szCs w:val="20"/>
          <w:lang w:val="fr-CA"/>
        </w:rPr>
      </w:pPr>
    </w:p>
    <w:p w:rsidR="00201497" w:rsidRDefault="00201497">
      <w:pPr>
        <w:rPr>
          <w:sz w:val="20"/>
          <w:szCs w:val="20"/>
          <w:lang w:val="fr-CA"/>
        </w:rPr>
      </w:pPr>
      <w:r>
        <w:rPr>
          <w:sz w:val="20"/>
          <w:szCs w:val="20"/>
          <w:lang w:val="fr-CA"/>
        </w:rPr>
        <w:br w:type="page"/>
      </w:r>
    </w:p>
    <w:p w:rsidR="009C560C" w:rsidRPr="00A85B4F" w:rsidRDefault="00460701" w:rsidP="009C560C">
      <w:pPr>
        <w:widowControl w:val="0"/>
        <w:ind w:left="720" w:hanging="720"/>
        <w:jc w:val="both"/>
        <w:rPr>
          <w:rFonts w:cs="Times New Roman"/>
          <w:sz w:val="20"/>
          <w:szCs w:val="20"/>
          <w:lang w:val="fr-CA"/>
        </w:rPr>
      </w:pPr>
      <w:r w:rsidRPr="00460701">
        <w:rPr>
          <w:rFonts w:cs="Times New Roman"/>
          <w:b/>
          <w:sz w:val="20"/>
          <w:szCs w:val="20"/>
          <w:lang w:val="fr-CA"/>
        </w:rPr>
        <w:lastRenderedPageBreak/>
        <w:fldChar w:fldCharType="begin"/>
      </w:r>
      <w:r w:rsidR="009C560C" w:rsidRPr="009C560C">
        <w:rPr>
          <w:rFonts w:cs="Times New Roman"/>
          <w:b/>
          <w:sz w:val="20"/>
          <w:szCs w:val="20"/>
          <w:lang w:val="fr-CA"/>
        </w:rPr>
        <w:instrText xml:space="preserve"> SEQ CHAPTER \h \r 1</w:instrText>
      </w:r>
      <w:r w:rsidRPr="00A85B4F">
        <w:rPr>
          <w:rFonts w:cs="Times New Roman"/>
          <w:b/>
          <w:sz w:val="20"/>
          <w:szCs w:val="20"/>
        </w:rPr>
        <w:fldChar w:fldCharType="end"/>
      </w:r>
      <w:r w:rsidR="009C560C" w:rsidRPr="009C560C">
        <w:rPr>
          <w:rFonts w:cs="Times New Roman"/>
          <w:b/>
          <w:sz w:val="20"/>
          <w:szCs w:val="20"/>
          <w:lang w:val="fr-CA"/>
        </w:rPr>
        <w:t>33793</w:t>
      </w:r>
      <w:r w:rsidR="009C560C" w:rsidRPr="009C560C">
        <w:rPr>
          <w:rFonts w:cs="Times New Roman"/>
          <w:sz w:val="20"/>
          <w:szCs w:val="20"/>
          <w:lang w:val="fr-CA"/>
        </w:rPr>
        <w:tab/>
      </w:r>
      <w:r w:rsidR="009C560C" w:rsidRPr="009C560C">
        <w:rPr>
          <w:rFonts w:cs="Times New Roman"/>
          <w:b/>
          <w:i/>
          <w:sz w:val="20"/>
          <w:szCs w:val="20"/>
          <w:lang w:val="fr-CA"/>
        </w:rPr>
        <w:t xml:space="preserve">Johan Sarrazin c. Procureur général du </w:t>
      </w:r>
      <w:r w:rsidR="009C560C" w:rsidRPr="00A85B4F">
        <w:rPr>
          <w:rFonts w:cs="Times New Roman"/>
          <w:b/>
          <w:i/>
          <w:sz w:val="20"/>
          <w:szCs w:val="20"/>
          <w:lang w:val="fr-CA"/>
        </w:rPr>
        <w:t>Québec, Ministère de la sécurité publique et Établissement de détention de St</w:t>
      </w:r>
      <w:r w:rsidR="009C560C" w:rsidRPr="00A85B4F">
        <w:rPr>
          <w:rFonts w:cs="Times New Roman"/>
          <w:b/>
          <w:i/>
          <w:sz w:val="20"/>
          <w:szCs w:val="20"/>
          <w:lang w:val="fr-CA"/>
        </w:rPr>
        <w:noBreakHyphen/>
        <w:t>Jérôme</w:t>
      </w:r>
    </w:p>
    <w:p w:rsidR="009C560C" w:rsidRPr="00A85B4F" w:rsidRDefault="009C560C" w:rsidP="009C560C">
      <w:pPr>
        <w:widowControl w:val="0"/>
        <w:jc w:val="both"/>
        <w:rPr>
          <w:rFonts w:cs="Times New Roman"/>
          <w:sz w:val="20"/>
          <w:szCs w:val="20"/>
          <w:lang w:val="fr-CA"/>
        </w:rPr>
      </w:pPr>
    </w:p>
    <w:p w:rsidR="009C560C" w:rsidRPr="00A85B4F" w:rsidRDefault="009C560C" w:rsidP="009C560C">
      <w:pPr>
        <w:widowControl w:val="0"/>
        <w:jc w:val="both"/>
        <w:rPr>
          <w:rFonts w:cs="Times New Roman"/>
          <w:sz w:val="20"/>
          <w:szCs w:val="20"/>
          <w:lang w:val="fr-CA"/>
        </w:rPr>
      </w:pPr>
      <w:r w:rsidRPr="00A85B4F">
        <w:rPr>
          <w:rFonts w:cs="Times New Roman"/>
          <w:sz w:val="20"/>
          <w:szCs w:val="20"/>
          <w:lang w:val="fr-CA"/>
        </w:rPr>
        <w:t xml:space="preserve">Droits de la personne </w:t>
      </w:r>
      <w:r w:rsidRPr="00A85B4F">
        <w:rPr>
          <w:rFonts w:cs="Times New Roman"/>
          <w:sz w:val="20"/>
          <w:szCs w:val="20"/>
          <w:lang w:val="fr-CA"/>
        </w:rPr>
        <w:noBreakHyphen/>
        <w:t xml:space="preserve"> Droit à la détention séparée </w:t>
      </w:r>
      <w:r w:rsidRPr="00A85B4F">
        <w:rPr>
          <w:rFonts w:cs="Times New Roman"/>
          <w:sz w:val="20"/>
          <w:szCs w:val="20"/>
          <w:lang w:val="fr-CA"/>
        </w:rPr>
        <w:noBreakHyphen/>
        <w:t xml:space="preserve"> Fardeau de preuve en cas d’atteinte </w:t>
      </w:r>
      <w:r w:rsidRPr="00A85B4F">
        <w:rPr>
          <w:rFonts w:cs="Times New Roman"/>
          <w:sz w:val="20"/>
          <w:szCs w:val="20"/>
          <w:lang w:val="fr-CA"/>
        </w:rPr>
        <w:noBreakHyphen/>
        <w:t xml:space="preserve"> Accusé incarcéré avec des prisonniers </w:t>
      </w:r>
      <w:r w:rsidRPr="00A85B4F">
        <w:rPr>
          <w:rFonts w:cs="Times New Roman"/>
          <w:sz w:val="20"/>
          <w:szCs w:val="20"/>
          <w:lang w:val="fr-CA"/>
        </w:rPr>
        <w:noBreakHyphen/>
        <w:t xml:space="preserve"> Rumeur de pédophilie suivie d’agression </w:t>
      </w:r>
      <w:r w:rsidRPr="00A85B4F">
        <w:rPr>
          <w:rFonts w:cs="Times New Roman"/>
          <w:sz w:val="20"/>
          <w:szCs w:val="20"/>
          <w:lang w:val="fr-CA"/>
        </w:rPr>
        <w:noBreakHyphen/>
        <w:t xml:space="preserve"> Détention prolongée puis abandon des accusations initiales </w:t>
      </w:r>
      <w:r w:rsidRPr="00A85B4F">
        <w:rPr>
          <w:rFonts w:cs="Times New Roman"/>
          <w:sz w:val="20"/>
          <w:szCs w:val="20"/>
          <w:lang w:val="fr-CA"/>
        </w:rPr>
        <w:noBreakHyphen/>
        <w:t xml:space="preserve"> Action en dommages</w:t>
      </w:r>
      <w:r w:rsidRPr="00A85B4F">
        <w:rPr>
          <w:rFonts w:cs="Times New Roman"/>
          <w:sz w:val="20"/>
          <w:szCs w:val="20"/>
          <w:lang w:val="fr-CA"/>
        </w:rPr>
        <w:noBreakHyphen/>
        <w:t xml:space="preserve">intérêts </w:t>
      </w:r>
      <w:r w:rsidRPr="00A85B4F">
        <w:rPr>
          <w:rFonts w:cs="Times New Roman"/>
          <w:sz w:val="20"/>
          <w:szCs w:val="20"/>
          <w:lang w:val="fr-CA"/>
        </w:rPr>
        <w:noBreakHyphen/>
        <w:t xml:space="preserve"> Faut</w:t>
      </w:r>
      <w:r w:rsidRPr="00A85B4F">
        <w:rPr>
          <w:rFonts w:cs="Times New Roman"/>
          <w:sz w:val="20"/>
          <w:szCs w:val="20"/>
          <w:lang w:val="fr-CA"/>
        </w:rPr>
        <w:noBreakHyphen/>
        <w:t xml:space="preserve">il interpréter restrictivement l’art. 27 de la </w:t>
      </w:r>
      <w:r w:rsidRPr="00A85B4F">
        <w:rPr>
          <w:rFonts w:cs="Times New Roman"/>
          <w:i/>
          <w:sz w:val="20"/>
          <w:szCs w:val="20"/>
          <w:lang w:val="fr-CA"/>
        </w:rPr>
        <w:t>Charte des droits</w:t>
      </w:r>
      <w:r w:rsidRPr="00A85B4F">
        <w:rPr>
          <w:rFonts w:cs="Times New Roman"/>
          <w:sz w:val="20"/>
          <w:szCs w:val="20"/>
          <w:lang w:val="fr-CA"/>
        </w:rPr>
        <w:t xml:space="preserve"> québécoise et vise</w:t>
      </w:r>
      <w:r w:rsidRPr="00A85B4F">
        <w:rPr>
          <w:rFonts w:cs="Times New Roman"/>
          <w:sz w:val="20"/>
          <w:szCs w:val="20"/>
          <w:lang w:val="fr-CA"/>
        </w:rPr>
        <w:noBreakHyphen/>
        <w:t>t</w:t>
      </w:r>
      <w:r w:rsidRPr="00A85B4F">
        <w:rPr>
          <w:rFonts w:cs="Times New Roman"/>
          <w:sz w:val="20"/>
          <w:szCs w:val="20"/>
          <w:lang w:val="fr-CA"/>
        </w:rPr>
        <w:noBreakHyphen/>
        <w:t xml:space="preserve">il seulement la protection du droit fondamental à la dignité des prévenus, à l’exclusion de leurs droits fondamentaux à la sûreté et à l’intégrité de leur personne? </w:t>
      </w:r>
      <w:r w:rsidRPr="00A85B4F">
        <w:rPr>
          <w:rFonts w:cs="Times New Roman"/>
          <w:sz w:val="20"/>
          <w:szCs w:val="20"/>
          <w:lang w:val="fr-CA"/>
        </w:rPr>
        <w:noBreakHyphen/>
        <w:t xml:space="preserve"> Peut</w:t>
      </w:r>
      <w:r w:rsidRPr="00A85B4F">
        <w:rPr>
          <w:rFonts w:cs="Times New Roman"/>
          <w:sz w:val="20"/>
          <w:szCs w:val="20"/>
          <w:lang w:val="fr-CA"/>
        </w:rPr>
        <w:noBreakHyphen/>
        <w:t xml:space="preserve">on présumer qu’il existe un lien de causalité entre une atteinte à la sûreté et à l’intégrité physique et psychologique d’un prévenu et la violation concomitante de son droit à la détention séparée? </w:t>
      </w:r>
      <w:r w:rsidRPr="00A85B4F">
        <w:rPr>
          <w:rFonts w:cs="Times New Roman"/>
          <w:sz w:val="20"/>
          <w:szCs w:val="20"/>
          <w:lang w:val="fr-CA"/>
        </w:rPr>
        <w:noBreakHyphen/>
        <w:t xml:space="preserve"> Le principe de la faute contributoire s’applique</w:t>
      </w:r>
      <w:r w:rsidRPr="00A85B4F">
        <w:rPr>
          <w:rFonts w:cs="Times New Roman"/>
          <w:sz w:val="20"/>
          <w:szCs w:val="20"/>
          <w:lang w:val="fr-CA"/>
        </w:rPr>
        <w:noBreakHyphen/>
        <w:t>t</w:t>
      </w:r>
      <w:r w:rsidRPr="00A85B4F">
        <w:rPr>
          <w:rFonts w:cs="Times New Roman"/>
          <w:sz w:val="20"/>
          <w:szCs w:val="20"/>
          <w:lang w:val="fr-CA"/>
        </w:rPr>
        <w:noBreakHyphen/>
        <w:t xml:space="preserve">il à une contravention au droit garanti audit article 27? </w:t>
      </w:r>
      <w:r w:rsidRPr="00A85B4F">
        <w:rPr>
          <w:rFonts w:cs="Times New Roman"/>
          <w:sz w:val="20"/>
          <w:szCs w:val="20"/>
          <w:lang w:val="fr-CA"/>
        </w:rPr>
        <w:noBreakHyphen/>
        <w:t xml:space="preserve"> Si la violation du droit de l’appelant à la détention séparée a contribué à causer l’assaut dont il a été victime, à l’endroit où les dispositions de l’article 27 rendaient sa détention illégale, quel montant de dommages compensatoires matériels et moraux les défendeurs doivent</w:t>
      </w:r>
      <w:r w:rsidRPr="00A85B4F">
        <w:rPr>
          <w:rFonts w:cs="Times New Roman"/>
          <w:sz w:val="20"/>
          <w:szCs w:val="20"/>
          <w:lang w:val="fr-CA"/>
        </w:rPr>
        <w:noBreakHyphen/>
        <w:t xml:space="preserve">ils lui verser? </w:t>
      </w:r>
      <w:r w:rsidRPr="00A85B4F">
        <w:rPr>
          <w:rFonts w:cs="Times New Roman"/>
          <w:sz w:val="20"/>
          <w:szCs w:val="20"/>
          <w:lang w:val="fr-CA"/>
        </w:rPr>
        <w:noBreakHyphen/>
        <w:t xml:space="preserve"> La maxime </w:t>
      </w:r>
      <w:r w:rsidRPr="00A85B4F">
        <w:rPr>
          <w:rFonts w:cs="Times New Roman"/>
          <w:i/>
          <w:sz w:val="20"/>
          <w:szCs w:val="20"/>
          <w:lang w:val="fr-CA"/>
        </w:rPr>
        <w:t>res ipsa loquitur</w:t>
      </w:r>
      <w:r w:rsidRPr="00A85B4F">
        <w:rPr>
          <w:rFonts w:cs="Times New Roman"/>
          <w:sz w:val="20"/>
          <w:szCs w:val="20"/>
          <w:lang w:val="fr-CA"/>
        </w:rPr>
        <w:t xml:space="preserve"> s’applique</w:t>
      </w:r>
      <w:r w:rsidRPr="00A85B4F">
        <w:rPr>
          <w:rFonts w:cs="Times New Roman"/>
          <w:sz w:val="20"/>
          <w:szCs w:val="20"/>
          <w:lang w:val="fr-CA"/>
        </w:rPr>
        <w:noBreakHyphen/>
        <w:t>t</w:t>
      </w:r>
      <w:r w:rsidRPr="00A85B4F">
        <w:rPr>
          <w:rFonts w:cs="Times New Roman"/>
          <w:sz w:val="20"/>
          <w:szCs w:val="20"/>
          <w:lang w:val="fr-CA"/>
        </w:rPr>
        <w:noBreakHyphen/>
        <w:t xml:space="preserve">elle à la preuve de l’indignité intrinsèque qui résulte de la violation dudit droit à la détention séparée; si oui quel est le montant des dommages moraux que l’appelant a subis par cette humiliation? </w:t>
      </w:r>
      <w:r w:rsidRPr="00A85B4F">
        <w:rPr>
          <w:rFonts w:cs="Times New Roman"/>
          <w:sz w:val="20"/>
          <w:szCs w:val="20"/>
          <w:lang w:val="fr-CA"/>
        </w:rPr>
        <w:noBreakHyphen/>
        <w:t xml:space="preserve"> La violation du droit de l’appelant à la détention séparée était</w:t>
      </w:r>
      <w:r w:rsidRPr="00A85B4F">
        <w:rPr>
          <w:rFonts w:cs="Times New Roman"/>
          <w:sz w:val="20"/>
          <w:szCs w:val="20"/>
          <w:lang w:val="fr-CA"/>
        </w:rPr>
        <w:noBreakHyphen/>
        <w:t xml:space="preserve">elle volontaire, ce qui rendrait volontaire l’atteinte intrinsèque à la dignité qui résulte du fait que les défendeurs l’ont volontairement traité comme un coupable, quant il était présumé innocent? </w:t>
      </w:r>
      <w:r w:rsidRPr="00A85B4F">
        <w:rPr>
          <w:rFonts w:cs="Times New Roman"/>
          <w:sz w:val="20"/>
          <w:szCs w:val="20"/>
          <w:lang w:val="fr-CA"/>
        </w:rPr>
        <w:noBreakHyphen/>
        <w:t xml:space="preserve"> </w:t>
      </w:r>
      <w:r w:rsidRPr="00A85B4F">
        <w:rPr>
          <w:rFonts w:cs="Times New Roman"/>
          <w:i/>
          <w:iCs/>
          <w:sz w:val="20"/>
          <w:szCs w:val="20"/>
          <w:lang w:val="fr-CA"/>
        </w:rPr>
        <w:t>Charte des droits et libertés de la personne</w:t>
      </w:r>
      <w:r w:rsidRPr="00A85B4F">
        <w:rPr>
          <w:rFonts w:cs="Times New Roman"/>
          <w:sz w:val="20"/>
          <w:szCs w:val="20"/>
          <w:lang w:val="fr-CA"/>
        </w:rPr>
        <w:t>, L.R.Q. ch. C</w:t>
      </w:r>
      <w:r w:rsidRPr="00A85B4F">
        <w:rPr>
          <w:rFonts w:cs="Times New Roman"/>
          <w:sz w:val="20"/>
          <w:szCs w:val="20"/>
          <w:lang w:val="fr-CA"/>
        </w:rPr>
        <w:noBreakHyphen/>
        <w:t xml:space="preserve">12, art. 27 </w:t>
      </w:r>
      <w:r w:rsidRPr="00A85B4F">
        <w:rPr>
          <w:rFonts w:cs="Times New Roman"/>
          <w:sz w:val="20"/>
          <w:szCs w:val="20"/>
          <w:lang w:val="fr-CA"/>
        </w:rPr>
        <w:noBreakHyphen/>
        <w:t xml:space="preserve"> </w:t>
      </w:r>
      <w:r w:rsidRPr="00A85B4F">
        <w:rPr>
          <w:rFonts w:cs="Times New Roman"/>
          <w:i/>
          <w:iCs/>
          <w:sz w:val="20"/>
          <w:szCs w:val="20"/>
          <w:lang w:val="fr-CA"/>
        </w:rPr>
        <w:t>Loi sur les services correctionnels</w:t>
      </w:r>
      <w:r w:rsidRPr="00A85B4F">
        <w:rPr>
          <w:rFonts w:cs="Times New Roman"/>
          <w:sz w:val="20"/>
          <w:szCs w:val="20"/>
          <w:lang w:val="fr-CA"/>
        </w:rPr>
        <w:t>, L.R.Q. ch. S</w:t>
      </w:r>
      <w:r w:rsidRPr="00A85B4F">
        <w:rPr>
          <w:rFonts w:cs="Times New Roman"/>
          <w:sz w:val="20"/>
          <w:szCs w:val="20"/>
          <w:lang w:val="fr-CA"/>
        </w:rPr>
        <w:noBreakHyphen/>
        <w:t>4.01, art. 17.</w:t>
      </w:r>
    </w:p>
    <w:p w:rsidR="009C560C" w:rsidRPr="00A85B4F" w:rsidRDefault="009C560C" w:rsidP="009C560C">
      <w:pPr>
        <w:widowControl w:val="0"/>
        <w:jc w:val="both"/>
        <w:rPr>
          <w:rFonts w:cs="Times New Roman"/>
          <w:sz w:val="20"/>
          <w:szCs w:val="20"/>
          <w:lang w:val="fr-CA"/>
        </w:rPr>
      </w:pPr>
    </w:p>
    <w:p w:rsidR="009C560C" w:rsidRPr="00A85B4F" w:rsidRDefault="00460701" w:rsidP="009C560C">
      <w:pPr>
        <w:jc w:val="both"/>
        <w:rPr>
          <w:rFonts w:cs="Times New Roman"/>
          <w:sz w:val="20"/>
          <w:szCs w:val="20"/>
          <w:lang w:val="fr-CA"/>
        </w:rPr>
      </w:pPr>
      <w:r w:rsidRPr="00A85B4F">
        <w:rPr>
          <w:rFonts w:cs="Times New Roman"/>
          <w:sz w:val="20"/>
          <w:szCs w:val="20"/>
        </w:rPr>
        <w:fldChar w:fldCharType="begin"/>
      </w:r>
      <w:r w:rsidR="009C560C" w:rsidRPr="00A85B4F">
        <w:rPr>
          <w:rFonts w:cs="Times New Roman"/>
          <w:sz w:val="20"/>
          <w:szCs w:val="20"/>
          <w:lang w:val="fr-FR"/>
        </w:rPr>
        <w:instrText xml:space="preserve"> SEQ CHAPTER \h \r 1</w:instrText>
      </w:r>
      <w:r w:rsidRPr="00A85B4F">
        <w:rPr>
          <w:rFonts w:cs="Times New Roman"/>
          <w:sz w:val="20"/>
          <w:szCs w:val="20"/>
        </w:rPr>
        <w:fldChar w:fldCharType="end"/>
      </w:r>
      <w:r w:rsidR="009C560C" w:rsidRPr="00A85B4F">
        <w:rPr>
          <w:rFonts w:cs="Times New Roman"/>
          <w:sz w:val="20"/>
          <w:szCs w:val="20"/>
          <w:lang w:val="fr-CA"/>
        </w:rPr>
        <w:t>En août 2002, l’appelant, homme d’affaires connu dans L’Annonciation, est arrêté et accusé d’actes sexuels avec un mineur, possession de cannabis et voies de fait.  Remis en liberté dans l’attente de son procès, il est arrêté de nouveau le 15 octobre suivant et accusé de bris des conditions.  Il est alors incarcéré à la prison de St</w:t>
      </w:r>
      <w:r w:rsidR="009C560C" w:rsidRPr="00A85B4F">
        <w:rPr>
          <w:rFonts w:cs="Times New Roman"/>
          <w:sz w:val="20"/>
          <w:szCs w:val="20"/>
          <w:lang w:val="fr-CA"/>
        </w:rPr>
        <w:noBreakHyphen/>
        <w:t>Jérôme, dans un secteur où se trouvent quatorze détenus purgeant leur peine ainsi que trois autres prévenus.  Le matin du 16 octobre, des détenus reçoivent un journal où le demandeur est identifié comme pédophile.  Peu après, il est battu par plusieurs détenus puis soigné à l’infirmerie.  Après deux mois de détention, les accusations initiales sont abandonnées.  M. Sarrazin poursuit les autorités publiques, notamment pour n’avoir pas respecté son droit à la détention séparée.  La Cour supérieure rejette l’action du demandeur et la Cour d’appel confirme cette décision.</w:t>
      </w:r>
    </w:p>
    <w:p w:rsidR="009C560C" w:rsidRPr="00A85B4F" w:rsidRDefault="009C560C" w:rsidP="009C560C">
      <w:pPr>
        <w:widowControl w:val="0"/>
        <w:jc w:val="both"/>
        <w:rPr>
          <w:rFonts w:cs="Times New Roman"/>
          <w:sz w:val="20"/>
          <w:szCs w:val="20"/>
          <w:lang w:val="fr-CA"/>
        </w:rPr>
      </w:pPr>
    </w:p>
    <w:p w:rsidR="009C560C" w:rsidRPr="00A85B4F" w:rsidRDefault="009C560C" w:rsidP="009C560C">
      <w:pPr>
        <w:widowControl w:val="0"/>
        <w:jc w:val="both"/>
        <w:rPr>
          <w:rFonts w:cs="Times New Roman"/>
          <w:sz w:val="20"/>
          <w:szCs w:val="20"/>
          <w:lang w:val="fr-CA"/>
        </w:rPr>
      </w:pPr>
    </w:p>
    <w:p w:rsidR="009C560C" w:rsidRPr="00A85B4F" w:rsidRDefault="009C560C" w:rsidP="009C560C">
      <w:pPr>
        <w:widowControl w:val="0"/>
        <w:jc w:val="both"/>
        <w:rPr>
          <w:rFonts w:cs="Times New Roman"/>
          <w:sz w:val="20"/>
          <w:szCs w:val="20"/>
          <w:lang w:val="fr-CA"/>
        </w:rPr>
      </w:pPr>
      <w:r w:rsidRPr="00A85B4F">
        <w:rPr>
          <w:rFonts w:cs="Times New Roman"/>
          <w:sz w:val="20"/>
          <w:szCs w:val="20"/>
          <w:lang w:val="fr-CA"/>
        </w:rPr>
        <w:t>Origine :</w:t>
      </w:r>
      <w:r w:rsidRPr="00A85B4F">
        <w:rPr>
          <w:rFonts w:cs="Times New Roman"/>
          <w:sz w:val="20"/>
          <w:szCs w:val="20"/>
          <w:lang w:val="fr-CA"/>
        </w:rPr>
        <w:tab/>
      </w:r>
      <w:r w:rsidRPr="00A85B4F">
        <w:rPr>
          <w:rFonts w:cs="Times New Roman"/>
          <w:sz w:val="20"/>
          <w:szCs w:val="20"/>
          <w:lang w:val="fr-CA"/>
        </w:rPr>
        <w:tab/>
      </w:r>
      <w:r w:rsidRPr="00A85B4F">
        <w:rPr>
          <w:rFonts w:cs="Times New Roman"/>
          <w:sz w:val="20"/>
          <w:szCs w:val="20"/>
          <w:lang w:val="fr-CA"/>
        </w:rPr>
        <w:tab/>
      </w:r>
      <w:r w:rsidRPr="00A85B4F">
        <w:rPr>
          <w:rFonts w:cs="Times New Roman"/>
          <w:sz w:val="20"/>
          <w:szCs w:val="20"/>
          <w:lang w:val="fr-CA"/>
        </w:rPr>
        <w:tab/>
      </w:r>
      <w:r w:rsidRPr="00A85B4F">
        <w:rPr>
          <w:rFonts w:cs="Times New Roman"/>
          <w:sz w:val="20"/>
          <w:szCs w:val="20"/>
          <w:lang w:val="fr-CA"/>
        </w:rPr>
        <w:tab/>
        <w:t>Québec</w:t>
      </w:r>
    </w:p>
    <w:p w:rsidR="009C560C" w:rsidRPr="00A85B4F" w:rsidRDefault="009C560C" w:rsidP="009C560C">
      <w:pPr>
        <w:widowControl w:val="0"/>
        <w:jc w:val="both"/>
        <w:rPr>
          <w:rFonts w:cs="Times New Roman"/>
          <w:sz w:val="20"/>
          <w:szCs w:val="20"/>
          <w:lang w:val="fr-CA"/>
        </w:rPr>
      </w:pPr>
    </w:p>
    <w:p w:rsidR="009C560C" w:rsidRPr="00A85B4F" w:rsidRDefault="009C560C" w:rsidP="009C560C">
      <w:pPr>
        <w:widowControl w:val="0"/>
        <w:jc w:val="both"/>
        <w:rPr>
          <w:rFonts w:cs="Times New Roman"/>
          <w:sz w:val="20"/>
          <w:szCs w:val="20"/>
          <w:lang w:val="fr-CA"/>
        </w:rPr>
      </w:pPr>
      <w:r w:rsidRPr="00A85B4F">
        <w:rPr>
          <w:rFonts w:cs="Times New Roman"/>
          <w:sz w:val="20"/>
          <w:szCs w:val="20"/>
          <w:lang w:val="fr-CA"/>
        </w:rPr>
        <w:t>N</w:t>
      </w:r>
      <w:r w:rsidRPr="00A85B4F">
        <w:rPr>
          <w:rFonts w:cs="Times New Roman"/>
          <w:sz w:val="20"/>
          <w:szCs w:val="20"/>
          <w:vertAlign w:val="superscript"/>
          <w:lang w:val="fr-CA"/>
        </w:rPr>
        <w:t>o</w:t>
      </w:r>
      <w:r w:rsidRPr="00A85B4F">
        <w:rPr>
          <w:rFonts w:cs="Times New Roman"/>
          <w:sz w:val="20"/>
          <w:szCs w:val="20"/>
          <w:lang w:val="fr-CA"/>
        </w:rPr>
        <w:t xml:space="preserve"> du greffe :</w:t>
      </w:r>
      <w:r w:rsidRPr="00A85B4F">
        <w:rPr>
          <w:rFonts w:cs="Times New Roman"/>
          <w:sz w:val="20"/>
          <w:szCs w:val="20"/>
          <w:lang w:val="fr-CA"/>
        </w:rPr>
        <w:tab/>
      </w:r>
      <w:r w:rsidRPr="00A85B4F">
        <w:rPr>
          <w:rFonts w:cs="Times New Roman"/>
          <w:sz w:val="20"/>
          <w:szCs w:val="20"/>
          <w:lang w:val="fr-CA"/>
        </w:rPr>
        <w:tab/>
      </w:r>
      <w:r w:rsidRPr="00A85B4F">
        <w:rPr>
          <w:rFonts w:cs="Times New Roman"/>
          <w:sz w:val="20"/>
          <w:szCs w:val="20"/>
          <w:lang w:val="fr-CA"/>
        </w:rPr>
        <w:tab/>
      </w:r>
      <w:r w:rsidRPr="00A85B4F">
        <w:rPr>
          <w:rFonts w:cs="Times New Roman"/>
          <w:sz w:val="20"/>
          <w:szCs w:val="20"/>
          <w:lang w:val="fr-CA"/>
        </w:rPr>
        <w:tab/>
        <w:t>33793</w:t>
      </w:r>
    </w:p>
    <w:p w:rsidR="009C560C" w:rsidRPr="00A85B4F" w:rsidRDefault="009C560C" w:rsidP="009C560C">
      <w:pPr>
        <w:widowControl w:val="0"/>
        <w:jc w:val="both"/>
        <w:rPr>
          <w:rFonts w:cs="Times New Roman"/>
          <w:sz w:val="20"/>
          <w:szCs w:val="20"/>
          <w:lang w:val="fr-CA"/>
        </w:rPr>
      </w:pPr>
    </w:p>
    <w:p w:rsidR="009C560C" w:rsidRPr="00A85B4F" w:rsidRDefault="009C560C" w:rsidP="009C560C">
      <w:pPr>
        <w:widowControl w:val="0"/>
        <w:jc w:val="both"/>
        <w:rPr>
          <w:rFonts w:cs="Times New Roman"/>
          <w:sz w:val="20"/>
          <w:szCs w:val="20"/>
          <w:lang w:val="fr-CA"/>
        </w:rPr>
      </w:pPr>
      <w:r w:rsidRPr="00A85B4F">
        <w:rPr>
          <w:rFonts w:cs="Times New Roman"/>
          <w:sz w:val="20"/>
          <w:szCs w:val="20"/>
          <w:lang w:val="fr-CA"/>
        </w:rPr>
        <w:t>Arrêt de la Cour d’appel du Québec :</w:t>
      </w:r>
      <w:r w:rsidRPr="00A85B4F">
        <w:rPr>
          <w:rFonts w:cs="Times New Roman"/>
          <w:sz w:val="20"/>
          <w:szCs w:val="20"/>
          <w:lang w:val="fr-CA"/>
        </w:rPr>
        <w:tab/>
        <w:t>Le 21 mai 2010</w:t>
      </w:r>
    </w:p>
    <w:p w:rsidR="009C560C" w:rsidRPr="00A85B4F" w:rsidRDefault="009C560C" w:rsidP="009C560C">
      <w:pPr>
        <w:widowControl w:val="0"/>
        <w:jc w:val="both"/>
        <w:rPr>
          <w:rFonts w:cs="Times New Roman"/>
          <w:sz w:val="20"/>
          <w:szCs w:val="20"/>
          <w:lang w:val="fr-CA"/>
        </w:rPr>
      </w:pPr>
    </w:p>
    <w:p w:rsidR="009C560C" w:rsidRPr="00A85B4F" w:rsidRDefault="009C560C" w:rsidP="009C560C">
      <w:pPr>
        <w:widowControl w:val="0"/>
        <w:ind w:left="3600" w:hanging="3600"/>
        <w:jc w:val="both"/>
        <w:rPr>
          <w:rFonts w:cs="Times New Roman"/>
          <w:sz w:val="20"/>
          <w:szCs w:val="20"/>
          <w:lang w:val="fr-CA"/>
        </w:rPr>
      </w:pPr>
      <w:r w:rsidRPr="00A85B4F">
        <w:rPr>
          <w:rFonts w:cs="Times New Roman"/>
          <w:sz w:val="20"/>
          <w:szCs w:val="20"/>
          <w:lang w:val="fr-CA"/>
        </w:rPr>
        <w:t>Avocats :</w:t>
      </w:r>
      <w:r w:rsidRPr="00A85B4F">
        <w:rPr>
          <w:rFonts w:cs="Times New Roman"/>
          <w:sz w:val="20"/>
          <w:szCs w:val="20"/>
          <w:lang w:val="fr-CA"/>
        </w:rPr>
        <w:tab/>
        <w:t>Jean</w:t>
      </w:r>
      <w:r w:rsidRPr="00A85B4F">
        <w:rPr>
          <w:rFonts w:cs="Times New Roman"/>
          <w:sz w:val="20"/>
          <w:szCs w:val="20"/>
          <w:lang w:val="fr-CA"/>
        </w:rPr>
        <w:noBreakHyphen/>
        <w:t>René Maranda pour l’appelant</w:t>
      </w:r>
    </w:p>
    <w:p w:rsidR="009C560C" w:rsidRPr="00A85B4F" w:rsidRDefault="009C560C" w:rsidP="009C560C">
      <w:pPr>
        <w:widowControl w:val="0"/>
        <w:ind w:left="3600"/>
        <w:jc w:val="both"/>
        <w:rPr>
          <w:rFonts w:cs="Times New Roman"/>
          <w:sz w:val="20"/>
          <w:szCs w:val="20"/>
          <w:lang w:val="fr-CA"/>
        </w:rPr>
      </w:pPr>
      <w:r w:rsidRPr="00A85B4F">
        <w:rPr>
          <w:rFonts w:cs="Times New Roman"/>
          <w:sz w:val="20"/>
          <w:szCs w:val="20"/>
          <w:lang w:val="fr-CA"/>
        </w:rPr>
        <w:t>Denise Robillard et Jean</w:t>
      </w:r>
      <w:r w:rsidRPr="00A85B4F">
        <w:rPr>
          <w:rFonts w:cs="Times New Roman"/>
          <w:sz w:val="20"/>
          <w:szCs w:val="20"/>
          <w:lang w:val="fr-CA"/>
        </w:rPr>
        <w:noBreakHyphen/>
        <w:t>Yves Bernard pour les intimés</w:t>
      </w:r>
    </w:p>
    <w:p w:rsidR="00201497" w:rsidRDefault="00201497">
      <w:pPr>
        <w:rPr>
          <w:sz w:val="20"/>
          <w:szCs w:val="20"/>
          <w:lang w:val="fr-CA"/>
        </w:rPr>
      </w:pPr>
    </w:p>
    <w:p w:rsidR="00201497" w:rsidRDefault="00460701">
      <w:pPr>
        <w:rPr>
          <w:sz w:val="20"/>
          <w:szCs w:val="20"/>
          <w:lang w:val="fr-CA"/>
        </w:rPr>
      </w:pPr>
      <w:r w:rsidRPr="00460701">
        <w:rPr>
          <w:sz w:val="20"/>
          <w:szCs w:val="20"/>
          <w:lang w:val="fr-CA"/>
        </w:rPr>
        <w:pict>
          <v:rect id="_x0000_i1100" style="width:2in;height:1pt" o:hrpct="0" o:hralign="center" o:hrstd="t" o:hrnoshade="t" o:hr="t" fillcolor="black [3213]" stroked="f"/>
        </w:pict>
      </w:r>
    </w:p>
    <w:p w:rsidR="00201497" w:rsidRDefault="00201497">
      <w:pPr>
        <w:rPr>
          <w:sz w:val="20"/>
          <w:szCs w:val="20"/>
          <w:lang w:val="fr-CA"/>
        </w:rPr>
      </w:pPr>
    </w:p>
    <w:p w:rsidR="00201497" w:rsidRDefault="00201497">
      <w:pPr>
        <w:rPr>
          <w:sz w:val="20"/>
          <w:szCs w:val="20"/>
          <w:lang w:val="fr-CA"/>
        </w:rPr>
      </w:pPr>
      <w:r>
        <w:rPr>
          <w:sz w:val="20"/>
          <w:szCs w:val="20"/>
          <w:lang w:val="fr-CA"/>
        </w:rPr>
        <w:br w:type="page"/>
      </w:r>
    </w:p>
    <w:p w:rsidR="008F7B92" w:rsidRPr="00A85B4F" w:rsidRDefault="00460701" w:rsidP="008F7B92">
      <w:pPr>
        <w:widowControl w:val="0"/>
        <w:ind w:left="720" w:hanging="720"/>
        <w:jc w:val="both"/>
        <w:rPr>
          <w:rFonts w:cs="Times New Roman"/>
          <w:sz w:val="20"/>
          <w:szCs w:val="20"/>
        </w:rPr>
      </w:pPr>
      <w:r w:rsidRPr="00A85B4F">
        <w:rPr>
          <w:rFonts w:cs="Times New Roman"/>
          <w:b/>
          <w:sz w:val="20"/>
          <w:szCs w:val="20"/>
        </w:rPr>
        <w:lastRenderedPageBreak/>
        <w:fldChar w:fldCharType="begin"/>
      </w:r>
      <w:r w:rsidR="008F7B92" w:rsidRPr="00A85B4F">
        <w:rPr>
          <w:rFonts w:cs="Times New Roman"/>
          <w:b/>
          <w:sz w:val="20"/>
          <w:szCs w:val="20"/>
        </w:rPr>
        <w:instrText xml:space="preserve"> SEQ CHAPTER \h \r 1</w:instrText>
      </w:r>
      <w:r w:rsidRPr="00A85B4F">
        <w:rPr>
          <w:rFonts w:cs="Times New Roman"/>
          <w:b/>
          <w:sz w:val="20"/>
          <w:szCs w:val="20"/>
        </w:rPr>
        <w:fldChar w:fldCharType="end"/>
      </w:r>
      <w:r w:rsidR="008F7B92" w:rsidRPr="00A85B4F">
        <w:rPr>
          <w:rFonts w:cs="Times New Roman"/>
          <w:b/>
          <w:sz w:val="20"/>
          <w:szCs w:val="20"/>
        </w:rPr>
        <w:t>33804</w:t>
      </w:r>
      <w:r w:rsidR="008F7B92" w:rsidRPr="00A85B4F">
        <w:rPr>
          <w:rFonts w:cs="Times New Roman"/>
          <w:sz w:val="20"/>
          <w:szCs w:val="20"/>
        </w:rPr>
        <w:tab/>
      </w:r>
      <w:r w:rsidR="008F7B92" w:rsidRPr="00A85B4F">
        <w:rPr>
          <w:rFonts w:cs="Times New Roman"/>
          <w:b/>
          <w:i/>
          <w:sz w:val="20"/>
          <w:szCs w:val="20"/>
        </w:rPr>
        <w:t>City of Calgary v. Her Majesty the Queen</w:t>
      </w:r>
    </w:p>
    <w:p w:rsidR="008F7B92" w:rsidRPr="00A85B4F" w:rsidRDefault="008F7B92" w:rsidP="008F7B92">
      <w:pPr>
        <w:widowControl w:val="0"/>
        <w:jc w:val="both"/>
        <w:rPr>
          <w:rFonts w:cs="Times New Roman"/>
          <w:sz w:val="20"/>
          <w:szCs w:val="20"/>
        </w:rPr>
      </w:pPr>
    </w:p>
    <w:p w:rsidR="008F7B92" w:rsidRPr="00A85B4F" w:rsidRDefault="008F7B92" w:rsidP="008F7B92">
      <w:pPr>
        <w:widowControl w:val="0"/>
        <w:jc w:val="both"/>
        <w:rPr>
          <w:rFonts w:cs="Times New Roman"/>
          <w:sz w:val="20"/>
          <w:szCs w:val="20"/>
        </w:rPr>
      </w:pPr>
      <w:r w:rsidRPr="00A85B4F">
        <w:rPr>
          <w:rFonts w:cs="Times New Roman"/>
          <w:sz w:val="20"/>
          <w:szCs w:val="20"/>
        </w:rPr>
        <w:t xml:space="preserve">Taxation </w:t>
      </w:r>
      <w:r w:rsidRPr="00A85B4F">
        <w:rPr>
          <w:rFonts w:cs="Times New Roman"/>
          <w:sz w:val="20"/>
          <w:szCs w:val="20"/>
        </w:rPr>
        <w:noBreakHyphen/>
        <w:t xml:space="preserve"> Goods and services tax </w:t>
      </w:r>
      <w:r w:rsidRPr="00A85B4F">
        <w:rPr>
          <w:rFonts w:cs="Times New Roman"/>
          <w:sz w:val="20"/>
          <w:szCs w:val="20"/>
        </w:rPr>
        <w:noBreakHyphen/>
        <w:t xml:space="preserve"> Whether the Court of Appeal erred in law by creating its own definition of “supply” and “recipient”, rather than using the detailed statutory definitions of these terms contained in the </w:t>
      </w:r>
      <w:r w:rsidRPr="00A85B4F">
        <w:rPr>
          <w:rFonts w:cs="Times New Roman"/>
          <w:i/>
          <w:sz w:val="20"/>
          <w:szCs w:val="20"/>
        </w:rPr>
        <w:t>Excise Tax Act</w:t>
      </w:r>
      <w:r w:rsidRPr="00A85B4F">
        <w:rPr>
          <w:rFonts w:cs="Times New Roman"/>
          <w:sz w:val="20"/>
          <w:szCs w:val="20"/>
        </w:rPr>
        <w:t xml:space="preserve"> </w:t>
      </w:r>
      <w:r w:rsidRPr="00A85B4F">
        <w:rPr>
          <w:rFonts w:cs="Times New Roman"/>
          <w:sz w:val="20"/>
          <w:szCs w:val="20"/>
        </w:rPr>
        <w:noBreakHyphen/>
        <w:t xml:space="preserve"> Whether the Court of Appeal erred in law in establishing the principle according to which a person providing a property or service to another must have an obligation to provide that property or service to the payor in order for a “supply” to occur </w:t>
      </w:r>
      <w:r w:rsidRPr="00A85B4F">
        <w:rPr>
          <w:rFonts w:cs="Times New Roman"/>
          <w:sz w:val="20"/>
          <w:szCs w:val="20"/>
        </w:rPr>
        <w:noBreakHyphen/>
        <w:t xml:space="preserve"> Whether the Court of Appeal erred in concluding that (a) the appellant did not make a “supply” in connection with its acquisition and construction of the transit facilities that were approved by the Province and for which the appellant received funding from the Province, and that (b) the appellant did not make a taxable supply to the Province </w:t>
      </w:r>
      <w:r w:rsidRPr="00A85B4F">
        <w:rPr>
          <w:rFonts w:cs="Times New Roman"/>
          <w:sz w:val="20"/>
          <w:szCs w:val="20"/>
        </w:rPr>
        <w:noBreakHyphen/>
        <w:t xml:space="preserve"> Whether the Court of Appeal erred in concluding that there was no obligation on the appellant to acquire, construct or make available the transit facilities once the Province’s approval was received </w:t>
      </w:r>
      <w:r w:rsidRPr="00A85B4F">
        <w:rPr>
          <w:rFonts w:cs="Times New Roman"/>
          <w:sz w:val="20"/>
          <w:szCs w:val="20"/>
        </w:rPr>
        <w:noBreakHyphen/>
        <w:t xml:space="preserve"> Whether the Court of Appeal erred in concluding that the appellant was not entitled to the input tax credit claimed for GST that it paid on its input costs to acquire or construct the transit facilities that were funded in part by the Province </w:t>
      </w:r>
      <w:r w:rsidRPr="00A85B4F">
        <w:rPr>
          <w:rFonts w:cs="Times New Roman"/>
          <w:sz w:val="20"/>
          <w:szCs w:val="20"/>
        </w:rPr>
        <w:noBreakHyphen/>
        <w:t xml:space="preserve"> </w:t>
      </w:r>
      <w:r w:rsidRPr="00A85B4F">
        <w:rPr>
          <w:rFonts w:cs="Times New Roman"/>
          <w:i/>
          <w:sz w:val="20"/>
          <w:szCs w:val="20"/>
        </w:rPr>
        <w:t>Excise Tax Act</w:t>
      </w:r>
      <w:r w:rsidRPr="00A85B4F">
        <w:rPr>
          <w:rFonts w:cs="Times New Roman"/>
          <w:sz w:val="20"/>
          <w:szCs w:val="20"/>
        </w:rPr>
        <w:t>, R.S.C. 1985, c. E</w:t>
      </w:r>
      <w:r w:rsidRPr="00A85B4F">
        <w:rPr>
          <w:rFonts w:cs="Times New Roman"/>
          <w:sz w:val="20"/>
          <w:szCs w:val="20"/>
        </w:rPr>
        <w:noBreakHyphen/>
        <w:t xml:space="preserve">15 </w:t>
      </w:r>
      <w:r w:rsidRPr="00A85B4F">
        <w:rPr>
          <w:rFonts w:cs="Times New Roman"/>
          <w:sz w:val="20"/>
          <w:szCs w:val="20"/>
        </w:rPr>
        <w:noBreakHyphen/>
        <w:t xml:space="preserve"> </w:t>
      </w:r>
      <w:r w:rsidRPr="00A85B4F">
        <w:rPr>
          <w:rFonts w:cs="Times New Roman"/>
          <w:i/>
          <w:sz w:val="20"/>
          <w:szCs w:val="20"/>
        </w:rPr>
        <w:t>City Transportation Act,</w:t>
      </w:r>
      <w:r w:rsidRPr="00A85B4F">
        <w:rPr>
          <w:rFonts w:cs="Times New Roman"/>
          <w:sz w:val="20"/>
          <w:szCs w:val="20"/>
        </w:rPr>
        <w:t xml:space="preserve"> R.S.A. 2000, c. C</w:t>
      </w:r>
      <w:r w:rsidRPr="00A85B4F">
        <w:rPr>
          <w:rFonts w:cs="Times New Roman"/>
          <w:sz w:val="20"/>
          <w:szCs w:val="20"/>
        </w:rPr>
        <w:noBreakHyphen/>
        <w:t>14.</w:t>
      </w:r>
    </w:p>
    <w:p w:rsidR="008F7B92" w:rsidRPr="00A85B4F" w:rsidRDefault="008F7B92" w:rsidP="008F7B92">
      <w:pPr>
        <w:widowControl w:val="0"/>
        <w:jc w:val="both"/>
        <w:rPr>
          <w:rFonts w:cs="Times New Roman"/>
          <w:sz w:val="20"/>
          <w:szCs w:val="20"/>
        </w:rPr>
      </w:pPr>
    </w:p>
    <w:p w:rsidR="008F7B92" w:rsidRPr="00A85B4F" w:rsidRDefault="008F7B92" w:rsidP="008F7B92">
      <w:pPr>
        <w:widowControl w:val="0"/>
        <w:jc w:val="both"/>
        <w:rPr>
          <w:rFonts w:cs="Times New Roman"/>
          <w:sz w:val="20"/>
          <w:szCs w:val="20"/>
        </w:rPr>
      </w:pPr>
      <w:r w:rsidRPr="00A85B4F">
        <w:rPr>
          <w:rFonts w:cs="Times New Roman"/>
          <w:sz w:val="20"/>
          <w:szCs w:val="20"/>
        </w:rPr>
        <w:t xml:space="preserve">The appellant City constructed a municipal transit system for the use of the residents of Calgary pursuant to the </w:t>
      </w:r>
      <w:r w:rsidRPr="00A85B4F">
        <w:rPr>
          <w:rFonts w:cs="Times New Roman"/>
          <w:i/>
          <w:sz w:val="20"/>
          <w:szCs w:val="20"/>
        </w:rPr>
        <w:t>City Transportation Act</w:t>
      </w:r>
      <w:r w:rsidRPr="00A85B4F">
        <w:rPr>
          <w:rFonts w:cs="Times New Roman"/>
          <w:sz w:val="20"/>
          <w:szCs w:val="20"/>
        </w:rPr>
        <w:t xml:space="preserve"> (“</w:t>
      </w:r>
      <w:r w:rsidRPr="00A85B4F">
        <w:rPr>
          <w:rFonts w:cs="Times New Roman"/>
          <w:i/>
          <w:sz w:val="20"/>
          <w:szCs w:val="20"/>
        </w:rPr>
        <w:t>CTA</w:t>
      </w:r>
      <w:r w:rsidRPr="00A85B4F">
        <w:rPr>
          <w:rFonts w:cs="Times New Roman"/>
          <w:sz w:val="20"/>
          <w:szCs w:val="20"/>
        </w:rPr>
        <w:t xml:space="preserve">”).  The Province of Alberta (the “Province”) entered into funding agreements (the “Agreements”) with the City.  The City paid GST on purchases made for the construction of the transit system, and later claimed input tax credits in respect thereof.  Under the terms of the </w:t>
      </w:r>
      <w:r w:rsidRPr="00A85B4F">
        <w:rPr>
          <w:rFonts w:cs="Times New Roman"/>
          <w:i/>
          <w:sz w:val="20"/>
          <w:szCs w:val="20"/>
        </w:rPr>
        <w:t>Excise Tax</w:t>
      </w:r>
      <w:r w:rsidRPr="00A85B4F">
        <w:rPr>
          <w:rFonts w:cs="Times New Roman"/>
          <w:sz w:val="20"/>
          <w:szCs w:val="20"/>
        </w:rPr>
        <w:t xml:space="preserve"> </w:t>
      </w:r>
      <w:r w:rsidRPr="00A85B4F">
        <w:rPr>
          <w:rFonts w:cs="Times New Roman"/>
          <w:i/>
          <w:sz w:val="20"/>
          <w:szCs w:val="20"/>
        </w:rPr>
        <w:t>Act</w:t>
      </w:r>
      <w:r w:rsidRPr="00A85B4F">
        <w:rPr>
          <w:rFonts w:cs="Times New Roman"/>
          <w:sz w:val="20"/>
          <w:szCs w:val="20"/>
        </w:rPr>
        <w:t xml:space="preserve"> (“</w:t>
      </w:r>
      <w:r w:rsidRPr="00A85B4F">
        <w:rPr>
          <w:rFonts w:cs="Times New Roman"/>
          <w:i/>
          <w:sz w:val="20"/>
          <w:szCs w:val="20"/>
        </w:rPr>
        <w:t>ETA</w:t>
      </w:r>
      <w:r w:rsidRPr="00A85B4F">
        <w:rPr>
          <w:rFonts w:cs="Times New Roman"/>
          <w:sz w:val="20"/>
          <w:szCs w:val="20"/>
        </w:rPr>
        <w:t xml:space="preserve">”), the provision of a municipal transit service is an exempt supply, which does not entitle the supplier to input tax credits in respect of purchases made in providing the exempt supply.  The City took the position that the construction of the transit system was a separate supply to the Province pursuant to contractual obligations under the Agreements, for which the Province paid consideration.  The Minister of National Revenue rejected the City’s position in the assessment.  The City appealed that decision.  The Tax Court of Canada agreed with the City’s position, allowing the appeal and remitting the matter back to the Minister for reconsideration.  The Federal Court of Appeal allowed the appeal.  In its view, the City was obliged to construct the municipal transit system under the </w:t>
      </w:r>
      <w:r w:rsidRPr="00A85B4F">
        <w:rPr>
          <w:rFonts w:cs="Times New Roman"/>
          <w:i/>
          <w:sz w:val="20"/>
          <w:szCs w:val="20"/>
        </w:rPr>
        <w:t>CTA</w:t>
      </w:r>
      <w:r w:rsidRPr="00A85B4F">
        <w:rPr>
          <w:rFonts w:cs="Times New Roman"/>
          <w:sz w:val="20"/>
          <w:szCs w:val="20"/>
        </w:rPr>
        <w:t xml:space="preserve">, and the Agreements were simply there to provide the funding framework.  Therefore, the provincial funding did not result from a “legal obligation” so as to constitute “consideration”.  The Court also found that the construction was an exempt supply, with the result that input tax credits were unavailable.  It set aside the Tax Court decision and confirmed the Minister’s assessment. </w:t>
      </w:r>
    </w:p>
    <w:p w:rsidR="008F7B92" w:rsidRPr="00A85B4F" w:rsidRDefault="008F7B92" w:rsidP="008F7B92">
      <w:pPr>
        <w:widowControl w:val="0"/>
        <w:jc w:val="both"/>
        <w:rPr>
          <w:rFonts w:cs="Times New Roman"/>
          <w:sz w:val="20"/>
          <w:szCs w:val="20"/>
        </w:rPr>
      </w:pPr>
    </w:p>
    <w:p w:rsidR="008F7B92" w:rsidRPr="00A85B4F" w:rsidRDefault="008F7B92" w:rsidP="008F7B92">
      <w:pPr>
        <w:widowControl w:val="0"/>
        <w:jc w:val="both"/>
        <w:rPr>
          <w:rFonts w:cs="Times New Roman"/>
          <w:sz w:val="20"/>
          <w:szCs w:val="20"/>
        </w:rPr>
      </w:pPr>
    </w:p>
    <w:p w:rsidR="008F7B92" w:rsidRPr="00A85B4F" w:rsidRDefault="008F7B92" w:rsidP="008F7B92">
      <w:pPr>
        <w:widowControl w:val="0"/>
        <w:jc w:val="both"/>
        <w:rPr>
          <w:rFonts w:cs="Times New Roman"/>
          <w:sz w:val="20"/>
          <w:szCs w:val="20"/>
        </w:rPr>
      </w:pPr>
      <w:r w:rsidRPr="00A85B4F">
        <w:rPr>
          <w:rFonts w:cs="Times New Roman"/>
          <w:sz w:val="20"/>
          <w:szCs w:val="20"/>
        </w:rPr>
        <w:t>Origin of the case:</w:t>
      </w:r>
      <w:r w:rsidRPr="00A85B4F">
        <w:rPr>
          <w:rFonts w:cs="Times New Roman"/>
          <w:sz w:val="20"/>
          <w:szCs w:val="20"/>
        </w:rPr>
        <w:tab/>
      </w:r>
      <w:r>
        <w:rPr>
          <w:rFonts w:cs="Times New Roman"/>
          <w:sz w:val="20"/>
          <w:szCs w:val="20"/>
        </w:rPr>
        <w:tab/>
      </w:r>
      <w:r w:rsidRPr="00A85B4F">
        <w:rPr>
          <w:rFonts w:cs="Times New Roman"/>
          <w:sz w:val="20"/>
          <w:szCs w:val="20"/>
        </w:rPr>
        <w:tab/>
        <w:t>Federal Court of Appeal</w:t>
      </w:r>
    </w:p>
    <w:p w:rsidR="008F7B92" w:rsidRPr="00A85B4F" w:rsidRDefault="008F7B92" w:rsidP="008F7B92">
      <w:pPr>
        <w:widowControl w:val="0"/>
        <w:jc w:val="both"/>
        <w:rPr>
          <w:rFonts w:cs="Times New Roman"/>
          <w:sz w:val="20"/>
          <w:szCs w:val="20"/>
        </w:rPr>
      </w:pPr>
    </w:p>
    <w:p w:rsidR="008F7B92" w:rsidRPr="00A85B4F" w:rsidRDefault="008F7B92" w:rsidP="008F7B92">
      <w:pPr>
        <w:widowControl w:val="0"/>
        <w:jc w:val="both"/>
        <w:rPr>
          <w:rFonts w:cs="Times New Roman"/>
          <w:sz w:val="20"/>
          <w:szCs w:val="20"/>
        </w:rPr>
      </w:pPr>
      <w:r w:rsidRPr="00A85B4F">
        <w:rPr>
          <w:rFonts w:cs="Times New Roman"/>
          <w:sz w:val="20"/>
          <w:szCs w:val="20"/>
        </w:rPr>
        <w:t>File No.:</w:t>
      </w:r>
      <w:r w:rsidRPr="00A85B4F">
        <w:rPr>
          <w:rFonts w:cs="Times New Roman"/>
          <w:sz w:val="20"/>
          <w:szCs w:val="20"/>
        </w:rPr>
        <w:tab/>
      </w:r>
      <w:r w:rsidRPr="00A85B4F">
        <w:rPr>
          <w:rFonts w:cs="Times New Roman"/>
          <w:sz w:val="20"/>
          <w:szCs w:val="20"/>
        </w:rPr>
        <w:tab/>
      </w:r>
      <w:r w:rsidRPr="00A85B4F">
        <w:rPr>
          <w:rFonts w:cs="Times New Roman"/>
          <w:sz w:val="20"/>
          <w:szCs w:val="20"/>
        </w:rPr>
        <w:tab/>
      </w:r>
      <w:r w:rsidRPr="00A85B4F">
        <w:rPr>
          <w:rFonts w:cs="Times New Roman"/>
          <w:sz w:val="20"/>
          <w:szCs w:val="20"/>
        </w:rPr>
        <w:tab/>
      </w:r>
      <w:r>
        <w:rPr>
          <w:rFonts w:cs="Times New Roman"/>
          <w:sz w:val="20"/>
          <w:szCs w:val="20"/>
        </w:rPr>
        <w:tab/>
      </w:r>
      <w:r w:rsidRPr="00A85B4F">
        <w:rPr>
          <w:rFonts w:cs="Times New Roman"/>
          <w:sz w:val="20"/>
          <w:szCs w:val="20"/>
        </w:rPr>
        <w:t>33804</w:t>
      </w:r>
    </w:p>
    <w:p w:rsidR="008F7B92" w:rsidRPr="00A85B4F" w:rsidRDefault="008F7B92" w:rsidP="008F7B92">
      <w:pPr>
        <w:widowControl w:val="0"/>
        <w:jc w:val="both"/>
        <w:rPr>
          <w:rFonts w:cs="Times New Roman"/>
          <w:sz w:val="20"/>
          <w:szCs w:val="20"/>
        </w:rPr>
      </w:pPr>
    </w:p>
    <w:p w:rsidR="008F7B92" w:rsidRPr="00A85B4F" w:rsidRDefault="008F7B92" w:rsidP="008F7B92">
      <w:pPr>
        <w:widowControl w:val="0"/>
        <w:jc w:val="both"/>
        <w:rPr>
          <w:rFonts w:cs="Times New Roman"/>
          <w:sz w:val="20"/>
          <w:szCs w:val="20"/>
        </w:rPr>
      </w:pPr>
      <w:r w:rsidRPr="00A85B4F">
        <w:rPr>
          <w:rFonts w:cs="Times New Roman"/>
          <w:sz w:val="20"/>
          <w:szCs w:val="20"/>
        </w:rPr>
        <w:t>Judgment of the Court of Appeal:</w:t>
      </w:r>
      <w:r w:rsidRPr="00A85B4F">
        <w:rPr>
          <w:rFonts w:cs="Times New Roman"/>
          <w:sz w:val="20"/>
          <w:szCs w:val="20"/>
        </w:rPr>
        <w:tab/>
      </w:r>
      <w:r>
        <w:rPr>
          <w:rFonts w:cs="Times New Roman"/>
          <w:sz w:val="20"/>
          <w:szCs w:val="20"/>
        </w:rPr>
        <w:tab/>
      </w:r>
      <w:r w:rsidRPr="00A85B4F">
        <w:rPr>
          <w:rFonts w:cs="Times New Roman"/>
          <w:sz w:val="20"/>
          <w:szCs w:val="20"/>
        </w:rPr>
        <w:t>May 21, 2010</w:t>
      </w:r>
    </w:p>
    <w:p w:rsidR="008F7B92" w:rsidRPr="00A85B4F" w:rsidRDefault="008F7B92" w:rsidP="008F7B92">
      <w:pPr>
        <w:widowControl w:val="0"/>
        <w:jc w:val="both"/>
        <w:rPr>
          <w:rFonts w:cs="Times New Roman"/>
          <w:sz w:val="20"/>
          <w:szCs w:val="20"/>
        </w:rPr>
      </w:pPr>
    </w:p>
    <w:p w:rsidR="008F7B92" w:rsidRPr="00A85B4F" w:rsidRDefault="008F7B92" w:rsidP="008F7B92">
      <w:pPr>
        <w:widowControl w:val="0"/>
        <w:jc w:val="both"/>
        <w:rPr>
          <w:rFonts w:cs="Times New Roman"/>
          <w:sz w:val="20"/>
          <w:szCs w:val="20"/>
        </w:rPr>
      </w:pPr>
      <w:r w:rsidRPr="00A85B4F">
        <w:rPr>
          <w:rFonts w:cs="Times New Roman"/>
          <w:sz w:val="20"/>
          <w:szCs w:val="20"/>
        </w:rPr>
        <w:t>Counsel:</w:t>
      </w:r>
      <w:r w:rsidRPr="00A85B4F">
        <w:rPr>
          <w:rFonts w:cs="Times New Roman"/>
          <w:sz w:val="20"/>
          <w:szCs w:val="20"/>
        </w:rPr>
        <w:tab/>
      </w:r>
      <w:r w:rsidRPr="00A85B4F">
        <w:rPr>
          <w:rFonts w:cs="Times New Roman"/>
          <w:sz w:val="20"/>
          <w:szCs w:val="20"/>
        </w:rPr>
        <w:tab/>
      </w:r>
      <w:r w:rsidRPr="00A85B4F">
        <w:rPr>
          <w:rFonts w:cs="Times New Roman"/>
          <w:sz w:val="20"/>
          <w:szCs w:val="20"/>
        </w:rPr>
        <w:tab/>
      </w:r>
      <w:r w:rsidRPr="00A85B4F">
        <w:rPr>
          <w:rFonts w:cs="Times New Roman"/>
          <w:sz w:val="20"/>
          <w:szCs w:val="20"/>
        </w:rPr>
        <w:tab/>
      </w:r>
      <w:r>
        <w:rPr>
          <w:rFonts w:cs="Times New Roman"/>
          <w:sz w:val="20"/>
          <w:szCs w:val="20"/>
        </w:rPr>
        <w:tab/>
      </w:r>
      <w:r w:rsidRPr="00A85B4F">
        <w:rPr>
          <w:rFonts w:cs="Times New Roman"/>
          <w:sz w:val="20"/>
          <w:szCs w:val="20"/>
        </w:rPr>
        <w:t>Ken S. Skingle, Q.C. for the appellant</w:t>
      </w:r>
    </w:p>
    <w:p w:rsidR="008F7B92" w:rsidRPr="00A85B4F" w:rsidRDefault="008F7B92" w:rsidP="008F7B92">
      <w:pPr>
        <w:widowControl w:val="0"/>
        <w:jc w:val="both"/>
        <w:rPr>
          <w:rFonts w:cs="Times New Roman"/>
          <w:sz w:val="20"/>
          <w:szCs w:val="20"/>
        </w:rPr>
      </w:pPr>
      <w:r w:rsidRPr="00A85B4F">
        <w:rPr>
          <w:rFonts w:cs="Times New Roman"/>
          <w:sz w:val="20"/>
          <w:szCs w:val="20"/>
        </w:rPr>
        <w:tab/>
      </w:r>
      <w:r w:rsidRPr="00A85B4F">
        <w:rPr>
          <w:rFonts w:cs="Times New Roman"/>
          <w:sz w:val="20"/>
          <w:szCs w:val="20"/>
        </w:rPr>
        <w:tab/>
      </w:r>
      <w:r w:rsidRPr="00A85B4F">
        <w:rPr>
          <w:rFonts w:cs="Times New Roman"/>
          <w:sz w:val="20"/>
          <w:szCs w:val="20"/>
        </w:rPr>
        <w:tab/>
      </w:r>
      <w:r w:rsidRPr="00A85B4F">
        <w:rPr>
          <w:rFonts w:cs="Times New Roman"/>
          <w:sz w:val="20"/>
          <w:szCs w:val="20"/>
        </w:rPr>
        <w:tab/>
      </w:r>
      <w:r>
        <w:rPr>
          <w:rFonts w:cs="Times New Roman"/>
          <w:sz w:val="20"/>
          <w:szCs w:val="20"/>
        </w:rPr>
        <w:tab/>
      </w:r>
      <w:r w:rsidRPr="00A85B4F">
        <w:rPr>
          <w:rFonts w:cs="Times New Roman"/>
          <w:sz w:val="20"/>
          <w:szCs w:val="20"/>
        </w:rPr>
        <w:t>Gordon Bourgard, Michael Lema and Marta E. Burns for the respondent</w:t>
      </w:r>
    </w:p>
    <w:p w:rsidR="00201497" w:rsidRPr="008F7B92" w:rsidRDefault="00201497">
      <w:pPr>
        <w:rPr>
          <w:sz w:val="20"/>
          <w:szCs w:val="20"/>
        </w:rPr>
      </w:pPr>
    </w:p>
    <w:p w:rsidR="00201497" w:rsidRPr="008F7B92" w:rsidRDefault="00460701">
      <w:pPr>
        <w:rPr>
          <w:sz w:val="20"/>
          <w:szCs w:val="20"/>
        </w:rPr>
      </w:pPr>
      <w:r w:rsidRPr="00460701">
        <w:rPr>
          <w:sz w:val="20"/>
          <w:szCs w:val="20"/>
          <w:lang w:val="fr-CA"/>
        </w:rPr>
        <w:pict>
          <v:rect id="_x0000_i1101" style="width:2in;height:1pt" o:hrpct="0" o:hralign="center" o:hrstd="t" o:hrnoshade="t" o:hr="t" fillcolor="black [3213]" stroked="f"/>
        </w:pict>
      </w:r>
    </w:p>
    <w:p w:rsidR="00201497" w:rsidRPr="008F7B92" w:rsidRDefault="00201497">
      <w:pPr>
        <w:rPr>
          <w:sz w:val="20"/>
          <w:szCs w:val="20"/>
        </w:rPr>
      </w:pPr>
    </w:p>
    <w:p w:rsidR="00201497" w:rsidRPr="008F7B92" w:rsidRDefault="00201497">
      <w:pPr>
        <w:rPr>
          <w:sz w:val="20"/>
          <w:szCs w:val="20"/>
        </w:rPr>
      </w:pPr>
      <w:r w:rsidRPr="008F7B92">
        <w:rPr>
          <w:sz w:val="20"/>
          <w:szCs w:val="20"/>
        </w:rPr>
        <w:br w:type="page"/>
      </w:r>
    </w:p>
    <w:p w:rsidR="008F7B92" w:rsidRPr="00A85B4F" w:rsidRDefault="00460701" w:rsidP="008F7B92">
      <w:pPr>
        <w:widowControl w:val="0"/>
        <w:ind w:left="720" w:hanging="720"/>
        <w:jc w:val="both"/>
        <w:rPr>
          <w:rFonts w:cs="Times New Roman"/>
          <w:sz w:val="20"/>
          <w:szCs w:val="20"/>
          <w:lang w:val="fr-CA"/>
        </w:rPr>
      </w:pPr>
      <w:r w:rsidRPr="00A85B4F">
        <w:rPr>
          <w:rFonts w:cs="Times New Roman"/>
          <w:b/>
          <w:sz w:val="20"/>
          <w:szCs w:val="20"/>
          <w:lang w:val="fr-CA"/>
        </w:rPr>
        <w:lastRenderedPageBreak/>
        <w:fldChar w:fldCharType="begin"/>
      </w:r>
      <w:r w:rsidR="008F7B92" w:rsidRPr="00A85B4F">
        <w:rPr>
          <w:rFonts w:cs="Times New Roman"/>
          <w:b/>
          <w:sz w:val="20"/>
          <w:szCs w:val="20"/>
          <w:lang w:val="fr-CA"/>
        </w:rPr>
        <w:instrText xml:space="preserve"> SEQ CHAPTER \h \r 1</w:instrText>
      </w:r>
      <w:r w:rsidRPr="00A85B4F">
        <w:rPr>
          <w:rFonts w:cs="Times New Roman"/>
          <w:b/>
          <w:sz w:val="20"/>
          <w:szCs w:val="20"/>
          <w:lang w:val="fr-CA"/>
        </w:rPr>
        <w:fldChar w:fldCharType="end"/>
      </w:r>
      <w:r w:rsidR="008F7B92" w:rsidRPr="00A85B4F">
        <w:rPr>
          <w:rFonts w:cs="Times New Roman"/>
          <w:b/>
          <w:sz w:val="20"/>
          <w:szCs w:val="20"/>
          <w:lang w:val="fr-CA"/>
        </w:rPr>
        <w:t>33804</w:t>
      </w:r>
      <w:r w:rsidR="008F7B92" w:rsidRPr="00A85B4F">
        <w:rPr>
          <w:rFonts w:cs="Times New Roman"/>
          <w:sz w:val="20"/>
          <w:szCs w:val="20"/>
          <w:lang w:val="fr-CA"/>
        </w:rPr>
        <w:tab/>
      </w:r>
      <w:r w:rsidR="008F7B92" w:rsidRPr="00A85B4F">
        <w:rPr>
          <w:rFonts w:cs="Times New Roman"/>
          <w:b/>
          <w:i/>
          <w:sz w:val="20"/>
          <w:szCs w:val="20"/>
          <w:lang w:val="fr-CA"/>
        </w:rPr>
        <w:t>Ville de Calgary c. Sa Majesté la Reine</w:t>
      </w:r>
    </w:p>
    <w:p w:rsidR="008F7B92" w:rsidRPr="00A85B4F" w:rsidRDefault="008F7B92" w:rsidP="008F7B92">
      <w:pPr>
        <w:widowControl w:val="0"/>
        <w:jc w:val="both"/>
        <w:rPr>
          <w:rFonts w:cs="Times New Roman"/>
          <w:sz w:val="20"/>
          <w:szCs w:val="20"/>
          <w:lang w:val="fr-CA"/>
        </w:rPr>
      </w:pPr>
    </w:p>
    <w:p w:rsidR="008F7B92" w:rsidRPr="00A85B4F" w:rsidRDefault="008F7B92" w:rsidP="008F7B92">
      <w:pPr>
        <w:widowControl w:val="0"/>
        <w:jc w:val="both"/>
        <w:rPr>
          <w:rFonts w:cs="Times New Roman"/>
          <w:sz w:val="20"/>
          <w:szCs w:val="20"/>
          <w:lang w:val="fr-CA"/>
        </w:rPr>
      </w:pPr>
      <w:r w:rsidRPr="00A85B4F">
        <w:rPr>
          <w:rFonts w:cs="Times New Roman"/>
          <w:sz w:val="20"/>
          <w:szCs w:val="20"/>
          <w:lang w:val="fr-CA"/>
        </w:rPr>
        <w:t xml:space="preserve">Droit fiscal </w:t>
      </w:r>
      <w:r w:rsidRPr="00A85B4F">
        <w:rPr>
          <w:rFonts w:cs="Times New Roman"/>
          <w:sz w:val="20"/>
          <w:szCs w:val="20"/>
          <w:lang w:val="fr-CA"/>
        </w:rPr>
        <w:noBreakHyphen/>
        <w:t xml:space="preserve"> Taxe sur les produits et services </w:t>
      </w:r>
      <w:r w:rsidRPr="00A85B4F">
        <w:rPr>
          <w:rFonts w:cs="Times New Roman"/>
          <w:sz w:val="20"/>
          <w:szCs w:val="20"/>
          <w:lang w:val="fr-CA"/>
        </w:rPr>
        <w:noBreakHyphen/>
        <w:t xml:space="preserve"> La Cour d’appel a</w:t>
      </w:r>
      <w:r w:rsidRPr="00A85B4F">
        <w:rPr>
          <w:rFonts w:cs="Times New Roman"/>
          <w:sz w:val="20"/>
          <w:szCs w:val="20"/>
          <w:lang w:val="fr-CA"/>
        </w:rPr>
        <w:noBreakHyphen/>
        <w:t>t</w:t>
      </w:r>
      <w:r w:rsidRPr="00A85B4F">
        <w:rPr>
          <w:rFonts w:cs="Times New Roman"/>
          <w:sz w:val="20"/>
          <w:szCs w:val="20"/>
          <w:lang w:val="fr-CA"/>
        </w:rPr>
        <w:noBreakHyphen/>
        <w:t xml:space="preserve">elle commis une erreur de droit en créant sa propre définition des termes « fourniture » et « acquéreur », plutôt que d’utiliser les définitions détaillées qui en sont données dans la </w:t>
      </w:r>
      <w:r w:rsidRPr="00A85B4F">
        <w:rPr>
          <w:rFonts w:cs="Times New Roman"/>
          <w:i/>
          <w:sz w:val="20"/>
          <w:szCs w:val="20"/>
          <w:lang w:val="fr-CA"/>
        </w:rPr>
        <w:t>Loi sur la taxe d’accise</w:t>
      </w:r>
      <w:r w:rsidRPr="00A85B4F">
        <w:rPr>
          <w:rFonts w:cs="Times New Roman"/>
          <w:sz w:val="20"/>
          <w:szCs w:val="20"/>
          <w:lang w:val="fr-CA"/>
        </w:rPr>
        <w:t xml:space="preserve">? </w:t>
      </w:r>
      <w:r w:rsidRPr="00A85B4F">
        <w:rPr>
          <w:rFonts w:cs="Times New Roman"/>
          <w:sz w:val="20"/>
          <w:szCs w:val="20"/>
          <w:lang w:val="fr-CA"/>
        </w:rPr>
        <w:noBreakHyphen/>
        <w:t xml:space="preserve"> La Cour d’appel a</w:t>
      </w:r>
      <w:r w:rsidRPr="00A85B4F">
        <w:rPr>
          <w:rFonts w:cs="Times New Roman"/>
          <w:sz w:val="20"/>
          <w:szCs w:val="20"/>
          <w:lang w:val="fr-CA"/>
        </w:rPr>
        <w:noBreakHyphen/>
        <w:t>t</w:t>
      </w:r>
      <w:r w:rsidRPr="00A85B4F">
        <w:rPr>
          <w:rFonts w:cs="Times New Roman"/>
          <w:sz w:val="20"/>
          <w:szCs w:val="20"/>
          <w:lang w:val="fr-CA"/>
        </w:rPr>
        <w:noBreakHyphen/>
        <w:t xml:space="preserve">elle commis une erreur de droit en établissant le principe en vertu duquel une personne qui fournit un bien ou un service à autrui doit avoir l’obligation de fournir ce bien ou service au payeur pour qu’il y ait « fourniture »? </w:t>
      </w:r>
      <w:r w:rsidRPr="00A85B4F">
        <w:rPr>
          <w:rFonts w:cs="Times New Roman"/>
          <w:sz w:val="20"/>
          <w:szCs w:val="20"/>
          <w:lang w:val="fr-CA"/>
        </w:rPr>
        <w:noBreakHyphen/>
        <w:t xml:space="preserve"> La Cour d’appel a</w:t>
      </w:r>
      <w:r w:rsidRPr="00A85B4F">
        <w:rPr>
          <w:rFonts w:cs="Times New Roman"/>
          <w:sz w:val="20"/>
          <w:szCs w:val="20"/>
          <w:lang w:val="fr-CA"/>
        </w:rPr>
        <w:noBreakHyphen/>
        <w:t>t</w:t>
      </w:r>
      <w:r w:rsidRPr="00A85B4F">
        <w:rPr>
          <w:rFonts w:cs="Times New Roman"/>
          <w:sz w:val="20"/>
          <w:szCs w:val="20"/>
          <w:lang w:val="fr-CA"/>
        </w:rPr>
        <w:noBreakHyphen/>
        <w:t xml:space="preserve">elle eu tort de conclure que a) l’appelante n’avait pas effectué de « fourniture » en lien avec son acquisition et sa construction des installations de transport approuvées par la province et pour lesquelles l’appelante a reçu du financement de la Province et que b) l’appelante n’avait pas effectué de fourniture taxable à la Province? </w:t>
      </w:r>
      <w:r w:rsidRPr="00A85B4F">
        <w:rPr>
          <w:rFonts w:cs="Times New Roman"/>
          <w:sz w:val="20"/>
          <w:szCs w:val="20"/>
          <w:lang w:val="fr-CA"/>
        </w:rPr>
        <w:noBreakHyphen/>
        <w:t xml:space="preserve"> La Cour d’appel a</w:t>
      </w:r>
      <w:r w:rsidRPr="00A85B4F">
        <w:rPr>
          <w:rFonts w:cs="Times New Roman"/>
          <w:sz w:val="20"/>
          <w:szCs w:val="20"/>
          <w:lang w:val="fr-CA"/>
        </w:rPr>
        <w:noBreakHyphen/>
        <w:t>t</w:t>
      </w:r>
      <w:r w:rsidRPr="00A85B4F">
        <w:rPr>
          <w:rFonts w:cs="Times New Roman"/>
          <w:sz w:val="20"/>
          <w:szCs w:val="20"/>
          <w:lang w:val="fr-CA"/>
        </w:rPr>
        <w:noBreakHyphen/>
        <w:t xml:space="preserve">elle eu tort de conclure que l’appelante n’avait aucune obligation d’acquérir et de construire les installations de transport et de les rendre accessibles une fois que l’approbation de la Province a été reçue? </w:t>
      </w:r>
      <w:r w:rsidRPr="00A85B4F">
        <w:rPr>
          <w:rFonts w:cs="Times New Roman"/>
          <w:sz w:val="20"/>
          <w:szCs w:val="20"/>
          <w:lang w:val="fr-CA"/>
        </w:rPr>
        <w:noBreakHyphen/>
        <w:t xml:space="preserve"> La Cour d’appel a</w:t>
      </w:r>
      <w:r w:rsidRPr="00A85B4F">
        <w:rPr>
          <w:rFonts w:cs="Times New Roman"/>
          <w:sz w:val="20"/>
          <w:szCs w:val="20"/>
          <w:lang w:val="fr-CA"/>
        </w:rPr>
        <w:noBreakHyphen/>
        <w:t>t</w:t>
      </w:r>
      <w:r w:rsidRPr="00A85B4F">
        <w:rPr>
          <w:rFonts w:cs="Times New Roman"/>
          <w:sz w:val="20"/>
          <w:szCs w:val="20"/>
          <w:lang w:val="fr-CA"/>
        </w:rPr>
        <w:noBreakHyphen/>
        <w:t xml:space="preserve">elle eu tort de conclure que l’appelante n’avait pas droit au crédit de taxe pour les intrants demandé relativement à la TPS qu’elle avait payée sur le coût de ses intrants pour acquérir ou construire les installations de transport qui ont été financées en partie par la Province? </w:t>
      </w:r>
      <w:r w:rsidRPr="00A85B4F">
        <w:rPr>
          <w:rFonts w:cs="Times New Roman"/>
          <w:sz w:val="20"/>
          <w:szCs w:val="20"/>
          <w:lang w:val="fr-CA"/>
        </w:rPr>
        <w:noBreakHyphen/>
        <w:t xml:space="preserve"> </w:t>
      </w:r>
      <w:r w:rsidRPr="00A85B4F">
        <w:rPr>
          <w:rFonts w:cs="Times New Roman"/>
          <w:i/>
          <w:iCs/>
          <w:sz w:val="20"/>
          <w:szCs w:val="20"/>
          <w:lang w:val="fr-CA"/>
        </w:rPr>
        <w:t>Loi sur la taxe d’accise</w:t>
      </w:r>
      <w:r w:rsidRPr="00A85B4F">
        <w:rPr>
          <w:rFonts w:cs="Times New Roman"/>
          <w:sz w:val="20"/>
          <w:szCs w:val="20"/>
          <w:lang w:val="fr-CA"/>
        </w:rPr>
        <w:t>, L.R.C. 1985, ch. E</w:t>
      </w:r>
      <w:r w:rsidRPr="00A85B4F">
        <w:rPr>
          <w:rFonts w:cs="Times New Roman"/>
          <w:sz w:val="20"/>
          <w:szCs w:val="20"/>
          <w:lang w:val="fr-CA"/>
        </w:rPr>
        <w:noBreakHyphen/>
        <w:t xml:space="preserve">15 </w:t>
      </w:r>
      <w:r w:rsidRPr="00A85B4F">
        <w:rPr>
          <w:rFonts w:cs="Times New Roman"/>
          <w:sz w:val="20"/>
          <w:szCs w:val="20"/>
          <w:lang w:val="fr-CA"/>
        </w:rPr>
        <w:noBreakHyphen/>
        <w:t xml:space="preserve"> </w:t>
      </w:r>
      <w:r w:rsidRPr="00A85B4F">
        <w:rPr>
          <w:rFonts w:cs="Times New Roman"/>
          <w:i/>
          <w:iCs/>
          <w:sz w:val="20"/>
          <w:szCs w:val="20"/>
          <w:lang w:val="fr-CA"/>
        </w:rPr>
        <w:t>City Transportation Act,</w:t>
      </w:r>
      <w:r w:rsidRPr="00A85B4F">
        <w:rPr>
          <w:rFonts w:cs="Times New Roman"/>
          <w:sz w:val="20"/>
          <w:szCs w:val="20"/>
          <w:lang w:val="fr-CA"/>
        </w:rPr>
        <w:t xml:space="preserve"> R.S.A. 2000, ch. C</w:t>
      </w:r>
      <w:r w:rsidRPr="00A85B4F">
        <w:rPr>
          <w:rFonts w:cs="Times New Roman"/>
          <w:sz w:val="20"/>
          <w:szCs w:val="20"/>
          <w:lang w:val="fr-CA"/>
        </w:rPr>
        <w:noBreakHyphen/>
        <w:t>14.</w:t>
      </w:r>
    </w:p>
    <w:p w:rsidR="008F7B92" w:rsidRPr="00A85B4F" w:rsidRDefault="008F7B92" w:rsidP="008F7B92">
      <w:pPr>
        <w:widowControl w:val="0"/>
        <w:jc w:val="both"/>
        <w:rPr>
          <w:rFonts w:cs="Times New Roman"/>
          <w:sz w:val="20"/>
          <w:szCs w:val="20"/>
          <w:lang w:val="fr-CA"/>
        </w:rPr>
      </w:pPr>
    </w:p>
    <w:p w:rsidR="008F7B92" w:rsidRPr="00A85B4F" w:rsidRDefault="008F7B92" w:rsidP="008F7B92">
      <w:pPr>
        <w:widowControl w:val="0"/>
        <w:jc w:val="both"/>
        <w:rPr>
          <w:rFonts w:cs="Times New Roman"/>
          <w:sz w:val="20"/>
          <w:szCs w:val="20"/>
          <w:lang w:val="fr-CA"/>
        </w:rPr>
      </w:pPr>
      <w:r w:rsidRPr="00A85B4F">
        <w:rPr>
          <w:rFonts w:cs="Times New Roman"/>
          <w:sz w:val="20"/>
          <w:szCs w:val="20"/>
          <w:lang w:val="fr-CA"/>
        </w:rPr>
        <w:t xml:space="preserve">La Ville appelante a construit un réseau de transport municipal destiné aux usagers de Calgary en vertu de la </w:t>
      </w:r>
      <w:r w:rsidRPr="00A85B4F">
        <w:rPr>
          <w:rFonts w:cs="Times New Roman"/>
          <w:i/>
          <w:iCs/>
          <w:sz w:val="20"/>
          <w:szCs w:val="20"/>
          <w:lang w:val="fr-CA"/>
        </w:rPr>
        <w:t>City Transportation Act (« CTA »)</w:t>
      </w:r>
      <w:r w:rsidRPr="00A85B4F">
        <w:rPr>
          <w:rFonts w:cs="Times New Roman"/>
          <w:sz w:val="20"/>
          <w:szCs w:val="20"/>
          <w:lang w:val="fr-CA"/>
        </w:rPr>
        <w:t xml:space="preserve">.  La Province d’Alberta (la « Province ») a conclu des accords de financement (les « accords ») avec la Ville.  La Ville a payé la TPS à l’égard des achats faits dans le cadre de la construction du réseau de transport et a ensuite demandé des crédits de taxe sur les intrants à leur égard.  En vertu de la </w:t>
      </w:r>
      <w:r w:rsidRPr="00A85B4F">
        <w:rPr>
          <w:rFonts w:cs="Times New Roman"/>
          <w:i/>
          <w:iCs/>
          <w:sz w:val="20"/>
          <w:szCs w:val="20"/>
          <w:lang w:val="fr-CA"/>
        </w:rPr>
        <w:t>Loi sur la taxe d’accise (« LTA »)</w:t>
      </w:r>
      <w:r w:rsidRPr="00A85B4F">
        <w:rPr>
          <w:rFonts w:cs="Times New Roman"/>
          <w:sz w:val="20"/>
          <w:szCs w:val="20"/>
          <w:lang w:val="fr-CA"/>
        </w:rPr>
        <w:t>, la fourniture d’un service de transport municipal est une fourniture exonérée, qui ne permet pas au fournisseur de demander des crédits de taxe sur les intrants à l’égard des achats faits dans la fourniture de la fourniture exonérée.  La Ville était d’avis que la construction du réseau de transport constituait une fourniture distincte à la province conformément aux obligations contractuelles en vertu des accords, à l’égard de laquelle la province a payé une contrepartie.  Le ministre du Revenu national a rejeté l’argument de la demanderesse dans la cotisation.  La Ville a interjeté appel de cette décision.  La Cour canadienne de l’impôt a accueilli l’argument de la Ville, faisant droit à l’appel et renvoyant l’affaire au ministre pour nouvel examen.  La Cour d’appel fédérale a accueilli l’appel.  À son avis, la Ville avait l’obligation de construire le réseau de transport municipal aux termes de la CTA et les accords avaient simplement pour objet de fournir un cadre de financement.  Par conséquent, le financement provincial ne résultait pas d’une « obligation légale » de manière à constituer une « contrepartie ».  La Cour a également conclu que la construction était une fourniture exonérée, si bien qu’aucun crédit de taxe sur les intrants ne pouvait être demandé.  La Cour a annulé la décision de la Cour de l’impôt et a confirmé la cotisation établie par le ministre.</w:t>
      </w:r>
    </w:p>
    <w:p w:rsidR="008F7B92" w:rsidRPr="00A85B4F" w:rsidRDefault="008F7B92" w:rsidP="008F7B92">
      <w:pPr>
        <w:widowControl w:val="0"/>
        <w:jc w:val="both"/>
        <w:rPr>
          <w:rFonts w:cs="Times New Roman"/>
          <w:sz w:val="20"/>
          <w:szCs w:val="20"/>
          <w:lang w:val="fr-CA"/>
        </w:rPr>
      </w:pPr>
    </w:p>
    <w:p w:rsidR="008F7B92" w:rsidRPr="00A85B4F" w:rsidRDefault="008F7B92" w:rsidP="008F7B92">
      <w:pPr>
        <w:widowControl w:val="0"/>
        <w:jc w:val="both"/>
        <w:rPr>
          <w:rFonts w:cs="Times New Roman"/>
          <w:sz w:val="20"/>
          <w:szCs w:val="20"/>
          <w:lang w:val="fr-CA"/>
        </w:rPr>
      </w:pPr>
    </w:p>
    <w:p w:rsidR="008F7B92" w:rsidRPr="00A85B4F" w:rsidRDefault="008F7B92" w:rsidP="008F7B92">
      <w:pPr>
        <w:widowControl w:val="0"/>
        <w:jc w:val="both"/>
        <w:rPr>
          <w:rFonts w:cs="Times New Roman"/>
          <w:sz w:val="20"/>
          <w:szCs w:val="20"/>
          <w:lang w:val="fr-CA"/>
        </w:rPr>
      </w:pPr>
      <w:r w:rsidRPr="00A85B4F">
        <w:rPr>
          <w:rFonts w:cs="Times New Roman"/>
          <w:sz w:val="20"/>
          <w:szCs w:val="20"/>
          <w:lang w:val="fr-CA"/>
        </w:rPr>
        <w:t>Origine :</w:t>
      </w:r>
      <w:r w:rsidRPr="00A85B4F">
        <w:rPr>
          <w:rFonts w:cs="Times New Roman"/>
          <w:sz w:val="20"/>
          <w:szCs w:val="20"/>
          <w:lang w:val="fr-CA"/>
        </w:rPr>
        <w:tab/>
      </w:r>
      <w:r w:rsidRPr="00A85B4F">
        <w:rPr>
          <w:rFonts w:cs="Times New Roman"/>
          <w:sz w:val="20"/>
          <w:szCs w:val="20"/>
          <w:lang w:val="fr-CA"/>
        </w:rPr>
        <w:tab/>
      </w:r>
      <w:r w:rsidRPr="00A85B4F">
        <w:rPr>
          <w:rFonts w:cs="Times New Roman"/>
          <w:sz w:val="20"/>
          <w:szCs w:val="20"/>
          <w:lang w:val="fr-CA"/>
        </w:rPr>
        <w:tab/>
      </w:r>
      <w:r>
        <w:rPr>
          <w:rFonts w:cs="Times New Roman"/>
          <w:sz w:val="20"/>
          <w:szCs w:val="20"/>
          <w:lang w:val="fr-CA"/>
        </w:rPr>
        <w:tab/>
      </w:r>
      <w:r w:rsidRPr="00A85B4F">
        <w:rPr>
          <w:rFonts w:cs="Times New Roman"/>
          <w:sz w:val="20"/>
          <w:szCs w:val="20"/>
          <w:lang w:val="fr-CA"/>
        </w:rPr>
        <w:tab/>
        <w:t>Cour d’appel fédérale</w:t>
      </w:r>
    </w:p>
    <w:p w:rsidR="008F7B92" w:rsidRPr="00A85B4F" w:rsidRDefault="008F7B92" w:rsidP="008F7B92">
      <w:pPr>
        <w:widowControl w:val="0"/>
        <w:jc w:val="both"/>
        <w:rPr>
          <w:rFonts w:cs="Times New Roman"/>
          <w:sz w:val="20"/>
          <w:szCs w:val="20"/>
          <w:lang w:val="fr-CA"/>
        </w:rPr>
      </w:pPr>
    </w:p>
    <w:p w:rsidR="008F7B92" w:rsidRPr="00A85B4F" w:rsidRDefault="008F7B92" w:rsidP="008F7B92">
      <w:pPr>
        <w:widowControl w:val="0"/>
        <w:jc w:val="both"/>
        <w:rPr>
          <w:rFonts w:cs="Times New Roman"/>
          <w:sz w:val="20"/>
          <w:szCs w:val="20"/>
          <w:lang w:val="fr-CA"/>
        </w:rPr>
      </w:pPr>
      <w:r w:rsidRPr="00A85B4F">
        <w:rPr>
          <w:rFonts w:cs="Times New Roman"/>
          <w:sz w:val="20"/>
          <w:szCs w:val="20"/>
          <w:lang w:val="fr-CA"/>
        </w:rPr>
        <w:t>N</w:t>
      </w:r>
      <w:r w:rsidRPr="00A85B4F">
        <w:rPr>
          <w:rFonts w:cs="Times New Roman"/>
          <w:sz w:val="20"/>
          <w:szCs w:val="20"/>
          <w:vertAlign w:val="superscript"/>
          <w:lang w:val="fr-CA"/>
        </w:rPr>
        <w:t>o</w:t>
      </w:r>
      <w:r w:rsidRPr="00A85B4F">
        <w:rPr>
          <w:rFonts w:cs="Times New Roman"/>
          <w:sz w:val="20"/>
          <w:szCs w:val="20"/>
          <w:lang w:val="fr-CA"/>
        </w:rPr>
        <w:t xml:space="preserve"> du greffe :</w:t>
      </w:r>
      <w:r w:rsidRPr="00A85B4F">
        <w:rPr>
          <w:rFonts w:cs="Times New Roman"/>
          <w:sz w:val="20"/>
          <w:szCs w:val="20"/>
          <w:lang w:val="fr-CA"/>
        </w:rPr>
        <w:tab/>
      </w:r>
      <w:r w:rsidRPr="00A85B4F">
        <w:rPr>
          <w:rFonts w:cs="Times New Roman"/>
          <w:sz w:val="20"/>
          <w:szCs w:val="20"/>
          <w:lang w:val="fr-CA"/>
        </w:rPr>
        <w:tab/>
      </w:r>
      <w:r>
        <w:rPr>
          <w:rFonts w:cs="Times New Roman"/>
          <w:sz w:val="20"/>
          <w:szCs w:val="20"/>
          <w:lang w:val="fr-CA"/>
        </w:rPr>
        <w:tab/>
      </w:r>
      <w:r w:rsidRPr="00A85B4F">
        <w:rPr>
          <w:rFonts w:cs="Times New Roman"/>
          <w:sz w:val="20"/>
          <w:szCs w:val="20"/>
          <w:lang w:val="fr-CA"/>
        </w:rPr>
        <w:tab/>
        <w:t>33804</w:t>
      </w:r>
    </w:p>
    <w:p w:rsidR="008F7B92" w:rsidRPr="00A85B4F" w:rsidRDefault="008F7B92" w:rsidP="008F7B92">
      <w:pPr>
        <w:widowControl w:val="0"/>
        <w:jc w:val="both"/>
        <w:rPr>
          <w:rFonts w:cs="Times New Roman"/>
          <w:sz w:val="20"/>
          <w:szCs w:val="20"/>
          <w:lang w:val="fr-CA"/>
        </w:rPr>
      </w:pPr>
    </w:p>
    <w:p w:rsidR="008F7B92" w:rsidRPr="00A85B4F" w:rsidRDefault="008F7B92" w:rsidP="008F7B92">
      <w:pPr>
        <w:widowControl w:val="0"/>
        <w:jc w:val="both"/>
        <w:rPr>
          <w:rFonts w:cs="Times New Roman"/>
          <w:sz w:val="20"/>
          <w:szCs w:val="20"/>
          <w:lang w:val="fr-CA"/>
        </w:rPr>
      </w:pPr>
      <w:r w:rsidRPr="00A85B4F">
        <w:rPr>
          <w:rFonts w:cs="Times New Roman"/>
          <w:sz w:val="20"/>
          <w:szCs w:val="20"/>
          <w:lang w:val="fr-CA"/>
        </w:rPr>
        <w:t>Arrêt de la Cour d’appel :</w:t>
      </w:r>
      <w:r w:rsidRPr="00A85B4F">
        <w:rPr>
          <w:rFonts w:cs="Times New Roman"/>
          <w:sz w:val="20"/>
          <w:szCs w:val="20"/>
          <w:lang w:val="fr-CA"/>
        </w:rPr>
        <w:tab/>
      </w:r>
      <w:r>
        <w:rPr>
          <w:rFonts w:cs="Times New Roman"/>
          <w:sz w:val="20"/>
          <w:szCs w:val="20"/>
          <w:lang w:val="fr-CA"/>
        </w:rPr>
        <w:tab/>
      </w:r>
      <w:r w:rsidRPr="00A85B4F">
        <w:rPr>
          <w:rFonts w:cs="Times New Roman"/>
          <w:sz w:val="20"/>
          <w:szCs w:val="20"/>
          <w:lang w:val="fr-CA"/>
        </w:rPr>
        <w:tab/>
        <w:t>le 21 mai 2010</w:t>
      </w:r>
    </w:p>
    <w:p w:rsidR="008F7B92" w:rsidRPr="00A85B4F" w:rsidRDefault="008F7B92" w:rsidP="008F7B92">
      <w:pPr>
        <w:widowControl w:val="0"/>
        <w:jc w:val="both"/>
        <w:rPr>
          <w:rFonts w:cs="Times New Roman"/>
          <w:sz w:val="20"/>
          <w:szCs w:val="20"/>
          <w:lang w:val="fr-CA"/>
        </w:rPr>
      </w:pPr>
    </w:p>
    <w:p w:rsidR="008F7B92" w:rsidRPr="00A85B4F" w:rsidRDefault="008F7B92" w:rsidP="008F7B92">
      <w:pPr>
        <w:widowControl w:val="0"/>
        <w:jc w:val="both"/>
        <w:rPr>
          <w:rFonts w:cs="Times New Roman"/>
          <w:sz w:val="20"/>
          <w:szCs w:val="20"/>
          <w:lang w:val="fr-CA"/>
        </w:rPr>
      </w:pPr>
      <w:r w:rsidRPr="00A85B4F">
        <w:rPr>
          <w:rFonts w:cs="Times New Roman"/>
          <w:sz w:val="20"/>
          <w:szCs w:val="20"/>
          <w:lang w:val="fr-CA"/>
        </w:rPr>
        <w:t>Avocats :</w:t>
      </w:r>
      <w:r w:rsidRPr="00A85B4F">
        <w:rPr>
          <w:rFonts w:cs="Times New Roman"/>
          <w:sz w:val="20"/>
          <w:szCs w:val="20"/>
          <w:lang w:val="fr-CA"/>
        </w:rPr>
        <w:tab/>
      </w:r>
      <w:r w:rsidRPr="00A85B4F">
        <w:rPr>
          <w:rFonts w:cs="Times New Roman"/>
          <w:sz w:val="20"/>
          <w:szCs w:val="20"/>
          <w:lang w:val="fr-CA"/>
        </w:rPr>
        <w:tab/>
      </w:r>
      <w:r>
        <w:rPr>
          <w:rFonts w:cs="Times New Roman"/>
          <w:sz w:val="20"/>
          <w:szCs w:val="20"/>
          <w:lang w:val="fr-CA"/>
        </w:rPr>
        <w:tab/>
      </w:r>
      <w:r w:rsidRPr="00A85B4F">
        <w:rPr>
          <w:rFonts w:cs="Times New Roman"/>
          <w:sz w:val="20"/>
          <w:szCs w:val="20"/>
          <w:lang w:val="fr-CA"/>
        </w:rPr>
        <w:tab/>
        <w:t>Ken S. Skingle, c.r. pour l’appelante</w:t>
      </w:r>
    </w:p>
    <w:p w:rsidR="00201497" w:rsidRDefault="008F7B92" w:rsidP="008F7B92">
      <w:pPr>
        <w:rPr>
          <w:rFonts w:cs="Times New Roman"/>
          <w:sz w:val="20"/>
          <w:szCs w:val="20"/>
          <w:lang w:val="fr-CA"/>
        </w:rPr>
      </w:pPr>
      <w:r w:rsidRPr="00A85B4F">
        <w:rPr>
          <w:rFonts w:cs="Times New Roman"/>
          <w:sz w:val="20"/>
          <w:szCs w:val="20"/>
          <w:lang w:val="fr-CA"/>
        </w:rPr>
        <w:tab/>
      </w:r>
      <w:r w:rsidRPr="00A85B4F">
        <w:rPr>
          <w:rFonts w:cs="Times New Roman"/>
          <w:sz w:val="20"/>
          <w:szCs w:val="20"/>
          <w:lang w:val="fr-CA"/>
        </w:rPr>
        <w:tab/>
      </w:r>
      <w:r w:rsidRPr="00A85B4F">
        <w:rPr>
          <w:rFonts w:cs="Times New Roman"/>
          <w:sz w:val="20"/>
          <w:szCs w:val="20"/>
          <w:lang w:val="fr-CA"/>
        </w:rPr>
        <w:tab/>
      </w:r>
      <w:r w:rsidRPr="00A85B4F">
        <w:rPr>
          <w:rFonts w:cs="Times New Roman"/>
          <w:sz w:val="20"/>
          <w:szCs w:val="20"/>
          <w:lang w:val="fr-CA"/>
        </w:rPr>
        <w:tab/>
      </w:r>
      <w:r>
        <w:rPr>
          <w:rFonts w:cs="Times New Roman"/>
          <w:sz w:val="20"/>
          <w:szCs w:val="20"/>
          <w:lang w:val="fr-CA"/>
        </w:rPr>
        <w:tab/>
      </w:r>
      <w:r w:rsidRPr="00A85B4F">
        <w:rPr>
          <w:rFonts w:cs="Times New Roman"/>
          <w:sz w:val="20"/>
          <w:szCs w:val="20"/>
          <w:lang w:val="fr-CA"/>
        </w:rPr>
        <w:t>Gordon Bourgard, Michael Lema et Marta E. Burns pour l’intimée</w:t>
      </w:r>
    </w:p>
    <w:p w:rsidR="008F7B92" w:rsidRPr="008F7B92" w:rsidRDefault="008F7B92" w:rsidP="008F7B92">
      <w:pPr>
        <w:rPr>
          <w:sz w:val="20"/>
          <w:szCs w:val="20"/>
          <w:lang w:val="fr-CA"/>
        </w:rPr>
      </w:pPr>
    </w:p>
    <w:p w:rsidR="00201497" w:rsidRDefault="00460701">
      <w:pPr>
        <w:rPr>
          <w:sz w:val="20"/>
          <w:szCs w:val="20"/>
          <w:lang w:val="fr-CA"/>
        </w:rPr>
      </w:pPr>
      <w:r w:rsidRPr="00460701">
        <w:rPr>
          <w:sz w:val="20"/>
          <w:szCs w:val="20"/>
          <w:lang w:val="fr-CA"/>
        </w:rPr>
        <w:pict>
          <v:rect id="_x0000_i1102" style="width:2in;height:1pt" o:hrpct="0" o:hralign="center" o:hrstd="t" o:hrnoshade="t" o:hr="t" fillcolor="black [3213]" stroked="f"/>
        </w:pict>
      </w:r>
    </w:p>
    <w:p w:rsidR="00201497" w:rsidRDefault="00201497">
      <w:pPr>
        <w:rPr>
          <w:sz w:val="20"/>
          <w:szCs w:val="20"/>
          <w:lang w:val="fr-CA"/>
        </w:rPr>
      </w:pPr>
    </w:p>
    <w:p w:rsidR="00201497" w:rsidRDefault="00201497">
      <w:pPr>
        <w:rPr>
          <w:sz w:val="20"/>
          <w:szCs w:val="20"/>
          <w:lang w:val="fr-CA"/>
        </w:rPr>
      </w:pPr>
      <w:r>
        <w:rPr>
          <w:sz w:val="20"/>
          <w:szCs w:val="20"/>
          <w:lang w:val="fr-CA"/>
        </w:rPr>
        <w:br w:type="page"/>
      </w:r>
    </w:p>
    <w:p w:rsidR="008F7B92" w:rsidRPr="00A85B4F" w:rsidRDefault="00460701" w:rsidP="008F7B92">
      <w:pPr>
        <w:widowControl w:val="0"/>
        <w:ind w:left="720" w:hanging="720"/>
        <w:jc w:val="both"/>
        <w:rPr>
          <w:rFonts w:cs="Times New Roman"/>
          <w:sz w:val="20"/>
          <w:szCs w:val="20"/>
        </w:rPr>
      </w:pPr>
      <w:r w:rsidRPr="00A85B4F">
        <w:rPr>
          <w:rFonts w:cs="Times New Roman"/>
          <w:b/>
          <w:sz w:val="20"/>
          <w:szCs w:val="20"/>
        </w:rPr>
        <w:lastRenderedPageBreak/>
        <w:fldChar w:fldCharType="begin"/>
      </w:r>
      <w:r w:rsidR="008F7B92" w:rsidRPr="00A85B4F">
        <w:rPr>
          <w:rFonts w:cs="Times New Roman"/>
          <w:b/>
          <w:sz w:val="20"/>
          <w:szCs w:val="20"/>
        </w:rPr>
        <w:instrText xml:space="preserve"> SEQ CHAPTER \h \r 1</w:instrText>
      </w:r>
      <w:r w:rsidRPr="00A85B4F">
        <w:rPr>
          <w:rFonts w:cs="Times New Roman"/>
          <w:b/>
          <w:sz w:val="20"/>
          <w:szCs w:val="20"/>
        </w:rPr>
        <w:fldChar w:fldCharType="end"/>
      </w:r>
      <w:r w:rsidR="008F7B92" w:rsidRPr="00A85B4F">
        <w:rPr>
          <w:rFonts w:cs="Times New Roman"/>
          <w:b/>
          <w:sz w:val="20"/>
          <w:szCs w:val="20"/>
        </w:rPr>
        <w:t>33797</w:t>
      </w:r>
      <w:r w:rsidR="008F7B92" w:rsidRPr="00A85B4F">
        <w:rPr>
          <w:rFonts w:cs="Times New Roman"/>
          <w:sz w:val="20"/>
          <w:szCs w:val="20"/>
        </w:rPr>
        <w:tab/>
      </w:r>
      <w:r w:rsidR="008F7B92" w:rsidRPr="00A85B4F">
        <w:rPr>
          <w:rFonts w:cs="Times New Roman"/>
          <w:b/>
          <w:i/>
          <w:sz w:val="20"/>
          <w:szCs w:val="20"/>
        </w:rPr>
        <w:t>Her Majesty the Queen in Right of the Province of Newfoundland and Labrador v. AbitibiBowater Inc., Abitibi</w:t>
      </w:r>
      <w:r w:rsidR="008F7B92" w:rsidRPr="00A85B4F">
        <w:rPr>
          <w:rFonts w:cs="Times New Roman"/>
          <w:b/>
          <w:i/>
          <w:sz w:val="20"/>
          <w:szCs w:val="20"/>
        </w:rPr>
        <w:noBreakHyphen/>
        <w:t>Consolidated Inc., Bowater Canadian Holdings Inc., Ad Hoc Committee of Bondholders, Ad Hoc Committee of Senior Secured Noteholders and U.S. Bank National Association (Indenture Trustee for the Senior Secured Noteholders)</w:t>
      </w:r>
    </w:p>
    <w:p w:rsidR="008F7B92" w:rsidRPr="00A85B4F" w:rsidRDefault="008F7B92" w:rsidP="008F7B92">
      <w:pPr>
        <w:widowControl w:val="0"/>
        <w:jc w:val="both"/>
        <w:rPr>
          <w:rFonts w:cs="Times New Roman"/>
          <w:sz w:val="20"/>
          <w:szCs w:val="20"/>
        </w:rPr>
      </w:pPr>
    </w:p>
    <w:p w:rsidR="008F7B92" w:rsidRPr="00A85B4F" w:rsidRDefault="008F7B92" w:rsidP="008F7B92">
      <w:pPr>
        <w:widowControl w:val="0"/>
        <w:jc w:val="both"/>
        <w:rPr>
          <w:rFonts w:cs="Times New Roman"/>
          <w:sz w:val="20"/>
          <w:szCs w:val="20"/>
        </w:rPr>
      </w:pPr>
      <w:r w:rsidRPr="00A85B4F">
        <w:rPr>
          <w:rFonts w:cs="Times New Roman"/>
          <w:sz w:val="20"/>
          <w:szCs w:val="20"/>
        </w:rPr>
        <w:t xml:space="preserve">Bankruptcy and Insolvency - Environmental Law - </w:t>
      </w:r>
      <w:r w:rsidRPr="00A85B4F">
        <w:rPr>
          <w:rFonts w:cs="Times New Roman"/>
          <w:i/>
          <w:sz w:val="20"/>
          <w:szCs w:val="20"/>
        </w:rPr>
        <w:t>Companies’ Creditors Arrangement Act</w:t>
      </w:r>
      <w:r w:rsidRPr="00A85B4F">
        <w:rPr>
          <w:rFonts w:cs="Times New Roman"/>
          <w:sz w:val="20"/>
          <w:szCs w:val="20"/>
        </w:rPr>
        <w:t>, R.S.C. 1985, c. C</w:t>
      </w:r>
      <w:r w:rsidRPr="00A85B4F">
        <w:rPr>
          <w:rFonts w:cs="Times New Roman"/>
          <w:sz w:val="20"/>
          <w:szCs w:val="20"/>
        </w:rPr>
        <w:noBreakHyphen/>
        <w:t xml:space="preserve">36 - Compromises and Arrangements - Claims - Nature of ministerial orders pursuant to s. 99 of </w:t>
      </w:r>
      <w:r w:rsidRPr="00A85B4F">
        <w:rPr>
          <w:rFonts w:cs="Times New Roman"/>
          <w:i/>
          <w:sz w:val="20"/>
          <w:szCs w:val="20"/>
        </w:rPr>
        <w:t>Environmental Protection Act</w:t>
      </w:r>
      <w:r w:rsidRPr="00A85B4F">
        <w:rPr>
          <w:rFonts w:cs="Times New Roman"/>
          <w:sz w:val="20"/>
          <w:szCs w:val="20"/>
        </w:rPr>
        <w:t>, S.N.L. 2002, c. E</w:t>
      </w:r>
      <w:r w:rsidRPr="00A85B4F">
        <w:rPr>
          <w:rFonts w:cs="Times New Roman"/>
          <w:sz w:val="20"/>
          <w:szCs w:val="20"/>
        </w:rPr>
        <w:noBreakHyphen/>
        <w:t xml:space="preserve">14.2 - Whether sections 2(1) and 11 of the </w:t>
      </w:r>
      <w:r w:rsidRPr="00A85B4F">
        <w:rPr>
          <w:rFonts w:cs="Times New Roman"/>
          <w:i/>
          <w:sz w:val="20"/>
          <w:szCs w:val="20"/>
        </w:rPr>
        <w:t>CCAA</w:t>
      </w:r>
      <w:r w:rsidRPr="00A85B4F">
        <w:rPr>
          <w:rFonts w:cs="Times New Roman"/>
          <w:sz w:val="20"/>
          <w:szCs w:val="20"/>
        </w:rPr>
        <w:t xml:space="preserve"> may be interpreted for the purpose of permanently barring and extinguishing orders made under the </w:t>
      </w:r>
      <w:r w:rsidRPr="00A85B4F">
        <w:rPr>
          <w:rFonts w:cs="Times New Roman"/>
          <w:i/>
          <w:sz w:val="20"/>
          <w:szCs w:val="20"/>
        </w:rPr>
        <w:t>EPA</w:t>
      </w:r>
      <w:r w:rsidRPr="00A85B4F">
        <w:rPr>
          <w:rFonts w:cs="Times New Roman"/>
          <w:sz w:val="20"/>
          <w:szCs w:val="20"/>
        </w:rPr>
        <w:t xml:space="preserve"> - Whether sections 2(1) and 11 of the </w:t>
      </w:r>
      <w:r w:rsidRPr="00A85B4F">
        <w:rPr>
          <w:rFonts w:cs="Times New Roman"/>
          <w:i/>
          <w:sz w:val="20"/>
          <w:szCs w:val="20"/>
        </w:rPr>
        <w:t>CCAA</w:t>
      </w:r>
      <w:r w:rsidRPr="00A85B4F">
        <w:rPr>
          <w:rFonts w:cs="Times New Roman"/>
          <w:sz w:val="20"/>
          <w:szCs w:val="20"/>
        </w:rPr>
        <w:t xml:space="preserve">, as interpreted by the court, are </w:t>
      </w:r>
      <w:r w:rsidRPr="00A85B4F">
        <w:rPr>
          <w:rFonts w:cs="Times New Roman"/>
          <w:i/>
          <w:sz w:val="20"/>
          <w:szCs w:val="20"/>
        </w:rPr>
        <w:t>ultra vires</w:t>
      </w:r>
      <w:r w:rsidRPr="00A85B4F">
        <w:rPr>
          <w:rFonts w:cs="Times New Roman"/>
          <w:sz w:val="20"/>
          <w:szCs w:val="20"/>
        </w:rPr>
        <w:t xml:space="preserve"> Parliament, and if so, whether they are saved by virtue of being ancillary to the constitutionally valid purposes of the </w:t>
      </w:r>
      <w:r w:rsidRPr="00A85B4F">
        <w:rPr>
          <w:rFonts w:cs="Times New Roman"/>
          <w:i/>
          <w:sz w:val="20"/>
          <w:szCs w:val="20"/>
        </w:rPr>
        <w:t>CCAA</w:t>
      </w:r>
      <w:r w:rsidRPr="00A85B4F">
        <w:rPr>
          <w:rFonts w:cs="Times New Roman"/>
          <w:sz w:val="20"/>
          <w:szCs w:val="20"/>
        </w:rPr>
        <w:t xml:space="preserve"> - Whether the doctrine of interjurisdictional immunity applies to prevent sections 2(1) and 11 of the </w:t>
      </w:r>
      <w:r w:rsidRPr="00A85B4F">
        <w:rPr>
          <w:rFonts w:cs="Times New Roman"/>
          <w:i/>
          <w:sz w:val="20"/>
          <w:szCs w:val="20"/>
        </w:rPr>
        <w:t>CCAA</w:t>
      </w:r>
      <w:r w:rsidRPr="00A85B4F">
        <w:rPr>
          <w:rFonts w:cs="Times New Roman"/>
          <w:sz w:val="20"/>
          <w:szCs w:val="20"/>
        </w:rPr>
        <w:t xml:space="preserve"> from impairing the operation of the </w:t>
      </w:r>
      <w:r w:rsidRPr="00A85B4F">
        <w:rPr>
          <w:rFonts w:cs="Times New Roman"/>
          <w:i/>
          <w:sz w:val="20"/>
          <w:szCs w:val="20"/>
        </w:rPr>
        <w:t>EPA</w:t>
      </w:r>
      <w:r w:rsidRPr="00A85B4F">
        <w:rPr>
          <w:rFonts w:cs="Times New Roman"/>
          <w:sz w:val="20"/>
          <w:szCs w:val="20"/>
        </w:rPr>
        <w:t xml:space="preserve"> to a debtor company? - Is the definition of “claim” in s. 2(1) of the </w:t>
      </w:r>
      <w:r w:rsidRPr="00A85B4F">
        <w:rPr>
          <w:rFonts w:cs="Times New Roman"/>
          <w:i/>
          <w:sz w:val="20"/>
          <w:szCs w:val="20"/>
        </w:rPr>
        <w:t>Companies’ Creditors Arrangement Act</w:t>
      </w:r>
      <w:r w:rsidRPr="00A85B4F">
        <w:rPr>
          <w:rFonts w:cs="Times New Roman"/>
          <w:sz w:val="20"/>
          <w:szCs w:val="20"/>
        </w:rPr>
        <w:t>, R.S.C. 1985, c. C</w:t>
      </w:r>
      <w:r w:rsidRPr="00A85B4F">
        <w:rPr>
          <w:rFonts w:cs="Times New Roman"/>
          <w:sz w:val="20"/>
          <w:szCs w:val="20"/>
        </w:rPr>
        <w:noBreakHyphen/>
        <w:t xml:space="preserve">36, </w:t>
      </w:r>
      <w:r w:rsidRPr="00A85B4F">
        <w:rPr>
          <w:rFonts w:cs="Times New Roman"/>
          <w:i/>
          <w:sz w:val="20"/>
          <w:szCs w:val="20"/>
        </w:rPr>
        <w:t>ultra vires</w:t>
      </w:r>
      <w:r w:rsidRPr="00A85B4F">
        <w:rPr>
          <w:rFonts w:cs="Times New Roman"/>
          <w:sz w:val="20"/>
          <w:szCs w:val="20"/>
        </w:rPr>
        <w:t xml:space="preserve"> the Parliament of Canada or constitutionally inapplicable to the extent this definition includes statutory duties to which the debtor is subject pursuant to s. 99 of the </w:t>
      </w:r>
      <w:r w:rsidRPr="00A85B4F">
        <w:rPr>
          <w:rFonts w:cs="Times New Roman"/>
          <w:i/>
          <w:sz w:val="20"/>
          <w:szCs w:val="20"/>
        </w:rPr>
        <w:t>Environmental Protection Act</w:t>
      </w:r>
      <w:r w:rsidRPr="00A85B4F">
        <w:rPr>
          <w:rFonts w:cs="Times New Roman"/>
          <w:sz w:val="20"/>
          <w:szCs w:val="20"/>
        </w:rPr>
        <w:t>, S.N.L. 2002, c. E</w:t>
      </w:r>
      <w:r w:rsidRPr="00A85B4F">
        <w:rPr>
          <w:rFonts w:cs="Times New Roman"/>
          <w:sz w:val="20"/>
          <w:szCs w:val="20"/>
        </w:rPr>
        <w:noBreakHyphen/>
        <w:t xml:space="preserve">14.2? - Is s. 11 of the </w:t>
      </w:r>
      <w:r w:rsidRPr="00A85B4F">
        <w:rPr>
          <w:rFonts w:cs="Times New Roman"/>
          <w:i/>
          <w:sz w:val="20"/>
          <w:szCs w:val="20"/>
        </w:rPr>
        <w:t>Companies’ Creditors Arrangement Act</w:t>
      </w:r>
      <w:r w:rsidRPr="00A85B4F">
        <w:rPr>
          <w:rFonts w:cs="Times New Roman"/>
          <w:sz w:val="20"/>
          <w:szCs w:val="20"/>
        </w:rPr>
        <w:t>, R.S.C. 1985, c. C</w:t>
      </w:r>
      <w:r w:rsidRPr="00A85B4F">
        <w:rPr>
          <w:rFonts w:cs="Times New Roman"/>
          <w:sz w:val="20"/>
          <w:szCs w:val="20"/>
        </w:rPr>
        <w:noBreakHyphen/>
        <w:t xml:space="preserve">36, </w:t>
      </w:r>
      <w:r w:rsidRPr="00A85B4F">
        <w:rPr>
          <w:rFonts w:cs="Times New Roman"/>
          <w:i/>
          <w:sz w:val="20"/>
          <w:szCs w:val="20"/>
        </w:rPr>
        <w:t>ultra vires</w:t>
      </w:r>
      <w:r w:rsidRPr="00A85B4F">
        <w:rPr>
          <w:rFonts w:cs="Times New Roman"/>
          <w:sz w:val="20"/>
          <w:szCs w:val="20"/>
        </w:rPr>
        <w:t xml:space="preserve"> the Parliament of Canada or constitutionally inapplicable to the extent this section gives courts jurisdiction to bar or extinguish statutory duties to which the debtor is subject pursuant to s. 99 of the </w:t>
      </w:r>
      <w:r w:rsidRPr="00A85B4F">
        <w:rPr>
          <w:rFonts w:cs="Times New Roman"/>
          <w:i/>
          <w:sz w:val="20"/>
          <w:szCs w:val="20"/>
        </w:rPr>
        <w:t>Environmental Protection Act</w:t>
      </w:r>
      <w:r w:rsidRPr="00A85B4F">
        <w:rPr>
          <w:rFonts w:cs="Times New Roman"/>
          <w:sz w:val="20"/>
          <w:szCs w:val="20"/>
        </w:rPr>
        <w:t>, S.N.L. 2002, c. E</w:t>
      </w:r>
      <w:r w:rsidRPr="00A85B4F">
        <w:rPr>
          <w:rFonts w:cs="Times New Roman"/>
          <w:sz w:val="20"/>
          <w:szCs w:val="20"/>
        </w:rPr>
        <w:noBreakHyphen/>
        <w:t xml:space="preserve">14.2? - Is s. 11 of the </w:t>
      </w:r>
      <w:r w:rsidRPr="00A85B4F">
        <w:rPr>
          <w:rFonts w:cs="Times New Roman"/>
          <w:i/>
          <w:sz w:val="20"/>
          <w:szCs w:val="20"/>
        </w:rPr>
        <w:t>Companies’ Creditors Arrangement Act</w:t>
      </w:r>
      <w:r w:rsidRPr="00A85B4F">
        <w:rPr>
          <w:rFonts w:cs="Times New Roman"/>
          <w:sz w:val="20"/>
          <w:szCs w:val="20"/>
        </w:rPr>
        <w:t>, R.S.C. 1985, c. C</w:t>
      </w:r>
      <w:r w:rsidRPr="00A85B4F">
        <w:rPr>
          <w:rFonts w:cs="Times New Roman"/>
          <w:sz w:val="20"/>
          <w:szCs w:val="20"/>
        </w:rPr>
        <w:noBreakHyphen/>
        <w:t xml:space="preserve">36, </w:t>
      </w:r>
      <w:r w:rsidRPr="00A85B4F">
        <w:rPr>
          <w:rFonts w:cs="Times New Roman"/>
          <w:i/>
          <w:sz w:val="20"/>
          <w:szCs w:val="20"/>
        </w:rPr>
        <w:t>ultra vires</w:t>
      </w:r>
      <w:r w:rsidRPr="00A85B4F">
        <w:rPr>
          <w:rFonts w:cs="Times New Roman"/>
          <w:sz w:val="20"/>
          <w:szCs w:val="20"/>
        </w:rPr>
        <w:t xml:space="preserve"> the Parliament of Canada or constitutionally inapplicable to the extent this section gives courts jurisdiction to review the exercise of ministerial discretion under s. 99 of the </w:t>
      </w:r>
      <w:r w:rsidRPr="00A85B4F">
        <w:rPr>
          <w:rFonts w:cs="Times New Roman"/>
          <w:i/>
          <w:sz w:val="20"/>
          <w:szCs w:val="20"/>
        </w:rPr>
        <w:t>Environmental Protection Act</w:t>
      </w:r>
      <w:r w:rsidRPr="00A85B4F">
        <w:rPr>
          <w:rFonts w:cs="Times New Roman"/>
          <w:sz w:val="20"/>
          <w:szCs w:val="20"/>
        </w:rPr>
        <w:t>, S.N.L. 2002, c. E</w:t>
      </w:r>
      <w:r w:rsidRPr="00A85B4F">
        <w:rPr>
          <w:rFonts w:cs="Times New Roman"/>
          <w:sz w:val="20"/>
          <w:szCs w:val="20"/>
        </w:rPr>
        <w:noBreakHyphen/>
        <w:t>14.2?</w:t>
      </w:r>
    </w:p>
    <w:p w:rsidR="008F7B92" w:rsidRPr="00A85B4F" w:rsidRDefault="008F7B92" w:rsidP="008F7B92">
      <w:pPr>
        <w:widowControl w:val="0"/>
        <w:jc w:val="both"/>
        <w:rPr>
          <w:rFonts w:cs="Times New Roman"/>
          <w:sz w:val="20"/>
          <w:szCs w:val="20"/>
        </w:rPr>
      </w:pPr>
    </w:p>
    <w:p w:rsidR="008F7B92" w:rsidRPr="00A85B4F" w:rsidRDefault="008F7B92" w:rsidP="008F7B92">
      <w:pPr>
        <w:widowControl w:val="0"/>
        <w:jc w:val="both"/>
        <w:rPr>
          <w:rFonts w:cs="Times New Roman"/>
          <w:sz w:val="20"/>
          <w:szCs w:val="20"/>
        </w:rPr>
      </w:pPr>
      <w:r w:rsidRPr="00A85B4F">
        <w:rPr>
          <w:rFonts w:cs="Times New Roman"/>
          <w:sz w:val="20"/>
          <w:szCs w:val="20"/>
        </w:rPr>
        <w:t>The Minister of Environment and Conservation of Newfoundland and Labrador issued five ministerial orders (“</w:t>
      </w:r>
      <w:r w:rsidRPr="00A85B4F">
        <w:rPr>
          <w:rFonts w:cs="Times New Roman"/>
          <w:i/>
          <w:sz w:val="20"/>
          <w:szCs w:val="20"/>
        </w:rPr>
        <w:t>EPA</w:t>
      </w:r>
      <w:r w:rsidRPr="00A85B4F">
        <w:rPr>
          <w:rFonts w:cs="Times New Roman"/>
          <w:sz w:val="20"/>
          <w:szCs w:val="20"/>
        </w:rPr>
        <w:t xml:space="preserve"> orders”) pursuant to s. 99 of the </w:t>
      </w:r>
      <w:r w:rsidRPr="00A85B4F">
        <w:rPr>
          <w:rFonts w:cs="Times New Roman"/>
          <w:i/>
          <w:sz w:val="20"/>
          <w:szCs w:val="20"/>
        </w:rPr>
        <w:t>Environmental Protection Act</w:t>
      </w:r>
      <w:r w:rsidRPr="00A85B4F">
        <w:rPr>
          <w:rFonts w:cs="Times New Roman"/>
          <w:sz w:val="20"/>
          <w:szCs w:val="20"/>
        </w:rPr>
        <w:t>, S.N.L. 2002, c. E</w:t>
      </w:r>
      <w:r w:rsidRPr="00A85B4F">
        <w:rPr>
          <w:rFonts w:cs="Times New Roman"/>
          <w:sz w:val="20"/>
          <w:szCs w:val="20"/>
        </w:rPr>
        <w:noBreakHyphen/>
        <w:t>14.2, against Abitibi, requiring it to, among other things, complete environmental remediation of sites where it conducted large</w:t>
      </w:r>
      <w:r w:rsidRPr="00A85B4F">
        <w:rPr>
          <w:rFonts w:cs="Times New Roman"/>
          <w:sz w:val="20"/>
          <w:szCs w:val="20"/>
        </w:rPr>
        <w:noBreakHyphen/>
        <w:t xml:space="preserve">scale industrial activities.  At the time the orders were issued, the respondent Abitibi had filed for protection under the </w:t>
      </w:r>
      <w:r w:rsidRPr="00A85B4F">
        <w:rPr>
          <w:rFonts w:cs="Times New Roman"/>
          <w:i/>
          <w:sz w:val="20"/>
          <w:szCs w:val="20"/>
        </w:rPr>
        <w:t>Companies’ Creditors Arrangement Act</w:t>
      </w:r>
      <w:r w:rsidRPr="00A85B4F">
        <w:rPr>
          <w:rFonts w:cs="Times New Roman"/>
          <w:sz w:val="20"/>
          <w:szCs w:val="20"/>
        </w:rPr>
        <w:t>, R.S.C. 1985, c. C</w:t>
      </w:r>
      <w:r w:rsidRPr="00A85B4F">
        <w:rPr>
          <w:rFonts w:cs="Times New Roman"/>
          <w:sz w:val="20"/>
          <w:szCs w:val="20"/>
        </w:rPr>
        <w:noBreakHyphen/>
        <w:t>36 (“</w:t>
      </w:r>
      <w:r w:rsidRPr="00A85B4F">
        <w:rPr>
          <w:rFonts w:cs="Times New Roman"/>
          <w:i/>
          <w:sz w:val="20"/>
          <w:szCs w:val="20"/>
        </w:rPr>
        <w:t>CCAA</w:t>
      </w:r>
      <w:r w:rsidRPr="00A85B4F">
        <w:rPr>
          <w:rFonts w:cs="Times New Roman"/>
          <w:sz w:val="20"/>
          <w:szCs w:val="20"/>
        </w:rPr>
        <w:t xml:space="preserve">”).  A claims procedure order was subsequently made, directing Abitibi’s creditors to file their proofs of claim by the claims bar date.  The Province of Newfoundland and Labrador moved for an order declaring that the </w:t>
      </w:r>
      <w:r w:rsidRPr="00A85B4F">
        <w:rPr>
          <w:rFonts w:cs="Times New Roman"/>
          <w:i/>
          <w:sz w:val="20"/>
          <w:szCs w:val="20"/>
        </w:rPr>
        <w:t>EP</w:t>
      </w:r>
      <w:r w:rsidRPr="00A85B4F">
        <w:rPr>
          <w:rFonts w:cs="Times New Roman"/>
          <w:sz w:val="20"/>
          <w:szCs w:val="20"/>
        </w:rPr>
        <w:t xml:space="preserve">A orders were not barred or extinguished and their enforceability was not affected by that claims procedure order.  The Province argued, among other things, that the statutory duty to remediate contaminated lands could not be considered a “claim” under the claims procedure order or the </w:t>
      </w:r>
      <w:r w:rsidRPr="00A85B4F">
        <w:rPr>
          <w:rFonts w:cs="Times New Roman"/>
          <w:i/>
          <w:sz w:val="20"/>
          <w:szCs w:val="20"/>
        </w:rPr>
        <w:t>CCAA</w:t>
      </w:r>
      <w:r w:rsidRPr="00A85B4F">
        <w:rPr>
          <w:rFonts w:cs="Times New Roman"/>
          <w:sz w:val="20"/>
          <w:szCs w:val="20"/>
        </w:rPr>
        <w:t xml:space="preserve">.  In its view, the </w:t>
      </w:r>
      <w:r w:rsidRPr="00A85B4F">
        <w:rPr>
          <w:rFonts w:cs="Times New Roman"/>
          <w:i/>
          <w:sz w:val="20"/>
          <w:szCs w:val="20"/>
        </w:rPr>
        <w:t>EPA</w:t>
      </w:r>
      <w:r w:rsidRPr="00A85B4F">
        <w:rPr>
          <w:rFonts w:cs="Times New Roman"/>
          <w:sz w:val="20"/>
          <w:szCs w:val="20"/>
        </w:rPr>
        <w:t xml:space="preserve"> orders were in relation to the environment and did not fall within the definition of “claim” contained in the </w:t>
      </w:r>
      <w:r w:rsidRPr="00A85B4F">
        <w:rPr>
          <w:rFonts w:cs="Times New Roman"/>
          <w:i/>
          <w:sz w:val="20"/>
          <w:szCs w:val="20"/>
        </w:rPr>
        <w:t>CCAA</w:t>
      </w:r>
      <w:r w:rsidRPr="00A85B4F">
        <w:rPr>
          <w:rFonts w:cs="Times New Roman"/>
          <w:sz w:val="20"/>
          <w:szCs w:val="20"/>
        </w:rPr>
        <w:t>.  The Superior Court dismissed the motion.  The Court of Appeal denied leave to appeal.</w:t>
      </w:r>
    </w:p>
    <w:p w:rsidR="008F7B92" w:rsidRPr="00A85B4F" w:rsidRDefault="008F7B92" w:rsidP="008F7B92">
      <w:pPr>
        <w:widowControl w:val="0"/>
        <w:jc w:val="both"/>
        <w:rPr>
          <w:rFonts w:cs="Times New Roman"/>
          <w:sz w:val="20"/>
          <w:szCs w:val="20"/>
        </w:rPr>
      </w:pPr>
    </w:p>
    <w:p w:rsidR="008F7B92" w:rsidRPr="00A85B4F" w:rsidRDefault="008F7B92" w:rsidP="008F7B92">
      <w:pPr>
        <w:widowControl w:val="0"/>
        <w:jc w:val="both"/>
        <w:rPr>
          <w:rFonts w:cs="Times New Roman"/>
          <w:sz w:val="20"/>
          <w:szCs w:val="20"/>
        </w:rPr>
      </w:pPr>
      <w:r w:rsidRPr="00A85B4F">
        <w:rPr>
          <w:rFonts w:cs="Times New Roman"/>
          <w:sz w:val="20"/>
          <w:szCs w:val="20"/>
        </w:rPr>
        <w:t>Origin of the case:</w:t>
      </w:r>
      <w:r w:rsidRPr="00A85B4F">
        <w:rPr>
          <w:rFonts w:cs="Times New Roman"/>
          <w:sz w:val="20"/>
          <w:szCs w:val="20"/>
        </w:rPr>
        <w:tab/>
      </w:r>
      <w:r>
        <w:rPr>
          <w:rFonts w:cs="Times New Roman"/>
          <w:sz w:val="20"/>
          <w:szCs w:val="20"/>
        </w:rPr>
        <w:tab/>
      </w:r>
      <w:r w:rsidRPr="00A85B4F">
        <w:rPr>
          <w:rFonts w:cs="Times New Roman"/>
          <w:sz w:val="20"/>
          <w:szCs w:val="20"/>
        </w:rPr>
        <w:tab/>
        <w:t>Quebec</w:t>
      </w:r>
    </w:p>
    <w:p w:rsidR="008F7B92" w:rsidRPr="00A85B4F" w:rsidRDefault="008F7B92" w:rsidP="008F7B92">
      <w:pPr>
        <w:widowControl w:val="0"/>
        <w:jc w:val="both"/>
        <w:rPr>
          <w:rFonts w:cs="Times New Roman"/>
          <w:sz w:val="20"/>
          <w:szCs w:val="20"/>
        </w:rPr>
      </w:pPr>
    </w:p>
    <w:p w:rsidR="008F7B92" w:rsidRPr="00A85B4F" w:rsidRDefault="008F7B92" w:rsidP="008F7B92">
      <w:pPr>
        <w:widowControl w:val="0"/>
        <w:jc w:val="both"/>
        <w:rPr>
          <w:rFonts w:cs="Times New Roman"/>
          <w:sz w:val="20"/>
          <w:szCs w:val="20"/>
        </w:rPr>
      </w:pPr>
      <w:r w:rsidRPr="00A85B4F">
        <w:rPr>
          <w:rFonts w:cs="Times New Roman"/>
          <w:sz w:val="20"/>
          <w:szCs w:val="20"/>
        </w:rPr>
        <w:t>File No.:</w:t>
      </w:r>
      <w:r w:rsidRPr="00A85B4F">
        <w:rPr>
          <w:rFonts w:cs="Times New Roman"/>
          <w:sz w:val="20"/>
          <w:szCs w:val="20"/>
        </w:rPr>
        <w:tab/>
      </w:r>
      <w:r w:rsidRPr="00A85B4F">
        <w:rPr>
          <w:rFonts w:cs="Times New Roman"/>
          <w:sz w:val="20"/>
          <w:szCs w:val="20"/>
        </w:rPr>
        <w:tab/>
      </w:r>
      <w:r w:rsidRPr="00A85B4F">
        <w:rPr>
          <w:rFonts w:cs="Times New Roman"/>
          <w:sz w:val="20"/>
          <w:szCs w:val="20"/>
        </w:rPr>
        <w:tab/>
      </w:r>
      <w:r>
        <w:rPr>
          <w:rFonts w:cs="Times New Roman"/>
          <w:sz w:val="20"/>
          <w:szCs w:val="20"/>
        </w:rPr>
        <w:tab/>
      </w:r>
      <w:r w:rsidRPr="00A85B4F">
        <w:rPr>
          <w:rFonts w:cs="Times New Roman"/>
          <w:sz w:val="20"/>
          <w:szCs w:val="20"/>
        </w:rPr>
        <w:tab/>
        <w:t>33797</w:t>
      </w:r>
    </w:p>
    <w:p w:rsidR="008F7B92" w:rsidRPr="00A85B4F" w:rsidRDefault="008F7B92" w:rsidP="008F7B92">
      <w:pPr>
        <w:widowControl w:val="0"/>
        <w:jc w:val="both"/>
        <w:rPr>
          <w:rFonts w:cs="Times New Roman"/>
          <w:sz w:val="20"/>
          <w:szCs w:val="20"/>
        </w:rPr>
      </w:pPr>
    </w:p>
    <w:p w:rsidR="008F7B92" w:rsidRPr="00A85B4F" w:rsidRDefault="008F7B92" w:rsidP="008F7B92">
      <w:pPr>
        <w:widowControl w:val="0"/>
        <w:jc w:val="both"/>
        <w:rPr>
          <w:rFonts w:cs="Times New Roman"/>
          <w:sz w:val="20"/>
          <w:szCs w:val="20"/>
        </w:rPr>
      </w:pPr>
      <w:r w:rsidRPr="00A85B4F">
        <w:rPr>
          <w:rFonts w:cs="Times New Roman"/>
          <w:sz w:val="20"/>
          <w:szCs w:val="20"/>
        </w:rPr>
        <w:t>Judgment of the Court of Appeal:</w:t>
      </w:r>
      <w:r>
        <w:rPr>
          <w:rFonts w:cs="Times New Roman"/>
          <w:sz w:val="20"/>
          <w:szCs w:val="20"/>
        </w:rPr>
        <w:tab/>
      </w:r>
      <w:r w:rsidRPr="00A85B4F">
        <w:rPr>
          <w:rFonts w:cs="Times New Roman"/>
          <w:sz w:val="20"/>
          <w:szCs w:val="20"/>
        </w:rPr>
        <w:tab/>
        <w:t>May 18, 2010</w:t>
      </w:r>
    </w:p>
    <w:p w:rsidR="008F7B92" w:rsidRPr="00A85B4F" w:rsidRDefault="008F7B92" w:rsidP="008F7B92">
      <w:pPr>
        <w:widowControl w:val="0"/>
        <w:jc w:val="both"/>
        <w:rPr>
          <w:rFonts w:cs="Times New Roman"/>
          <w:sz w:val="20"/>
          <w:szCs w:val="20"/>
        </w:rPr>
      </w:pPr>
    </w:p>
    <w:p w:rsidR="008F7B92" w:rsidRPr="00A85B4F" w:rsidRDefault="008F7B92" w:rsidP="008F7B92">
      <w:pPr>
        <w:widowControl w:val="0"/>
        <w:ind w:left="3600" w:hanging="3600"/>
        <w:jc w:val="both"/>
        <w:rPr>
          <w:rFonts w:cs="Times New Roman"/>
          <w:sz w:val="20"/>
          <w:szCs w:val="20"/>
        </w:rPr>
      </w:pPr>
      <w:r w:rsidRPr="00A85B4F">
        <w:rPr>
          <w:rFonts w:cs="Times New Roman"/>
          <w:sz w:val="20"/>
          <w:szCs w:val="20"/>
        </w:rPr>
        <w:t>Counsel:</w:t>
      </w:r>
      <w:r w:rsidRPr="00A85B4F">
        <w:rPr>
          <w:rFonts w:cs="Times New Roman"/>
          <w:sz w:val="20"/>
          <w:szCs w:val="20"/>
        </w:rPr>
        <w:tab/>
        <w:t>David R. Wingfield and Paul D. Guy for the appellant</w:t>
      </w:r>
    </w:p>
    <w:p w:rsidR="008F7B92" w:rsidRPr="00A85B4F" w:rsidRDefault="008F7B92" w:rsidP="008F7B92">
      <w:pPr>
        <w:widowControl w:val="0"/>
        <w:ind w:left="3600" w:hanging="3600"/>
        <w:jc w:val="both"/>
        <w:rPr>
          <w:rFonts w:cs="Times New Roman"/>
          <w:sz w:val="20"/>
          <w:szCs w:val="20"/>
        </w:rPr>
      </w:pPr>
      <w:r w:rsidRPr="00A85B4F">
        <w:rPr>
          <w:rFonts w:cs="Times New Roman"/>
          <w:sz w:val="20"/>
          <w:szCs w:val="20"/>
        </w:rPr>
        <w:tab/>
        <w:t>Sean F. Dunphy for the respondents AbitibiBowater Inc., Abitibi</w:t>
      </w:r>
      <w:r w:rsidRPr="00A85B4F">
        <w:rPr>
          <w:rFonts w:cs="Times New Roman"/>
          <w:sz w:val="20"/>
          <w:szCs w:val="20"/>
        </w:rPr>
        <w:noBreakHyphen/>
        <w:t>Consolidated Inc. and Bowater Canadian Holdings Inc.</w:t>
      </w:r>
    </w:p>
    <w:p w:rsidR="008F7B92" w:rsidRPr="00A85B4F" w:rsidRDefault="008F7B92" w:rsidP="008F7B92">
      <w:pPr>
        <w:widowControl w:val="0"/>
        <w:ind w:left="3600" w:hanging="3600"/>
        <w:jc w:val="both"/>
        <w:rPr>
          <w:rFonts w:cs="Times New Roman"/>
          <w:sz w:val="20"/>
          <w:szCs w:val="20"/>
        </w:rPr>
      </w:pPr>
      <w:r>
        <w:rPr>
          <w:rFonts w:cs="Times New Roman"/>
          <w:sz w:val="20"/>
          <w:szCs w:val="20"/>
        </w:rPr>
        <w:tab/>
      </w:r>
      <w:r w:rsidRPr="00A85B4F">
        <w:rPr>
          <w:rFonts w:cs="Times New Roman"/>
          <w:sz w:val="20"/>
          <w:szCs w:val="20"/>
        </w:rPr>
        <w:t>Frederick L. Myers for the respondent Ad Hoc Committee of Bondholders</w:t>
      </w:r>
    </w:p>
    <w:p w:rsidR="00201497" w:rsidRDefault="008F7B92" w:rsidP="008F7B92">
      <w:pPr>
        <w:ind w:left="3600" w:hanging="3600"/>
        <w:jc w:val="both"/>
        <w:rPr>
          <w:rFonts w:cs="Times New Roman"/>
          <w:sz w:val="20"/>
          <w:szCs w:val="20"/>
        </w:rPr>
      </w:pPr>
      <w:r>
        <w:rPr>
          <w:rFonts w:cs="Times New Roman"/>
          <w:sz w:val="20"/>
          <w:szCs w:val="20"/>
        </w:rPr>
        <w:tab/>
      </w:r>
      <w:r w:rsidRPr="00A85B4F">
        <w:rPr>
          <w:rFonts w:cs="Times New Roman"/>
          <w:sz w:val="20"/>
          <w:szCs w:val="20"/>
        </w:rPr>
        <w:t>Michael J. MacNaughton for the respondent Ad Hoc Committee of Senior Secured Noteholders and U.S. Bank National Association (Indenture Trustee for the Senior Secured Noteholders)</w:t>
      </w:r>
    </w:p>
    <w:p w:rsidR="008F7B92" w:rsidRPr="008F7B92" w:rsidRDefault="008F7B92" w:rsidP="008F7B92">
      <w:pPr>
        <w:rPr>
          <w:sz w:val="20"/>
          <w:szCs w:val="20"/>
        </w:rPr>
      </w:pPr>
    </w:p>
    <w:p w:rsidR="00201497" w:rsidRDefault="00460701">
      <w:pPr>
        <w:rPr>
          <w:sz w:val="20"/>
          <w:szCs w:val="20"/>
          <w:lang w:val="fr-CA"/>
        </w:rPr>
      </w:pPr>
      <w:r w:rsidRPr="00460701">
        <w:rPr>
          <w:sz w:val="20"/>
          <w:szCs w:val="20"/>
          <w:lang w:val="fr-CA"/>
        </w:rPr>
        <w:pict>
          <v:rect id="_x0000_i1103" style="width:2in;height:1pt" o:hrpct="0" o:hralign="center" o:hrstd="t" o:hrnoshade="t" o:hr="t" fillcolor="black [3213]" stroked="f"/>
        </w:pict>
      </w:r>
    </w:p>
    <w:p w:rsidR="00201497" w:rsidRDefault="00201497">
      <w:pPr>
        <w:rPr>
          <w:sz w:val="20"/>
          <w:szCs w:val="20"/>
          <w:lang w:val="fr-CA"/>
        </w:rPr>
      </w:pPr>
    </w:p>
    <w:p w:rsidR="00201497" w:rsidRDefault="00201497">
      <w:pPr>
        <w:rPr>
          <w:sz w:val="20"/>
          <w:szCs w:val="20"/>
          <w:lang w:val="fr-CA"/>
        </w:rPr>
      </w:pPr>
      <w:r>
        <w:rPr>
          <w:sz w:val="20"/>
          <w:szCs w:val="20"/>
          <w:lang w:val="fr-CA"/>
        </w:rPr>
        <w:br w:type="page"/>
      </w:r>
    </w:p>
    <w:p w:rsidR="00DC4C93" w:rsidRPr="00A85B4F" w:rsidRDefault="00460701" w:rsidP="00DC4C93">
      <w:pPr>
        <w:widowControl w:val="0"/>
        <w:ind w:left="720" w:hanging="720"/>
        <w:jc w:val="both"/>
        <w:rPr>
          <w:rFonts w:cs="Times New Roman"/>
          <w:sz w:val="20"/>
          <w:szCs w:val="20"/>
          <w:lang w:val="fr-CA"/>
        </w:rPr>
      </w:pPr>
      <w:r w:rsidRPr="00A85B4F">
        <w:rPr>
          <w:rFonts w:cs="Times New Roman"/>
          <w:b/>
          <w:sz w:val="20"/>
          <w:szCs w:val="20"/>
          <w:lang w:val="fr-CA"/>
        </w:rPr>
        <w:lastRenderedPageBreak/>
        <w:fldChar w:fldCharType="begin"/>
      </w:r>
      <w:r w:rsidR="00DC4C93" w:rsidRPr="00A85B4F">
        <w:rPr>
          <w:rFonts w:cs="Times New Roman"/>
          <w:b/>
          <w:sz w:val="20"/>
          <w:szCs w:val="20"/>
          <w:lang w:val="fr-CA"/>
        </w:rPr>
        <w:instrText xml:space="preserve"> SEQ CHAPTER \h \r 1</w:instrText>
      </w:r>
      <w:r w:rsidRPr="00A85B4F">
        <w:rPr>
          <w:rFonts w:cs="Times New Roman"/>
          <w:b/>
          <w:sz w:val="20"/>
          <w:szCs w:val="20"/>
          <w:lang w:val="fr-CA"/>
        </w:rPr>
        <w:fldChar w:fldCharType="end"/>
      </w:r>
      <w:r w:rsidR="00DC4C93" w:rsidRPr="00A85B4F">
        <w:rPr>
          <w:rFonts w:cs="Times New Roman"/>
          <w:b/>
          <w:sz w:val="20"/>
          <w:szCs w:val="20"/>
          <w:lang w:val="fr-CA"/>
        </w:rPr>
        <w:t>33797</w:t>
      </w:r>
      <w:r w:rsidR="00DC4C93" w:rsidRPr="00A85B4F">
        <w:rPr>
          <w:rFonts w:cs="Times New Roman"/>
          <w:sz w:val="20"/>
          <w:szCs w:val="20"/>
          <w:lang w:val="fr-CA"/>
        </w:rPr>
        <w:tab/>
      </w:r>
      <w:r w:rsidR="00DC4C93" w:rsidRPr="00A85B4F">
        <w:rPr>
          <w:rFonts w:cs="Times New Roman"/>
          <w:b/>
          <w:i/>
          <w:sz w:val="20"/>
          <w:szCs w:val="20"/>
          <w:lang w:val="fr-CA"/>
        </w:rPr>
        <w:t>Sa Majesté la Reine du chef de la Province de Terre</w:t>
      </w:r>
      <w:r w:rsidR="00DC4C93" w:rsidRPr="00A85B4F">
        <w:rPr>
          <w:rFonts w:cs="Times New Roman"/>
          <w:b/>
          <w:i/>
          <w:sz w:val="20"/>
          <w:szCs w:val="20"/>
          <w:lang w:val="fr-CA"/>
        </w:rPr>
        <w:noBreakHyphen/>
        <w:t>Neuve</w:t>
      </w:r>
      <w:r w:rsidR="00DC4C93" w:rsidRPr="00A85B4F">
        <w:rPr>
          <w:rFonts w:cs="Times New Roman"/>
          <w:b/>
          <w:i/>
          <w:sz w:val="20"/>
          <w:szCs w:val="20"/>
          <w:lang w:val="fr-CA"/>
        </w:rPr>
        <w:noBreakHyphen/>
        <w:t>et</w:t>
      </w:r>
      <w:r w:rsidR="00DC4C93" w:rsidRPr="00A85B4F">
        <w:rPr>
          <w:rFonts w:cs="Times New Roman"/>
          <w:b/>
          <w:i/>
          <w:sz w:val="20"/>
          <w:szCs w:val="20"/>
          <w:lang w:val="fr-CA"/>
        </w:rPr>
        <w:noBreakHyphen/>
        <w:t>Labrador c. AbitibiBowater Inc., Abitibi</w:t>
      </w:r>
      <w:r w:rsidR="00DC4C93" w:rsidRPr="00A85B4F">
        <w:rPr>
          <w:rFonts w:cs="Times New Roman"/>
          <w:b/>
          <w:i/>
          <w:sz w:val="20"/>
          <w:szCs w:val="20"/>
          <w:lang w:val="fr-CA"/>
        </w:rPr>
        <w:noBreakHyphen/>
        <w:t>Consolidated Inc., Bowater Canadian Holdings Inc., comité ad hoc des créanciers obligataires, comité ad hoc des porteurs de billets garantis de premier rang et U.S. Bank National Association (fiduciaire désigné par l’acte constitutif pour les porteurs de billets garantis de premier rang)</w:t>
      </w: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r w:rsidRPr="00A85B4F">
        <w:rPr>
          <w:rFonts w:cs="Times New Roman"/>
          <w:sz w:val="20"/>
          <w:szCs w:val="20"/>
          <w:lang w:val="fr-CA"/>
        </w:rPr>
        <w:t xml:space="preserve">Faillite et insolvabilité </w:t>
      </w:r>
      <w:r w:rsidRPr="00A85B4F">
        <w:rPr>
          <w:rFonts w:cs="Times New Roman"/>
          <w:sz w:val="20"/>
          <w:szCs w:val="20"/>
          <w:lang w:val="fr-CA"/>
        </w:rPr>
        <w:noBreakHyphen/>
        <w:t xml:space="preserve"> Droit de l’environnement </w:t>
      </w:r>
      <w:r w:rsidRPr="00A85B4F">
        <w:rPr>
          <w:rFonts w:cs="Times New Roman"/>
          <w:sz w:val="20"/>
          <w:szCs w:val="20"/>
          <w:lang w:val="fr-CA"/>
        </w:rPr>
        <w:noBreakHyphen/>
        <w:t xml:space="preserve"> </w:t>
      </w:r>
      <w:r w:rsidRPr="00A85B4F">
        <w:rPr>
          <w:rFonts w:cs="Times New Roman"/>
          <w:i/>
          <w:iCs/>
          <w:sz w:val="20"/>
          <w:szCs w:val="20"/>
          <w:lang w:val="fr-CA"/>
        </w:rPr>
        <w:t>Loi sur les arrangements avec les créanciers des compagnies</w:t>
      </w:r>
      <w:r w:rsidRPr="00A85B4F">
        <w:rPr>
          <w:rFonts w:cs="Times New Roman"/>
          <w:sz w:val="20"/>
          <w:szCs w:val="20"/>
          <w:lang w:val="fr-CA"/>
        </w:rPr>
        <w:t>, L.R.C. 1985, ch. C</w:t>
      </w:r>
      <w:r w:rsidRPr="00A85B4F">
        <w:rPr>
          <w:rFonts w:cs="Times New Roman"/>
          <w:sz w:val="20"/>
          <w:szCs w:val="20"/>
          <w:lang w:val="fr-CA"/>
        </w:rPr>
        <w:noBreakHyphen/>
        <w:t xml:space="preserve">36 </w:t>
      </w:r>
      <w:r w:rsidRPr="00A85B4F">
        <w:rPr>
          <w:rFonts w:cs="Times New Roman"/>
          <w:sz w:val="20"/>
          <w:szCs w:val="20"/>
          <w:lang w:val="fr-CA"/>
        </w:rPr>
        <w:noBreakHyphen/>
        <w:t xml:space="preserve"> Transactions et arrangements </w:t>
      </w:r>
      <w:r w:rsidRPr="00A85B4F">
        <w:rPr>
          <w:rFonts w:cs="Times New Roman"/>
          <w:sz w:val="20"/>
          <w:szCs w:val="20"/>
          <w:lang w:val="fr-CA"/>
        </w:rPr>
        <w:noBreakHyphen/>
        <w:t xml:space="preserve"> Réclamations </w:t>
      </w:r>
      <w:r w:rsidRPr="00A85B4F">
        <w:rPr>
          <w:rFonts w:cs="Times New Roman"/>
          <w:sz w:val="20"/>
          <w:szCs w:val="20"/>
          <w:lang w:val="fr-CA"/>
        </w:rPr>
        <w:noBreakHyphen/>
        <w:t xml:space="preserve"> Nature des arrêtés ministériels pris en application de l’art. 99 de l’</w:t>
      </w:r>
      <w:r w:rsidRPr="00A85B4F">
        <w:rPr>
          <w:rFonts w:cs="Times New Roman"/>
          <w:i/>
          <w:iCs/>
          <w:sz w:val="20"/>
          <w:szCs w:val="20"/>
          <w:lang w:val="fr-CA"/>
        </w:rPr>
        <w:t>Environmental Protection Act</w:t>
      </w:r>
      <w:r w:rsidRPr="00A85B4F">
        <w:rPr>
          <w:rFonts w:cs="Times New Roman"/>
          <w:sz w:val="20"/>
          <w:szCs w:val="20"/>
          <w:lang w:val="fr-CA"/>
        </w:rPr>
        <w:t>, S.N.L. 2002, ch. E</w:t>
      </w:r>
      <w:r w:rsidRPr="00A85B4F">
        <w:rPr>
          <w:rFonts w:cs="Times New Roman"/>
          <w:sz w:val="20"/>
          <w:szCs w:val="20"/>
          <w:lang w:val="fr-CA"/>
        </w:rPr>
        <w:noBreakHyphen/>
        <w:t xml:space="preserve">14.2 </w:t>
      </w:r>
      <w:r w:rsidRPr="00A85B4F">
        <w:rPr>
          <w:rFonts w:cs="Times New Roman"/>
          <w:sz w:val="20"/>
          <w:szCs w:val="20"/>
          <w:lang w:val="fr-CA"/>
        </w:rPr>
        <w:noBreakHyphen/>
        <w:t xml:space="preserve"> Les articles 2(1) et 11 de la </w:t>
      </w:r>
      <w:r w:rsidRPr="00A85B4F">
        <w:rPr>
          <w:rFonts w:cs="Times New Roman"/>
          <w:i/>
          <w:sz w:val="20"/>
          <w:szCs w:val="20"/>
          <w:lang w:val="fr-CA"/>
        </w:rPr>
        <w:t>LACC</w:t>
      </w:r>
      <w:r w:rsidRPr="00A85B4F">
        <w:rPr>
          <w:rFonts w:cs="Times New Roman"/>
          <w:sz w:val="20"/>
          <w:szCs w:val="20"/>
          <w:lang w:val="fr-CA"/>
        </w:rPr>
        <w:t xml:space="preserve"> peuvent</w:t>
      </w:r>
      <w:r w:rsidRPr="00A85B4F">
        <w:rPr>
          <w:rFonts w:cs="Times New Roman"/>
          <w:sz w:val="20"/>
          <w:szCs w:val="20"/>
          <w:lang w:val="fr-CA"/>
        </w:rPr>
        <w:noBreakHyphen/>
        <w:t>ils être interprétés dans le but de rendre caducs et éteints de façon permanente les arrêtés pris en vertu de l’</w:t>
      </w:r>
      <w:r w:rsidRPr="00A85B4F">
        <w:rPr>
          <w:rFonts w:cs="Times New Roman"/>
          <w:i/>
          <w:sz w:val="20"/>
          <w:szCs w:val="20"/>
          <w:lang w:val="fr-CA"/>
        </w:rPr>
        <w:t>EPA</w:t>
      </w:r>
      <w:r w:rsidRPr="00A85B4F">
        <w:rPr>
          <w:rFonts w:cs="Times New Roman"/>
          <w:sz w:val="20"/>
          <w:szCs w:val="20"/>
          <w:lang w:val="fr-CA"/>
        </w:rPr>
        <w:t xml:space="preserve">? </w:t>
      </w:r>
      <w:r w:rsidRPr="00A85B4F">
        <w:rPr>
          <w:rFonts w:cs="Times New Roman"/>
          <w:sz w:val="20"/>
          <w:szCs w:val="20"/>
          <w:lang w:val="fr-CA"/>
        </w:rPr>
        <w:noBreakHyphen/>
        <w:t xml:space="preserve"> Les articles 2(1) et 11 de la </w:t>
      </w:r>
      <w:r w:rsidRPr="00A85B4F">
        <w:rPr>
          <w:rFonts w:cs="Times New Roman"/>
          <w:i/>
          <w:sz w:val="20"/>
          <w:szCs w:val="20"/>
          <w:lang w:val="fr-CA"/>
        </w:rPr>
        <w:t>LACC</w:t>
      </w:r>
      <w:r w:rsidRPr="00A85B4F">
        <w:rPr>
          <w:rFonts w:cs="Times New Roman"/>
          <w:sz w:val="20"/>
          <w:szCs w:val="20"/>
          <w:lang w:val="fr-CA"/>
        </w:rPr>
        <w:t>, tels qu’interprétés par la cour, sont</w:t>
      </w:r>
      <w:r w:rsidRPr="00A85B4F">
        <w:rPr>
          <w:rFonts w:cs="Times New Roman"/>
          <w:sz w:val="20"/>
          <w:szCs w:val="20"/>
          <w:lang w:val="fr-CA"/>
        </w:rPr>
        <w:noBreakHyphen/>
        <w:t xml:space="preserve">ils </w:t>
      </w:r>
      <w:r w:rsidRPr="00A85B4F">
        <w:rPr>
          <w:rFonts w:cs="Times New Roman"/>
          <w:i/>
          <w:sz w:val="20"/>
          <w:szCs w:val="20"/>
          <w:lang w:val="fr-CA"/>
        </w:rPr>
        <w:t>ultra vires</w:t>
      </w:r>
      <w:r w:rsidRPr="00A85B4F">
        <w:rPr>
          <w:rFonts w:cs="Times New Roman"/>
          <w:sz w:val="20"/>
          <w:szCs w:val="20"/>
          <w:lang w:val="fr-CA"/>
        </w:rPr>
        <w:t xml:space="preserve"> du Parlement et dans l’affirmative, sont</w:t>
      </w:r>
      <w:r w:rsidRPr="00A85B4F">
        <w:rPr>
          <w:rFonts w:cs="Times New Roman"/>
          <w:sz w:val="20"/>
          <w:szCs w:val="20"/>
          <w:lang w:val="fr-CA"/>
        </w:rPr>
        <w:noBreakHyphen/>
        <w:t xml:space="preserve">ils sauvegardés par le fait qu’ils sont accessoires aux buts valides, du point de vue constitutionnel, de la </w:t>
      </w:r>
      <w:r w:rsidRPr="00A85B4F">
        <w:rPr>
          <w:rFonts w:cs="Times New Roman"/>
          <w:i/>
          <w:sz w:val="20"/>
          <w:szCs w:val="20"/>
          <w:lang w:val="fr-CA"/>
        </w:rPr>
        <w:t>LACC</w:t>
      </w:r>
      <w:r w:rsidRPr="00A85B4F">
        <w:rPr>
          <w:rFonts w:cs="Times New Roman"/>
          <w:sz w:val="20"/>
          <w:szCs w:val="20"/>
          <w:lang w:val="fr-CA"/>
        </w:rPr>
        <w:t xml:space="preserve">? </w:t>
      </w:r>
      <w:r w:rsidRPr="00A85B4F">
        <w:rPr>
          <w:rFonts w:cs="Times New Roman"/>
          <w:sz w:val="20"/>
          <w:szCs w:val="20"/>
          <w:lang w:val="fr-CA"/>
        </w:rPr>
        <w:noBreakHyphen/>
        <w:t xml:space="preserve"> La doctrine de la protection des compétences s’applique</w:t>
      </w:r>
      <w:r w:rsidRPr="00A85B4F">
        <w:rPr>
          <w:rFonts w:cs="Times New Roman"/>
          <w:sz w:val="20"/>
          <w:szCs w:val="20"/>
          <w:lang w:val="fr-CA"/>
        </w:rPr>
        <w:noBreakHyphen/>
        <w:t>t</w:t>
      </w:r>
      <w:r w:rsidRPr="00A85B4F">
        <w:rPr>
          <w:rFonts w:cs="Times New Roman"/>
          <w:sz w:val="20"/>
          <w:szCs w:val="20"/>
          <w:lang w:val="fr-CA"/>
        </w:rPr>
        <w:noBreakHyphen/>
        <w:t xml:space="preserve">elle pour empêcher les articles 2(1) et 11 de la </w:t>
      </w:r>
      <w:r w:rsidRPr="00A85B4F">
        <w:rPr>
          <w:rFonts w:cs="Times New Roman"/>
          <w:i/>
          <w:sz w:val="20"/>
          <w:szCs w:val="20"/>
          <w:lang w:val="fr-CA"/>
        </w:rPr>
        <w:t>LACC</w:t>
      </w:r>
      <w:r w:rsidRPr="00A85B4F">
        <w:rPr>
          <w:rFonts w:cs="Times New Roman"/>
          <w:sz w:val="20"/>
          <w:szCs w:val="20"/>
          <w:lang w:val="fr-CA"/>
        </w:rPr>
        <w:t xml:space="preserve"> de faire obstacle à l’application de l’EPA à la compagnie débitrice? </w:t>
      </w:r>
      <w:r w:rsidRPr="00A85B4F">
        <w:rPr>
          <w:rFonts w:cs="Times New Roman"/>
          <w:sz w:val="20"/>
          <w:szCs w:val="20"/>
          <w:lang w:val="fr-CA"/>
        </w:rPr>
        <w:noBreakHyphen/>
        <w:t xml:space="preserve"> La définition de « réclamation » au par. 2(1) de la </w:t>
      </w:r>
      <w:r w:rsidRPr="00A85B4F">
        <w:rPr>
          <w:rFonts w:cs="Times New Roman"/>
          <w:i/>
          <w:iCs/>
          <w:sz w:val="20"/>
          <w:szCs w:val="20"/>
          <w:lang w:val="fr-CA"/>
        </w:rPr>
        <w:t>Loi sur les arrangements avec les créanciers des compagnies</w:t>
      </w:r>
      <w:r w:rsidRPr="00A85B4F">
        <w:rPr>
          <w:rFonts w:cs="Times New Roman"/>
          <w:sz w:val="20"/>
          <w:szCs w:val="20"/>
          <w:lang w:val="fr-CA"/>
        </w:rPr>
        <w:t>, L.R.C. 1985, ch. C</w:t>
      </w:r>
      <w:r w:rsidRPr="00A85B4F">
        <w:rPr>
          <w:rFonts w:cs="Times New Roman"/>
          <w:sz w:val="20"/>
          <w:szCs w:val="20"/>
          <w:lang w:val="fr-CA"/>
        </w:rPr>
        <w:noBreakHyphen/>
        <w:t>36 est</w:t>
      </w:r>
      <w:r w:rsidRPr="00A85B4F">
        <w:rPr>
          <w:rFonts w:cs="Times New Roman"/>
          <w:sz w:val="20"/>
          <w:szCs w:val="20"/>
          <w:lang w:val="fr-CA"/>
        </w:rPr>
        <w:noBreakHyphen/>
        <w:t xml:space="preserve">elle </w:t>
      </w:r>
      <w:r w:rsidRPr="00A85B4F">
        <w:rPr>
          <w:rFonts w:cs="Times New Roman"/>
          <w:i/>
          <w:sz w:val="20"/>
          <w:szCs w:val="20"/>
          <w:lang w:val="fr-CA"/>
        </w:rPr>
        <w:t>ultra vires</w:t>
      </w:r>
      <w:r w:rsidRPr="00A85B4F">
        <w:rPr>
          <w:rFonts w:cs="Times New Roman"/>
          <w:sz w:val="20"/>
          <w:szCs w:val="20"/>
          <w:lang w:val="fr-CA"/>
        </w:rPr>
        <w:t xml:space="preserve"> du Parlement du Canada ou constitutionnellement inapplicable dans la mesure où ce paragraphe donne aux tribunaux la compétence de rendre caducs ou éteints les obligations légales qui incombent au débiteur aux termes de l’art. 99 de l’</w:t>
      </w:r>
      <w:r w:rsidRPr="00A85B4F">
        <w:rPr>
          <w:rFonts w:cs="Times New Roman"/>
          <w:i/>
          <w:iCs/>
          <w:sz w:val="20"/>
          <w:szCs w:val="20"/>
          <w:lang w:val="fr-CA"/>
        </w:rPr>
        <w:t>Environmental Protection Act</w:t>
      </w:r>
      <w:r w:rsidRPr="00A85B4F">
        <w:rPr>
          <w:rFonts w:cs="Times New Roman"/>
          <w:sz w:val="20"/>
          <w:szCs w:val="20"/>
          <w:lang w:val="fr-CA"/>
        </w:rPr>
        <w:t>, S.N.L. 2002, ch. E</w:t>
      </w:r>
      <w:r w:rsidRPr="00A85B4F">
        <w:rPr>
          <w:rFonts w:cs="Times New Roman"/>
          <w:sz w:val="20"/>
          <w:szCs w:val="20"/>
          <w:lang w:val="fr-CA"/>
        </w:rPr>
        <w:noBreakHyphen/>
        <w:t xml:space="preserve">14.2? </w:t>
      </w:r>
      <w:r w:rsidRPr="00A85B4F">
        <w:rPr>
          <w:rFonts w:cs="Times New Roman"/>
          <w:sz w:val="20"/>
          <w:szCs w:val="20"/>
          <w:lang w:val="fr-CA"/>
        </w:rPr>
        <w:noBreakHyphen/>
        <w:t xml:space="preserve"> L’art. 11 de la </w:t>
      </w:r>
      <w:r w:rsidRPr="00A85B4F">
        <w:rPr>
          <w:rFonts w:cs="Times New Roman"/>
          <w:i/>
          <w:iCs/>
          <w:sz w:val="20"/>
          <w:szCs w:val="20"/>
          <w:lang w:val="fr-CA"/>
        </w:rPr>
        <w:t>Loi sur les arrangements avec les créanciers des compagnies</w:t>
      </w:r>
      <w:r w:rsidRPr="00A85B4F">
        <w:rPr>
          <w:rFonts w:cs="Times New Roman"/>
          <w:sz w:val="20"/>
          <w:szCs w:val="20"/>
          <w:lang w:val="fr-CA"/>
        </w:rPr>
        <w:t>, L.R.C. 1985, ch. C</w:t>
      </w:r>
      <w:r w:rsidRPr="00A85B4F">
        <w:rPr>
          <w:rFonts w:cs="Times New Roman"/>
          <w:sz w:val="20"/>
          <w:szCs w:val="20"/>
          <w:lang w:val="fr-CA"/>
        </w:rPr>
        <w:noBreakHyphen/>
        <w:t>36 est</w:t>
      </w:r>
      <w:r w:rsidRPr="00A85B4F">
        <w:rPr>
          <w:rFonts w:cs="Times New Roman"/>
          <w:sz w:val="20"/>
          <w:szCs w:val="20"/>
          <w:lang w:val="fr-CA"/>
        </w:rPr>
        <w:noBreakHyphen/>
        <w:t xml:space="preserve">il </w:t>
      </w:r>
      <w:r w:rsidRPr="00A85B4F">
        <w:rPr>
          <w:rFonts w:cs="Times New Roman"/>
          <w:i/>
          <w:sz w:val="20"/>
          <w:szCs w:val="20"/>
          <w:lang w:val="fr-CA"/>
        </w:rPr>
        <w:t>ultra vires</w:t>
      </w:r>
      <w:r w:rsidRPr="00A85B4F">
        <w:rPr>
          <w:rFonts w:cs="Times New Roman"/>
          <w:sz w:val="20"/>
          <w:szCs w:val="20"/>
          <w:lang w:val="fr-CA"/>
        </w:rPr>
        <w:t xml:space="preserve"> du Parlement du Canada ou constitutionnellement inapplicable dans la mesure où cet article donne aux tribunaux la compétence de contrôler l’exercice du pouvoir discrétionnaire du ministre aux termes de l’art. 99 de l’</w:t>
      </w:r>
      <w:r w:rsidRPr="00A85B4F">
        <w:rPr>
          <w:rFonts w:cs="Times New Roman"/>
          <w:i/>
          <w:iCs/>
          <w:sz w:val="20"/>
          <w:szCs w:val="20"/>
          <w:lang w:val="fr-CA"/>
        </w:rPr>
        <w:t>Environmental Protection Act</w:t>
      </w:r>
      <w:r w:rsidRPr="00A85B4F">
        <w:rPr>
          <w:rFonts w:cs="Times New Roman"/>
          <w:sz w:val="20"/>
          <w:szCs w:val="20"/>
          <w:lang w:val="fr-CA"/>
        </w:rPr>
        <w:t>, S.N.L. 2002, ch. E</w:t>
      </w:r>
      <w:r w:rsidRPr="00A85B4F">
        <w:rPr>
          <w:rFonts w:cs="Times New Roman"/>
          <w:sz w:val="20"/>
          <w:szCs w:val="20"/>
          <w:lang w:val="fr-CA"/>
        </w:rPr>
        <w:noBreakHyphen/>
        <w:t>14.2?</w:t>
      </w: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r w:rsidRPr="00A85B4F">
        <w:rPr>
          <w:rFonts w:cs="Times New Roman"/>
          <w:sz w:val="20"/>
          <w:szCs w:val="20"/>
          <w:lang w:val="fr-CA"/>
        </w:rPr>
        <w:t>Le ministre de l’Environnement et de la Conservation de Terre</w:t>
      </w:r>
      <w:r w:rsidRPr="00A85B4F">
        <w:rPr>
          <w:rFonts w:cs="Times New Roman"/>
          <w:sz w:val="20"/>
          <w:szCs w:val="20"/>
          <w:lang w:val="fr-CA"/>
        </w:rPr>
        <w:noBreakHyphen/>
        <w:t>Neuve</w:t>
      </w:r>
      <w:r w:rsidRPr="00A85B4F">
        <w:rPr>
          <w:rFonts w:cs="Times New Roman"/>
          <w:sz w:val="20"/>
          <w:szCs w:val="20"/>
          <w:lang w:val="fr-CA"/>
        </w:rPr>
        <w:noBreakHyphen/>
        <w:t>et</w:t>
      </w:r>
      <w:r w:rsidRPr="00A85B4F">
        <w:rPr>
          <w:rFonts w:cs="Times New Roman"/>
          <w:sz w:val="20"/>
          <w:szCs w:val="20"/>
          <w:lang w:val="fr-CA"/>
        </w:rPr>
        <w:noBreakHyphen/>
        <w:t>Labrador a pris cinq arrêtés ministériels (« les arrêtés pris en vertu de l’</w:t>
      </w:r>
      <w:r w:rsidRPr="00A85B4F">
        <w:rPr>
          <w:rFonts w:cs="Times New Roman"/>
          <w:i/>
          <w:iCs/>
          <w:sz w:val="20"/>
          <w:szCs w:val="20"/>
          <w:lang w:val="fr-CA"/>
        </w:rPr>
        <w:t>EPA</w:t>
      </w:r>
      <w:r w:rsidRPr="00A85B4F">
        <w:rPr>
          <w:rFonts w:cs="Times New Roman"/>
          <w:sz w:val="20"/>
          <w:szCs w:val="20"/>
          <w:lang w:val="fr-CA"/>
        </w:rPr>
        <w:t> ») en vertu de l’art. 99 de l’</w:t>
      </w:r>
      <w:r w:rsidRPr="00A85B4F">
        <w:rPr>
          <w:rFonts w:cs="Times New Roman"/>
          <w:i/>
          <w:sz w:val="20"/>
          <w:szCs w:val="20"/>
          <w:lang w:val="fr-CA"/>
        </w:rPr>
        <w:t>Environmental</w:t>
      </w:r>
      <w:r w:rsidRPr="00A85B4F">
        <w:rPr>
          <w:rFonts w:cs="Times New Roman"/>
          <w:i/>
          <w:iCs/>
          <w:sz w:val="20"/>
          <w:szCs w:val="20"/>
          <w:lang w:val="fr-CA"/>
        </w:rPr>
        <w:t xml:space="preserve"> Protection Act</w:t>
      </w:r>
      <w:r w:rsidRPr="00A85B4F">
        <w:rPr>
          <w:rFonts w:cs="Times New Roman"/>
          <w:sz w:val="20"/>
          <w:szCs w:val="20"/>
          <w:lang w:val="fr-CA"/>
        </w:rPr>
        <w:t>, S.N.L. 2002, ch. E</w:t>
      </w:r>
      <w:r w:rsidRPr="00A85B4F">
        <w:rPr>
          <w:rFonts w:cs="Times New Roman"/>
          <w:sz w:val="20"/>
          <w:szCs w:val="20"/>
          <w:lang w:val="fr-CA"/>
        </w:rPr>
        <w:noBreakHyphen/>
        <w:t xml:space="preserve">14.2, contre Abitibi, l’obligeant notamment à achever la restauration environnementale de sites où elle avait exercé des activités industrielles à grande échelle.  Au moment où les arrêtés avaient été pris, l’intimée Abitibi avait demandé la protection en vertu de la </w:t>
      </w:r>
      <w:r w:rsidRPr="00A85B4F">
        <w:rPr>
          <w:rFonts w:cs="Times New Roman"/>
          <w:i/>
          <w:iCs/>
          <w:sz w:val="20"/>
          <w:szCs w:val="20"/>
          <w:lang w:val="fr-CA"/>
        </w:rPr>
        <w:t>Loi sur les arrangements avec les créanciers des compagnies</w:t>
      </w:r>
      <w:r w:rsidRPr="00A85B4F">
        <w:rPr>
          <w:rFonts w:cs="Times New Roman"/>
          <w:sz w:val="20"/>
          <w:szCs w:val="20"/>
          <w:lang w:val="fr-CA"/>
        </w:rPr>
        <w:t>, L.R.C. 1985, ch. C</w:t>
      </w:r>
      <w:r w:rsidRPr="00A85B4F">
        <w:rPr>
          <w:rFonts w:cs="Times New Roman"/>
          <w:sz w:val="20"/>
          <w:szCs w:val="20"/>
          <w:lang w:val="fr-CA"/>
        </w:rPr>
        <w:noBreakHyphen/>
        <w:t>36 (la « </w:t>
      </w:r>
      <w:r w:rsidRPr="00A85B4F">
        <w:rPr>
          <w:rFonts w:cs="Times New Roman"/>
          <w:i/>
          <w:iCs/>
          <w:sz w:val="20"/>
          <w:szCs w:val="20"/>
          <w:lang w:val="fr-CA"/>
        </w:rPr>
        <w:t>LACC </w:t>
      </w:r>
      <w:r w:rsidRPr="00A85B4F">
        <w:rPr>
          <w:rFonts w:cs="Times New Roman"/>
          <w:sz w:val="20"/>
          <w:szCs w:val="20"/>
          <w:lang w:val="fr-CA"/>
        </w:rPr>
        <w:t>»).  Une ordonnance de procédure de réclamation a été rendue par la suite, sommant les créanciers d’Abitibi de produire leurs preuves de réclamation dans le délai imparti.  La Province de Terre</w:t>
      </w:r>
      <w:r w:rsidRPr="00A85B4F">
        <w:rPr>
          <w:rFonts w:cs="Times New Roman"/>
          <w:sz w:val="20"/>
          <w:szCs w:val="20"/>
          <w:lang w:val="fr-CA"/>
        </w:rPr>
        <w:noBreakHyphen/>
        <w:t>Neuve</w:t>
      </w:r>
      <w:r w:rsidRPr="00A85B4F">
        <w:rPr>
          <w:rFonts w:cs="Times New Roman"/>
          <w:sz w:val="20"/>
          <w:szCs w:val="20"/>
          <w:lang w:val="fr-CA"/>
        </w:rPr>
        <w:noBreakHyphen/>
        <w:t>et</w:t>
      </w:r>
      <w:r w:rsidRPr="00A85B4F">
        <w:rPr>
          <w:rFonts w:cs="Times New Roman"/>
          <w:sz w:val="20"/>
          <w:szCs w:val="20"/>
          <w:lang w:val="fr-CA"/>
        </w:rPr>
        <w:noBreakHyphen/>
        <w:t>Labrador a demandé par requête une ordonnance déclarant que les arrêtés pris en vertu de l’</w:t>
      </w:r>
      <w:r w:rsidRPr="00A85B4F">
        <w:rPr>
          <w:rFonts w:cs="Times New Roman"/>
          <w:i/>
          <w:iCs/>
          <w:sz w:val="20"/>
          <w:szCs w:val="20"/>
          <w:lang w:val="fr-CA"/>
        </w:rPr>
        <w:t>EP</w:t>
      </w:r>
      <w:r w:rsidRPr="00A85B4F">
        <w:rPr>
          <w:rFonts w:cs="Times New Roman"/>
          <w:sz w:val="20"/>
          <w:szCs w:val="20"/>
          <w:lang w:val="fr-CA"/>
        </w:rPr>
        <w:t xml:space="preserve">A n’étaient pas caducs ou éteints et que l’ordonnance de procédure de réclamation n’avait aucune incidence sur leur caractère exécutoire.  La Province a plaidé entre autres que l’obligation légale de restaurer des terrains contaminés ne pouvait être considérée comme une « réclamation » en vertu de l’ordonnance de procédure de réclamation ou de la </w:t>
      </w:r>
      <w:r w:rsidRPr="00A85B4F">
        <w:rPr>
          <w:rFonts w:cs="Times New Roman"/>
          <w:i/>
          <w:iCs/>
          <w:sz w:val="20"/>
          <w:szCs w:val="20"/>
          <w:lang w:val="fr-CA"/>
        </w:rPr>
        <w:t>LACC</w:t>
      </w:r>
      <w:r w:rsidRPr="00A85B4F">
        <w:rPr>
          <w:rFonts w:cs="Times New Roman"/>
          <w:sz w:val="20"/>
          <w:szCs w:val="20"/>
          <w:lang w:val="fr-CA"/>
        </w:rPr>
        <w:t>.  À son avis, les arrêtés pris en vertu de l’</w:t>
      </w:r>
      <w:r w:rsidRPr="00A85B4F">
        <w:rPr>
          <w:rFonts w:cs="Times New Roman"/>
          <w:i/>
          <w:iCs/>
          <w:sz w:val="20"/>
          <w:szCs w:val="20"/>
          <w:lang w:val="fr-CA"/>
        </w:rPr>
        <w:t>EPA</w:t>
      </w:r>
      <w:r w:rsidRPr="00A85B4F">
        <w:rPr>
          <w:rFonts w:cs="Times New Roman"/>
          <w:sz w:val="20"/>
          <w:szCs w:val="20"/>
          <w:lang w:val="fr-CA"/>
        </w:rPr>
        <w:t xml:space="preserve"> avaient trait à l’environnement et ne pouvaient être assimilés à une « réclamation » au sens de la </w:t>
      </w:r>
      <w:r w:rsidRPr="00A85B4F">
        <w:rPr>
          <w:rFonts w:cs="Times New Roman"/>
          <w:i/>
          <w:iCs/>
          <w:sz w:val="20"/>
          <w:szCs w:val="20"/>
          <w:lang w:val="fr-CA"/>
        </w:rPr>
        <w:t>LACC</w:t>
      </w:r>
      <w:r w:rsidRPr="00A85B4F">
        <w:rPr>
          <w:rFonts w:cs="Times New Roman"/>
          <w:sz w:val="20"/>
          <w:szCs w:val="20"/>
          <w:lang w:val="fr-CA"/>
        </w:rPr>
        <w:t>.  La Cour supérieure a rejeté la requête.  La Cour d’appel a refusé l’autorisation d’appel.</w:t>
      </w: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r w:rsidRPr="00A85B4F">
        <w:rPr>
          <w:rFonts w:cs="Times New Roman"/>
          <w:sz w:val="20"/>
          <w:szCs w:val="20"/>
          <w:lang w:val="fr-CA"/>
        </w:rPr>
        <w:t>Origine :</w:t>
      </w:r>
      <w:r w:rsidRPr="00A85B4F">
        <w:rPr>
          <w:rFonts w:cs="Times New Roman"/>
          <w:sz w:val="20"/>
          <w:szCs w:val="20"/>
          <w:lang w:val="fr-CA"/>
        </w:rPr>
        <w:tab/>
      </w:r>
      <w:r w:rsidRPr="00A85B4F">
        <w:rPr>
          <w:rFonts w:cs="Times New Roman"/>
          <w:sz w:val="20"/>
          <w:szCs w:val="20"/>
          <w:lang w:val="fr-CA"/>
        </w:rPr>
        <w:tab/>
      </w:r>
      <w:r w:rsidRPr="00A85B4F">
        <w:rPr>
          <w:rFonts w:cs="Times New Roman"/>
          <w:sz w:val="20"/>
          <w:szCs w:val="20"/>
          <w:lang w:val="fr-CA"/>
        </w:rPr>
        <w:tab/>
      </w:r>
      <w:r>
        <w:rPr>
          <w:rFonts w:cs="Times New Roman"/>
          <w:sz w:val="20"/>
          <w:szCs w:val="20"/>
          <w:lang w:val="fr-CA"/>
        </w:rPr>
        <w:tab/>
      </w:r>
      <w:r w:rsidRPr="00A85B4F">
        <w:rPr>
          <w:rFonts w:cs="Times New Roman"/>
          <w:sz w:val="20"/>
          <w:szCs w:val="20"/>
          <w:lang w:val="fr-CA"/>
        </w:rPr>
        <w:tab/>
        <w:t>Québec</w:t>
      </w: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r w:rsidRPr="00A85B4F">
        <w:rPr>
          <w:rFonts w:cs="Times New Roman"/>
          <w:sz w:val="20"/>
          <w:szCs w:val="20"/>
          <w:lang w:val="fr-CA"/>
        </w:rPr>
        <w:t>N</w:t>
      </w:r>
      <w:r w:rsidRPr="00A85B4F">
        <w:rPr>
          <w:rFonts w:cs="Times New Roman"/>
          <w:sz w:val="20"/>
          <w:szCs w:val="20"/>
          <w:vertAlign w:val="superscript"/>
          <w:lang w:val="fr-CA"/>
        </w:rPr>
        <w:t xml:space="preserve">o </w:t>
      </w:r>
      <w:r w:rsidRPr="00A85B4F">
        <w:rPr>
          <w:rFonts w:cs="Times New Roman"/>
          <w:sz w:val="20"/>
          <w:szCs w:val="20"/>
          <w:lang w:val="fr-CA"/>
        </w:rPr>
        <w:t>du greffe :</w:t>
      </w:r>
      <w:r w:rsidRPr="00A85B4F">
        <w:rPr>
          <w:rFonts w:cs="Times New Roman"/>
          <w:sz w:val="20"/>
          <w:szCs w:val="20"/>
          <w:lang w:val="fr-CA"/>
        </w:rPr>
        <w:tab/>
      </w:r>
      <w:r w:rsidRPr="00A85B4F">
        <w:rPr>
          <w:rFonts w:cs="Times New Roman"/>
          <w:sz w:val="20"/>
          <w:szCs w:val="20"/>
          <w:lang w:val="fr-CA"/>
        </w:rPr>
        <w:tab/>
      </w:r>
      <w:r>
        <w:rPr>
          <w:rFonts w:cs="Times New Roman"/>
          <w:sz w:val="20"/>
          <w:szCs w:val="20"/>
          <w:lang w:val="fr-CA"/>
        </w:rPr>
        <w:tab/>
      </w:r>
      <w:r w:rsidRPr="00A85B4F">
        <w:rPr>
          <w:rFonts w:cs="Times New Roman"/>
          <w:sz w:val="20"/>
          <w:szCs w:val="20"/>
          <w:lang w:val="fr-CA"/>
        </w:rPr>
        <w:tab/>
        <w:t>33797</w:t>
      </w: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r w:rsidRPr="00A85B4F">
        <w:rPr>
          <w:rFonts w:cs="Times New Roman"/>
          <w:sz w:val="20"/>
          <w:szCs w:val="20"/>
          <w:lang w:val="fr-CA"/>
        </w:rPr>
        <w:t>Arrêt de la Cour d’appel :</w:t>
      </w:r>
      <w:r w:rsidRPr="00A85B4F">
        <w:rPr>
          <w:rFonts w:cs="Times New Roman"/>
          <w:sz w:val="20"/>
          <w:szCs w:val="20"/>
          <w:lang w:val="fr-CA"/>
        </w:rPr>
        <w:tab/>
      </w:r>
      <w:r>
        <w:rPr>
          <w:rFonts w:cs="Times New Roman"/>
          <w:sz w:val="20"/>
          <w:szCs w:val="20"/>
          <w:lang w:val="fr-CA"/>
        </w:rPr>
        <w:tab/>
      </w:r>
      <w:r w:rsidRPr="00A85B4F">
        <w:rPr>
          <w:rFonts w:cs="Times New Roman"/>
          <w:sz w:val="20"/>
          <w:szCs w:val="20"/>
          <w:lang w:val="fr-CA"/>
        </w:rPr>
        <w:tab/>
        <w:t>le 18 mai 2010</w:t>
      </w: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ind w:left="3600" w:hanging="3600"/>
        <w:jc w:val="both"/>
        <w:rPr>
          <w:rFonts w:cs="Times New Roman"/>
          <w:sz w:val="20"/>
          <w:szCs w:val="20"/>
          <w:lang w:val="fr-CA"/>
        </w:rPr>
      </w:pPr>
      <w:r w:rsidRPr="00A85B4F">
        <w:rPr>
          <w:rFonts w:cs="Times New Roman"/>
          <w:sz w:val="20"/>
          <w:szCs w:val="20"/>
          <w:lang w:val="fr-CA"/>
        </w:rPr>
        <w:t>Avocats :</w:t>
      </w:r>
      <w:r>
        <w:rPr>
          <w:rFonts w:cs="Times New Roman"/>
          <w:sz w:val="20"/>
          <w:szCs w:val="20"/>
          <w:lang w:val="fr-CA"/>
        </w:rPr>
        <w:tab/>
      </w:r>
      <w:r w:rsidRPr="00A85B4F">
        <w:rPr>
          <w:rFonts w:cs="Times New Roman"/>
          <w:sz w:val="20"/>
          <w:szCs w:val="20"/>
          <w:lang w:val="fr-CA"/>
        </w:rPr>
        <w:t>David R. Wingfield et Paul D. Guy pour l’appelante</w:t>
      </w:r>
    </w:p>
    <w:p w:rsidR="00DC4C93" w:rsidRPr="00A85B4F" w:rsidRDefault="00DC4C93" w:rsidP="00DC4C93">
      <w:pPr>
        <w:widowControl w:val="0"/>
        <w:ind w:left="3600" w:hanging="3600"/>
        <w:jc w:val="both"/>
        <w:rPr>
          <w:rFonts w:cs="Times New Roman"/>
          <w:sz w:val="20"/>
          <w:szCs w:val="20"/>
          <w:lang w:val="fr-CA"/>
        </w:rPr>
      </w:pPr>
      <w:r w:rsidRPr="00A85B4F">
        <w:rPr>
          <w:rFonts w:cs="Times New Roman"/>
          <w:sz w:val="20"/>
          <w:szCs w:val="20"/>
          <w:lang w:val="fr-CA"/>
        </w:rPr>
        <w:tab/>
      </w:r>
      <w:r w:rsidRPr="00DC4C93">
        <w:rPr>
          <w:rFonts w:cs="Times New Roman"/>
          <w:sz w:val="20"/>
          <w:szCs w:val="20"/>
          <w:lang w:val="fr-CA"/>
        </w:rPr>
        <w:t>Sean</w:t>
      </w:r>
      <w:r w:rsidRPr="00A85B4F">
        <w:rPr>
          <w:rFonts w:cs="Times New Roman"/>
          <w:sz w:val="20"/>
          <w:szCs w:val="20"/>
          <w:lang w:val="fr-CA"/>
        </w:rPr>
        <w:t> F. Dunphy pour les intimées AbitibiBowater Inc., Abitibi</w:t>
      </w:r>
      <w:r w:rsidRPr="00A85B4F">
        <w:rPr>
          <w:rFonts w:cs="Times New Roman"/>
          <w:sz w:val="20"/>
          <w:szCs w:val="20"/>
          <w:lang w:val="fr-CA"/>
        </w:rPr>
        <w:noBreakHyphen/>
        <w:t>Consolidated Inc. et Bowater Canadian Holdings Inc.</w:t>
      </w:r>
    </w:p>
    <w:p w:rsidR="00DC4C93" w:rsidRPr="00A85B4F" w:rsidRDefault="00DC4C93" w:rsidP="00DC4C93">
      <w:pPr>
        <w:widowControl w:val="0"/>
        <w:ind w:left="3600" w:hanging="3600"/>
        <w:jc w:val="both"/>
        <w:rPr>
          <w:rFonts w:cs="Times New Roman"/>
          <w:sz w:val="20"/>
          <w:szCs w:val="20"/>
          <w:lang w:val="fr-CA"/>
        </w:rPr>
      </w:pPr>
      <w:r w:rsidRPr="00A85B4F">
        <w:rPr>
          <w:rFonts w:cs="Times New Roman"/>
          <w:sz w:val="20"/>
          <w:szCs w:val="20"/>
          <w:lang w:val="fr-CA"/>
        </w:rPr>
        <w:tab/>
        <w:t>Frederick L. Myers pour l’intimé comité ad hoc des créanciers obligataires</w:t>
      </w:r>
    </w:p>
    <w:p w:rsidR="00DC4C93" w:rsidRPr="00A85B4F" w:rsidRDefault="00DC4C93" w:rsidP="00DC4C93">
      <w:pPr>
        <w:widowControl w:val="0"/>
        <w:ind w:left="3600" w:hanging="3600"/>
        <w:jc w:val="both"/>
        <w:rPr>
          <w:rFonts w:cs="Times New Roman"/>
          <w:sz w:val="20"/>
          <w:szCs w:val="20"/>
          <w:lang w:val="fr-CA"/>
        </w:rPr>
      </w:pPr>
      <w:r w:rsidRPr="00A85B4F">
        <w:rPr>
          <w:rFonts w:cs="Times New Roman"/>
          <w:sz w:val="20"/>
          <w:szCs w:val="20"/>
          <w:lang w:val="fr-CA"/>
        </w:rPr>
        <w:tab/>
        <w:t>Michael J. MacNaughton pour l’intimé comité ad hoc des porteurs de billets garantis de premier rang et U.S. Bank National Association (fiduciaire désigné par l’acte constitutif pour les porteurs de billets garantis de premier rang)</w:t>
      </w:r>
    </w:p>
    <w:p w:rsidR="00201497" w:rsidRDefault="00201497">
      <w:pPr>
        <w:rPr>
          <w:sz w:val="20"/>
          <w:szCs w:val="20"/>
          <w:lang w:val="fr-CA"/>
        </w:rPr>
      </w:pPr>
    </w:p>
    <w:p w:rsidR="00201497" w:rsidRDefault="00460701">
      <w:pPr>
        <w:rPr>
          <w:sz w:val="20"/>
          <w:szCs w:val="20"/>
          <w:lang w:val="fr-CA"/>
        </w:rPr>
      </w:pPr>
      <w:r w:rsidRPr="00460701">
        <w:rPr>
          <w:sz w:val="20"/>
          <w:szCs w:val="20"/>
          <w:lang w:val="fr-CA"/>
        </w:rPr>
        <w:pict>
          <v:rect id="_x0000_i1104" style="width:2in;height:1pt" o:hrpct="0" o:hralign="center" o:hrstd="t" o:hrnoshade="t" o:hr="t" fillcolor="black [3213]" stroked="f"/>
        </w:pict>
      </w:r>
    </w:p>
    <w:p w:rsidR="00201497" w:rsidRDefault="00201497">
      <w:pPr>
        <w:rPr>
          <w:sz w:val="20"/>
          <w:szCs w:val="20"/>
          <w:lang w:val="fr-CA"/>
        </w:rPr>
      </w:pPr>
    </w:p>
    <w:p w:rsidR="00201497" w:rsidRDefault="00201497">
      <w:pPr>
        <w:rPr>
          <w:sz w:val="20"/>
          <w:szCs w:val="20"/>
          <w:lang w:val="fr-CA"/>
        </w:rPr>
      </w:pPr>
      <w:r>
        <w:rPr>
          <w:sz w:val="20"/>
          <w:szCs w:val="20"/>
          <w:lang w:val="fr-CA"/>
        </w:rPr>
        <w:br w:type="page"/>
      </w:r>
    </w:p>
    <w:p w:rsidR="00DC4C93" w:rsidRPr="00A85B4F" w:rsidRDefault="00460701" w:rsidP="00DC4C93">
      <w:pPr>
        <w:widowControl w:val="0"/>
        <w:ind w:left="720" w:hanging="720"/>
        <w:jc w:val="both"/>
        <w:rPr>
          <w:rFonts w:cs="Times New Roman"/>
          <w:sz w:val="20"/>
          <w:szCs w:val="20"/>
        </w:rPr>
      </w:pPr>
      <w:r w:rsidRPr="00A85B4F">
        <w:rPr>
          <w:rFonts w:cs="Times New Roman"/>
          <w:b/>
          <w:sz w:val="20"/>
          <w:szCs w:val="20"/>
        </w:rPr>
        <w:lastRenderedPageBreak/>
        <w:fldChar w:fldCharType="begin"/>
      </w:r>
      <w:r w:rsidR="00DC4C93" w:rsidRPr="00A85B4F">
        <w:rPr>
          <w:rFonts w:cs="Times New Roman"/>
          <w:b/>
          <w:sz w:val="20"/>
          <w:szCs w:val="20"/>
        </w:rPr>
        <w:instrText xml:space="preserve"> SEQ CHAPTER \h \r 1</w:instrText>
      </w:r>
      <w:r w:rsidRPr="00A85B4F">
        <w:rPr>
          <w:rFonts w:cs="Times New Roman"/>
          <w:b/>
          <w:sz w:val="20"/>
          <w:szCs w:val="20"/>
        </w:rPr>
        <w:fldChar w:fldCharType="end"/>
      </w:r>
      <w:r w:rsidR="00DC4C93" w:rsidRPr="00A85B4F">
        <w:rPr>
          <w:rFonts w:cs="Times New Roman"/>
          <w:b/>
          <w:sz w:val="20"/>
          <w:szCs w:val="20"/>
        </w:rPr>
        <w:t>33668</w:t>
      </w:r>
      <w:r w:rsidR="00DC4C93" w:rsidRPr="00A85B4F">
        <w:rPr>
          <w:rFonts w:cs="Times New Roman"/>
          <w:sz w:val="20"/>
          <w:szCs w:val="20"/>
        </w:rPr>
        <w:tab/>
      </w:r>
      <w:r w:rsidR="00DC4C93" w:rsidRPr="00A85B4F">
        <w:rPr>
          <w:rFonts w:cs="Times New Roman"/>
          <w:b/>
          <w:i/>
          <w:sz w:val="20"/>
          <w:szCs w:val="20"/>
        </w:rPr>
        <w:t>Public Service Alliance of Canada v. Canada Post Corporation and Canadian Human Rights Commission</w:t>
      </w: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jc w:val="both"/>
        <w:rPr>
          <w:rFonts w:cs="Times New Roman"/>
          <w:sz w:val="20"/>
          <w:szCs w:val="20"/>
        </w:rPr>
      </w:pPr>
      <w:r w:rsidRPr="00A85B4F">
        <w:rPr>
          <w:rFonts w:cs="Times New Roman"/>
          <w:sz w:val="20"/>
          <w:szCs w:val="20"/>
        </w:rPr>
        <w:t xml:space="preserve">Judicial review </w:t>
      </w:r>
      <w:r w:rsidRPr="00A85B4F">
        <w:rPr>
          <w:rFonts w:cs="Times New Roman"/>
          <w:sz w:val="20"/>
          <w:szCs w:val="20"/>
        </w:rPr>
        <w:noBreakHyphen/>
        <w:t xml:space="preserve"> Human rights </w:t>
      </w:r>
      <w:r w:rsidRPr="00A85B4F">
        <w:rPr>
          <w:rFonts w:cs="Times New Roman"/>
          <w:sz w:val="20"/>
          <w:szCs w:val="20"/>
        </w:rPr>
        <w:noBreakHyphen/>
        <w:t xml:space="preserve"> Wage parity </w:t>
      </w:r>
      <w:r w:rsidRPr="00A85B4F">
        <w:rPr>
          <w:rFonts w:cs="Times New Roman"/>
          <w:sz w:val="20"/>
          <w:szCs w:val="20"/>
        </w:rPr>
        <w:noBreakHyphen/>
        <w:t xml:space="preserve"> Complainant and comparator groups </w:t>
      </w:r>
      <w:r w:rsidRPr="00A85B4F">
        <w:rPr>
          <w:rFonts w:cs="Times New Roman"/>
          <w:sz w:val="20"/>
          <w:szCs w:val="20"/>
        </w:rPr>
        <w:noBreakHyphen/>
        <w:t xml:space="preserve"> Tribunal finding pay inequity </w:t>
      </w:r>
      <w:r w:rsidRPr="00A85B4F">
        <w:rPr>
          <w:rFonts w:cs="Times New Roman"/>
          <w:sz w:val="20"/>
          <w:szCs w:val="20"/>
        </w:rPr>
        <w:noBreakHyphen/>
        <w:t xml:space="preserve"> Finding overturned on judicial review </w:t>
      </w:r>
      <w:r w:rsidRPr="00A85B4F">
        <w:rPr>
          <w:rFonts w:cs="Times New Roman"/>
          <w:sz w:val="20"/>
          <w:szCs w:val="20"/>
        </w:rPr>
        <w:noBreakHyphen/>
        <w:t xml:space="preserve"> What is the appropriate standard of review? </w:t>
      </w:r>
      <w:r w:rsidRPr="00A85B4F">
        <w:rPr>
          <w:rFonts w:cs="Times New Roman"/>
          <w:sz w:val="20"/>
          <w:szCs w:val="20"/>
        </w:rPr>
        <w:noBreakHyphen/>
        <w:t xml:space="preserve"> Whether the Federal Court erred in finding that the Tribunal had unreasonably identified the PO Group as an appropriate comparator group for the adjudication of the pay equity complaint </w:t>
      </w:r>
      <w:r w:rsidRPr="00A85B4F">
        <w:rPr>
          <w:rFonts w:cs="Times New Roman"/>
          <w:sz w:val="20"/>
          <w:szCs w:val="20"/>
        </w:rPr>
        <w:noBreakHyphen/>
        <w:t xml:space="preserve"> Whether the Federal Court of Appeal erred in concluding that the Tribunal had failed to decide whether individuals in the CR and PO Groups performed work of equal value </w:t>
      </w:r>
      <w:r w:rsidRPr="00A85B4F">
        <w:rPr>
          <w:rFonts w:cs="Times New Roman"/>
          <w:sz w:val="20"/>
          <w:szCs w:val="20"/>
        </w:rPr>
        <w:noBreakHyphen/>
        <w:t xml:space="preserve"> Whether the courts below erred in concluding that the Tribunal failed to apply the appropriate standard of proof, which it had identified in its decision </w:t>
      </w:r>
      <w:r w:rsidRPr="00A85B4F">
        <w:rPr>
          <w:rFonts w:cs="Times New Roman"/>
          <w:sz w:val="20"/>
          <w:szCs w:val="20"/>
        </w:rPr>
        <w:noBreakHyphen/>
        <w:t xml:space="preserve"> Whether the courts below erred in failing to set aside the Tribunal’s decision to discount its award of damages by fifty percent </w:t>
      </w:r>
      <w:r w:rsidRPr="00A85B4F">
        <w:rPr>
          <w:rFonts w:cs="Times New Roman"/>
          <w:sz w:val="20"/>
          <w:szCs w:val="20"/>
        </w:rPr>
        <w:noBreakHyphen/>
        <w:t xml:space="preserve"> Whether the courts below erred in referring the complaint back to the Tribunal with the direction that it be dismissed?</w:t>
      </w: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jc w:val="both"/>
        <w:rPr>
          <w:rFonts w:cs="Times New Roman"/>
          <w:sz w:val="20"/>
          <w:szCs w:val="20"/>
        </w:rPr>
      </w:pPr>
      <w:r w:rsidRPr="00A85B4F">
        <w:rPr>
          <w:rFonts w:cs="Times New Roman"/>
          <w:sz w:val="20"/>
          <w:szCs w:val="20"/>
        </w:rPr>
        <w:t>The Public Service Alliance of Canada filed a complaint against Canada Post Corporation in 1983 alleging wage discrimination against employees in a predominantly female group in comparison to that received by a male</w:t>
      </w:r>
      <w:r w:rsidRPr="00A85B4F">
        <w:rPr>
          <w:rFonts w:cs="Times New Roman"/>
          <w:sz w:val="20"/>
          <w:szCs w:val="20"/>
        </w:rPr>
        <w:noBreakHyphen/>
        <w:t>dominated group.  The Canadian Human Rights Commission began a lengthy process for determining work of equal value, amended it in mid</w:t>
      </w:r>
      <w:r w:rsidRPr="00A85B4F">
        <w:rPr>
          <w:rFonts w:cs="Times New Roman"/>
          <w:sz w:val="20"/>
          <w:szCs w:val="20"/>
        </w:rPr>
        <w:noBreakHyphen/>
        <w:t>stream and finally determined that a wage difference existed.  It referred the complaint to the Canadian Human Rights Tribunal which found the work being compared to be reasonably reliable, “albeit at the lower reasonably reliable sub</w:t>
      </w:r>
      <w:r w:rsidRPr="00A85B4F">
        <w:rPr>
          <w:rFonts w:cs="Times New Roman"/>
          <w:sz w:val="20"/>
          <w:szCs w:val="20"/>
        </w:rPr>
        <w:noBreakHyphen/>
        <w:t xml:space="preserve">band level”.  Its decision was set aside on judicial review and the complaint was referred back to the Tribunal with the direction that it be dismissed as not being substantiated according to the legal standard of proof.  </w:t>
      </w: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jc w:val="both"/>
        <w:rPr>
          <w:rFonts w:cs="Times New Roman"/>
          <w:sz w:val="20"/>
          <w:szCs w:val="20"/>
        </w:rPr>
      </w:pPr>
      <w:r w:rsidRPr="00A85B4F">
        <w:rPr>
          <w:rFonts w:cs="Times New Roman"/>
          <w:sz w:val="20"/>
          <w:szCs w:val="20"/>
        </w:rPr>
        <w:t>Origin of the case:</w:t>
      </w:r>
      <w:r w:rsidRPr="00A85B4F">
        <w:rPr>
          <w:rFonts w:cs="Times New Roman"/>
          <w:sz w:val="20"/>
          <w:szCs w:val="20"/>
        </w:rPr>
        <w:tab/>
      </w:r>
      <w:r w:rsidRPr="00A85B4F">
        <w:rPr>
          <w:rFonts w:cs="Times New Roman"/>
          <w:sz w:val="20"/>
          <w:szCs w:val="20"/>
        </w:rPr>
        <w:tab/>
      </w:r>
      <w:r>
        <w:rPr>
          <w:rFonts w:cs="Times New Roman"/>
          <w:sz w:val="20"/>
          <w:szCs w:val="20"/>
        </w:rPr>
        <w:tab/>
      </w:r>
      <w:r w:rsidRPr="00A85B4F">
        <w:rPr>
          <w:rFonts w:cs="Times New Roman"/>
          <w:sz w:val="20"/>
          <w:szCs w:val="20"/>
        </w:rPr>
        <w:t>Federal Court of Appeal</w:t>
      </w: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jc w:val="both"/>
        <w:rPr>
          <w:rFonts w:cs="Times New Roman"/>
          <w:sz w:val="20"/>
          <w:szCs w:val="20"/>
        </w:rPr>
      </w:pPr>
      <w:r w:rsidRPr="00A85B4F">
        <w:rPr>
          <w:rFonts w:cs="Times New Roman"/>
          <w:sz w:val="20"/>
          <w:szCs w:val="20"/>
        </w:rPr>
        <w:t>File No.:</w:t>
      </w:r>
      <w:r w:rsidRPr="00A85B4F">
        <w:rPr>
          <w:rFonts w:cs="Times New Roman"/>
          <w:sz w:val="20"/>
          <w:szCs w:val="20"/>
        </w:rPr>
        <w:tab/>
      </w:r>
      <w:r w:rsidRPr="00A85B4F">
        <w:rPr>
          <w:rFonts w:cs="Times New Roman"/>
          <w:sz w:val="20"/>
          <w:szCs w:val="20"/>
        </w:rPr>
        <w:tab/>
      </w:r>
      <w:r w:rsidRPr="00A85B4F">
        <w:rPr>
          <w:rFonts w:cs="Times New Roman"/>
          <w:sz w:val="20"/>
          <w:szCs w:val="20"/>
        </w:rPr>
        <w:tab/>
      </w:r>
      <w:r>
        <w:rPr>
          <w:rFonts w:cs="Times New Roman"/>
          <w:sz w:val="20"/>
          <w:szCs w:val="20"/>
        </w:rPr>
        <w:tab/>
      </w:r>
      <w:r w:rsidRPr="00A85B4F">
        <w:rPr>
          <w:rFonts w:cs="Times New Roman"/>
          <w:sz w:val="20"/>
          <w:szCs w:val="20"/>
        </w:rPr>
        <w:tab/>
        <w:t>33668</w:t>
      </w: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jc w:val="both"/>
        <w:rPr>
          <w:rFonts w:cs="Times New Roman"/>
          <w:sz w:val="20"/>
          <w:szCs w:val="20"/>
        </w:rPr>
      </w:pPr>
      <w:r w:rsidRPr="00A85B4F">
        <w:rPr>
          <w:rFonts w:cs="Times New Roman"/>
          <w:sz w:val="20"/>
          <w:szCs w:val="20"/>
        </w:rPr>
        <w:t>Judgment of the Court of Appeal:</w:t>
      </w:r>
      <w:r>
        <w:rPr>
          <w:rFonts w:cs="Times New Roman"/>
          <w:sz w:val="20"/>
          <w:szCs w:val="20"/>
        </w:rPr>
        <w:tab/>
      </w:r>
      <w:r w:rsidRPr="00A85B4F">
        <w:rPr>
          <w:rFonts w:cs="Times New Roman"/>
          <w:sz w:val="20"/>
          <w:szCs w:val="20"/>
        </w:rPr>
        <w:tab/>
        <w:t>February 22, 2010</w:t>
      </w: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ind w:left="3600" w:hanging="3600"/>
        <w:jc w:val="both"/>
        <w:rPr>
          <w:rFonts w:cs="Times New Roman"/>
          <w:sz w:val="20"/>
          <w:szCs w:val="20"/>
        </w:rPr>
      </w:pPr>
      <w:r w:rsidRPr="00A85B4F">
        <w:rPr>
          <w:rFonts w:cs="Times New Roman"/>
          <w:sz w:val="20"/>
          <w:szCs w:val="20"/>
        </w:rPr>
        <w:t>Counsel:</w:t>
      </w:r>
      <w:r w:rsidRPr="00A85B4F">
        <w:rPr>
          <w:rFonts w:cs="Times New Roman"/>
          <w:sz w:val="20"/>
          <w:szCs w:val="20"/>
        </w:rPr>
        <w:tab/>
      </w:r>
      <w:r w:rsidRPr="00A85B4F">
        <w:rPr>
          <w:rFonts w:cs="Times New Roman"/>
          <w:sz w:val="20"/>
          <w:szCs w:val="20"/>
          <w:lang w:val="en-US"/>
        </w:rPr>
        <w:t>Andrew</w:t>
      </w:r>
      <w:r w:rsidRPr="00A85B4F">
        <w:rPr>
          <w:rFonts w:cs="Times New Roman"/>
          <w:sz w:val="20"/>
          <w:szCs w:val="20"/>
        </w:rPr>
        <w:t xml:space="preserve"> Raven, James Cameron, David Yazbeck and Andrew Astritis for the appellant</w:t>
      </w:r>
    </w:p>
    <w:p w:rsidR="00DC4C93" w:rsidRPr="00A85B4F" w:rsidRDefault="00DC4C93" w:rsidP="00DC4C93">
      <w:pPr>
        <w:widowControl w:val="0"/>
        <w:ind w:left="3600" w:hanging="3600"/>
        <w:jc w:val="both"/>
        <w:rPr>
          <w:rFonts w:cs="Times New Roman"/>
          <w:sz w:val="20"/>
          <w:szCs w:val="20"/>
        </w:rPr>
      </w:pPr>
      <w:r w:rsidRPr="00A85B4F">
        <w:rPr>
          <w:rFonts w:cs="Times New Roman"/>
          <w:sz w:val="20"/>
          <w:szCs w:val="20"/>
        </w:rPr>
        <w:tab/>
        <w:t>Peter A. Gall, Q.C. and Robert Grant for the respondent Canada Post</w:t>
      </w:r>
    </w:p>
    <w:p w:rsidR="00DC4C93" w:rsidRPr="00A85B4F" w:rsidRDefault="00DC4C93" w:rsidP="00DC4C93">
      <w:pPr>
        <w:widowControl w:val="0"/>
        <w:ind w:left="3600" w:hanging="3600"/>
        <w:jc w:val="both"/>
        <w:rPr>
          <w:rFonts w:cs="Times New Roman"/>
          <w:sz w:val="20"/>
          <w:szCs w:val="20"/>
        </w:rPr>
      </w:pPr>
      <w:r w:rsidRPr="00A85B4F">
        <w:rPr>
          <w:rFonts w:cs="Times New Roman"/>
          <w:sz w:val="20"/>
          <w:szCs w:val="20"/>
        </w:rPr>
        <w:tab/>
      </w:r>
      <w:r w:rsidRPr="00DC4C93">
        <w:rPr>
          <w:rFonts w:cs="Times New Roman"/>
          <w:sz w:val="20"/>
          <w:szCs w:val="20"/>
        </w:rPr>
        <w:t>Philippe</w:t>
      </w:r>
      <w:r w:rsidRPr="00A85B4F">
        <w:rPr>
          <w:rFonts w:cs="Times New Roman"/>
          <w:sz w:val="20"/>
          <w:szCs w:val="20"/>
        </w:rPr>
        <w:t xml:space="preserve"> Dufresne and Daniel Poulin for the respondent Canadian Human Rights Commission</w:t>
      </w:r>
    </w:p>
    <w:p w:rsidR="00201497" w:rsidRPr="00DC4C93" w:rsidRDefault="00201497">
      <w:pPr>
        <w:rPr>
          <w:sz w:val="20"/>
          <w:szCs w:val="20"/>
        </w:rPr>
      </w:pPr>
    </w:p>
    <w:p w:rsidR="00201497" w:rsidRDefault="00460701">
      <w:pPr>
        <w:rPr>
          <w:sz w:val="20"/>
          <w:szCs w:val="20"/>
          <w:lang w:val="fr-CA"/>
        </w:rPr>
      </w:pPr>
      <w:r w:rsidRPr="00460701">
        <w:rPr>
          <w:sz w:val="20"/>
          <w:szCs w:val="20"/>
          <w:lang w:val="fr-CA"/>
        </w:rPr>
        <w:pict>
          <v:rect id="_x0000_i1105" style="width:2in;height:1pt" o:hrpct="0" o:hralign="center" o:hrstd="t" o:hrnoshade="t" o:hr="t" fillcolor="black [3213]" stroked="f"/>
        </w:pict>
      </w:r>
    </w:p>
    <w:p w:rsidR="00201497" w:rsidRDefault="00201497">
      <w:pPr>
        <w:rPr>
          <w:sz w:val="20"/>
          <w:szCs w:val="20"/>
          <w:lang w:val="fr-CA"/>
        </w:rPr>
      </w:pPr>
    </w:p>
    <w:p w:rsidR="00201497" w:rsidRDefault="00201497">
      <w:pPr>
        <w:rPr>
          <w:sz w:val="20"/>
          <w:szCs w:val="20"/>
          <w:lang w:val="fr-CA"/>
        </w:rPr>
      </w:pPr>
      <w:r>
        <w:rPr>
          <w:sz w:val="20"/>
          <w:szCs w:val="20"/>
          <w:lang w:val="fr-CA"/>
        </w:rPr>
        <w:br w:type="page"/>
      </w:r>
    </w:p>
    <w:p w:rsidR="00DC4C93" w:rsidRPr="00A85B4F" w:rsidRDefault="00460701" w:rsidP="00DC4C93">
      <w:pPr>
        <w:widowControl w:val="0"/>
        <w:ind w:left="720" w:hanging="720"/>
        <w:jc w:val="both"/>
        <w:rPr>
          <w:rFonts w:cs="Times New Roman"/>
          <w:b/>
          <w:bCs/>
          <w:i/>
          <w:sz w:val="20"/>
          <w:szCs w:val="20"/>
          <w:lang w:val="fr-CA"/>
        </w:rPr>
      </w:pPr>
      <w:r w:rsidRPr="00A85B4F">
        <w:rPr>
          <w:rFonts w:cs="Times New Roman"/>
          <w:b/>
          <w:sz w:val="20"/>
          <w:szCs w:val="20"/>
          <w:lang w:val="fr-CA"/>
        </w:rPr>
        <w:lastRenderedPageBreak/>
        <w:fldChar w:fldCharType="begin"/>
      </w:r>
      <w:r w:rsidR="00DC4C93" w:rsidRPr="00A85B4F">
        <w:rPr>
          <w:rFonts w:cs="Times New Roman"/>
          <w:b/>
          <w:sz w:val="20"/>
          <w:szCs w:val="20"/>
          <w:lang w:val="fr-CA"/>
        </w:rPr>
        <w:instrText xml:space="preserve"> SEQ CHAPTER \h \r 1</w:instrText>
      </w:r>
      <w:r w:rsidRPr="00A85B4F">
        <w:rPr>
          <w:rFonts w:cs="Times New Roman"/>
          <w:b/>
          <w:sz w:val="20"/>
          <w:szCs w:val="20"/>
          <w:lang w:val="fr-CA"/>
        </w:rPr>
        <w:fldChar w:fldCharType="end"/>
      </w:r>
      <w:r w:rsidR="00DC4C93" w:rsidRPr="00A85B4F">
        <w:rPr>
          <w:rFonts w:cs="Times New Roman"/>
          <w:b/>
          <w:sz w:val="20"/>
          <w:szCs w:val="20"/>
          <w:lang w:val="fr-CA"/>
        </w:rPr>
        <w:t>33668</w:t>
      </w:r>
      <w:r w:rsidR="00DC4C93" w:rsidRPr="00A85B4F">
        <w:rPr>
          <w:rFonts w:cs="Times New Roman"/>
          <w:sz w:val="20"/>
          <w:szCs w:val="20"/>
          <w:lang w:val="fr-CA"/>
        </w:rPr>
        <w:tab/>
      </w:r>
      <w:r w:rsidR="00DC4C93" w:rsidRPr="00A85B4F">
        <w:rPr>
          <w:rFonts w:cs="Times New Roman"/>
          <w:b/>
          <w:bCs/>
          <w:i/>
          <w:sz w:val="20"/>
          <w:szCs w:val="20"/>
          <w:lang w:val="fr-CA"/>
        </w:rPr>
        <w:t>Alliance de la fonction publique du Canada c. Société canadienne des postes et Commission canadienne des droits de la personne</w:t>
      </w:r>
    </w:p>
    <w:p w:rsidR="00DC4C93" w:rsidRPr="00A85B4F" w:rsidRDefault="00DC4C93" w:rsidP="00DC4C93">
      <w:pPr>
        <w:widowControl w:val="0"/>
        <w:ind w:left="720" w:hanging="72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r w:rsidRPr="00A85B4F">
        <w:rPr>
          <w:rFonts w:cs="Times New Roman"/>
          <w:sz w:val="20"/>
          <w:szCs w:val="20"/>
          <w:lang w:val="fr-CA"/>
        </w:rPr>
        <w:t xml:space="preserve">Contrôle judiciaire </w:t>
      </w:r>
      <w:r w:rsidRPr="00A85B4F">
        <w:rPr>
          <w:rFonts w:cs="Times New Roman"/>
          <w:sz w:val="20"/>
          <w:szCs w:val="20"/>
          <w:lang w:val="fr-CA"/>
        </w:rPr>
        <w:noBreakHyphen/>
        <w:t xml:space="preserve"> Droits de la personne </w:t>
      </w:r>
      <w:r w:rsidRPr="00A85B4F">
        <w:rPr>
          <w:rFonts w:cs="Times New Roman"/>
          <w:sz w:val="20"/>
          <w:szCs w:val="20"/>
          <w:lang w:val="fr-CA"/>
        </w:rPr>
        <w:noBreakHyphen/>
        <w:t xml:space="preserve"> Équité salariale </w:t>
      </w:r>
      <w:r w:rsidRPr="00A85B4F">
        <w:rPr>
          <w:rFonts w:cs="Times New Roman"/>
          <w:sz w:val="20"/>
          <w:szCs w:val="20"/>
          <w:lang w:val="fr-CA"/>
        </w:rPr>
        <w:noBreakHyphen/>
        <w:t xml:space="preserve"> Plaignante et groupes de comparaison </w:t>
      </w:r>
      <w:r w:rsidRPr="00A85B4F">
        <w:rPr>
          <w:rFonts w:cs="Times New Roman"/>
          <w:sz w:val="20"/>
          <w:szCs w:val="20"/>
          <w:lang w:val="fr-CA"/>
        </w:rPr>
        <w:noBreakHyphen/>
        <w:t xml:space="preserve"> Le Tribunal a conclu à l’iniquité salariale </w:t>
      </w:r>
      <w:r w:rsidRPr="00A85B4F">
        <w:rPr>
          <w:rFonts w:cs="Times New Roman"/>
          <w:sz w:val="20"/>
          <w:szCs w:val="20"/>
          <w:lang w:val="fr-CA"/>
        </w:rPr>
        <w:noBreakHyphen/>
        <w:t xml:space="preserve"> Conclusion infirmée à la suite d’un contrôle judiciaire </w:t>
      </w:r>
      <w:r w:rsidRPr="00A85B4F">
        <w:rPr>
          <w:rFonts w:cs="Times New Roman"/>
          <w:sz w:val="20"/>
          <w:szCs w:val="20"/>
          <w:lang w:val="fr-CA"/>
        </w:rPr>
        <w:noBreakHyphen/>
        <w:t xml:space="preserve"> Quelle est la norme de contrôle appropriée? </w:t>
      </w:r>
      <w:r w:rsidRPr="00A85B4F">
        <w:rPr>
          <w:rFonts w:cs="Times New Roman"/>
          <w:sz w:val="20"/>
          <w:szCs w:val="20"/>
          <w:lang w:val="fr-CA"/>
        </w:rPr>
        <w:noBreakHyphen/>
        <w:t xml:space="preserve"> La Cour fédérale a</w:t>
      </w:r>
      <w:r w:rsidRPr="00A85B4F">
        <w:rPr>
          <w:rFonts w:cs="Times New Roman"/>
          <w:sz w:val="20"/>
          <w:szCs w:val="20"/>
          <w:lang w:val="fr-CA"/>
        </w:rPr>
        <w:noBreakHyphen/>
        <w:t>t</w:t>
      </w:r>
      <w:r w:rsidRPr="00A85B4F">
        <w:rPr>
          <w:rFonts w:cs="Times New Roman"/>
          <w:sz w:val="20"/>
          <w:szCs w:val="20"/>
          <w:lang w:val="fr-CA"/>
        </w:rPr>
        <w:noBreakHyphen/>
        <w:t xml:space="preserve">elle eu tort de conclure que le Tribunal avait déraisonnablement identifié le groupe PO comme étant un groupe de comparaison approprié pour la disposition d’une plainte d’iniquité salariale? </w:t>
      </w:r>
      <w:r w:rsidRPr="00A85B4F">
        <w:rPr>
          <w:rFonts w:cs="Times New Roman"/>
          <w:sz w:val="20"/>
          <w:szCs w:val="20"/>
          <w:lang w:val="fr-CA"/>
        </w:rPr>
        <w:noBreakHyphen/>
        <w:t xml:space="preserve"> La Cour d’appel fédérale a</w:t>
      </w:r>
      <w:r w:rsidRPr="00A85B4F">
        <w:rPr>
          <w:rFonts w:cs="Times New Roman"/>
          <w:sz w:val="20"/>
          <w:szCs w:val="20"/>
          <w:lang w:val="fr-CA"/>
        </w:rPr>
        <w:noBreakHyphen/>
        <w:t>t</w:t>
      </w:r>
      <w:r w:rsidRPr="00A85B4F">
        <w:rPr>
          <w:rFonts w:cs="Times New Roman"/>
          <w:sz w:val="20"/>
          <w:szCs w:val="20"/>
          <w:lang w:val="fr-CA"/>
        </w:rPr>
        <w:noBreakHyphen/>
        <w:t xml:space="preserve">elle eu tort de conclure que le Tribunal avait omis de statuer sur la question de savoir si les membres des groupes CR et CO exerçaient des fonctions équivalentes? </w:t>
      </w:r>
      <w:r w:rsidRPr="00A85B4F">
        <w:rPr>
          <w:rFonts w:cs="Times New Roman"/>
          <w:sz w:val="20"/>
          <w:szCs w:val="20"/>
          <w:lang w:val="fr-CA"/>
        </w:rPr>
        <w:noBreakHyphen/>
        <w:t xml:space="preserve"> Les juridictions inférieures ont</w:t>
      </w:r>
      <w:r w:rsidRPr="00A85B4F">
        <w:rPr>
          <w:rFonts w:cs="Times New Roman"/>
          <w:sz w:val="20"/>
          <w:szCs w:val="20"/>
          <w:lang w:val="fr-CA"/>
        </w:rPr>
        <w:noBreakHyphen/>
        <w:t xml:space="preserve">elles eu tort de conclure que le Tribunal d’avait pas appliqué la norme de preuve appropriée, qu’il avait identifiée dans sa décision? </w:t>
      </w:r>
      <w:r w:rsidRPr="00A85B4F">
        <w:rPr>
          <w:rFonts w:cs="Times New Roman"/>
          <w:sz w:val="20"/>
          <w:szCs w:val="20"/>
          <w:lang w:val="fr-CA"/>
        </w:rPr>
        <w:noBreakHyphen/>
        <w:t xml:space="preserve"> Les juridictions inférieures ont</w:t>
      </w:r>
      <w:r w:rsidRPr="00A85B4F">
        <w:rPr>
          <w:rFonts w:cs="Times New Roman"/>
          <w:sz w:val="20"/>
          <w:szCs w:val="20"/>
          <w:lang w:val="fr-CA"/>
        </w:rPr>
        <w:noBreakHyphen/>
        <w:t>elles eu tort de ne pas avoir annulé la décision du Tribunal de réduire de cinquante pour cent le montant des dommages</w:t>
      </w:r>
      <w:r w:rsidRPr="00A85B4F">
        <w:rPr>
          <w:rFonts w:cs="Times New Roman"/>
          <w:sz w:val="20"/>
          <w:szCs w:val="20"/>
          <w:lang w:val="fr-CA"/>
        </w:rPr>
        <w:noBreakHyphen/>
        <w:t xml:space="preserve">intérêts qu’il accordait? </w:t>
      </w:r>
      <w:r w:rsidRPr="00A85B4F">
        <w:rPr>
          <w:rFonts w:cs="Times New Roman"/>
          <w:sz w:val="20"/>
          <w:szCs w:val="20"/>
          <w:lang w:val="fr-CA"/>
        </w:rPr>
        <w:noBreakHyphen/>
        <w:t xml:space="preserve"> Les juridictions inférieures ont</w:t>
      </w:r>
      <w:r w:rsidRPr="00A85B4F">
        <w:rPr>
          <w:rFonts w:cs="Times New Roman"/>
          <w:sz w:val="20"/>
          <w:szCs w:val="20"/>
          <w:lang w:val="fr-CA"/>
        </w:rPr>
        <w:noBreakHyphen/>
        <w:t>elles eu tort de renvoyer la plainte au Tribunal avec comme instruction de la rejeter?</w:t>
      </w: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r w:rsidRPr="00A85B4F">
        <w:rPr>
          <w:rFonts w:cs="Times New Roman"/>
          <w:sz w:val="20"/>
          <w:szCs w:val="20"/>
          <w:lang w:val="fr-CA"/>
        </w:rPr>
        <w:t>En 1983, l’Alliance de la fonction publique du Canada a déposé contre la Société canadienne des postes une plainte dans laquelle elle alléguait que cette dernière s’était rendue coupable de discrimination salariale contre les employés d’un groupe principalement composé de femmes par rapport à la rémunération reçue par un groupe à prédominance masculine.  La Commission canadienne des droits de la personne a commencé un long processus pour déterminer le travail de valeur égale, l’a modifié en cours de route et a finalement statué qu’il y avait une différence salariale.  La Commission a renvoyé la plainte au Tribunal canadien des droits de la personne qui a conclu que les renseignements relatifs au travail qui faisait l’objet de la comparaison étaient raisonnablement fiables, « bien que situés au niveau de la sous</w:t>
      </w:r>
      <w:r w:rsidRPr="00A85B4F">
        <w:rPr>
          <w:rFonts w:cs="Times New Roman"/>
          <w:sz w:val="20"/>
          <w:szCs w:val="20"/>
          <w:lang w:val="fr-CA"/>
        </w:rPr>
        <w:noBreakHyphen/>
        <w:t xml:space="preserve">fourchette inférieure de la fiabilité raisonnable ».  Sa décision a été annulée à la suite d’un contrôle judiciaire et la plainte a été renvoyée au Tribunal avec comme instruction de rejeter la plainte au motif qu’elle n’est pas bien fondée selon la norme légale de preuve.  </w:t>
      </w: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r w:rsidRPr="00A85B4F">
        <w:rPr>
          <w:rFonts w:cs="Times New Roman"/>
          <w:sz w:val="20"/>
          <w:szCs w:val="20"/>
          <w:lang w:val="fr-CA"/>
        </w:rPr>
        <w:t>Origine :</w:t>
      </w:r>
      <w:r w:rsidRPr="00A85B4F">
        <w:rPr>
          <w:rFonts w:cs="Times New Roman"/>
          <w:sz w:val="20"/>
          <w:szCs w:val="20"/>
          <w:lang w:val="fr-CA"/>
        </w:rPr>
        <w:tab/>
      </w:r>
      <w:r w:rsidRPr="00A85B4F">
        <w:rPr>
          <w:rFonts w:cs="Times New Roman"/>
          <w:sz w:val="20"/>
          <w:szCs w:val="20"/>
          <w:lang w:val="fr-CA"/>
        </w:rPr>
        <w:tab/>
      </w:r>
      <w:r w:rsidRPr="00A85B4F">
        <w:rPr>
          <w:rFonts w:cs="Times New Roman"/>
          <w:sz w:val="20"/>
          <w:szCs w:val="20"/>
          <w:lang w:val="fr-CA"/>
        </w:rPr>
        <w:tab/>
      </w:r>
      <w:r>
        <w:rPr>
          <w:rFonts w:cs="Times New Roman"/>
          <w:sz w:val="20"/>
          <w:szCs w:val="20"/>
          <w:lang w:val="fr-CA"/>
        </w:rPr>
        <w:tab/>
      </w:r>
      <w:r w:rsidRPr="00A85B4F">
        <w:rPr>
          <w:rFonts w:cs="Times New Roman"/>
          <w:sz w:val="20"/>
          <w:szCs w:val="20"/>
          <w:lang w:val="fr-CA"/>
        </w:rPr>
        <w:tab/>
        <w:t>Cour d’appel fédérale</w:t>
      </w: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r w:rsidRPr="00A85B4F">
        <w:rPr>
          <w:rFonts w:cs="Times New Roman"/>
          <w:sz w:val="20"/>
          <w:szCs w:val="20"/>
          <w:lang w:val="fr-CA"/>
        </w:rPr>
        <w:t>N</w:t>
      </w:r>
      <w:r w:rsidRPr="00A85B4F">
        <w:rPr>
          <w:rFonts w:cs="Times New Roman"/>
          <w:sz w:val="20"/>
          <w:szCs w:val="20"/>
          <w:vertAlign w:val="superscript"/>
          <w:lang w:val="fr-CA"/>
        </w:rPr>
        <w:t>o</w:t>
      </w:r>
      <w:r w:rsidRPr="00A85B4F">
        <w:rPr>
          <w:rFonts w:cs="Times New Roman"/>
          <w:sz w:val="20"/>
          <w:szCs w:val="20"/>
          <w:lang w:val="fr-CA"/>
        </w:rPr>
        <w:t xml:space="preserve"> du greffe :</w:t>
      </w:r>
      <w:r w:rsidRPr="00A85B4F">
        <w:rPr>
          <w:rFonts w:cs="Times New Roman"/>
          <w:sz w:val="20"/>
          <w:szCs w:val="20"/>
          <w:lang w:val="fr-CA"/>
        </w:rPr>
        <w:tab/>
      </w:r>
      <w:r w:rsidRPr="00A85B4F">
        <w:rPr>
          <w:rFonts w:cs="Times New Roman"/>
          <w:sz w:val="20"/>
          <w:szCs w:val="20"/>
          <w:lang w:val="fr-CA"/>
        </w:rPr>
        <w:tab/>
      </w:r>
      <w:r>
        <w:rPr>
          <w:rFonts w:cs="Times New Roman"/>
          <w:sz w:val="20"/>
          <w:szCs w:val="20"/>
          <w:lang w:val="fr-CA"/>
        </w:rPr>
        <w:tab/>
      </w:r>
      <w:r w:rsidRPr="00A85B4F">
        <w:rPr>
          <w:rFonts w:cs="Times New Roman"/>
          <w:sz w:val="20"/>
          <w:szCs w:val="20"/>
          <w:lang w:val="fr-CA"/>
        </w:rPr>
        <w:tab/>
        <w:t>33668</w:t>
      </w: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r w:rsidRPr="00A85B4F">
        <w:rPr>
          <w:rFonts w:cs="Times New Roman"/>
          <w:sz w:val="20"/>
          <w:szCs w:val="20"/>
          <w:lang w:val="fr-CA"/>
        </w:rPr>
        <w:t>Arrêt de la Cour d’appel :</w:t>
      </w:r>
      <w:r w:rsidRPr="00A85B4F">
        <w:rPr>
          <w:rFonts w:cs="Times New Roman"/>
          <w:sz w:val="20"/>
          <w:szCs w:val="20"/>
          <w:lang w:val="fr-CA"/>
        </w:rPr>
        <w:tab/>
      </w:r>
      <w:r w:rsidRPr="00A85B4F">
        <w:rPr>
          <w:rFonts w:cs="Times New Roman"/>
          <w:sz w:val="20"/>
          <w:szCs w:val="20"/>
          <w:lang w:val="fr-CA"/>
        </w:rPr>
        <w:tab/>
      </w:r>
      <w:r>
        <w:rPr>
          <w:rFonts w:cs="Times New Roman"/>
          <w:sz w:val="20"/>
          <w:szCs w:val="20"/>
          <w:lang w:val="fr-CA"/>
        </w:rPr>
        <w:tab/>
      </w:r>
      <w:r w:rsidRPr="00A85B4F">
        <w:rPr>
          <w:rFonts w:cs="Times New Roman"/>
          <w:sz w:val="20"/>
          <w:szCs w:val="20"/>
          <w:lang w:val="fr-CA"/>
        </w:rPr>
        <w:t>le 22 février 2010</w:t>
      </w: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ind w:left="3600" w:hanging="3600"/>
        <w:jc w:val="both"/>
        <w:rPr>
          <w:rFonts w:cs="Times New Roman"/>
          <w:sz w:val="20"/>
          <w:szCs w:val="20"/>
          <w:lang w:val="fr-CA"/>
        </w:rPr>
      </w:pPr>
      <w:r w:rsidRPr="00A85B4F">
        <w:rPr>
          <w:rFonts w:cs="Times New Roman"/>
          <w:sz w:val="20"/>
          <w:szCs w:val="20"/>
          <w:lang w:val="fr-CA"/>
        </w:rPr>
        <w:t>Avocats :</w:t>
      </w:r>
      <w:r w:rsidRPr="00A85B4F">
        <w:rPr>
          <w:rFonts w:cs="Times New Roman"/>
          <w:sz w:val="20"/>
          <w:szCs w:val="20"/>
          <w:lang w:val="fr-CA"/>
        </w:rPr>
        <w:tab/>
        <w:t>Andrew Raven, James Cameron, David Yazbeck et Andrew Astritis pour l’appelante</w:t>
      </w:r>
    </w:p>
    <w:p w:rsidR="00DC4C93" w:rsidRPr="00A85B4F" w:rsidRDefault="00DC4C93" w:rsidP="00DC4C93">
      <w:pPr>
        <w:widowControl w:val="0"/>
        <w:ind w:left="3600" w:hanging="3600"/>
        <w:jc w:val="both"/>
        <w:rPr>
          <w:rFonts w:cs="Times New Roman"/>
          <w:sz w:val="20"/>
          <w:szCs w:val="20"/>
          <w:lang w:val="fr-CA"/>
        </w:rPr>
      </w:pPr>
      <w:r w:rsidRPr="00A85B4F">
        <w:rPr>
          <w:rFonts w:cs="Times New Roman"/>
          <w:sz w:val="20"/>
          <w:szCs w:val="20"/>
          <w:lang w:val="fr-CA"/>
        </w:rPr>
        <w:tab/>
        <w:t>Peter A. Gall, c.r. et Robert Grant pour l’intimée Postes Canada</w:t>
      </w:r>
    </w:p>
    <w:p w:rsidR="00DC4C93" w:rsidRPr="00A85B4F" w:rsidRDefault="00DC4C93" w:rsidP="00DC4C93">
      <w:pPr>
        <w:widowControl w:val="0"/>
        <w:ind w:left="3600" w:hanging="3600"/>
        <w:jc w:val="both"/>
        <w:rPr>
          <w:rFonts w:cs="Times New Roman"/>
          <w:sz w:val="20"/>
          <w:szCs w:val="20"/>
          <w:lang w:val="fr-CA"/>
        </w:rPr>
      </w:pPr>
      <w:r w:rsidRPr="00A85B4F">
        <w:rPr>
          <w:rFonts w:cs="Times New Roman"/>
          <w:sz w:val="20"/>
          <w:szCs w:val="20"/>
          <w:lang w:val="fr-CA"/>
        </w:rPr>
        <w:tab/>
        <w:t>Philippe Dufresne et Daniel Poulin pour l’intimée Commission canadienne des droits de la personne</w:t>
      </w:r>
    </w:p>
    <w:p w:rsidR="00201497" w:rsidRDefault="00201497">
      <w:pPr>
        <w:rPr>
          <w:sz w:val="20"/>
          <w:szCs w:val="20"/>
          <w:lang w:val="fr-CA"/>
        </w:rPr>
      </w:pPr>
    </w:p>
    <w:p w:rsidR="00201497" w:rsidRDefault="00460701">
      <w:pPr>
        <w:rPr>
          <w:sz w:val="20"/>
          <w:szCs w:val="20"/>
          <w:lang w:val="fr-CA"/>
        </w:rPr>
      </w:pPr>
      <w:r w:rsidRPr="00460701">
        <w:rPr>
          <w:sz w:val="20"/>
          <w:szCs w:val="20"/>
          <w:lang w:val="fr-CA"/>
        </w:rPr>
        <w:pict>
          <v:rect id="_x0000_i1106" style="width:2in;height:1pt" o:hrpct="0" o:hralign="center" o:hrstd="t" o:hrnoshade="t" o:hr="t" fillcolor="black [3213]" stroked="f"/>
        </w:pict>
      </w:r>
    </w:p>
    <w:p w:rsidR="00201497" w:rsidRDefault="00201497">
      <w:pPr>
        <w:rPr>
          <w:sz w:val="20"/>
          <w:szCs w:val="20"/>
          <w:lang w:val="fr-CA"/>
        </w:rPr>
      </w:pPr>
    </w:p>
    <w:p w:rsidR="00201497" w:rsidRDefault="00201497">
      <w:pPr>
        <w:rPr>
          <w:sz w:val="20"/>
          <w:szCs w:val="20"/>
          <w:lang w:val="fr-CA"/>
        </w:rPr>
      </w:pPr>
      <w:r>
        <w:rPr>
          <w:sz w:val="20"/>
          <w:szCs w:val="20"/>
          <w:lang w:val="fr-CA"/>
        </w:rPr>
        <w:br w:type="page"/>
      </w:r>
    </w:p>
    <w:p w:rsidR="00DC4C93" w:rsidRPr="00A85B4F" w:rsidRDefault="00460701" w:rsidP="00DC4C93">
      <w:pPr>
        <w:widowControl w:val="0"/>
        <w:ind w:left="720" w:hanging="720"/>
        <w:jc w:val="both"/>
        <w:rPr>
          <w:rFonts w:cs="Times New Roman"/>
          <w:sz w:val="20"/>
          <w:szCs w:val="20"/>
        </w:rPr>
      </w:pPr>
      <w:r w:rsidRPr="00A85B4F">
        <w:rPr>
          <w:rFonts w:cs="Times New Roman"/>
          <w:b/>
          <w:sz w:val="20"/>
          <w:szCs w:val="20"/>
        </w:rPr>
        <w:lastRenderedPageBreak/>
        <w:fldChar w:fldCharType="begin"/>
      </w:r>
      <w:r w:rsidR="00DC4C93" w:rsidRPr="00A85B4F">
        <w:rPr>
          <w:rFonts w:cs="Times New Roman"/>
          <w:b/>
          <w:sz w:val="20"/>
          <w:szCs w:val="20"/>
        </w:rPr>
        <w:instrText xml:space="preserve"> SEQ CHAPTER \h \r 1</w:instrText>
      </w:r>
      <w:r w:rsidRPr="00A85B4F">
        <w:rPr>
          <w:rFonts w:cs="Times New Roman"/>
          <w:b/>
          <w:sz w:val="20"/>
          <w:szCs w:val="20"/>
        </w:rPr>
        <w:fldChar w:fldCharType="end"/>
      </w:r>
      <w:r w:rsidR="00DC4C93" w:rsidRPr="00A85B4F">
        <w:rPr>
          <w:rFonts w:cs="Times New Roman"/>
          <w:b/>
          <w:sz w:val="20"/>
          <w:szCs w:val="20"/>
        </w:rPr>
        <w:t>33669</w:t>
      </w:r>
      <w:r w:rsidR="00DC4C93" w:rsidRPr="00A85B4F">
        <w:rPr>
          <w:rFonts w:cs="Times New Roman"/>
          <w:sz w:val="20"/>
          <w:szCs w:val="20"/>
        </w:rPr>
        <w:tab/>
      </w:r>
      <w:r w:rsidR="00DC4C93" w:rsidRPr="00A85B4F">
        <w:rPr>
          <w:rFonts w:cs="Times New Roman"/>
          <w:b/>
          <w:i/>
          <w:sz w:val="20"/>
          <w:szCs w:val="20"/>
        </w:rPr>
        <w:t>Public Service Alliance of Canada v. Canada Post Corporation and Canadian Human Rights Commission</w:t>
      </w: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jc w:val="both"/>
        <w:rPr>
          <w:rFonts w:cs="Times New Roman"/>
          <w:sz w:val="20"/>
          <w:szCs w:val="20"/>
        </w:rPr>
      </w:pPr>
      <w:r w:rsidRPr="00A85B4F">
        <w:rPr>
          <w:rFonts w:cs="Times New Roman"/>
          <w:sz w:val="20"/>
          <w:szCs w:val="20"/>
        </w:rPr>
        <w:t xml:space="preserve">Judicial review </w:t>
      </w:r>
      <w:r w:rsidRPr="00A85B4F">
        <w:rPr>
          <w:rFonts w:cs="Times New Roman"/>
          <w:sz w:val="20"/>
          <w:szCs w:val="20"/>
        </w:rPr>
        <w:noBreakHyphen/>
        <w:t xml:space="preserve"> Human rights </w:t>
      </w:r>
      <w:r w:rsidRPr="00A85B4F">
        <w:rPr>
          <w:rFonts w:cs="Times New Roman"/>
          <w:sz w:val="20"/>
          <w:szCs w:val="20"/>
        </w:rPr>
        <w:noBreakHyphen/>
        <w:t xml:space="preserve"> Wage parity </w:t>
      </w:r>
      <w:r w:rsidRPr="00A85B4F">
        <w:rPr>
          <w:rFonts w:cs="Times New Roman"/>
          <w:sz w:val="20"/>
          <w:szCs w:val="20"/>
        </w:rPr>
        <w:noBreakHyphen/>
        <w:t xml:space="preserve"> Complainant and comparator groups </w:t>
      </w:r>
      <w:r w:rsidRPr="00A85B4F">
        <w:rPr>
          <w:rFonts w:cs="Times New Roman"/>
          <w:sz w:val="20"/>
          <w:szCs w:val="20"/>
        </w:rPr>
        <w:noBreakHyphen/>
        <w:t xml:space="preserve"> Tribunal finding pay inequity </w:t>
      </w:r>
      <w:r w:rsidRPr="00A85B4F">
        <w:rPr>
          <w:rFonts w:cs="Times New Roman"/>
          <w:sz w:val="20"/>
          <w:szCs w:val="20"/>
        </w:rPr>
        <w:noBreakHyphen/>
        <w:t xml:space="preserve"> Finding overturned on judicial review </w:t>
      </w:r>
      <w:r w:rsidRPr="00A85B4F">
        <w:rPr>
          <w:rFonts w:cs="Times New Roman"/>
          <w:sz w:val="20"/>
          <w:szCs w:val="20"/>
        </w:rPr>
        <w:noBreakHyphen/>
        <w:t xml:space="preserve"> What is the appropriate standard of review? </w:t>
      </w:r>
      <w:r w:rsidRPr="00A85B4F">
        <w:rPr>
          <w:rFonts w:cs="Times New Roman"/>
          <w:sz w:val="20"/>
          <w:szCs w:val="20"/>
        </w:rPr>
        <w:noBreakHyphen/>
        <w:t xml:space="preserve"> Whether the Federal Court erred in finding that the Tribunal had unreasonably identified the PO Group as an appropriate comparator group for the adjudication of the pay equity complaint </w:t>
      </w:r>
      <w:r w:rsidRPr="00A85B4F">
        <w:rPr>
          <w:rFonts w:cs="Times New Roman"/>
          <w:sz w:val="20"/>
          <w:szCs w:val="20"/>
        </w:rPr>
        <w:noBreakHyphen/>
        <w:t xml:space="preserve"> Whether the Federal Court of Appeal erred in concluding that the Tribunal had failed to decide whether individuals in the CR and PO Groups performed work of equal value </w:t>
      </w:r>
      <w:r w:rsidRPr="00A85B4F">
        <w:rPr>
          <w:rFonts w:cs="Times New Roman"/>
          <w:sz w:val="20"/>
          <w:szCs w:val="20"/>
        </w:rPr>
        <w:noBreakHyphen/>
        <w:t xml:space="preserve"> Whether the courts below erred in concluding that the Tribunal failed to apply the appropriate standard of proof, which it had identified in its decision </w:t>
      </w:r>
      <w:r w:rsidRPr="00A85B4F">
        <w:rPr>
          <w:rFonts w:cs="Times New Roman"/>
          <w:sz w:val="20"/>
          <w:szCs w:val="20"/>
        </w:rPr>
        <w:noBreakHyphen/>
        <w:t xml:space="preserve"> Whether the courts below erred in failing to set aside the Tribunal’s decision to discount its award of damages by fifty percent </w:t>
      </w:r>
      <w:r w:rsidRPr="00A85B4F">
        <w:rPr>
          <w:rFonts w:cs="Times New Roman"/>
          <w:sz w:val="20"/>
          <w:szCs w:val="20"/>
        </w:rPr>
        <w:noBreakHyphen/>
        <w:t xml:space="preserve"> Whether the courts below erred in referring the complaint back to the Tribunal with the direction that it be dismissed?</w:t>
      </w: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jc w:val="both"/>
        <w:rPr>
          <w:rFonts w:cs="Times New Roman"/>
          <w:sz w:val="20"/>
          <w:szCs w:val="20"/>
        </w:rPr>
      </w:pPr>
      <w:r w:rsidRPr="00A85B4F">
        <w:rPr>
          <w:rFonts w:cs="Times New Roman"/>
          <w:sz w:val="20"/>
          <w:szCs w:val="20"/>
        </w:rPr>
        <w:t>The Public Service Alliance of Canada filed a complaint against Canada Post Corporation in 1983 alleging wage discrimination against employees in a predominantly female group in comparison to that received by a male</w:t>
      </w:r>
      <w:r w:rsidRPr="00A85B4F">
        <w:rPr>
          <w:rFonts w:cs="Times New Roman"/>
          <w:sz w:val="20"/>
          <w:szCs w:val="20"/>
        </w:rPr>
        <w:noBreakHyphen/>
        <w:t>dominated group.  The Canadian Human Rights Commission began a lengthy process for determining work of equal value, amended it in mid</w:t>
      </w:r>
      <w:r w:rsidRPr="00A85B4F">
        <w:rPr>
          <w:rFonts w:cs="Times New Roman"/>
          <w:sz w:val="20"/>
          <w:szCs w:val="20"/>
        </w:rPr>
        <w:noBreakHyphen/>
        <w:t>stream and finally determined that a wage difference existed.  It referred the complaint to the Canadian Human Rights Tribunal which found the work being compared to be reasonably reliable, “albeit at the lower reasonably reliable sub</w:t>
      </w:r>
      <w:r w:rsidRPr="00A85B4F">
        <w:rPr>
          <w:rFonts w:cs="Times New Roman"/>
          <w:sz w:val="20"/>
          <w:szCs w:val="20"/>
        </w:rPr>
        <w:noBreakHyphen/>
        <w:t xml:space="preserve">band level”.  Its decision was set aside on judicial review and the complaint was referred back to the Tribunal with the direction that it be dismissed as not being substantiated according to the legal standard of proof.  </w:t>
      </w: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jc w:val="both"/>
        <w:rPr>
          <w:rFonts w:cs="Times New Roman"/>
          <w:sz w:val="20"/>
          <w:szCs w:val="20"/>
        </w:rPr>
      </w:pPr>
      <w:r w:rsidRPr="00A85B4F">
        <w:rPr>
          <w:rFonts w:cs="Times New Roman"/>
          <w:sz w:val="20"/>
          <w:szCs w:val="20"/>
        </w:rPr>
        <w:t>Origin of the case:</w:t>
      </w:r>
      <w:r w:rsidRPr="00A85B4F">
        <w:rPr>
          <w:rFonts w:cs="Times New Roman"/>
          <w:sz w:val="20"/>
          <w:szCs w:val="20"/>
        </w:rPr>
        <w:tab/>
      </w:r>
      <w:r w:rsidRPr="00A85B4F">
        <w:rPr>
          <w:rFonts w:cs="Times New Roman"/>
          <w:sz w:val="20"/>
          <w:szCs w:val="20"/>
        </w:rPr>
        <w:tab/>
      </w:r>
      <w:r w:rsidRPr="00A85B4F">
        <w:rPr>
          <w:rFonts w:cs="Times New Roman"/>
          <w:sz w:val="20"/>
          <w:szCs w:val="20"/>
        </w:rPr>
        <w:tab/>
        <w:t>Federal Court of Appeal</w:t>
      </w: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jc w:val="both"/>
        <w:rPr>
          <w:rFonts w:cs="Times New Roman"/>
          <w:sz w:val="20"/>
          <w:szCs w:val="20"/>
        </w:rPr>
      </w:pPr>
      <w:r w:rsidRPr="00A85B4F">
        <w:rPr>
          <w:rFonts w:cs="Times New Roman"/>
          <w:sz w:val="20"/>
          <w:szCs w:val="20"/>
        </w:rPr>
        <w:t>File No.:</w:t>
      </w:r>
      <w:r w:rsidRPr="00A85B4F">
        <w:rPr>
          <w:rFonts w:cs="Times New Roman"/>
          <w:sz w:val="20"/>
          <w:szCs w:val="20"/>
        </w:rPr>
        <w:tab/>
      </w:r>
      <w:r w:rsidRPr="00A85B4F">
        <w:rPr>
          <w:rFonts w:cs="Times New Roman"/>
          <w:sz w:val="20"/>
          <w:szCs w:val="20"/>
        </w:rPr>
        <w:tab/>
      </w:r>
      <w:r w:rsidRPr="00A85B4F">
        <w:rPr>
          <w:rFonts w:cs="Times New Roman"/>
          <w:sz w:val="20"/>
          <w:szCs w:val="20"/>
        </w:rPr>
        <w:tab/>
      </w:r>
      <w:r w:rsidRPr="00A85B4F">
        <w:rPr>
          <w:rFonts w:cs="Times New Roman"/>
          <w:sz w:val="20"/>
          <w:szCs w:val="20"/>
        </w:rPr>
        <w:tab/>
      </w:r>
      <w:r w:rsidRPr="00A85B4F">
        <w:rPr>
          <w:rFonts w:cs="Times New Roman"/>
          <w:sz w:val="20"/>
          <w:szCs w:val="20"/>
        </w:rPr>
        <w:tab/>
        <w:t>33669</w:t>
      </w: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jc w:val="both"/>
        <w:rPr>
          <w:rFonts w:cs="Times New Roman"/>
          <w:sz w:val="20"/>
          <w:szCs w:val="20"/>
        </w:rPr>
      </w:pPr>
      <w:r w:rsidRPr="00A85B4F">
        <w:rPr>
          <w:rFonts w:cs="Times New Roman"/>
          <w:sz w:val="20"/>
          <w:szCs w:val="20"/>
        </w:rPr>
        <w:t>Judgment of the Court of Appeal:</w:t>
      </w:r>
      <w:r w:rsidRPr="00A85B4F">
        <w:rPr>
          <w:rFonts w:cs="Times New Roman"/>
          <w:sz w:val="20"/>
          <w:szCs w:val="20"/>
        </w:rPr>
        <w:tab/>
      </w:r>
      <w:r w:rsidRPr="00A85B4F">
        <w:rPr>
          <w:rFonts w:cs="Times New Roman"/>
          <w:sz w:val="20"/>
          <w:szCs w:val="20"/>
        </w:rPr>
        <w:tab/>
        <w:t>February 22, 2010</w:t>
      </w: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ind w:left="3600" w:hanging="3600"/>
        <w:jc w:val="both"/>
        <w:rPr>
          <w:rFonts w:cs="Times New Roman"/>
          <w:sz w:val="20"/>
          <w:szCs w:val="20"/>
        </w:rPr>
      </w:pPr>
      <w:r w:rsidRPr="00A85B4F">
        <w:rPr>
          <w:rFonts w:cs="Times New Roman"/>
          <w:sz w:val="20"/>
          <w:szCs w:val="20"/>
        </w:rPr>
        <w:t>Counsel:</w:t>
      </w:r>
      <w:r w:rsidRPr="00A85B4F">
        <w:rPr>
          <w:rFonts w:cs="Times New Roman"/>
          <w:sz w:val="20"/>
          <w:szCs w:val="20"/>
        </w:rPr>
        <w:tab/>
      </w:r>
      <w:r w:rsidRPr="00A85B4F">
        <w:rPr>
          <w:rFonts w:cs="Times New Roman"/>
          <w:sz w:val="20"/>
          <w:szCs w:val="20"/>
          <w:lang w:val="en-US"/>
        </w:rPr>
        <w:t>Andrew</w:t>
      </w:r>
      <w:r w:rsidRPr="00A85B4F">
        <w:rPr>
          <w:rFonts w:cs="Times New Roman"/>
          <w:sz w:val="20"/>
          <w:szCs w:val="20"/>
        </w:rPr>
        <w:t xml:space="preserve"> Raven, James </w:t>
      </w:r>
      <w:r w:rsidRPr="00A85B4F">
        <w:rPr>
          <w:rFonts w:cs="Times New Roman"/>
          <w:sz w:val="20"/>
          <w:szCs w:val="20"/>
          <w:lang w:val="en-US"/>
        </w:rPr>
        <w:t>Cameron</w:t>
      </w:r>
      <w:r w:rsidRPr="00A85B4F">
        <w:rPr>
          <w:rFonts w:cs="Times New Roman"/>
          <w:sz w:val="20"/>
          <w:szCs w:val="20"/>
        </w:rPr>
        <w:t>, David Yazbeck and Andrew Astritis for the appellant</w:t>
      </w:r>
    </w:p>
    <w:p w:rsidR="00DC4C93" w:rsidRPr="00A85B4F" w:rsidRDefault="00DC4C93" w:rsidP="00DC4C93">
      <w:pPr>
        <w:widowControl w:val="0"/>
        <w:ind w:left="3600" w:hanging="3600"/>
        <w:jc w:val="both"/>
        <w:rPr>
          <w:rFonts w:cs="Times New Roman"/>
          <w:sz w:val="20"/>
          <w:szCs w:val="20"/>
        </w:rPr>
      </w:pPr>
      <w:r w:rsidRPr="00A85B4F">
        <w:rPr>
          <w:rFonts w:cs="Times New Roman"/>
          <w:sz w:val="20"/>
          <w:szCs w:val="20"/>
        </w:rPr>
        <w:tab/>
        <w:t>Peter A. Gall, Q.C. and Robert Grant for the respondent Canada Post</w:t>
      </w:r>
    </w:p>
    <w:p w:rsidR="00201497" w:rsidRDefault="00DC4C93" w:rsidP="00DC4C93">
      <w:pPr>
        <w:ind w:left="3600" w:hanging="3600"/>
        <w:rPr>
          <w:rFonts w:cs="Times New Roman"/>
          <w:sz w:val="20"/>
          <w:szCs w:val="20"/>
        </w:rPr>
      </w:pPr>
      <w:r w:rsidRPr="00A85B4F">
        <w:rPr>
          <w:rFonts w:cs="Times New Roman"/>
          <w:sz w:val="20"/>
          <w:szCs w:val="20"/>
        </w:rPr>
        <w:tab/>
      </w:r>
      <w:r w:rsidRPr="00A85B4F">
        <w:rPr>
          <w:rFonts w:cs="Times New Roman"/>
          <w:sz w:val="20"/>
          <w:szCs w:val="20"/>
          <w:lang w:val="en-US"/>
        </w:rPr>
        <w:t>Philippe</w:t>
      </w:r>
      <w:r w:rsidRPr="00A85B4F">
        <w:rPr>
          <w:rFonts w:cs="Times New Roman"/>
          <w:sz w:val="20"/>
          <w:szCs w:val="20"/>
        </w:rPr>
        <w:t xml:space="preserve"> </w:t>
      </w:r>
      <w:r w:rsidRPr="00A85B4F">
        <w:rPr>
          <w:rFonts w:cs="Times New Roman"/>
          <w:sz w:val="20"/>
          <w:szCs w:val="20"/>
          <w:lang w:val="en-US"/>
        </w:rPr>
        <w:t>Dufresne</w:t>
      </w:r>
      <w:r w:rsidRPr="00A85B4F">
        <w:rPr>
          <w:rFonts w:cs="Times New Roman"/>
          <w:sz w:val="20"/>
          <w:szCs w:val="20"/>
        </w:rPr>
        <w:t xml:space="preserve"> and Daniel Poulin for the respondent Canadian Human Rights Commission</w:t>
      </w:r>
    </w:p>
    <w:p w:rsidR="00DC4C93" w:rsidRPr="00DC4C93" w:rsidRDefault="00DC4C93" w:rsidP="00DC4C93">
      <w:pPr>
        <w:rPr>
          <w:sz w:val="20"/>
          <w:szCs w:val="20"/>
        </w:rPr>
      </w:pPr>
    </w:p>
    <w:p w:rsidR="00201497" w:rsidRDefault="00460701">
      <w:pPr>
        <w:rPr>
          <w:sz w:val="20"/>
          <w:szCs w:val="20"/>
          <w:lang w:val="fr-CA"/>
        </w:rPr>
      </w:pPr>
      <w:r w:rsidRPr="00460701">
        <w:rPr>
          <w:sz w:val="20"/>
          <w:szCs w:val="20"/>
          <w:lang w:val="fr-CA"/>
        </w:rPr>
        <w:pict>
          <v:rect id="_x0000_i1107" style="width:2in;height:1pt" o:hrpct="0" o:hralign="center" o:hrstd="t" o:hrnoshade="t" o:hr="t" fillcolor="black [3213]" stroked="f"/>
        </w:pict>
      </w:r>
    </w:p>
    <w:p w:rsidR="00201497" w:rsidRDefault="00201497">
      <w:pPr>
        <w:rPr>
          <w:sz w:val="20"/>
          <w:szCs w:val="20"/>
          <w:lang w:val="fr-CA"/>
        </w:rPr>
      </w:pPr>
    </w:p>
    <w:p w:rsidR="00201497" w:rsidRDefault="00201497">
      <w:pPr>
        <w:rPr>
          <w:sz w:val="20"/>
          <w:szCs w:val="20"/>
          <w:lang w:val="fr-CA"/>
        </w:rPr>
      </w:pPr>
      <w:r>
        <w:rPr>
          <w:sz w:val="20"/>
          <w:szCs w:val="20"/>
          <w:lang w:val="fr-CA"/>
        </w:rPr>
        <w:br w:type="page"/>
      </w:r>
    </w:p>
    <w:p w:rsidR="00DC4C93" w:rsidRPr="00A85B4F" w:rsidRDefault="00460701" w:rsidP="00DC4C93">
      <w:pPr>
        <w:widowControl w:val="0"/>
        <w:ind w:left="720" w:hanging="720"/>
        <w:jc w:val="both"/>
        <w:rPr>
          <w:rFonts w:cs="Times New Roman"/>
          <w:b/>
          <w:bCs/>
          <w:i/>
          <w:sz w:val="20"/>
          <w:szCs w:val="20"/>
          <w:lang w:val="fr-CA"/>
        </w:rPr>
      </w:pPr>
      <w:r w:rsidRPr="00A85B4F">
        <w:rPr>
          <w:rFonts w:cs="Times New Roman"/>
          <w:b/>
          <w:sz w:val="20"/>
          <w:szCs w:val="20"/>
          <w:lang w:val="fr-CA"/>
        </w:rPr>
        <w:lastRenderedPageBreak/>
        <w:fldChar w:fldCharType="begin"/>
      </w:r>
      <w:r w:rsidR="00DC4C93" w:rsidRPr="00A85B4F">
        <w:rPr>
          <w:rFonts w:cs="Times New Roman"/>
          <w:b/>
          <w:sz w:val="20"/>
          <w:szCs w:val="20"/>
          <w:lang w:val="fr-CA"/>
        </w:rPr>
        <w:instrText xml:space="preserve"> SEQ CHAPTER \h \r 1</w:instrText>
      </w:r>
      <w:r w:rsidRPr="00A85B4F">
        <w:rPr>
          <w:rFonts w:cs="Times New Roman"/>
          <w:b/>
          <w:sz w:val="20"/>
          <w:szCs w:val="20"/>
          <w:lang w:val="fr-CA"/>
        </w:rPr>
        <w:fldChar w:fldCharType="end"/>
      </w:r>
      <w:r w:rsidR="00DC4C93" w:rsidRPr="00A85B4F">
        <w:rPr>
          <w:rFonts w:cs="Times New Roman"/>
          <w:b/>
          <w:sz w:val="20"/>
          <w:szCs w:val="20"/>
          <w:lang w:val="fr-CA"/>
        </w:rPr>
        <w:t>33669</w:t>
      </w:r>
      <w:r w:rsidR="00DC4C93" w:rsidRPr="00A85B4F">
        <w:rPr>
          <w:rFonts w:cs="Times New Roman"/>
          <w:sz w:val="20"/>
          <w:szCs w:val="20"/>
          <w:lang w:val="fr-CA"/>
        </w:rPr>
        <w:tab/>
      </w:r>
      <w:r w:rsidR="00DC4C93" w:rsidRPr="00A85B4F">
        <w:rPr>
          <w:rFonts w:cs="Times New Roman"/>
          <w:b/>
          <w:bCs/>
          <w:i/>
          <w:sz w:val="20"/>
          <w:szCs w:val="20"/>
          <w:lang w:val="fr-CA"/>
        </w:rPr>
        <w:t>Alliance de la fonction publique du Canada c. Société canadienne des postes et Commission canadienne des droits de la personne</w:t>
      </w:r>
    </w:p>
    <w:p w:rsidR="00DC4C93" w:rsidRPr="00A85B4F" w:rsidRDefault="00DC4C93" w:rsidP="00DC4C93">
      <w:pPr>
        <w:widowControl w:val="0"/>
        <w:ind w:left="720" w:hanging="72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r w:rsidRPr="00A85B4F">
        <w:rPr>
          <w:rFonts w:cs="Times New Roman"/>
          <w:sz w:val="20"/>
          <w:szCs w:val="20"/>
          <w:lang w:val="fr-CA"/>
        </w:rPr>
        <w:t xml:space="preserve">Contrôle judiciaire </w:t>
      </w:r>
      <w:r w:rsidRPr="00A85B4F">
        <w:rPr>
          <w:rFonts w:cs="Times New Roman"/>
          <w:sz w:val="20"/>
          <w:szCs w:val="20"/>
          <w:lang w:val="fr-CA"/>
        </w:rPr>
        <w:noBreakHyphen/>
        <w:t xml:space="preserve"> Droits de la personne </w:t>
      </w:r>
      <w:r w:rsidRPr="00A85B4F">
        <w:rPr>
          <w:rFonts w:cs="Times New Roman"/>
          <w:sz w:val="20"/>
          <w:szCs w:val="20"/>
          <w:lang w:val="fr-CA"/>
        </w:rPr>
        <w:noBreakHyphen/>
        <w:t xml:space="preserve"> Équité salariale </w:t>
      </w:r>
      <w:r w:rsidRPr="00A85B4F">
        <w:rPr>
          <w:rFonts w:cs="Times New Roman"/>
          <w:sz w:val="20"/>
          <w:szCs w:val="20"/>
          <w:lang w:val="fr-CA"/>
        </w:rPr>
        <w:noBreakHyphen/>
        <w:t xml:space="preserve"> Plaignante et groupes de comparaison </w:t>
      </w:r>
      <w:r w:rsidRPr="00A85B4F">
        <w:rPr>
          <w:rFonts w:cs="Times New Roman"/>
          <w:sz w:val="20"/>
          <w:szCs w:val="20"/>
          <w:lang w:val="fr-CA"/>
        </w:rPr>
        <w:noBreakHyphen/>
        <w:t xml:space="preserve"> Le Tribunal a conclu à l’iniquité salariale </w:t>
      </w:r>
      <w:r w:rsidRPr="00A85B4F">
        <w:rPr>
          <w:rFonts w:cs="Times New Roman"/>
          <w:sz w:val="20"/>
          <w:szCs w:val="20"/>
          <w:lang w:val="fr-CA"/>
        </w:rPr>
        <w:noBreakHyphen/>
        <w:t xml:space="preserve"> Conclusion infirmée à la suite d’un contrôle judiciaire </w:t>
      </w:r>
      <w:r w:rsidRPr="00A85B4F">
        <w:rPr>
          <w:rFonts w:cs="Times New Roman"/>
          <w:sz w:val="20"/>
          <w:szCs w:val="20"/>
          <w:lang w:val="fr-CA"/>
        </w:rPr>
        <w:noBreakHyphen/>
        <w:t xml:space="preserve"> Quelle est la norme de contrôle appropriée? </w:t>
      </w:r>
      <w:r w:rsidRPr="00A85B4F">
        <w:rPr>
          <w:rFonts w:cs="Times New Roman"/>
          <w:sz w:val="20"/>
          <w:szCs w:val="20"/>
          <w:lang w:val="fr-CA"/>
        </w:rPr>
        <w:noBreakHyphen/>
        <w:t xml:space="preserve"> La Cour fédérale a</w:t>
      </w:r>
      <w:r w:rsidRPr="00A85B4F">
        <w:rPr>
          <w:rFonts w:cs="Times New Roman"/>
          <w:sz w:val="20"/>
          <w:szCs w:val="20"/>
          <w:lang w:val="fr-CA"/>
        </w:rPr>
        <w:noBreakHyphen/>
        <w:t>t</w:t>
      </w:r>
      <w:r w:rsidRPr="00A85B4F">
        <w:rPr>
          <w:rFonts w:cs="Times New Roman"/>
          <w:sz w:val="20"/>
          <w:szCs w:val="20"/>
          <w:lang w:val="fr-CA"/>
        </w:rPr>
        <w:noBreakHyphen/>
        <w:t xml:space="preserve">elle eu tort de conclure que le Tribunal avait déraisonnablement identifié le groupe PO comme étant un groupe de comparaison approprié pour la disposition d’une plainte d’iniquité salariale? </w:t>
      </w:r>
      <w:r w:rsidRPr="00A85B4F">
        <w:rPr>
          <w:rFonts w:cs="Times New Roman"/>
          <w:sz w:val="20"/>
          <w:szCs w:val="20"/>
          <w:lang w:val="fr-CA"/>
        </w:rPr>
        <w:noBreakHyphen/>
        <w:t xml:space="preserve"> La Cour d’appel fédérale a</w:t>
      </w:r>
      <w:r w:rsidRPr="00A85B4F">
        <w:rPr>
          <w:rFonts w:cs="Times New Roman"/>
          <w:sz w:val="20"/>
          <w:szCs w:val="20"/>
          <w:lang w:val="fr-CA"/>
        </w:rPr>
        <w:noBreakHyphen/>
        <w:t>t</w:t>
      </w:r>
      <w:r w:rsidRPr="00A85B4F">
        <w:rPr>
          <w:rFonts w:cs="Times New Roman"/>
          <w:sz w:val="20"/>
          <w:szCs w:val="20"/>
          <w:lang w:val="fr-CA"/>
        </w:rPr>
        <w:noBreakHyphen/>
        <w:t xml:space="preserve">elle eu tort de conclure que le Tribunal avait omis de statuer sur la question de savoir si les membres des groupes CR et CO exerçaient des fonctions équivalentes? </w:t>
      </w:r>
      <w:r w:rsidRPr="00A85B4F">
        <w:rPr>
          <w:rFonts w:cs="Times New Roman"/>
          <w:sz w:val="20"/>
          <w:szCs w:val="20"/>
          <w:lang w:val="fr-CA"/>
        </w:rPr>
        <w:noBreakHyphen/>
        <w:t xml:space="preserve"> Les juridictions inférieures ont</w:t>
      </w:r>
      <w:r w:rsidRPr="00A85B4F">
        <w:rPr>
          <w:rFonts w:cs="Times New Roman"/>
          <w:sz w:val="20"/>
          <w:szCs w:val="20"/>
          <w:lang w:val="fr-CA"/>
        </w:rPr>
        <w:noBreakHyphen/>
        <w:t xml:space="preserve">elles eu tort de conclure que le Tribunal d’avait pas appliqué la norme de preuve appropriée, qu’il avait identifiée dans sa décision? </w:t>
      </w:r>
      <w:r w:rsidRPr="00A85B4F">
        <w:rPr>
          <w:rFonts w:cs="Times New Roman"/>
          <w:sz w:val="20"/>
          <w:szCs w:val="20"/>
          <w:lang w:val="fr-CA"/>
        </w:rPr>
        <w:noBreakHyphen/>
        <w:t xml:space="preserve"> Les juridictions inférieures ont</w:t>
      </w:r>
      <w:r w:rsidRPr="00A85B4F">
        <w:rPr>
          <w:rFonts w:cs="Times New Roman"/>
          <w:sz w:val="20"/>
          <w:szCs w:val="20"/>
          <w:lang w:val="fr-CA"/>
        </w:rPr>
        <w:noBreakHyphen/>
        <w:t>elles eu tort de ne pas avoir annulé la décision du Tribunal de réduire de cinquante pour cent le montant des dommages</w:t>
      </w:r>
      <w:r w:rsidRPr="00A85B4F">
        <w:rPr>
          <w:rFonts w:cs="Times New Roman"/>
          <w:sz w:val="20"/>
          <w:szCs w:val="20"/>
          <w:lang w:val="fr-CA"/>
        </w:rPr>
        <w:noBreakHyphen/>
        <w:t xml:space="preserve">intérêts qu’il accordait? </w:t>
      </w:r>
      <w:r w:rsidRPr="00A85B4F">
        <w:rPr>
          <w:rFonts w:cs="Times New Roman"/>
          <w:sz w:val="20"/>
          <w:szCs w:val="20"/>
          <w:lang w:val="fr-CA"/>
        </w:rPr>
        <w:noBreakHyphen/>
        <w:t xml:space="preserve"> Les juridictions inférieures ont</w:t>
      </w:r>
      <w:r w:rsidRPr="00A85B4F">
        <w:rPr>
          <w:rFonts w:cs="Times New Roman"/>
          <w:sz w:val="20"/>
          <w:szCs w:val="20"/>
          <w:lang w:val="fr-CA"/>
        </w:rPr>
        <w:noBreakHyphen/>
        <w:t>elles eu tort de renvoyer la plainte au Tribunal avec comme instruction de la rejeter?</w:t>
      </w: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r w:rsidRPr="00A85B4F">
        <w:rPr>
          <w:rFonts w:cs="Times New Roman"/>
          <w:sz w:val="20"/>
          <w:szCs w:val="20"/>
          <w:lang w:val="fr-CA"/>
        </w:rPr>
        <w:t>En 1983, l’Alliance de la fonction publique du Canada a déposé contre la Société canadienne des postes une plainte dans laquelle elle alléguait que cette dernière s’était rendue coupable de discrimination salariale contre les employés d’un groupe principalement composé de femmes par rapport à la rémunération reçue par un groupe à prédominance masculine.  La Commission canadienne des droits de la personne a commencé un long processus pour déterminer le travail de valeur égale, l’a modifié en cours de route et a finalement statué qu’il y avait une différence salariale.  La Commission a renvoyé la plainte au Tribunal canadien des droits de la personne qui a conclu que les renseignements relatifs au travail qui faisait l’objet de la comparaison étaient raisonnablement fiables, « bien que situés au niveau de la sous</w:t>
      </w:r>
      <w:r w:rsidRPr="00A85B4F">
        <w:rPr>
          <w:rFonts w:cs="Times New Roman"/>
          <w:sz w:val="20"/>
          <w:szCs w:val="20"/>
          <w:lang w:val="fr-CA"/>
        </w:rPr>
        <w:noBreakHyphen/>
        <w:t xml:space="preserve">fourchette inférieure de la fiabilité raisonnable ».  Sa décision a été annulée à la suite d’un contrôle judiciaire et la plainte a été renvoyée au Tribunal avec comme instruction de rejeter la plainte au motif qu’elle n’est pas bien fondée selon la norme légale de preuve.  </w:t>
      </w: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r w:rsidRPr="00A85B4F">
        <w:rPr>
          <w:rFonts w:cs="Times New Roman"/>
          <w:sz w:val="20"/>
          <w:szCs w:val="20"/>
          <w:lang w:val="fr-CA"/>
        </w:rPr>
        <w:t>Origine :</w:t>
      </w:r>
      <w:r w:rsidRPr="00A85B4F">
        <w:rPr>
          <w:rFonts w:cs="Times New Roman"/>
          <w:sz w:val="20"/>
          <w:szCs w:val="20"/>
          <w:lang w:val="fr-CA"/>
        </w:rPr>
        <w:tab/>
      </w:r>
      <w:r w:rsidRPr="00A85B4F">
        <w:rPr>
          <w:rFonts w:cs="Times New Roman"/>
          <w:sz w:val="20"/>
          <w:szCs w:val="20"/>
          <w:lang w:val="fr-CA"/>
        </w:rPr>
        <w:tab/>
      </w:r>
      <w:r w:rsidRPr="00A85B4F">
        <w:rPr>
          <w:rFonts w:cs="Times New Roman"/>
          <w:sz w:val="20"/>
          <w:szCs w:val="20"/>
          <w:lang w:val="fr-CA"/>
        </w:rPr>
        <w:tab/>
      </w:r>
      <w:r>
        <w:rPr>
          <w:rFonts w:cs="Times New Roman"/>
          <w:sz w:val="20"/>
          <w:szCs w:val="20"/>
          <w:lang w:val="fr-CA"/>
        </w:rPr>
        <w:tab/>
      </w:r>
      <w:r w:rsidRPr="00A85B4F">
        <w:rPr>
          <w:rFonts w:cs="Times New Roman"/>
          <w:sz w:val="20"/>
          <w:szCs w:val="20"/>
          <w:lang w:val="fr-CA"/>
        </w:rPr>
        <w:tab/>
        <w:t>Cour d’appel fédérale</w:t>
      </w: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r w:rsidRPr="00A85B4F">
        <w:rPr>
          <w:rFonts w:cs="Times New Roman"/>
          <w:sz w:val="20"/>
          <w:szCs w:val="20"/>
          <w:lang w:val="fr-CA"/>
        </w:rPr>
        <w:t>N</w:t>
      </w:r>
      <w:r w:rsidRPr="00A85B4F">
        <w:rPr>
          <w:rFonts w:cs="Times New Roman"/>
          <w:sz w:val="20"/>
          <w:szCs w:val="20"/>
          <w:vertAlign w:val="superscript"/>
          <w:lang w:val="fr-CA"/>
        </w:rPr>
        <w:t>o</w:t>
      </w:r>
      <w:r w:rsidRPr="00A85B4F">
        <w:rPr>
          <w:rFonts w:cs="Times New Roman"/>
          <w:sz w:val="20"/>
          <w:szCs w:val="20"/>
          <w:lang w:val="fr-CA"/>
        </w:rPr>
        <w:t xml:space="preserve"> du greffe :</w:t>
      </w:r>
      <w:r w:rsidRPr="00A85B4F">
        <w:rPr>
          <w:rFonts w:cs="Times New Roman"/>
          <w:sz w:val="20"/>
          <w:szCs w:val="20"/>
          <w:lang w:val="fr-CA"/>
        </w:rPr>
        <w:tab/>
      </w:r>
      <w:r w:rsidRPr="00A85B4F">
        <w:rPr>
          <w:rFonts w:cs="Times New Roman"/>
          <w:sz w:val="20"/>
          <w:szCs w:val="20"/>
          <w:lang w:val="fr-CA"/>
        </w:rPr>
        <w:tab/>
      </w:r>
      <w:r>
        <w:rPr>
          <w:rFonts w:cs="Times New Roman"/>
          <w:sz w:val="20"/>
          <w:szCs w:val="20"/>
          <w:lang w:val="fr-CA"/>
        </w:rPr>
        <w:tab/>
      </w:r>
      <w:r w:rsidRPr="00A85B4F">
        <w:rPr>
          <w:rFonts w:cs="Times New Roman"/>
          <w:sz w:val="20"/>
          <w:szCs w:val="20"/>
          <w:lang w:val="fr-CA"/>
        </w:rPr>
        <w:tab/>
        <w:t>33669</w:t>
      </w: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r w:rsidRPr="00A85B4F">
        <w:rPr>
          <w:rFonts w:cs="Times New Roman"/>
          <w:sz w:val="20"/>
          <w:szCs w:val="20"/>
          <w:lang w:val="fr-CA"/>
        </w:rPr>
        <w:t>Arrêt de la Cour d’appel :</w:t>
      </w:r>
      <w:r w:rsidRPr="00A85B4F">
        <w:rPr>
          <w:rFonts w:cs="Times New Roman"/>
          <w:sz w:val="20"/>
          <w:szCs w:val="20"/>
          <w:lang w:val="fr-CA"/>
        </w:rPr>
        <w:tab/>
      </w:r>
      <w:r>
        <w:rPr>
          <w:rFonts w:cs="Times New Roman"/>
          <w:sz w:val="20"/>
          <w:szCs w:val="20"/>
          <w:lang w:val="fr-CA"/>
        </w:rPr>
        <w:tab/>
      </w:r>
      <w:r w:rsidRPr="00A85B4F">
        <w:rPr>
          <w:rFonts w:cs="Times New Roman"/>
          <w:sz w:val="20"/>
          <w:szCs w:val="20"/>
          <w:lang w:val="fr-CA"/>
        </w:rPr>
        <w:tab/>
        <w:t>le 22 février 2010</w:t>
      </w: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ind w:left="3600" w:hanging="3600"/>
        <w:jc w:val="both"/>
        <w:rPr>
          <w:rFonts w:cs="Times New Roman"/>
          <w:sz w:val="20"/>
          <w:szCs w:val="20"/>
          <w:lang w:val="fr-CA"/>
        </w:rPr>
      </w:pPr>
      <w:r w:rsidRPr="00A85B4F">
        <w:rPr>
          <w:rFonts w:cs="Times New Roman"/>
          <w:sz w:val="20"/>
          <w:szCs w:val="20"/>
          <w:lang w:val="fr-CA"/>
        </w:rPr>
        <w:t>Avocats :</w:t>
      </w:r>
      <w:r>
        <w:rPr>
          <w:rFonts w:cs="Times New Roman"/>
          <w:sz w:val="20"/>
          <w:szCs w:val="20"/>
          <w:lang w:val="fr-CA"/>
        </w:rPr>
        <w:tab/>
      </w:r>
      <w:r w:rsidRPr="00A85B4F">
        <w:rPr>
          <w:rFonts w:cs="Times New Roman"/>
          <w:sz w:val="20"/>
          <w:szCs w:val="20"/>
          <w:lang w:val="fr-CA"/>
        </w:rPr>
        <w:t>Andrew Raven, James Cameron, David Yazbeck et Andrew Astritis pour l’appelante</w:t>
      </w:r>
    </w:p>
    <w:p w:rsidR="00DC4C93" w:rsidRPr="00A85B4F" w:rsidRDefault="00DC4C93" w:rsidP="00DC4C93">
      <w:pPr>
        <w:widowControl w:val="0"/>
        <w:ind w:left="3600" w:hanging="3600"/>
        <w:jc w:val="both"/>
        <w:rPr>
          <w:rFonts w:cs="Times New Roman"/>
          <w:sz w:val="20"/>
          <w:szCs w:val="20"/>
          <w:lang w:val="fr-CA"/>
        </w:rPr>
      </w:pPr>
      <w:r w:rsidRPr="00A85B4F">
        <w:rPr>
          <w:rFonts w:cs="Times New Roman"/>
          <w:sz w:val="20"/>
          <w:szCs w:val="20"/>
          <w:lang w:val="fr-CA"/>
        </w:rPr>
        <w:tab/>
        <w:t>Peter A. Gall, c.r. et Robert Grant pour l’intimée Postes Canada</w:t>
      </w:r>
    </w:p>
    <w:p w:rsidR="00DC4C93" w:rsidRPr="00A85B4F" w:rsidRDefault="00DC4C93" w:rsidP="00DC4C93">
      <w:pPr>
        <w:widowControl w:val="0"/>
        <w:ind w:left="3600" w:hanging="3600"/>
        <w:jc w:val="both"/>
        <w:rPr>
          <w:rFonts w:cs="Times New Roman"/>
          <w:sz w:val="20"/>
          <w:szCs w:val="20"/>
          <w:lang w:val="fr-CA"/>
        </w:rPr>
      </w:pPr>
      <w:r w:rsidRPr="00A85B4F">
        <w:rPr>
          <w:rFonts w:cs="Times New Roman"/>
          <w:sz w:val="20"/>
          <w:szCs w:val="20"/>
          <w:lang w:val="fr-CA"/>
        </w:rPr>
        <w:tab/>
        <w:t>Philippe Dufresne et Daniel Poulin pour l’intimée Commission canadienne des droits de la personne</w:t>
      </w:r>
    </w:p>
    <w:p w:rsidR="00201497" w:rsidRDefault="00201497">
      <w:pPr>
        <w:rPr>
          <w:sz w:val="20"/>
          <w:szCs w:val="20"/>
          <w:lang w:val="fr-CA"/>
        </w:rPr>
      </w:pPr>
    </w:p>
    <w:p w:rsidR="00201497" w:rsidRDefault="00460701">
      <w:pPr>
        <w:rPr>
          <w:sz w:val="20"/>
          <w:szCs w:val="20"/>
          <w:lang w:val="fr-CA"/>
        </w:rPr>
      </w:pPr>
      <w:r w:rsidRPr="00460701">
        <w:rPr>
          <w:sz w:val="20"/>
          <w:szCs w:val="20"/>
          <w:lang w:val="fr-CA"/>
        </w:rPr>
        <w:pict>
          <v:rect id="_x0000_i1108" style="width:2in;height:1pt" o:hrpct="0" o:hralign="center" o:hrstd="t" o:hrnoshade="t" o:hr="t" fillcolor="black [3213]" stroked="f"/>
        </w:pict>
      </w:r>
    </w:p>
    <w:p w:rsidR="00201497" w:rsidRDefault="00201497">
      <w:pPr>
        <w:rPr>
          <w:sz w:val="20"/>
          <w:szCs w:val="20"/>
          <w:lang w:val="fr-CA"/>
        </w:rPr>
      </w:pPr>
    </w:p>
    <w:p w:rsidR="00201497" w:rsidRDefault="00201497">
      <w:pPr>
        <w:rPr>
          <w:sz w:val="20"/>
          <w:szCs w:val="20"/>
          <w:lang w:val="fr-CA"/>
        </w:rPr>
      </w:pPr>
      <w:r>
        <w:rPr>
          <w:sz w:val="20"/>
          <w:szCs w:val="20"/>
          <w:lang w:val="fr-CA"/>
        </w:rPr>
        <w:br w:type="page"/>
      </w:r>
    </w:p>
    <w:p w:rsidR="00DC4C93" w:rsidRPr="00A85B4F" w:rsidRDefault="00460701" w:rsidP="00DC4C93">
      <w:pPr>
        <w:widowControl w:val="0"/>
        <w:ind w:left="720" w:hanging="720"/>
        <w:jc w:val="both"/>
        <w:rPr>
          <w:rFonts w:cs="Times New Roman"/>
          <w:sz w:val="20"/>
          <w:szCs w:val="20"/>
        </w:rPr>
      </w:pPr>
      <w:r w:rsidRPr="00A85B4F">
        <w:rPr>
          <w:rFonts w:cs="Times New Roman"/>
          <w:b/>
          <w:sz w:val="20"/>
          <w:szCs w:val="20"/>
        </w:rPr>
        <w:lastRenderedPageBreak/>
        <w:fldChar w:fldCharType="begin"/>
      </w:r>
      <w:r w:rsidR="00DC4C93" w:rsidRPr="00A85B4F">
        <w:rPr>
          <w:rFonts w:cs="Times New Roman"/>
          <w:b/>
          <w:sz w:val="20"/>
          <w:szCs w:val="20"/>
        </w:rPr>
        <w:instrText xml:space="preserve"> SEQ CHAPTER \h \r 1</w:instrText>
      </w:r>
      <w:r w:rsidRPr="00A85B4F">
        <w:rPr>
          <w:rFonts w:cs="Times New Roman"/>
          <w:b/>
          <w:sz w:val="20"/>
          <w:szCs w:val="20"/>
        </w:rPr>
        <w:fldChar w:fldCharType="end"/>
      </w:r>
      <w:r w:rsidR="00DC4C93" w:rsidRPr="00A85B4F">
        <w:rPr>
          <w:rFonts w:cs="Times New Roman"/>
          <w:b/>
          <w:sz w:val="20"/>
          <w:szCs w:val="20"/>
        </w:rPr>
        <w:t>33670</w:t>
      </w:r>
      <w:r w:rsidR="00DC4C93" w:rsidRPr="00A85B4F">
        <w:rPr>
          <w:rFonts w:cs="Times New Roman"/>
          <w:sz w:val="20"/>
          <w:szCs w:val="20"/>
        </w:rPr>
        <w:tab/>
      </w:r>
      <w:r w:rsidR="00DC4C93" w:rsidRPr="00A85B4F">
        <w:rPr>
          <w:rFonts w:cs="Times New Roman"/>
          <w:b/>
          <w:i/>
          <w:sz w:val="20"/>
          <w:szCs w:val="20"/>
        </w:rPr>
        <w:t>Canadian Human Rights Commission v. Canada Post Corporation and Public Service Alliance of Canada</w:t>
      </w: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jc w:val="both"/>
        <w:rPr>
          <w:rFonts w:cs="Times New Roman"/>
          <w:sz w:val="20"/>
          <w:szCs w:val="20"/>
        </w:rPr>
      </w:pPr>
      <w:r w:rsidRPr="00A85B4F">
        <w:rPr>
          <w:rFonts w:cs="Times New Roman"/>
          <w:sz w:val="20"/>
          <w:szCs w:val="20"/>
        </w:rPr>
        <w:t xml:space="preserve">Judicial review </w:t>
      </w:r>
      <w:r w:rsidRPr="00A85B4F">
        <w:rPr>
          <w:rFonts w:cs="Times New Roman"/>
          <w:sz w:val="20"/>
          <w:szCs w:val="20"/>
        </w:rPr>
        <w:noBreakHyphen/>
        <w:t xml:space="preserve"> Human rights </w:t>
      </w:r>
      <w:r w:rsidRPr="00A85B4F">
        <w:rPr>
          <w:rFonts w:cs="Times New Roman"/>
          <w:sz w:val="20"/>
          <w:szCs w:val="20"/>
        </w:rPr>
        <w:noBreakHyphen/>
        <w:t xml:space="preserve"> Wage parity </w:t>
      </w:r>
      <w:r w:rsidRPr="00A85B4F">
        <w:rPr>
          <w:rFonts w:cs="Times New Roman"/>
          <w:sz w:val="20"/>
          <w:szCs w:val="20"/>
        </w:rPr>
        <w:noBreakHyphen/>
        <w:t xml:space="preserve"> Complainant and comparator groups </w:t>
      </w:r>
      <w:r w:rsidRPr="00A85B4F">
        <w:rPr>
          <w:rFonts w:cs="Times New Roman"/>
          <w:sz w:val="20"/>
          <w:szCs w:val="20"/>
        </w:rPr>
        <w:noBreakHyphen/>
        <w:t xml:space="preserve"> Tribunal finding pay inequity </w:t>
      </w:r>
      <w:r w:rsidRPr="00A85B4F">
        <w:rPr>
          <w:rFonts w:cs="Times New Roman"/>
          <w:sz w:val="20"/>
          <w:szCs w:val="20"/>
        </w:rPr>
        <w:noBreakHyphen/>
        <w:t xml:space="preserve"> Finding overturned on judicial review </w:t>
      </w:r>
      <w:r w:rsidRPr="00A85B4F">
        <w:rPr>
          <w:rFonts w:cs="Times New Roman"/>
          <w:sz w:val="20"/>
          <w:szCs w:val="20"/>
        </w:rPr>
        <w:noBreakHyphen/>
        <w:t xml:space="preserve"> Whether the Tribunal and the appellate dissent properly found that a predominantly male comparator group can include a number of relatively well</w:t>
      </w:r>
      <w:r w:rsidRPr="00A85B4F">
        <w:rPr>
          <w:rFonts w:cs="Times New Roman"/>
          <w:sz w:val="20"/>
          <w:szCs w:val="20"/>
        </w:rPr>
        <w:noBreakHyphen/>
        <w:t xml:space="preserve">paid women </w:t>
      </w:r>
      <w:r w:rsidRPr="00A85B4F">
        <w:rPr>
          <w:rFonts w:cs="Times New Roman"/>
          <w:sz w:val="20"/>
          <w:szCs w:val="20"/>
        </w:rPr>
        <w:noBreakHyphen/>
        <w:t xml:space="preserve"> Whether the appellate dissent properly found that the presumption that the Tribunal applied the correct standard of proof had not been rebutted </w:t>
      </w:r>
      <w:r w:rsidRPr="00A85B4F">
        <w:rPr>
          <w:rFonts w:cs="Times New Roman"/>
          <w:sz w:val="20"/>
          <w:szCs w:val="20"/>
        </w:rPr>
        <w:noBreakHyphen/>
        <w:t xml:space="preserve"> Whether the appellate majority failed to provide the necessary deference to the Tribunal’s findings on work of equal value.</w:t>
      </w: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jc w:val="both"/>
        <w:rPr>
          <w:rFonts w:cs="Times New Roman"/>
          <w:sz w:val="20"/>
          <w:szCs w:val="20"/>
        </w:rPr>
      </w:pPr>
      <w:r w:rsidRPr="00A85B4F">
        <w:rPr>
          <w:rFonts w:cs="Times New Roman"/>
          <w:sz w:val="20"/>
          <w:szCs w:val="20"/>
        </w:rPr>
        <w:t>The Public Service Alliance of Canada filed a complaint against Canada Post Corporation in 1983 alleging wage discrimination against employees in a predominantly female group in comparison to that received by a male</w:t>
      </w:r>
      <w:r w:rsidRPr="00A85B4F">
        <w:rPr>
          <w:rFonts w:cs="Times New Roman"/>
          <w:sz w:val="20"/>
          <w:szCs w:val="20"/>
        </w:rPr>
        <w:noBreakHyphen/>
        <w:t>dominated group.  The Canadian Human Rights Commission began a lengthy process for determining work of equal value, amended it in mid</w:t>
      </w:r>
      <w:r w:rsidRPr="00A85B4F">
        <w:rPr>
          <w:rFonts w:cs="Times New Roman"/>
          <w:sz w:val="20"/>
          <w:szCs w:val="20"/>
        </w:rPr>
        <w:noBreakHyphen/>
        <w:t>stream and finally determined that a wage difference existed.  It referred the complaint to the Canadian Human Rights Tribunal which found the work being compared to be reasonably reliable, “albeit at the lower reasonably reliable sub</w:t>
      </w:r>
      <w:r w:rsidRPr="00A85B4F">
        <w:rPr>
          <w:rFonts w:cs="Times New Roman"/>
          <w:sz w:val="20"/>
          <w:szCs w:val="20"/>
        </w:rPr>
        <w:noBreakHyphen/>
        <w:t>band level”.  Its decision was set aside on judicial review and the complaint was referred back to the Tribunal with the direction that it be dismissed as not being substantiated according to the legal standard of proof.</w:t>
      </w: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jc w:val="both"/>
        <w:rPr>
          <w:rFonts w:cs="Times New Roman"/>
          <w:sz w:val="20"/>
          <w:szCs w:val="20"/>
        </w:rPr>
      </w:pPr>
      <w:r w:rsidRPr="00A85B4F">
        <w:rPr>
          <w:rFonts w:cs="Times New Roman"/>
          <w:sz w:val="20"/>
          <w:szCs w:val="20"/>
        </w:rPr>
        <w:t>Origin of the case:</w:t>
      </w:r>
      <w:r w:rsidRPr="00A85B4F">
        <w:rPr>
          <w:rFonts w:cs="Times New Roman"/>
          <w:sz w:val="20"/>
          <w:szCs w:val="20"/>
        </w:rPr>
        <w:tab/>
      </w:r>
      <w:r>
        <w:rPr>
          <w:rFonts w:cs="Times New Roman"/>
          <w:sz w:val="20"/>
          <w:szCs w:val="20"/>
        </w:rPr>
        <w:tab/>
      </w:r>
      <w:r w:rsidRPr="00A85B4F">
        <w:rPr>
          <w:rFonts w:cs="Times New Roman"/>
          <w:sz w:val="20"/>
          <w:szCs w:val="20"/>
        </w:rPr>
        <w:tab/>
        <w:t>Federal Court of Appeal</w:t>
      </w: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jc w:val="both"/>
        <w:rPr>
          <w:rFonts w:cs="Times New Roman"/>
          <w:sz w:val="20"/>
          <w:szCs w:val="20"/>
        </w:rPr>
      </w:pPr>
      <w:r w:rsidRPr="00A85B4F">
        <w:rPr>
          <w:rFonts w:cs="Times New Roman"/>
          <w:sz w:val="20"/>
          <w:szCs w:val="20"/>
        </w:rPr>
        <w:t>File No.:</w:t>
      </w:r>
      <w:r w:rsidRPr="00A85B4F">
        <w:rPr>
          <w:rFonts w:cs="Times New Roman"/>
          <w:sz w:val="20"/>
          <w:szCs w:val="20"/>
        </w:rPr>
        <w:tab/>
      </w:r>
      <w:r w:rsidRPr="00A85B4F">
        <w:rPr>
          <w:rFonts w:cs="Times New Roman"/>
          <w:sz w:val="20"/>
          <w:szCs w:val="20"/>
        </w:rPr>
        <w:tab/>
      </w:r>
      <w:r w:rsidRPr="00A85B4F">
        <w:rPr>
          <w:rFonts w:cs="Times New Roman"/>
          <w:sz w:val="20"/>
          <w:szCs w:val="20"/>
        </w:rPr>
        <w:tab/>
      </w:r>
      <w:r w:rsidRPr="00A85B4F">
        <w:rPr>
          <w:rFonts w:cs="Times New Roman"/>
          <w:sz w:val="20"/>
          <w:szCs w:val="20"/>
        </w:rPr>
        <w:tab/>
      </w:r>
      <w:r>
        <w:rPr>
          <w:rFonts w:cs="Times New Roman"/>
          <w:sz w:val="20"/>
          <w:szCs w:val="20"/>
        </w:rPr>
        <w:tab/>
      </w:r>
      <w:r w:rsidRPr="00A85B4F">
        <w:rPr>
          <w:rFonts w:cs="Times New Roman"/>
          <w:sz w:val="20"/>
          <w:szCs w:val="20"/>
        </w:rPr>
        <w:t>33670</w:t>
      </w: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jc w:val="both"/>
        <w:rPr>
          <w:rFonts w:cs="Times New Roman"/>
          <w:sz w:val="20"/>
          <w:szCs w:val="20"/>
        </w:rPr>
      </w:pPr>
      <w:r w:rsidRPr="00A85B4F">
        <w:rPr>
          <w:rFonts w:cs="Times New Roman"/>
          <w:sz w:val="20"/>
          <w:szCs w:val="20"/>
        </w:rPr>
        <w:t>Judgment of the Court of Appeal:</w:t>
      </w:r>
      <w:r>
        <w:rPr>
          <w:rFonts w:cs="Times New Roman"/>
          <w:sz w:val="20"/>
          <w:szCs w:val="20"/>
        </w:rPr>
        <w:tab/>
      </w:r>
      <w:r w:rsidRPr="00A85B4F">
        <w:rPr>
          <w:rFonts w:cs="Times New Roman"/>
          <w:sz w:val="20"/>
          <w:szCs w:val="20"/>
        </w:rPr>
        <w:tab/>
        <w:t>February 22. 2010</w:t>
      </w: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ind w:left="3600" w:hanging="3600"/>
        <w:jc w:val="both"/>
        <w:rPr>
          <w:rFonts w:cs="Times New Roman"/>
          <w:sz w:val="20"/>
          <w:szCs w:val="20"/>
        </w:rPr>
      </w:pPr>
      <w:r w:rsidRPr="00A85B4F">
        <w:rPr>
          <w:rFonts w:cs="Times New Roman"/>
          <w:sz w:val="20"/>
          <w:szCs w:val="20"/>
        </w:rPr>
        <w:t>Counsel:</w:t>
      </w:r>
      <w:r w:rsidRPr="00A85B4F">
        <w:rPr>
          <w:rFonts w:cs="Times New Roman"/>
          <w:sz w:val="20"/>
          <w:szCs w:val="20"/>
        </w:rPr>
        <w:tab/>
        <w:t>Philippe Dufresne, Daniel Poulin and Fiona Keith for the appellant</w:t>
      </w:r>
    </w:p>
    <w:p w:rsidR="00DC4C93" w:rsidRPr="00A85B4F" w:rsidRDefault="00DC4C93" w:rsidP="00DC4C93">
      <w:pPr>
        <w:widowControl w:val="0"/>
        <w:ind w:left="3600" w:hanging="3600"/>
        <w:jc w:val="both"/>
        <w:rPr>
          <w:rFonts w:cs="Times New Roman"/>
          <w:sz w:val="20"/>
          <w:szCs w:val="20"/>
        </w:rPr>
      </w:pPr>
      <w:r w:rsidRPr="00A85B4F">
        <w:rPr>
          <w:rFonts w:cs="Times New Roman"/>
          <w:sz w:val="20"/>
          <w:szCs w:val="20"/>
        </w:rPr>
        <w:tab/>
        <w:t>Peter A. Gall, Q.C. and Robert Grant for the respondent Canada Post</w:t>
      </w:r>
    </w:p>
    <w:p w:rsidR="00DC4C93" w:rsidRPr="00A85B4F" w:rsidRDefault="00DC4C93" w:rsidP="00DC4C93">
      <w:pPr>
        <w:widowControl w:val="0"/>
        <w:ind w:left="3600" w:hanging="3600"/>
        <w:jc w:val="both"/>
        <w:rPr>
          <w:rFonts w:cs="Times New Roman"/>
          <w:sz w:val="20"/>
          <w:szCs w:val="20"/>
        </w:rPr>
      </w:pPr>
      <w:r w:rsidRPr="00A85B4F">
        <w:rPr>
          <w:rFonts w:cs="Times New Roman"/>
          <w:sz w:val="20"/>
          <w:szCs w:val="20"/>
        </w:rPr>
        <w:tab/>
        <w:t>Andrew Raven, David Yazbeck, James Cameron and Andrew Astritis for the respondent Public Service Alliance of Canada</w:t>
      </w:r>
    </w:p>
    <w:p w:rsidR="00201497" w:rsidRPr="00DC4C93" w:rsidRDefault="00201497">
      <w:pPr>
        <w:rPr>
          <w:sz w:val="20"/>
          <w:szCs w:val="20"/>
        </w:rPr>
      </w:pPr>
    </w:p>
    <w:p w:rsidR="00201497" w:rsidRDefault="00460701">
      <w:pPr>
        <w:rPr>
          <w:sz w:val="20"/>
          <w:szCs w:val="20"/>
          <w:lang w:val="fr-CA"/>
        </w:rPr>
      </w:pPr>
      <w:r w:rsidRPr="00460701">
        <w:rPr>
          <w:sz w:val="20"/>
          <w:szCs w:val="20"/>
          <w:lang w:val="fr-CA"/>
        </w:rPr>
        <w:pict>
          <v:rect id="_x0000_i1109" style="width:2in;height:1pt" o:hrpct="0" o:hralign="center" o:hrstd="t" o:hrnoshade="t" o:hr="t" fillcolor="black [3213]" stroked="f"/>
        </w:pict>
      </w:r>
    </w:p>
    <w:p w:rsidR="00201497" w:rsidRDefault="00201497">
      <w:pPr>
        <w:rPr>
          <w:sz w:val="20"/>
          <w:szCs w:val="20"/>
          <w:lang w:val="fr-CA"/>
        </w:rPr>
      </w:pPr>
    </w:p>
    <w:p w:rsidR="00201497" w:rsidRDefault="00201497">
      <w:pPr>
        <w:rPr>
          <w:sz w:val="20"/>
          <w:szCs w:val="20"/>
          <w:lang w:val="fr-CA"/>
        </w:rPr>
      </w:pPr>
      <w:r>
        <w:rPr>
          <w:sz w:val="20"/>
          <w:szCs w:val="20"/>
          <w:lang w:val="fr-CA"/>
        </w:rPr>
        <w:br w:type="page"/>
      </w:r>
    </w:p>
    <w:p w:rsidR="00DC4C93" w:rsidRPr="00A85B4F" w:rsidRDefault="00460701" w:rsidP="00DC4C93">
      <w:pPr>
        <w:widowControl w:val="0"/>
        <w:ind w:left="720" w:hanging="720"/>
        <w:jc w:val="both"/>
        <w:rPr>
          <w:rFonts w:cs="Times New Roman"/>
          <w:b/>
          <w:bCs/>
          <w:i/>
          <w:sz w:val="20"/>
          <w:szCs w:val="20"/>
          <w:lang w:val="fr-CA"/>
        </w:rPr>
      </w:pPr>
      <w:r w:rsidRPr="00A85B4F">
        <w:rPr>
          <w:rFonts w:cs="Times New Roman"/>
          <w:b/>
          <w:sz w:val="20"/>
          <w:szCs w:val="20"/>
          <w:lang w:val="fr-CA"/>
        </w:rPr>
        <w:lastRenderedPageBreak/>
        <w:fldChar w:fldCharType="begin"/>
      </w:r>
      <w:r w:rsidR="00DC4C93" w:rsidRPr="00A85B4F">
        <w:rPr>
          <w:rFonts w:cs="Times New Roman"/>
          <w:b/>
          <w:sz w:val="20"/>
          <w:szCs w:val="20"/>
          <w:lang w:val="fr-CA"/>
        </w:rPr>
        <w:instrText xml:space="preserve"> SEQ CHAPTER \h \r 1</w:instrText>
      </w:r>
      <w:r w:rsidRPr="00A85B4F">
        <w:rPr>
          <w:rFonts w:cs="Times New Roman"/>
          <w:b/>
          <w:sz w:val="20"/>
          <w:szCs w:val="20"/>
          <w:lang w:val="fr-CA"/>
        </w:rPr>
        <w:fldChar w:fldCharType="end"/>
      </w:r>
      <w:r w:rsidR="00DC4C93" w:rsidRPr="00A85B4F">
        <w:rPr>
          <w:rFonts w:cs="Times New Roman"/>
          <w:b/>
          <w:sz w:val="20"/>
          <w:szCs w:val="20"/>
          <w:lang w:val="fr-CA"/>
        </w:rPr>
        <w:t>33670</w:t>
      </w:r>
      <w:r w:rsidR="00DC4C93" w:rsidRPr="00A85B4F">
        <w:rPr>
          <w:rFonts w:cs="Times New Roman"/>
          <w:sz w:val="20"/>
          <w:szCs w:val="20"/>
          <w:lang w:val="fr-CA"/>
        </w:rPr>
        <w:tab/>
      </w:r>
      <w:r w:rsidR="00DC4C93" w:rsidRPr="00A85B4F">
        <w:rPr>
          <w:rFonts w:cs="Times New Roman"/>
          <w:b/>
          <w:bCs/>
          <w:i/>
          <w:sz w:val="20"/>
          <w:szCs w:val="20"/>
          <w:lang w:val="fr-CA"/>
        </w:rPr>
        <w:t xml:space="preserve">Commission canadienne des droits de la personne c. Société canadienne des postes, Alliance de la fonction publique du Canada </w:t>
      </w:r>
    </w:p>
    <w:p w:rsidR="00DC4C93" w:rsidRPr="00A85B4F" w:rsidRDefault="00DC4C93" w:rsidP="00DC4C93">
      <w:pPr>
        <w:widowControl w:val="0"/>
        <w:ind w:left="720" w:hanging="72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r w:rsidRPr="00A85B4F">
        <w:rPr>
          <w:rFonts w:cs="Times New Roman"/>
          <w:sz w:val="20"/>
          <w:szCs w:val="20"/>
          <w:lang w:val="fr-CA"/>
        </w:rPr>
        <w:t xml:space="preserve">Contrôle judiciaire </w:t>
      </w:r>
      <w:r w:rsidRPr="00A85B4F">
        <w:rPr>
          <w:rFonts w:cs="Times New Roman"/>
          <w:sz w:val="20"/>
          <w:szCs w:val="20"/>
          <w:lang w:val="fr-CA"/>
        </w:rPr>
        <w:noBreakHyphen/>
        <w:t xml:space="preserve"> Droits de la personne </w:t>
      </w:r>
      <w:r w:rsidRPr="00A85B4F">
        <w:rPr>
          <w:rFonts w:cs="Times New Roman"/>
          <w:sz w:val="20"/>
          <w:szCs w:val="20"/>
          <w:lang w:val="fr-CA"/>
        </w:rPr>
        <w:noBreakHyphen/>
        <w:t xml:space="preserve"> Équité salariale </w:t>
      </w:r>
      <w:r w:rsidRPr="00A85B4F">
        <w:rPr>
          <w:rFonts w:cs="Times New Roman"/>
          <w:sz w:val="20"/>
          <w:szCs w:val="20"/>
          <w:lang w:val="fr-CA"/>
        </w:rPr>
        <w:noBreakHyphen/>
        <w:t xml:space="preserve"> Plaignante et groupes de comparaison </w:t>
      </w:r>
      <w:r w:rsidRPr="00A85B4F">
        <w:rPr>
          <w:rFonts w:cs="Times New Roman"/>
          <w:sz w:val="20"/>
          <w:szCs w:val="20"/>
          <w:lang w:val="fr-CA"/>
        </w:rPr>
        <w:noBreakHyphen/>
        <w:t xml:space="preserve"> Le tribunal administratif a conclu à l’iniquité salariale </w:t>
      </w:r>
      <w:r w:rsidRPr="00A85B4F">
        <w:rPr>
          <w:rFonts w:cs="Times New Roman"/>
          <w:sz w:val="20"/>
          <w:szCs w:val="20"/>
          <w:lang w:val="fr-CA"/>
        </w:rPr>
        <w:noBreakHyphen/>
        <w:t xml:space="preserve"> Conclusion infirmée à la suite d’un contrôle judiciaire </w:t>
      </w:r>
      <w:r w:rsidRPr="00A85B4F">
        <w:rPr>
          <w:rFonts w:cs="Times New Roman"/>
          <w:sz w:val="20"/>
          <w:szCs w:val="20"/>
          <w:lang w:val="fr-CA"/>
        </w:rPr>
        <w:noBreakHyphen/>
        <w:t xml:space="preserve"> Le Tribunal et le juge dissident en appel ont</w:t>
      </w:r>
      <w:r w:rsidRPr="00A85B4F">
        <w:rPr>
          <w:rFonts w:cs="Times New Roman"/>
          <w:sz w:val="20"/>
          <w:szCs w:val="20"/>
          <w:lang w:val="fr-CA"/>
        </w:rPr>
        <w:noBreakHyphen/>
        <w:t xml:space="preserve">ils conclu à juste titre qu’un groupe de comparaison à prédominance masculine peut inclure un certain nombre de femmes relativement bien rémunérées? </w:t>
      </w:r>
      <w:r w:rsidRPr="00A85B4F">
        <w:rPr>
          <w:rFonts w:cs="Times New Roman"/>
          <w:sz w:val="20"/>
          <w:szCs w:val="20"/>
          <w:lang w:val="fr-CA"/>
        </w:rPr>
        <w:noBreakHyphen/>
        <w:t xml:space="preserve"> Le juge dissident en appel a</w:t>
      </w:r>
      <w:r w:rsidRPr="00A85B4F">
        <w:rPr>
          <w:rFonts w:cs="Times New Roman"/>
          <w:sz w:val="20"/>
          <w:szCs w:val="20"/>
          <w:lang w:val="fr-CA"/>
        </w:rPr>
        <w:noBreakHyphen/>
        <w:t>t</w:t>
      </w:r>
      <w:r w:rsidRPr="00A85B4F">
        <w:rPr>
          <w:rFonts w:cs="Times New Roman"/>
          <w:sz w:val="20"/>
          <w:szCs w:val="20"/>
          <w:lang w:val="fr-CA"/>
        </w:rPr>
        <w:noBreakHyphen/>
        <w:t xml:space="preserve">il conclu à juste titre que la présomption selon laquelle le Tribunal avait appliqué la bonne norme de preuve n’avait pas été réfutée? </w:t>
      </w:r>
      <w:r w:rsidRPr="00A85B4F">
        <w:rPr>
          <w:rFonts w:cs="Times New Roman"/>
          <w:sz w:val="20"/>
          <w:szCs w:val="20"/>
          <w:lang w:val="fr-CA"/>
        </w:rPr>
        <w:noBreakHyphen/>
        <w:t xml:space="preserve"> Le tribunal administratif a</w:t>
      </w:r>
      <w:r w:rsidRPr="00A85B4F">
        <w:rPr>
          <w:rFonts w:cs="Times New Roman"/>
          <w:sz w:val="20"/>
          <w:szCs w:val="20"/>
          <w:lang w:val="fr-CA"/>
        </w:rPr>
        <w:noBreakHyphen/>
        <w:t>t</w:t>
      </w:r>
      <w:r w:rsidRPr="00A85B4F">
        <w:rPr>
          <w:rFonts w:cs="Times New Roman"/>
          <w:sz w:val="20"/>
          <w:szCs w:val="20"/>
          <w:lang w:val="fr-CA"/>
        </w:rPr>
        <w:noBreakHyphen/>
        <w:t xml:space="preserve">il appliqué la bonne norme de preuve en concluant que le travail était de valeur égale? </w:t>
      </w:r>
      <w:r w:rsidRPr="00A85B4F">
        <w:rPr>
          <w:rFonts w:cs="Times New Roman"/>
          <w:sz w:val="20"/>
          <w:szCs w:val="20"/>
          <w:lang w:val="fr-CA"/>
        </w:rPr>
        <w:noBreakHyphen/>
        <w:t xml:space="preserve"> Les juges majoritaires en appel ont</w:t>
      </w:r>
      <w:r w:rsidRPr="00A85B4F">
        <w:rPr>
          <w:rFonts w:cs="Times New Roman"/>
          <w:sz w:val="20"/>
          <w:szCs w:val="20"/>
          <w:lang w:val="fr-CA"/>
        </w:rPr>
        <w:noBreakHyphen/>
        <w:t>ils omis d’avoir fait preuve de la retenue nécessaire à l’égard des conclusions du Tribunal relativement aux fonctions équivalentes?</w:t>
      </w: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r w:rsidRPr="00A85B4F">
        <w:rPr>
          <w:rFonts w:cs="Times New Roman"/>
          <w:sz w:val="20"/>
          <w:szCs w:val="20"/>
          <w:lang w:val="fr-CA"/>
        </w:rPr>
        <w:t>En 1983, l’Alliance de la fonction publique du Canada a déposé contre la Société canadienne des postes une plainte dans laquelle elle alléguait que cette dernière s’était rendue coupable de discrimination salariale contre les employés d’un groupe principalement composé de femmes par rapport à la rémunération reçue par un groupe à prédominance masculine.  La Commission canadienne des droits de la personne a commencé un long processus pour déterminer le travail de valeur égale, l’a modifié en cours de route et a finalement statué qu’il y avait une différence salariale.  La Commission a renvoyé la plainte au Tribunal canadien des droits de la personne qui a conclu que les renseignements relatifs au travail qui faisait l’objet de la comparaison étaient raisonnablement fiables, « bien que situés au niveau de la sous</w:t>
      </w:r>
      <w:r w:rsidRPr="00A85B4F">
        <w:rPr>
          <w:rFonts w:cs="Times New Roman"/>
          <w:sz w:val="20"/>
          <w:szCs w:val="20"/>
          <w:lang w:val="fr-CA"/>
        </w:rPr>
        <w:noBreakHyphen/>
        <w:t>fourchette inférieure de la fiabilité raisonnable ».  Sa décision a été annulée à la suite d’un contrôle judiciaire et la plainte a été renvoyée au Tribunal avec comme instruction de rejeter la plainte au motif qu’elle n’est pas bien fondée selon la norme légale de preuve.</w:t>
      </w: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r w:rsidRPr="00A85B4F">
        <w:rPr>
          <w:rFonts w:cs="Times New Roman"/>
          <w:sz w:val="20"/>
          <w:szCs w:val="20"/>
          <w:lang w:val="fr-CA"/>
        </w:rPr>
        <w:t>Origine :</w:t>
      </w:r>
      <w:r w:rsidRPr="00A85B4F">
        <w:rPr>
          <w:rFonts w:cs="Times New Roman"/>
          <w:sz w:val="20"/>
          <w:szCs w:val="20"/>
          <w:lang w:val="fr-CA"/>
        </w:rPr>
        <w:tab/>
      </w:r>
      <w:r w:rsidRPr="00A85B4F">
        <w:rPr>
          <w:rFonts w:cs="Times New Roman"/>
          <w:sz w:val="20"/>
          <w:szCs w:val="20"/>
          <w:lang w:val="fr-CA"/>
        </w:rPr>
        <w:tab/>
      </w:r>
      <w:r>
        <w:rPr>
          <w:rFonts w:cs="Times New Roman"/>
          <w:sz w:val="20"/>
          <w:szCs w:val="20"/>
          <w:lang w:val="fr-CA"/>
        </w:rPr>
        <w:tab/>
      </w:r>
      <w:r w:rsidRPr="00A85B4F">
        <w:rPr>
          <w:rFonts w:cs="Times New Roman"/>
          <w:sz w:val="20"/>
          <w:szCs w:val="20"/>
          <w:lang w:val="fr-CA"/>
        </w:rPr>
        <w:tab/>
      </w:r>
      <w:r w:rsidRPr="00A85B4F">
        <w:rPr>
          <w:rFonts w:cs="Times New Roman"/>
          <w:sz w:val="20"/>
          <w:szCs w:val="20"/>
          <w:lang w:val="fr-CA"/>
        </w:rPr>
        <w:tab/>
        <w:t>Cour d’appel fédérale</w:t>
      </w: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r w:rsidRPr="00A85B4F">
        <w:rPr>
          <w:rFonts w:cs="Times New Roman"/>
          <w:sz w:val="20"/>
          <w:szCs w:val="20"/>
          <w:lang w:val="fr-CA"/>
        </w:rPr>
        <w:t>No du greffe :</w:t>
      </w:r>
      <w:r w:rsidRPr="00A85B4F">
        <w:rPr>
          <w:rFonts w:cs="Times New Roman"/>
          <w:sz w:val="20"/>
          <w:szCs w:val="20"/>
          <w:lang w:val="fr-CA"/>
        </w:rPr>
        <w:tab/>
      </w:r>
      <w:r w:rsidRPr="00A85B4F">
        <w:rPr>
          <w:rFonts w:cs="Times New Roman"/>
          <w:sz w:val="20"/>
          <w:szCs w:val="20"/>
          <w:lang w:val="fr-CA"/>
        </w:rPr>
        <w:tab/>
      </w:r>
      <w:r>
        <w:rPr>
          <w:rFonts w:cs="Times New Roman"/>
          <w:sz w:val="20"/>
          <w:szCs w:val="20"/>
          <w:lang w:val="fr-CA"/>
        </w:rPr>
        <w:tab/>
      </w:r>
      <w:r w:rsidRPr="00A85B4F">
        <w:rPr>
          <w:rFonts w:cs="Times New Roman"/>
          <w:sz w:val="20"/>
          <w:szCs w:val="20"/>
          <w:lang w:val="fr-CA"/>
        </w:rPr>
        <w:tab/>
        <w:t>33670</w:t>
      </w: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r w:rsidRPr="00A85B4F">
        <w:rPr>
          <w:rFonts w:cs="Times New Roman"/>
          <w:sz w:val="20"/>
          <w:szCs w:val="20"/>
          <w:lang w:val="fr-CA"/>
        </w:rPr>
        <w:t>Arrêt de la Cour d’appel :</w:t>
      </w:r>
      <w:r w:rsidRPr="00A85B4F">
        <w:rPr>
          <w:rFonts w:cs="Times New Roman"/>
          <w:sz w:val="20"/>
          <w:szCs w:val="20"/>
          <w:lang w:val="fr-CA"/>
        </w:rPr>
        <w:tab/>
      </w:r>
      <w:r>
        <w:rPr>
          <w:rFonts w:cs="Times New Roman"/>
          <w:sz w:val="20"/>
          <w:szCs w:val="20"/>
          <w:lang w:val="fr-CA"/>
        </w:rPr>
        <w:tab/>
      </w:r>
      <w:r w:rsidRPr="00A85B4F">
        <w:rPr>
          <w:rFonts w:cs="Times New Roman"/>
          <w:sz w:val="20"/>
          <w:szCs w:val="20"/>
          <w:lang w:val="fr-CA"/>
        </w:rPr>
        <w:tab/>
        <w:t>le 22 février 2010</w:t>
      </w:r>
    </w:p>
    <w:p w:rsidR="00DC4C93" w:rsidRPr="00A85B4F" w:rsidRDefault="00DC4C93" w:rsidP="00DC4C93">
      <w:pPr>
        <w:widowControl w:val="0"/>
        <w:jc w:val="both"/>
        <w:rPr>
          <w:rFonts w:cs="Times New Roman"/>
          <w:sz w:val="20"/>
          <w:szCs w:val="20"/>
          <w:lang w:val="fr-CA"/>
        </w:rPr>
      </w:pPr>
    </w:p>
    <w:p w:rsidR="00DC4C93" w:rsidRPr="00DC4C93" w:rsidRDefault="00DC4C93" w:rsidP="00DC4C93">
      <w:pPr>
        <w:widowControl w:val="0"/>
        <w:ind w:left="3600" w:hanging="3600"/>
        <w:jc w:val="both"/>
        <w:rPr>
          <w:rFonts w:cs="Times New Roman"/>
          <w:sz w:val="20"/>
          <w:szCs w:val="20"/>
          <w:lang w:val="fr-CA"/>
        </w:rPr>
      </w:pPr>
      <w:r w:rsidRPr="00A85B4F">
        <w:rPr>
          <w:rFonts w:cs="Times New Roman"/>
          <w:sz w:val="20"/>
          <w:szCs w:val="20"/>
          <w:lang w:val="fr-CA"/>
        </w:rPr>
        <w:t>Avocats :</w:t>
      </w:r>
      <w:r w:rsidRPr="00A85B4F">
        <w:rPr>
          <w:rFonts w:cs="Times New Roman"/>
          <w:sz w:val="20"/>
          <w:szCs w:val="20"/>
          <w:lang w:val="fr-CA"/>
        </w:rPr>
        <w:tab/>
      </w:r>
      <w:r w:rsidRPr="00DC4C93">
        <w:rPr>
          <w:rFonts w:cs="Times New Roman"/>
          <w:sz w:val="20"/>
          <w:szCs w:val="20"/>
          <w:lang w:val="fr-CA"/>
        </w:rPr>
        <w:t>Philippe Dufresne, Daniel Poulin et Fiona Keith pour l’appelante</w:t>
      </w:r>
    </w:p>
    <w:p w:rsidR="00DC4C93" w:rsidRPr="00A85B4F" w:rsidRDefault="00DC4C93" w:rsidP="00DC4C93">
      <w:pPr>
        <w:widowControl w:val="0"/>
        <w:ind w:left="3600" w:hanging="3600"/>
        <w:jc w:val="both"/>
        <w:rPr>
          <w:rFonts w:cs="Times New Roman"/>
          <w:sz w:val="20"/>
          <w:szCs w:val="20"/>
          <w:lang w:val="fr-CA"/>
        </w:rPr>
      </w:pPr>
      <w:r w:rsidRPr="00DC4C93">
        <w:rPr>
          <w:rFonts w:cs="Times New Roman"/>
          <w:sz w:val="20"/>
          <w:szCs w:val="20"/>
          <w:lang w:val="fr-CA"/>
        </w:rPr>
        <w:tab/>
      </w:r>
      <w:r w:rsidRPr="00A85B4F">
        <w:rPr>
          <w:rFonts w:cs="Times New Roman"/>
          <w:sz w:val="20"/>
          <w:szCs w:val="20"/>
          <w:lang w:val="fr-CA"/>
        </w:rPr>
        <w:t>Peter A. Gall, c.r. et Robert Grant pour l’intimée Postes Canada</w:t>
      </w:r>
    </w:p>
    <w:p w:rsidR="00DC4C93" w:rsidRPr="00A85B4F" w:rsidRDefault="00DC4C93" w:rsidP="00DC4C93">
      <w:pPr>
        <w:widowControl w:val="0"/>
        <w:ind w:left="3600" w:hanging="2880"/>
        <w:jc w:val="both"/>
        <w:rPr>
          <w:rFonts w:cs="Times New Roman"/>
          <w:sz w:val="20"/>
          <w:szCs w:val="20"/>
          <w:lang w:val="fr-CA"/>
        </w:rPr>
      </w:pPr>
      <w:r w:rsidRPr="00DC4C93">
        <w:rPr>
          <w:rFonts w:cs="Times New Roman"/>
          <w:sz w:val="20"/>
          <w:szCs w:val="20"/>
          <w:lang w:val="fr-CA"/>
        </w:rPr>
        <w:tab/>
      </w:r>
      <w:r w:rsidRPr="00A85B4F">
        <w:rPr>
          <w:rFonts w:cs="Times New Roman"/>
          <w:sz w:val="20"/>
          <w:szCs w:val="20"/>
          <w:lang w:val="fr-CA"/>
        </w:rPr>
        <w:t>Andrew Raven, David Yazbeck, James Cameron et Andrew Astritis pour l’intimée Alliance de la fonction publique du Canada</w:t>
      </w:r>
    </w:p>
    <w:p w:rsidR="00201497" w:rsidRDefault="00201497">
      <w:pPr>
        <w:rPr>
          <w:sz w:val="20"/>
          <w:szCs w:val="20"/>
          <w:lang w:val="fr-CA"/>
        </w:rPr>
      </w:pPr>
    </w:p>
    <w:p w:rsidR="00201497" w:rsidRDefault="00460701">
      <w:pPr>
        <w:rPr>
          <w:sz w:val="20"/>
          <w:szCs w:val="20"/>
          <w:lang w:val="fr-CA"/>
        </w:rPr>
      </w:pPr>
      <w:r w:rsidRPr="00460701">
        <w:rPr>
          <w:sz w:val="20"/>
          <w:szCs w:val="20"/>
          <w:lang w:val="fr-CA"/>
        </w:rPr>
        <w:pict>
          <v:rect id="_x0000_i1110" style="width:2in;height:1pt" o:hrpct="0" o:hralign="center" o:hrstd="t" o:hrnoshade="t" o:hr="t" fillcolor="black [3213]" stroked="f"/>
        </w:pict>
      </w:r>
    </w:p>
    <w:p w:rsidR="00201497" w:rsidRDefault="00201497">
      <w:pPr>
        <w:rPr>
          <w:sz w:val="20"/>
          <w:szCs w:val="20"/>
          <w:lang w:val="fr-CA"/>
        </w:rPr>
      </w:pPr>
    </w:p>
    <w:p w:rsidR="00201497" w:rsidRDefault="00201497">
      <w:pPr>
        <w:rPr>
          <w:sz w:val="20"/>
          <w:szCs w:val="20"/>
          <w:lang w:val="fr-CA"/>
        </w:rPr>
      </w:pPr>
      <w:r>
        <w:rPr>
          <w:sz w:val="20"/>
          <w:szCs w:val="20"/>
          <w:lang w:val="fr-CA"/>
        </w:rPr>
        <w:br w:type="page"/>
      </w:r>
    </w:p>
    <w:p w:rsidR="00DC4C93" w:rsidRPr="00A85B4F" w:rsidRDefault="00460701" w:rsidP="00DC4C93">
      <w:pPr>
        <w:widowControl w:val="0"/>
        <w:ind w:left="720" w:hanging="720"/>
        <w:jc w:val="both"/>
        <w:rPr>
          <w:rFonts w:cs="Times New Roman"/>
          <w:sz w:val="20"/>
          <w:szCs w:val="20"/>
        </w:rPr>
      </w:pPr>
      <w:r w:rsidRPr="00A85B4F">
        <w:rPr>
          <w:rFonts w:cs="Times New Roman"/>
          <w:b/>
          <w:sz w:val="20"/>
          <w:szCs w:val="20"/>
        </w:rPr>
        <w:lastRenderedPageBreak/>
        <w:fldChar w:fldCharType="begin"/>
      </w:r>
      <w:r w:rsidR="00DC4C93" w:rsidRPr="00A85B4F">
        <w:rPr>
          <w:rFonts w:cs="Times New Roman"/>
          <w:b/>
          <w:sz w:val="20"/>
          <w:szCs w:val="20"/>
        </w:rPr>
        <w:instrText xml:space="preserve"> SEQ CHAPTER \h \r 1</w:instrText>
      </w:r>
      <w:r w:rsidRPr="00A85B4F">
        <w:rPr>
          <w:rFonts w:cs="Times New Roman"/>
          <w:b/>
          <w:sz w:val="20"/>
          <w:szCs w:val="20"/>
        </w:rPr>
        <w:fldChar w:fldCharType="end"/>
      </w:r>
      <w:r w:rsidR="00DC4C93" w:rsidRPr="00A85B4F">
        <w:rPr>
          <w:rFonts w:cs="Times New Roman"/>
          <w:b/>
          <w:sz w:val="20"/>
          <w:szCs w:val="20"/>
        </w:rPr>
        <w:t>33751</w:t>
      </w:r>
      <w:r w:rsidR="00DC4C93" w:rsidRPr="00A85B4F">
        <w:rPr>
          <w:rFonts w:cs="Times New Roman"/>
          <w:sz w:val="20"/>
          <w:szCs w:val="20"/>
        </w:rPr>
        <w:tab/>
      </w:r>
      <w:r w:rsidR="00DC4C93" w:rsidRPr="00A85B4F">
        <w:rPr>
          <w:rFonts w:cs="Times New Roman"/>
          <w:b/>
          <w:i/>
          <w:sz w:val="20"/>
          <w:szCs w:val="20"/>
        </w:rPr>
        <w:t>Her Majesty the Queen v. Yat Fung Albert Tse, Nhan Trong Ly, Viet Bac Nguyen, Huong Dac Doan, Daniel Luis Soux and Myles Alexander Vandrick</w:t>
      </w: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jc w:val="both"/>
        <w:rPr>
          <w:rFonts w:cs="Times New Roman"/>
          <w:sz w:val="20"/>
          <w:szCs w:val="20"/>
        </w:rPr>
      </w:pPr>
      <w:r w:rsidRPr="00A85B4F">
        <w:rPr>
          <w:rFonts w:cs="Times New Roman"/>
          <w:i/>
          <w:iCs/>
          <w:sz w:val="20"/>
          <w:szCs w:val="20"/>
        </w:rPr>
        <w:t xml:space="preserve">Charter of Rights </w:t>
      </w:r>
      <w:r w:rsidRPr="00A85B4F">
        <w:rPr>
          <w:rFonts w:cs="Times New Roman"/>
          <w:sz w:val="20"/>
          <w:szCs w:val="20"/>
        </w:rPr>
        <w:noBreakHyphen/>
        <w:t xml:space="preserve"> Search and seizure </w:t>
      </w:r>
      <w:r w:rsidRPr="00A85B4F">
        <w:rPr>
          <w:rFonts w:cs="Times New Roman"/>
          <w:sz w:val="20"/>
          <w:szCs w:val="20"/>
        </w:rPr>
        <w:noBreakHyphen/>
        <w:t xml:space="preserve"> Criminal law </w:t>
      </w:r>
      <w:r w:rsidRPr="00A85B4F">
        <w:rPr>
          <w:rFonts w:cs="Times New Roman"/>
          <w:sz w:val="20"/>
          <w:szCs w:val="20"/>
        </w:rPr>
        <w:noBreakHyphen/>
        <w:t xml:space="preserve"> Warrantless interception of private communications </w:t>
      </w:r>
      <w:r w:rsidRPr="00A85B4F">
        <w:rPr>
          <w:rFonts w:cs="Times New Roman"/>
          <w:sz w:val="20"/>
          <w:szCs w:val="20"/>
        </w:rPr>
        <w:noBreakHyphen/>
        <w:t xml:space="preserve"> Does s. 184.4 of the </w:t>
      </w:r>
      <w:r w:rsidRPr="00A85B4F">
        <w:rPr>
          <w:rFonts w:cs="Times New Roman"/>
          <w:i/>
          <w:sz w:val="20"/>
          <w:szCs w:val="20"/>
        </w:rPr>
        <w:t>Criminal Code</w:t>
      </w:r>
      <w:r w:rsidRPr="00A85B4F">
        <w:rPr>
          <w:rFonts w:cs="Times New Roman"/>
          <w:sz w:val="20"/>
          <w:szCs w:val="20"/>
        </w:rPr>
        <w:t>, R.S.C. 1985, c. C</w:t>
      </w:r>
      <w:r w:rsidRPr="00A85B4F">
        <w:rPr>
          <w:rFonts w:cs="Times New Roman"/>
          <w:sz w:val="20"/>
          <w:szCs w:val="20"/>
        </w:rPr>
        <w:noBreakHyphen/>
        <w:t xml:space="preserve">46, infringe s. 7 of the </w:t>
      </w:r>
      <w:r w:rsidRPr="00A85B4F">
        <w:rPr>
          <w:rFonts w:cs="Times New Roman"/>
          <w:i/>
          <w:sz w:val="20"/>
          <w:szCs w:val="20"/>
        </w:rPr>
        <w:t>Canadian Charter of Rights and Freedoms</w:t>
      </w:r>
      <w:r w:rsidRPr="00A85B4F">
        <w:rPr>
          <w:rFonts w:cs="Times New Roman"/>
          <w:sz w:val="20"/>
          <w:szCs w:val="20"/>
        </w:rPr>
        <w:t xml:space="preserve">? </w:t>
      </w:r>
      <w:r w:rsidRPr="00A85B4F">
        <w:rPr>
          <w:rFonts w:cs="Times New Roman"/>
          <w:sz w:val="20"/>
          <w:szCs w:val="20"/>
        </w:rPr>
        <w:noBreakHyphen/>
        <w:t xml:space="preserve"> If so, is the infringement a reasonable limit prescribed by law as can be demonstrably justified in a free and democratic society under s. 1 of the </w:t>
      </w:r>
      <w:r w:rsidRPr="00A85B4F">
        <w:rPr>
          <w:rFonts w:cs="Times New Roman"/>
          <w:i/>
          <w:sz w:val="20"/>
          <w:szCs w:val="20"/>
        </w:rPr>
        <w:t>Canadian Charter of Rights and Freedoms</w:t>
      </w:r>
      <w:r w:rsidRPr="00A85B4F">
        <w:rPr>
          <w:rFonts w:cs="Times New Roman"/>
          <w:sz w:val="20"/>
          <w:szCs w:val="20"/>
        </w:rPr>
        <w:t xml:space="preserve">? </w:t>
      </w:r>
      <w:r w:rsidRPr="00A85B4F">
        <w:rPr>
          <w:rFonts w:cs="Times New Roman"/>
          <w:sz w:val="20"/>
          <w:szCs w:val="20"/>
        </w:rPr>
        <w:noBreakHyphen/>
        <w:t xml:space="preserve"> Does s. 184.4 of the </w:t>
      </w:r>
      <w:r w:rsidRPr="00A85B4F">
        <w:rPr>
          <w:rFonts w:cs="Times New Roman"/>
          <w:i/>
          <w:sz w:val="20"/>
          <w:szCs w:val="20"/>
        </w:rPr>
        <w:t>Criminal Code</w:t>
      </w:r>
      <w:r w:rsidRPr="00A85B4F">
        <w:rPr>
          <w:rFonts w:cs="Times New Roman"/>
          <w:sz w:val="20"/>
          <w:szCs w:val="20"/>
        </w:rPr>
        <w:t>, R.S.C. 1985, c. C</w:t>
      </w:r>
      <w:r w:rsidRPr="00A85B4F">
        <w:rPr>
          <w:rFonts w:cs="Times New Roman"/>
          <w:sz w:val="20"/>
          <w:szCs w:val="20"/>
        </w:rPr>
        <w:noBreakHyphen/>
        <w:t xml:space="preserve">46, infringe s. 8 of the </w:t>
      </w:r>
      <w:r w:rsidRPr="00A85B4F">
        <w:rPr>
          <w:rFonts w:cs="Times New Roman"/>
          <w:i/>
          <w:sz w:val="20"/>
          <w:szCs w:val="20"/>
        </w:rPr>
        <w:t>Canadian Charter of Rights and Freedoms</w:t>
      </w:r>
      <w:r w:rsidRPr="00A85B4F">
        <w:rPr>
          <w:rFonts w:cs="Times New Roman"/>
          <w:sz w:val="20"/>
          <w:szCs w:val="20"/>
        </w:rPr>
        <w:t xml:space="preserve">? </w:t>
      </w:r>
      <w:r w:rsidRPr="00A85B4F">
        <w:rPr>
          <w:rFonts w:cs="Times New Roman"/>
          <w:sz w:val="20"/>
          <w:szCs w:val="20"/>
        </w:rPr>
        <w:noBreakHyphen/>
        <w:t xml:space="preserve"> If so, is the infringement a reasonable limit prescribed by law as can be demonstrably justified in a free and democratic society under s. 1 of the </w:t>
      </w:r>
      <w:r w:rsidRPr="00A85B4F">
        <w:rPr>
          <w:rFonts w:cs="Times New Roman"/>
          <w:i/>
          <w:sz w:val="20"/>
          <w:szCs w:val="20"/>
        </w:rPr>
        <w:t>Canadian Charter of Rights and Freedoms</w:t>
      </w:r>
      <w:r w:rsidRPr="00A85B4F">
        <w:rPr>
          <w:rFonts w:cs="Times New Roman"/>
          <w:sz w:val="20"/>
          <w:szCs w:val="20"/>
        </w:rPr>
        <w:t xml:space="preserve">? </w:t>
      </w:r>
      <w:r w:rsidRPr="00A85B4F">
        <w:rPr>
          <w:rFonts w:cs="Times New Roman"/>
          <w:sz w:val="20"/>
          <w:szCs w:val="20"/>
        </w:rPr>
        <w:noBreakHyphen/>
        <w:t xml:space="preserve"> Does s. 184.4 of the </w:t>
      </w:r>
      <w:r w:rsidRPr="00A85B4F">
        <w:rPr>
          <w:rFonts w:cs="Times New Roman"/>
          <w:i/>
          <w:sz w:val="20"/>
          <w:szCs w:val="20"/>
        </w:rPr>
        <w:t>Criminal Code</w:t>
      </w:r>
      <w:r w:rsidRPr="00A85B4F">
        <w:rPr>
          <w:rFonts w:cs="Times New Roman"/>
          <w:sz w:val="20"/>
          <w:szCs w:val="20"/>
        </w:rPr>
        <w:t>, R.S.C. 1985, c. C</w:t>
      </w:r>
      <w:r w:rsidRPr="00A85B4F">
        <w:rPr>
          <w:rFonts w:cs="Times New Roman"/>
          <w:sz w:val="20"/>
          <w:szCs w:val="20"/>
        </w:rPr>
        <w:noBreakHyphen/>
        <w:t xml:space="preserve">46, infringe s. 11(d) of the </w:t>
      </w:r>
      <w:r w:rsidRPr="00A85B4F">
        <w:rPr>
          <w:rFonts w:cs="Times New Roman"/>
          <w:i/>
          <w:sz w:val="20"/>
          <w:szCs w:val="20"/>
        </w:rPr>
        <w:t>Canadian Charter of Rights and Freedoms</w:t>
      </w:r>
      <w:r w:rsidRPr="00A85B4F">
        <w:rPr>
          <w:rFonts w:cs="Times New Roman"/>
          <w:sz w:val="20"/>
          <w:szCs w:val="20"/>
        </w:rPr>
        <w:t xml:space="preserve">? </w:t>
      </w:r>
      <w:r w:rsidRPr="00A85B4F">
        <w:rPr>
          <w:rFonts w:cs="Times New Roman"/>
          <w:sz w:val="20"/>
          <w:szCs w:val="20"/>
        </w:rPr>
        <w:noBreakHyphen/>
        <w:t xml:space="preserve"> If so, is the infringement a reasonable limit prescribed by law as can be demonstrably justified in a free and democratic society under s. 1 of the </w:t>
      </w:r>
      <w:r w:rsidRPr="00A85B4F">
        <w:rPr>
          <w:rFonts w:cs="Times New Roman"/>
          <w:i/>
          <w:sz w:val="20"/>
          <w:szCs w:val="20"/>
        </w:rPr>
        <w:t>Canadian Charter of Rights and Freedoms</w:t>
      </w:r>
      <w:r w:rsidRPr="00A85B4F">
        <w:rPr>
          <w:rFonts w:cs="Times New Roman"/>
          <w:sz w:val="20"/>
          <w:szCs w:val="20"/>
        </w:rPr>
        <w:t xml:space="preserve">? </w:t>
      </w:r>
      <w:r w:rsidRPr="00A85B4F">
        <w:rPr>
          <w:rFonts w:cs="Times New Roman"/>
          <w:sz w:val="20"/>
          <w:szCs w:val="20"/>
        </w:rPr>
        <w:noBreakHyphen/>
        <w:t xml:space="preserve"> If s. 184.4 of the </w:t>
      </w:r>
      <w:r w:rsidRPr="00A85B4F">
        <w:rPr>
          <w:rFonts w:cs="Times New Roman"/>
          <w:i/>
          <w:sz w:val="20"/>
          <w:szCs w:val="20"/>
        </w:rPr>
        <w:t>Criminal Code</w:t>
      </w:r>
      <w:r w:rsidRPr="00A85B4F">
        <w:rPr>
          <w:rFonts w:cs="Times New Roman"/>
          <w:sz w:val="20"/>
          <w:szCs w:val="20"/>
        </w:rPr>
        <w:t>, R.S.C. 1985, c. C</w:t>
      </w:r>
      <w:r w:rsidRPr="00A85B4F">
        <w:rPr>
          <w:rFonts w:cs="Times New Roman"/>
          <w:sz w:val="20"/>
          <w:szCs w:val="20"/>
        </w:rPr>
        <w:noBreakHyphen/>
        <w:t xml:space="preserve">46, infringes the </w:t>
      </w:r>
      <w:r w:rsidRPr="00A85B4F">
        <w:rPr>
          <w:rFonts w:cs="Times New Roman"/>
          <w:i/>
          <w:sz w:val="20"/>
          <w:szCs w:val="20"/>
        </w:rPr>
        <w:t>Canadian Charter of Rights and Freedoms</w:t>
      </w:r>
      <w:r w:rsidRPr="00A85B4F">
        <w:rPr>
          <w:rFonts w:cs="Times New Roman"/>
          <w:sz w:val="20"/>
          <w:szCs w:val="20"/>
        </w:rPr>
        <w:t xml:space="preserve">, is it necessary to declare it of no force and effect under s. 52(1) of the </w:t>
      </w:r>
      <w:r w:rsidRPr="00A85B4F">
        <w:rPr>
          <w:rFonts w:cs="Times New Roman"/>
          <w:i/>
          <w:sz w:val="20"/>
          <w:szCs w:val="20"/>
        </w:rPr>
        <w:t>Constitution Act, 1982</w:t>
      </w:r>
      <w:r w:rsidRPr="00A85B4F">
        <w:rPr>
          <w:rFonts w:cs="Times New Roman"/>
          <w:sz w:val="20"/>
          <w:szCs w:val="20"/>
        </w:rPr>
        <w:t>, or is a lesser remedy available?</w:t>
      </w:r>
    </w:p>
    <w:p w:rsidR="00DC4C93" w:rsidRPr="00A85B4F" w:rsidRDefault="00DC4C93" w:rsidP="00DC4C93">
      <w:pPr>
        <w:widowControl w:val="0"/>
        <w:jc w:val="both"/>
        <w:rPr>
          <w:rFonts w:cs="Times New Roman"/>
          <w:sz w:val="20"/>
          <w:szCs w:val="20"/>
        </w:rPr>
      </w:pPr>
    </w:p>
    <w:p w:rsidR="00DC4C93" w:rsidRPr="00A85B4F" w:rsidRDefault="00460701" w:rsidP="00DC4C93">
      <w:pPr>
        <w:widowControl w:val="0"/>
        <w:jc w:val="both"/>
        <w:rPr>
          <w:rFonts w:cs="Times New Roman"/>
          <w:sz w:val="20"/>
          <w:szCs w:val="20"/>
        </w:rPr>
      </w:pPr>
      <w:r w:rsidRPr="00A85B4F">
        <w:rPr>
          <w:rFonts w:cs="Times New Roman"/>
          <w:sz w:val="20"/>
          <w:szCs w:val="20"/>
        </w:rPr>
        <w:fldChar w:fldCharType="begin"/>
      </w:r>
      <w:r w:rsidR="00DC4C93" w:rsidRPr="00A85B4F">
        <w:rPr>
          <w:rFonts w:cs="Times New Roman"/>
          <w:sz w:val="20"/>
          <w:szCs w:val="20"/>
        </w:rPr>
        <w:instrText xml:space="preserve"> SEQ CHAPTER \h \r 1</w:instrText>
      </w:r>
      <w:r w:rsidRPr="00A85B4F">
        <w:rPr>
          <w:rFonts w:cs="Times New Roman"/>
          <w:sz w:val="20"/>
          <w:szCs w:val="20"/>
        </w:rPr>
        <w:fldChar w:fldCharType="end"/>
      </w:r>
      <w:r w:rsidR="00DC4C93" w:rsidRPr="00A85B4F">
        <w:rPr>
          <w:rFonts w:cs="Times New Roman"/>
          <w:sz w:val="20"/>
          <w:szCs w:val="20"/>
        </w:rPr>
        <w:t xml:space="preserve">Section 184.4 of the </w:t>
      </w:r>
      <w:r w:rsidR="00DC4C93" w:rsidRPr="00A85B4F">
        <w:rPr>
          <w:rFonts w:cs="Times New Roman"/>
          <w:i/>
          <w:sz w:val="20"/>
          <w:szCs w:val="20"/>
        </w:rPr>
        <w:t xml:space="preserve">Criminal </w:t>
      </w:r>
      <w:r w:rsidR="00DC4C93" w:rsidRPr="00A85B4F">
        <w:rPr>
          <w:rFonts w:cs="Times New Roman"/>
          <w:i/>
          <w:iCs/>
          <w:sz w:val="20"/>
          <w:szCs w:val="20"/>
        </w:rPr>
        <w:t>Code</w:t>
      </w:r>
      <w:r w:rsidR="00DC4C93" w:rsidRPr="00A85B4F">
        <w:rPr>
          <w:rFonts w:cs="Times New Roman"/>
          <w:sz w:val="20"/>
          <w:szCs w:val="20"/>
        </w:rPr>
        <w:t xml:space="preserve"> provides that peace officers can intercept private communications without prior judicial authorization, where the peace officer believes on reasonable grounds that:  (i) an authorization cannot be obtained with reasonable diligence, given the urgency of the situation; (ii) an interception is immediately necessary to prevent an unlawful act that would cause serious harm to any person or to property; and (iii) either the originator or the intended recipient of the private communication is the person who would perform the harmful act or is the intended victim.  In the present case, the police relied upon s. 184.4 to intercept private communications in the context of the alleged kidnapping of three individuals.  The Crown later sought to adduce evidence gathered from those interceptions at the trial of the respondents for their alleged roles in the kidnapping, confinement, and extortion charges.  The respondents challenged the constitutional validity of s. 184.4 of the </w:t>
      </w:r>
      <w:r w:rsidR="00DC4C93" w:rsidRPr="00A85B4F">
        <w:rPr>
          <w:rFonts w:cs="Times New Roman"/>
          <w:i/>
          <w:sz w:val="20"/>
          <w:szCs w:val="20"/>
        </w:rPr>
        <w:t xml:space="preserve">Criminal </w:t>
      </w:r>
      <w:r w:rsidR="00DC4C93" w:rsidRPr="00A85B4F">
        <w:rPr>
          <w:rFonts w:cs="Times New Roman"/>
          <w:i/>
          <w:iCs/>
          <w:sz w:val="20"/>
          <w:szCs w:val="20"/>
        </w:rPr>
        <w:t>Code</w:t>
      </w:r>
      <w:r w:rsidR="00DC4C93" w:rsidRPr="00A85B4F">
        <w:rPr>
          <w:rFonts w:cs="Times New Roman"/>
          <w:sz w:val="20"/>
          <w:szCs w:val="20"/>
        </w:rPr>
        <w:t xml:space="preserve"> under s. 52 of the </w:t>
      </w:r>
      <w:r w:rsidR="00DC4C93" w:rsidRPr="00A85B4F">
        <w:rPr>
          <w:rFonts w:cs="Times New Roman"/>
          <w:i/>
          <w:iCs/>
          <w:sz w:val="20"/>
          <w:szCs w:val="20"/>
        </w:rPr>
        <w:t>Constitution Act, 1982</w:t>
      </w:r>
      <w:r w:rsidR="00DC4C93" w:rsidRPr="00A85B4F">
        <w:rPr>
          <w:rFonts w:cs="Times New Roman"/>
          <w:sz w:val="20"/>
          <w:szCs w:val="20"/>
        </w:rPr>
        <w:t xml:space="preserve">, and sections 7, 8 and 11(d) of the </w:t>
      </w:r>
      <w:r w:rsidR="00DC4C93" w:rsidRPr="00A85B4F">
        <w:rPr>
          <w:rFonts w:cs="Times New Roman"/>
          <w:i/>
          <w:iCs/>
          <w:sz w:val="20"/>
          <w:szCs w:val="20"/>
        </w:rPr>
        <w:t>Charter</w:t>
      </w:r>
      <w:r w:rsidR="00DC4C93" w:rsidRPr="00A85B4F">
        <w:rPr>
          <w:rFonts w:cs="Times New Roman"/>
          <w:sz w:val="20"/>
          <w:szCs w:val="20"/>
        </w:rPr>
        <w:t xml:space="preserve">.  They also challenged the manner of the police’s implementation of s. 184.4, the admissibility of evidence obtained under it; and the admissibility of evidence obtained pursuant to subsequent judicial authorizations issued pursuant to s. 186 of the </w:t>
      </w:r>
      <w:r w:rsidR="00DC4C93" w:rsidRPr="00A85B4F">
        <w:rPr>
          <w:rFonts w:cs="Times New Roman"/>
          <w:i/>
          <w:sz w:val="20"/>
          <w:szCs w:val="20"/>
        </w:rPr>
        <w:t xml:space="preserve">Criminal </w:t>
      </w:r>
      <w:r w:rsidR="00DC4C93" w:rsidRPr="00A85B4F">
        <w:rPr>
          <w:rFonts w:cs="Times New Roman"/>
          <w:i/>
          <w:iCs/>
          <w:sz w:val="20"/>
          <w:szCs w:val="20"/>
        </w:rPr>
        <w:t>Code</w:t>
      </w:r>
      <w:r w:rsidR="00DC4C93" w:rsidRPr="00A85B4F">
        <w:rPr>
          <w:rFonts w:cs="Times New Roman"/>
          <w:sz w:val="20"/>
          <w:szCs w:val="20"/>
        </w:rPr>
        <w:t xml:space="preserve">. </w:t>
      </w: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jc w:val="both"/>
        <w:rPr>
          <w:rFonts w:cs="Times New Roman"/>
          <w:sz w:val="20"/>
          <w:szCs w:val="20"/>
        </w:rPr>
      </w:pPr>
      <w:r w:rsidRPr="00A85B4F">
        <w:rPr>
          <w:rFonts w:cs="Times New Roman"/>
          <w:sz w:val="20"/>
          <w:szCs w:val="20"/>
        </w:rPr>
        <w:t>Origin of the case:</w:t>
      </w:r>
      <w:r w:rsidRPr="00A85B4F">
        <w:rPr>
          <w:rFonts w:cs="Times New Roman"/>
          <w:sz w:val="20"/>
          <w:szCs w:val="20"/>
        </w:rPr>
        <w:tab/>
      </w:r>
      <w:r w:rsidRPr="00A85B4F">
        <w:rPr>
          <w:rFonts w:cs="Times New Roman"/>
          <w:sz w:val="20"/>
          <w:szCs w:val="20"/>
        </w:rPr>
        <w:tab/>
      </w:r>
      <w:r w:rsidRPr="00A85B4F">
        <w:rPr>
          <w:rFonts w:cs="Times New Roman"/>
          <w:sz w:val="20"/>
          <w:szCs w:val="20"/>
        </w:rPr>
        <w:tab/>
        <w:t>British Columbia</w:t>
      </w: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jc w:val="both"/>
        <w:rPr>
          <w:rFonts w:cs="Times New Roman"/>
          <w:sz w:val="20"/>
          <w:szCs w:val="20"/>
        </w:rPr>
      </w:pPr>
      <w:r w:rsidRPr="00A85B4F">
        <w:rPr>
          <w:rFonts w:cs="Times New Roman"/>
          <w:sz w:val="20"/>
          <w:szCs w:val="20"/>
        </w:rPr>
        <w:t>File No.:</w:t>
      </w:r>
      <w:r w:rsidRPr="00A85B4F">
        <w:rPr>
          <w:rFonts w:cs="Times New Roman"/>
          <w:sz w:val="20"/>
          <w:szCs w:val="20"/>
        </w:rPr>
        <w:tab/>
      </w:r>
      <w:r w:rsidRPr="00A85B4F">
        <w:rPr>
          <w:rFonts w:cs="Times New Roman"/>
          <w:sz w:val="20"/>
          <w:szCs w:val="20"/>
        </w:rPr>
        <w:tab/>
      </w:r>
      <w:r w:rsidRPr="00A85B4F">
        <w:rPr>
          <w:rFonts w:cs="Times New Roman"/>
          <w:sz w:val="20"/>
          <w:szCs w:val="20"/>
        </w:rPr>
        <w:tab/>
      </w:r>
      <w:r w:rsidRPr="00A85B4F">
        <w:rPr>
          <w:rFonts w:cs="Times New Roman"/>
          <w:sz w:val="20"/>
          <w:szCs w:val="20"/>
        </w:rPr>
        <w:tab/>
      </w:r>
      <w:r w:rsidRPr="00A85B4F">
        <w:rPr>
          <w:rFonts w:cs="Times New Roman"/>
          <w:sz w:val="20"/>
          <w:szCs w:val="20"/>
        </w:rPr>
        <w:tab/>
        <w:t>33751</w:t>
      </w: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jc w:val="both"/>
        <w:rPr>
          <w:rFonts w:cs="Times New Roman"/>
          <w:sz w:val="20"/>
          <w:szCs w:val="20"/>
        </w:rPr>
      </w:pPr>
      <w:r w:rsidRPr="00A85B4F">
        <w:rPr>
          <w:rFonts w:cs="Times New Roman"/>
          <w:sz w:val="20"/>
          <w:szCs w:val="20"/>
        </w:rPr>
        <w:t xml:space="preserve">Judgment of the Supreme Court of </w:t>
      </w:r>
    </w:p>
    <w:p w:rsidR="00DC4C93" w:rsidRPr="00A85B4F" w:rsidRDefault="00DC4C93" w:rsidP="00DC4C93">
      <w:pPr>
        <w:widowControl w:val="0"/>
        <w:jc w:val="both"/>
        <w:rPr>
          <w:rFonts w:cs="Times New Roman"/>
          <w:sz w:val="20"/>
          <w:szCs w:val="20"/>
        </w:rPr>
      </w:pPr>
      <w:r w:rsidRPr="00A85B4F">
        <w:rPr>
          <w:rFonts w:cs="Times New Roman"/>
          <w:sz w:val="20"/>
          <w:szCs w:val="20"/>
        </w:rPr>
        <w:t>British Columbia:</w:t>
      </w:r>
      <w:r w:rsidRPr="00A85B4F">
        <w:rPr>
          <w:rFonts w:cs="Times New Roman"/>
          <w:sz w:val="20"/>
          <w:szCs w:val="20"/>
        </w:rPr>
        <w:tab/>
      </w:r>
      <w:r w:rsidRPr="00A85B4F">
        <w:rPr>
          <w:rFonts w:cs="Times New Roman"/>
          <w:sz w:val="20"/>
          <w:szCs w:val="20"/>
        </w:rPr>
        <w:tab/>
      </w:r>
      <w:r w:rsidRPr="00A85B4F">
        <w:rPr>
          <w:rFonts w:cs="Times New Roman"/>
          <w:sz w:val="20"/>
          <w:szCs w:val="20"/>
        </w:rPr>
        <w:tab/>
      </w:r>
      <w:r w:rsidRPr="00A85B4F">
        <w:rPr>
          <w:rFonts w:cs="Times New Roman"/>
          <w:sz w:val="20"/>
          <w:szCs w:val="20"/>
        </w:rPr>
        <w:tab/>
        <w:t>February 22, 2008</w:t>
      </w:r>
    </w:p>
    <w:p w:rsidR="00DC4C93" w:rsidRPr="00A85B4F" w:rsidRDefault="00DC4C93" w:rsidP="00DC4C93">
      <w:pPr>
        <w:widowControl w:val="0"/>
        <w:jc w:val="both"/>
        <w:rPr>
          <w:rFonts w:cs="Times New Roman"/>
          <w:sz w:val="20"/>
          <w:szCs w:val="20"/>
        </w:rPr>
      </w:pPr>
    </w:p>
    <w:p w:rsidR="00DC4C93" w:rsidRPr="00A85B4F" w:rsidRDefault="00DC4C93" w:rsidP="00DC4C93">
      <w:pPr>
        <w:widowControl w:val="0"/>
        <w:ind w:left="3600" w:hanging="3600"/>
        <w:jc w:val="both"/>
        <w:rPr>
          <w:rFonts w:cs="Times New Roman"/>
          <w:sz w:val="20"/>
          <w:szCs w:val="20"/>
        </w:rPr>
      </w:pPr>
      <w:r w:rsidRPr="00A85B4F">
        <w:rPr>
          <w:rFonts w:cs="Times New Roman"/>
          <w:sz w:val="20"/>
          <w:szCs w:val="20"/>
        </w:rPr>
        <w:t>Counsel:</w:t>
      </w:r>
      <w:r w:rsidRPr="00A85B4F">
        <w:rPr>
          <w:rFonts w:cs="Times New Roman"/>
          <w:sz w:val="20"/>
          <w:szCs w:val="20"/>
        </w:rPr>
        <w:tab/>
        <w:t>Trevor Shaw and Samiran Lakshman for the appellant</w:t>
      </w:r>
    </w:p>
    <w:p w:rsidR="00DC4C93" w:rsidRPr="00A85B4F" w:rsidRDefault="00DC4C93" w:rsidP="00DC4C93">
      <w:pPr>
        <w:widowControl w:val="0"/>
        <w:ind w:left="3600" w:hanging="3600"/>
        <w:jc w:val="both"/>
        <w:rPr>
          <w:rFonts w:cs="Times New Roman"/>
          <w:sz w:val="20"/>
          <w:szCs w:val="20"/>
        </w:rPr>
      </w:pPr>
      <w:r w:rsidRPr="00A85B4F">
        <w:rPr>
          <w:rFonts w:cs="Times New Roman"/>
          <w:sz w:val="20"/>
          <w:szCs w:val="20"/>
        </w:rPr>
        <w:tab/>
        <w:t>Simon R.A. Buck for the respondent Yat Fung Albert Tse</w:t>
      </w:r>
    </w:p>
    <w:p w:rsidR="00DC4C93" w:rsidRPr="00A85B4F" w:rsidRDefault="00DC4C93" w:rsidP="00DC4C93">
      <w:pPr>
        <w:widowControl w:val="0"/>
        <w:ind w:left="3600" w:hanging="3600"/>
        <w:jc w:val="both"/>
        <w:rPr>
          <w:rFonts w:cs="Times New Roman"/>
          <w:sz w:val="20"/>
          <w:szCs w:val="20"/>
        </w:rPr>
      </w:pPr>
      <w:r w:rsidRPr="00A85B4F">
        <w:rPr>
          <w:rFonts w:cs="Times New Roman"/>
          <w:sz w:val="20"/>
          <w:szCs w:val="20"/>
        </w:rPr>
        <w:tab/>
        <w:t>Brent V. Bagnall for the respondent Nhan Trong Ly</w:t>
      </w:r>
    </w:p>
    <w:p w:rsidR="00DC4C93" w:rsidRPr="00A85B4F" w:rsidRDefault="00DC4C93" w:rsidP="00DC4C93">
      <w:pPr>
        <w:widowControl w:val="0"/>
        <w:ind w:left="3600" w:hanging="3600"/>
        <w:jc w:val="both"/>
        <w:rPr>
          <w:rFonts w:cs="Times New Roman"/>
          <w:sz w:val="20"/>
          <w:szCs w:val="20"/>
        </w:rPr>
      </w:pPr>
      <w:r w:rsidRPr="00A85B4F">
        <w:rPr>
          <w:rFonts w:cs="Times New Roman"/>
          <w:sz w:val="20"/>
          <w:szCs w:val="20"/>
        </w:rPr>
        <w:tab/>
        <w:t>Howard Rubin, Q.C. for the respondent Viet Bac Nguyen</w:t>
      </w:r>
    </w:p>
    <w:p w:rsidR="00DC4C93" w:rsidRPr="00A85B4F" w:rsidRDefault="00DC4C93" w:rsidP="00DC4C93">
      <w:pPr>
        <w:widowControl w:val="0"/>
        <w:ind w:left="3600" w:hanging="3600"/>
        <w:jc w:val="both"/>
        <w:rPr>
          <w:rFonts w:cs="Times New Roman"/>
          <w:sz w:val="20"/>
          <w:szCs w:val="20"/>
        </w:rPr>
      </w:pPr>
      <w:r w:rsidRPr="00A85B4F">
        <w:rPr>
          <w:rFonts w:cs="Times New Roman"/>
          <w:sz w:val="20"/>
          <w:szCs w:val="20"/>
        </w:rPr>
        <w:tab/>
        <w:t>Kenneth S. Westlake, Q.C. for the respondent Huong Dac Doan</w:t>
      </w:r>
    </w:p>
    <w:p w:rsidR="00DC4C93" w:rsidRPr="00A85B4F" w:rsidRDefault="00DC4C93" w:rsidP="00DC4C93">
      <w:pPr>
        <w:widowControl w:val="0"/>
        <w:ind w:left="3600" w:hanging="3600"/>
        <w:jc w:val="both"/>
        <w:rPr>
          <w:rFonts w:cs="Times New Roman"/>
          <w:sz w:val="20"/>
          <w:szCs w:val="20"/>
        </w:rPr>
      </w:pPr>
      <w:r w:rsidRPr="00A85B4F">
        <w:rPr>
          <w:rFonts w:cs="Times New Roman"/>
          <w:sz w:val="20"/>
          <w:szCs w:val="20"/>
        </w:rPr>
        <w:tab/>
        <w:t>Ian Donaldson, Q.C. for the respondents Daniel Luis Soux and Myles Alexander Vandrick</w:t>
      </w:r>
    </w:p>
    <w:p w:rsidR="00201497" w:rsidRPr="00DC4C93" w:rsidRDefault="00201497">
      <w:pPr>
        <w:rPr>
          <w:sz w:val="20"/>
          <w:szCs w:val="20"/>
        </w:rPr>
      </w:pPr>
    </w:p>
    <w:p w:rsidR="00201497" w:rsidRDefault="00460701">
      <w:pPr>
        <w:rPr>
          <w:sz w:val="20"/>
          <w:szCs w:val="20"/>
          <w:lang w:val="fr-CA"/>
        </w:rPr>
      </w:pPr>
      <w:r w:rsidRPr="00460701">
        <w:rPr>
          <w:sz w:val="20"/>
          <w:szCs w:val="20"/>
          <w:lang w:val="fr-CA"/>
        </w:rPr>
        <w:pict>
          <v:rect id="_x0000_i1111" style="width:2in;height:1pt" o:hrpct="0" o:hralign="center" o:hrstd="t" o:hrnoshade="t" o:hr="t" fillcolor="black [3213]" stroked="f"/>
        </w:pict>
      </w:r>
    </w:p>
    <w:p w:rsidR="00201497" w:rsidRDefault="00201497">
      <w:pPr>
        <w:rPr>
          <w:sz w:val="20"/>
          <w:szCs w:val="20"/>
          <w:lang w:val="fr-CA"/>
        </w:rPr>
      </w:pPr>
    </w:p>
    <w:p w:rsidR="00201497" w:rsidRDefault="00201497">
      <w:pPr>
        <w:rPr>
          <w:sz w:val="20"/>
          <w:szCs w:val="20"/>
          <w:lang w:val="fr-CA"/>
        </w:rPr>
      </w:pPr>
      <w:r>
        <w:rPr>
          <w:sz w:val="20"/>
          <w:szCs w:val="20"/>
          <w:lang w:val="fr-CA"/>
        </w:rPr>
        <w:br w:type="page"/>
      </w:r>
    </w:p>
    <w:p w:rsidR="00DC4C93" w:rsidRPr="00DC4C93" w:rsidRDefault="00460701" w:rsidP="00DC4C93">
      <w:pPr>
        <w:widowControl w:val="0"/>
        <w:ind w:left="720" w:hanging="720"/>
        <w:jc w:val="both"/>
        <w:rPr>
          <w:rFonts w:cs="Times New Roman"/>
          <w:b/>
          <w:bCs/>
          <w:i/>
          <w:sz w:val="20"/>
          <w:szCs w:val="20"/>
          <w:lang w:val="fr-CA"/>
        </w:rPr>
      </w:pPr>
      <w:r w:rsidRPr="00A85B4F">
        <w:rPr>
          <w:rFonts w:cs="Times New Roman"/>
          <w:b/>
          <w:sz w:val="20"/>
          <w:szCs w:val="20"/>
          <w:lang w:val="fr-CA"/>
        </w:rPr>
        <w:lastRenderedPageBreak/>
        <w:fldChar w:fldCharType="begin"/>
      </w:r>
      <w:r w:rsidR="00DC4C93" w:rsidRPr="00DC4C93">
        <w:rPr>
          <w:rFonts w:cs="Times New Roman"/>
          <w:b/>
          <w:sz w:val="20"/>
          <w:szCs w:val="20"/>
          <w:lang w:val="fr-CA"/>
        </w:rPr>
        <w:instrText xml:space="preserve"> SEQ CHAPTER \h \r 1</w:instrText>
      </w:r>
      <w:r w:rsidRPr="00A85B4F">
        <w:rPr>
          <w:rFonts w:cs="Times New Roman"/>
          <w:b/>
          <w:sz w:val="20"/>
          <w:szCs w:val="20"/>
          <w:lang w:val="fr-CA"/>
        </w:rPr>
        <w:fldChar w:fldCharType="end"/>
      </w:r>
      <w:r w:rsidR="00DC4C93" w:rsidRPr="00DC4C93">
        <w:rPr>
          <w:rFonts w:cs="Times New Roman"/>
          <w:b/>
          <w:sz w:val="20"/>
          <w:szCs w:val="20"/>
          <w:lang w:val="fr-CA"/>
        </w:rPr>
        <w:t>33751</w:t>
      </w:r>
      <w:r w:rsidR="00DC4C93" w:rsidRPr="00DC4C93">
        <w:rPr>
          <w:rFonts w:cs="Times New Roman"/>
          <w:sz w:val="20"/>
          <w:szCs w:val="20"/>
          <w:lang w:val="fr-CA"/>
        </w:rPr>
        <w:tab/>
      </w:r>
      <w:r w:rsidR="00DC4C93" w:rsidRPr="00DC4C93">
        <w:rPr>
          <w:rFonts w:cs="Times New Roman"/>
          <w:b/>
          <w:bCs/>
          <w:i/>
          <w:sz w:val="20"/>
          <w:szCs w:val="20"/>
          <w:lang w:val="fr-CA"/>
        </w:rPr>
        <w:t>Sa Majesté la Reine c. Yat Fung Albert Tse, Nhan Trong Ly, Viet Bac Nguyen, Huong Dac Doan, Daniel Luis Soux, Myles Alexander Vandrick</w:t>
      </w:r>
    </w:p>
    <w:p w:rsidR="00DC4C93" w:rsidRPr="00DC4C93" w:rsidRDefault="00DC4C93" w:rsidP="00DC4C93">
      <w:pPr>
        <w:widowControl w:val="0"/>
        <w:ind w:left="720" w:hanging="72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r w:rsidRPr="00A85B4F">
        <w:rPr>
          <w:rFonts w:cs="Times New Roman"/>
          <w:i/>
          <w:iCs/>
          <w:sz w:val="20"/>
          <w:szCs w:val="20"/>
          <w:lang w:val="fr-CA"/>
        </w:rPr>
        <w:t xml:space="preserve">Charte des droits </w:t>
      </w:r>
      <w:r w:rsidRPr="00A85B4F">
        <w:rPr>
          <w:rFonts w:cs="Times New Roman"/>
          <w:sz w:val="20"/>
          <w:szCs w:val="20"/>
          <w:lang w:val="fr-CA"/>
        </w:rPr>
        <w:noBreakHyphen/>
        <w:t xml:space="preserve"> Fouilles et perquisitions </w:t>
      </w:r>
      <w:r w:rsidRPr="00A85B4F">
        <w:rPr>
          <w:rFonts w:cs="Times New Roman"/>
          <w:sz w:val="20"/>
          <w:szCs w:val="20"/>
          <w:lang w:val="fr-CA"/>
        </w:rPr>
        <w:noBreakHyphen/>
        <w:t xml:space="preserve"> Droit criminel </w:t>
      </w:r>
      <w:r w:rsidRPr="00A85B4F">
        <w:rPr>
          <w:rFonts w:cs="Times New Roman"/>
          <w:sz w:val="20"/>
          <w:szCs w:val="20"/>
          <w:lang w:val="fr-CA"/>
        </w:rPr>
        <w:noBreakHyphen/>
        <w:t xml:space="preserve"> Interception sans mandat de communications privées </w:t>
      </w:r>
      <w:r w:rsidRPr="00A85B4F">
        <w:rPr>
          <w:rFonts w:cs="Times New Roman"/>
          <w:sz w:val="20"/>
          <w:szCs w:val="20"/>
          <w:lang w:val="fr-CA"/>
        </w:rPr>
        <w:noBreakHyphen/>
        <w:t xml:space="preserve"> L’article 184.4 du </w:t>
      </w:r>
      <w:r w:rsidRPr="00A85B4F">
        <w:rPr>
          <w:rFonts w:cs="Times New Roman"/>
          <w:i/>
          <w:iCs/>
          <w:sz w:val="20"/>
          <w:szCs w:val="20"/>
          <w:lang w:val="fr-CA"/>
        </w:rPr>
        <w:t>Code criminel</w:t>
      </w:r>
      <w:r w:rsidRPr="00A85B4F">
        <w:rPr>
          <w:rFonts w:cs="Times New Roman"/>
          <w:sz w:val="20"/>
          <w:szCs w:val="20"/>
          <w:lang w:val="fr-CA"/>
        </w:rPr>
        <w:t>, L.R.C. 1985, ch.  C</w:t>
      </w:r>
      <w:r w:rsidRPr="00A85B4F">
        <w:rPr>
          <w:rFonts w:cs="Times New Roman"/>
          <w:sz w:val="20"/>
          <w:szCs w:val="20"/>
          <w:lang w:val="fr-CA"/>
        </w:rPr>
        <w:noBreakHyphen/>
        <w:t>46, porte</w:t>
      </w:r>
      <w:r w:rsidRPr="00A85B4F">
        <w:rPr>
          <w:rFonts w:cs="Times New Roman"/>
          <w:sz w:val="20"/>
          <w:szCs w:val="20"/>
          <w:lang w:val="fr-CA"/>
        </w:rPr>
        <w:noBreakHyphen/>
        <w:t>t</w:t>
      </w:r>
      <w:r w:rsidRPr="00A85B4F">
        <w:rPr>
          <w:rFonts w:cs="Times New Roman"/>
          <w:sz w:val="20"/>
          <w:szCs w:val="20"/>
          <w:lang w:val="fr-CA"/>
        </w:rPr>
        <w:noBreakHyphen/>
        <w:t xml:space="preserve">il atteinte à l’art. 7 de la </w:t>
      </w:r>
      <w:r w:rsidRPr="00A85B4F">
        <w:rPr>
          <w:rFonts w:cs="Times New Roman"/>
          <w:i/>
          <w:iCs/>
          <w:sz w:val="20"/>
          <w:szCs w:val="20"/>
          <w:lang w:val="fr-CA"/>
        </w:rPr>
        <w:t>Charte canadienne des droits et libertés</w:t>
      </w:r>
      <w:r w:rsidRPr="00A85B4F">
        <w:rPr>
          <w:rFonts w:cs="Times New Roman"/>
          <w:sz w:val="20"/>
          <w:szCs w:val="20"/>
          <w:lang w:val="fr-CA"/>
        </w:rPr>
        <w:t xml:space="preserve">? </w:t>
      </w:r>
      <w:r w:rsidRPr="00A85B4F">
        <w:rPr>
          <w:rFonts w:cs="Times New Roman"/>
          <w:sz w:val="20"/>
          <w:szCs w:val="20"/>
          <w:lang w:val="fr-CA"/>
        </w:rPr>
        <w:noBreakHyphen/>
        <w:t xml:space="preserve"> Dans l’affirmative, cette atteinte constitue</w:t>
      </w:r>
      <w:r w:rsidRPr="00A85B4F">
        <w:rPr>
          <w:rFonts w:cs="Times New Roman"/>
          <w:sz w:val="20"/>
          <w:szCs w:val="20"/>
          <w:lang w:val="fr-CA"/>
        </w:rPr>
        <w:noBreakHyphen/>
        <w:t>t</w:t>
      </w:r>
      <w:r w:rsidRPr="00A85B4F">
        <w:rPr>
          <w:rFonts w:cs="Times New Roman"/>
          <w:sz w:val="20"/>
          <w:szCs w:val="20"/>
          <w:lang w:val="fr-CA"/>
        </w:rPr>
        <w:noBreakHyphen/>
        <w:t xml:space="preserve">elle une limite raisonnable prescrite par une règle de droit et dont la justification peut se démontrer dans le cadre d’une société libre et démocratique, au sens de l’article premier de la </w:t>
      </w:r>
      <w:r w:rsidRPr="00A85B4F">
        <w:rPr>
          <w:rFonts w:cs="Times New Roman"/>
          <w:i/>
          <w:iCs/>
          <w:sz w:val="20"/>
          <w:szCs w:val="20"/>
          <w:lang w:val="fr-CA"/>
        </w:rPr>
        <w:t>Charte canadienne des droits et libertés</w:t>
      </w:r>
      <w:r w:rsidRPr="00A85B4F">
        <w:rPr>
          <w:rFonts w:cs="Times New Roman"/>
          <w:sz w:val="20"/>
          <w:szCs w:val="20"/>
          <w:lang w:val="fr-CA"/>
        </w:rPr>
        <w:t xml:space="preserve">? </w:t>
      </w:r>
      <w:r w:rsidRPr="00A85B4F">
        <w:rPr>
          <w:rFonts w:cs="Times New Roman"/>
          <w:sz w:val="20"/>
          <w:szCs w:val="20"/>
          <w:lang w:val="fr-CA"/>
        </w:rPr>
        <w:noBreakHyphen/>
        <w:t xml:space="preserve"> L’article 184.4 du </w:t>
      </w:r>
      <w:r w:rsidRPr="00A85B4F">
        <w:rPr>
          <w:rFonts w:cs="Times New Roman"/>
          <w:i/>
          <w:iCs/>
          <w:sz w:val="20"/>
          <w:szCs w:val="20"/>
          <w:lang w:val="fr-CA"/>
        </w:rPr>
        <w:t>Code criminel</w:t>
      </w:r>
      <w:r w:rsidRPr="00A85B4F">
        <w:rPr>
          <w:rFonts w:cs="Times New Roman"/>
          <w:sz w:val="20"/>
          <w:szCs w:val="20"/>
          <w:lang w:val="fr-CA"/>
        </w:rPr>
        <w:t>, L.R.C. 1985, ch.  C</w:t>
      </w:r>
      <w:r w:rsidRPr="00A85B4F">
        <w:rPr>
          <w:rFonts w:cs="Times New Roman"/>
          <w:sz w:val="20"/>
          <w:szCs w:val="20"/>
          <w:lang w:val="fr-CA"/>
        </w:rPr>
        <w:noBreakHyphen/>
        <w:t>46, porte</w:t>
      </w:r>
      <w:r w:rsidRPr="00A85B4F">
        <w:rPr>
          <w:rFonts w:cs="Times New Roman"/>
          <w:sz w:val="20"/>
          <w:szCs w:val="20"/>
          <w:lang w:val="fr-CA"/>
        </w:rPr>
        <w:noBreakHyphen/>
        <w:t>t</w:t>
      </w:r>
      <w:r w:rsidRPr="00A85B4F">
        <w:rPr>
          <w:rFonts w:cs="Times New Roman"/>
          <w:sz w:val="20"/>
          <w:szCs w:val="20"/>
          <w:lang w:val="fr-CA"/>
        </w:rPr>
        <w:noBreakHyphen/>
        <w:t xml:space="preserve">il atteinte à l’art. 8 de la </w:t>
      </w:r>
      <w:r w:rsidRPr="00A85B4F">
        <w:rPr>
          <w:rFonts w:cs="Times New Roman"/>
          <w:i/>
          <w:iCs/>
          <w:sz w:val="20"/>
          <w:szCs w:val="20"/>
          <w:lang w:val="fr-CA"/>
        </w:rPr>
        <w:t>Charte canadienne des droits et libertés</w:t>
      </w:r>
      <w:r w:rsidRPr="00A85B4F">
        <w:rPr>
          <w:rFonts w:cs="Times New Roman"/>
          <w:sz w:val="20"/>
          <w:szCs w:val="20"/>
          <w:lang w:val="fr-CA"/>
        </w:rPr>
        <w:t xml:space="preserve">? </w:t>
      </w:r>
      <w:r w:rsidRPr="00A85B4F">
        <w:rPr>
          <w:rFonts w:cs="Times New Roman"/>
          <w:sz w:val="20"/>
          <w:szCs w:val="20"/>
          <w:lang w:val="fr-CA"/>
        </w:rPr>
        <w:noBreakHyphen/>
        <w:t xml:space="preserve"> Dans l’affirmative, cette atteinte constitue</w:t>
      </w:r>
      <w:r w:rsidRPr="00A85B4F">
        <w:rPr>
          <w:rFonts w:cs="Times New Roman"/>
          <w:sz w:val="20"/>
          <w:szCs w:val="20"/>
          <w:lang w:val="fr-CA"/>
        </w:rPr>
        <w:noBreakHyphen/>
        <w:t>t</w:t>
      </w:r>
      <w:r w:rsidRPr="00A85B4F">
        <w:rPr>
          <w:rFonts w:cs="Times New Roman"/>
          <w:sz w:val="20"/>
          <w:szCs w:val="20"/>
          <w:lang w:val="fr-CA"/>
        </w:rPr>
        <w:noBreakHyphen/>
        <w:t xml:space="preserve">elle une limite raisonnable prescrite par une règle de droit et dont la justification peut se démontrer dans le cadre d’une société libre et démocratique, au sens de l’article premier de la </w:t>
      </w:r>
      <w:r w:rsidRPr="00A85B4F">
        <w:rPr>
          <w:rFonts w:cs="Times New Roman"/>
          <w:i/>
          <w:iCs/>
          <w:sz w:val="20"/>
          <w:szCs w:val="20"/>
          <w:lang w:val="fr-CA"/>
        </w:rPr>
        <w:t>Charte canadienne des droits et libertés</w:t>
      </w:r>
      <w:r w:rsidRPr="00A85B4F">
        <w:rPr>
          <w:rFonts w:cs="Times New Roman"/>
          <w:sz w:val="20"/>
          <w:szCs w:val="20"/>
          <w:lang w:val="fr-CA"/>
        </w:rPr>
        <w:t xml:space="preserve">? </w:t>
      </w:r>
      <w:r w:rsidRPr="00A85B4F">
        <w:rPr>
          <w:rFonts w:cs="Times New Roman"/>
          <w:sz w:val="20"/>
          <w:szCs w:val="20"/>
          <w:lang w:val="fr-CA"/>
        </w:rPr>
        <w:noBreakHyphen/>
        <w:t xml:space="preserve"> L’article 184.4 du </w:t>
      </w:r>
      <w:r w:rsidRPr="00A85B4F">
        <w:rPr>
          <w:rFonts w:cs="Times New Roman"/>
          <w:i/>
          <w:iCs/>
          <w:sz w:val="20"/>
          <w:szCs w:val="20"/>
          <w:lang w:val="fr-CA"/>
        </w:rPr>
        <w:t>Code criminel</w:t>
      </w:r>
      <w:r w:rsidRPr="00A85B4F">
        <w:rPr>
          <w:rFonts w:cs="Times New Roman"/>
          <w:sz w:val="20"/>
          <w:szCs w:val="20"/>
          <w:lang w:val="fr-CA"/>
        </w:rPr>
        <w:t>, L.R.C. 1985, ch. C</w:t>
      </w:r>
      <w:r w:rsidRPr="00A85B4F">
        <w:rPr>
          <w:rFonts w:cs="Times New Roman"/>
          <w:sz w:val="20"/>
          <w:szCs w:val="20"/>
          <w:lang w:val="fr-CA"/>
        </w:rPr>
        <w:noBreakHyphen/>
        <w:t>46, porte</w:t>
      </w:r>
      <w:r w:rsidRPr="00A85B4F">
        <w:rPr>
          <w:rFonts w:cs="Times New Roman"/>
          <w:sz w:val="20"/>
          <w:szCs w:val="20"/>
          <w:lang w:val="fr-CA"/>
        </w:rPr>
        <w:noBreakHyphen/>
        <w:t>t</w:t>
      </w:r>
      <w:r w:rsidRPr="00A85B4F">
        <w:rPr>
          <w:rFonts w:cs="Times New Roman"/>
          <w:sz w:val="20"/>
          <w:szCs w:val="20"/>
          <w:lang w:val="fr-CA"/>
        </w:rPr>
        <w:noBreakHyphen/>
        <w:t xml:space="preserve">il atteinte à l’al. 11d) de la </w:t>
      </w:r>
      <w:r w:rsidRPr="00A85B4F">
        <w:rPr>
          <w:rFonts w:cs="Times New Roman"/>
          <w:i/>
          <w:iCs/>
          <w:sz w:val="20"/>
          <w:szCs w:val="20"/>
          <w:lang w:val="fr-CA"/>
        </w:rPr>
        <w:t>Charte canadienne des droits et libertés</w:t>
      </w:r>
      <w:r w:rsidRPr="00A85B4F">
        <w:rPr>
          <w:rFonts w:cs="Times New Roman"/>
          <w:sz w:val="20"/>
          <w:szCs w:val="20"/>
          <w:lang w:val="fr-CA"/>
        </w:rPr>
        <w:t xml:space="preserve">? </w:t>
      </w:r>
      <w:r w:rsidRPr="00A85B4F">
        <w:rPr>
          <w:rFonts w:cs="Times New Roman"/>
          <w:sz w:val="20"/>
          <w:szCs w:val="20"/>
          <w:lang w:val="fr-CA"/>
        </w:rPr>
        <w:noBreakHyphen/>
        <w:t xml:space="preserve"> Dans l’affirmative, cette atteinte constitue</w:t>
      </w:r>
      <w:r w:rsidRPr="00A85B4F">
        <w:rPr>
          <w:rFonts w:cs="Times New Roman"/>
          <w:sz w:val="20"/>
          <w:szCs w:val="20"/>
          <w:lang w:val="fr-CA"/>
        </w:rPr>
        <w:noBreakHyphen/>
        <w:t>t</w:t>
      </w:r>
      <w:r w:rsidRPr="00A85B4F">
        <w:rPr>
          <w:rFonts w:cs="Times New Roman"/>
          <w:sz w:val="20"/>
          <w:szCs w:val="20"/>
          <w:lang w:val="fr-CA"/>
        </w:rPr>
        <w:noBreakHyphen/>
        <w:t xml:space="preserve">elle une limite raisonnable prescrite par une règle de droit et dont la justification peut se démontrer dans le cadre d’une société libre et démocratique, au sens de l’article premier de la </w:t>
      </w:r>
      <w:r w:rsidRPr="00A85B4F">
        <w:rPr>
          <w:rFonts w:cs="Times New Roman"/>
          <w:i/>
          <w:iCs/>
          <w:sz w:val="20"/>
          <w:szCs w:val="20"/>
          <w:lang w:val="fr-CA"/>
        </w:rPr>
        <w:t>Charte canadienne des droits et libertés</w:t>
      </w:r>
      <w:r w:rsidRPr="00A85B4F">
        <w:rPr>
          <w:rFonts w:cs="Times New Roman"/>
          <w:sz w:val="20"/>
          <w:szCs w:val="20"/>
          <w:lang w:val="fr-CA"/>
        </w:rPr>
        <w:t xml:space="preserve">? </w:t>
      </w:r>
      <w:r w:rsidRPr="00A85B4F">
        <w:rPr>
          <w:rFonts w:cs="Times New Roman"/>
          <w:sz w:val="20"/>
          <w:szCs w:val="20"/>
          <w:lang w:val="fr-CA"/>
        </w:rPr>
        <w:noBreakHyphen/>
        <w:t xml:space="preserve"> Si l’art. 184.4 du </w:t>
      </w:r>
      <w:r w:rsidRPr="00A85B4F">
        <w:rPr>
          <w:rFonts w:cs="Times New Roman"/>
          <w:i/>
          <w:iCs/>
          <w:sz w:val="20"/>
          <w:szCs w:val="20"/>
          <w:lang w:val="fr-CA"/>
        </w:rPr>
        <w:t>Code criminel</w:t>
      </w:r>
      <w:r w:rsidRPr="00A85B4F">
        <w:rPr>
          <w:rFonts w:cs="Times New Roman"/>
          <w:sz w:val="20"/>
          <w:szCs w:val="20"/>
          <w:lang w:val="fr-CA"/>
        </w:rPr>
        <w:t>, L.R.C. 1985, ch.  C</w:t>
      </w:r>
      <w:r w:rsidRPr="00A85B4F">
        <w:rPr>
          <w:rFonts w:cs="Times New Roman"/>
          <w:sz w:val="20"/>
          <w:szCs w:val="20"/>
          <w:lang w:val="fr-CA"/>
        </w:rPr>
        <w:noBreakHyphen/>
        <w:t xml:space="preserve">46, porte atteinte à la </w:t>
      </w:r>
      <w:r w:rsidRPr="00A85B4F">
        <w:rPr>
          <w:rFonts w:cs="Times New Roman"/>
          <w:i/>
          <w:iCs/>
          <w:sz w:val="20"/>
          <w:szCs w:val="20"/>
          <w:lang w:val="fr-CA"/>
        </w:rPr>
        <w:t>Charte canadienne des droits et libertés</w:t>
      </w:r>
      <w:r w:rsidRPr="00A85B4F">
        <w:rPr>
          <w:rFonts w:cs="Times New Roman"/>
          <w:iCs/>
          <w:sz w:val="20"/>
          <w:szCs w:val="20"/>
          <w:lang w:val="fr-CA"/>
        </w:rPr>
        <w:t>, est</w:t>
      </w:r>
      <w:r w:rsidRPr="00A85B4F">
        <w:rPr>
          <w:rFonts w:cs="Times New Roman"/>
          <w:iCs/>
          <w:sz w:val="20"/>
          <w:szCs w:val="20"/>
          <w:lang w:val="fr-CA"/>
        </w:rPr>
        <w:noBreakHyphen/>
        <w:t xml:space="preserve">il nécessaire de le déclarer inopérant aux termes du </w:t>
      </w:r>
      <w:r w:rsidRPr="00A85B4F">
        <w:rPr>
          <w:rFonts w:cs="Times New Roman"/>
          <w:sz w:val="20"/>
          <w:szCs w:val="20"/>
          <w:lang w:val="fr-CA"/>
        </w:rPr>
        <w:t xml:space="preserve">par. 52(1) de la </w:t>
      </w:r>
      <w:r w:rsidRPr="00A85B4F">
        <w:rPr>
          <w:rFonts w:cs="Times New Roman"/>
          <w:i/>
          <w:iCs/>
          <w:sz w:val="20"/>
          <w:szCs w:val="20"/>
          <w:lang w:val="fr-CA"/>
        </w:rPr>
        <w:t xml:space="preserve">Loi constitutionnelle de 1982 </w:t>
      </w:r>
      <w:r w:rsidRPr="00A85B4F">
        <w:rPr>
          <w:rFonts w:cs="Times New Roman"/>
          <w:iCs/>
          <w:sz w:val="20"/>
          <w:szCs w:val="20"/>
          <w:lang w:val="fr-CA"/>
        </w:rPr>
        <w:t>ou existe</w:t>
      </w:r>
      <w:r w:rsidRPr="00A85B4F">
        <w:rPr>
          <w:rFonts w:cs="Times New Roman"/>
          <w:iCs/>
          <w:sz w:val="20"/>
          <w:szCs w:val="20"/>
          <w:lang w:val="fr-CA"/>
        </w:rPr>
        <w:noBreakHyphen/>
        <w:t>t</w:t>
      </w:r>
      <w:r w:rsidRPr="00A85B4F">
        <w:rPr>
          <w:rFonts w:cs="Times New Roman"/>
          <w:iCs/>
          <w:sz w:val="20"/>
          <w:szCs w:val="20"/>
          <w:lang w:val="fr-CA"/>
        </w:rPr>
        <w:noBreakHyphen/>
        <w:t>il une réparation moins draconienne</w:t>
      </w:r>
      <w:r w:rsidRPr="00A85B4F">
        <w:rPr>
          <w:rFonts w:cs="Times New Roman"/>
          <w:sz w:val="20"/>
          <w:szCs w:val="20"/>
          <w:lang w:val="fr-CA"/>
        </w:rPr>
        <w:t>?</w:t>
      </w:r>
    </w:p>
    <w:p w:rsidR="00DC4C93" w:rsidRPr="00A85B4F" w:rsidRDefault="00DC4C93" w:rsidP="00DC4C93">
      <w:pPr>
        <w:widowControl w:val="0"/>
        <w:jc w:val="both"/>
        <w:rPr>
          <w:rFonts w:cs="Times New Roman"/>
          <w:sz w:val="20"/>
          <w:szCs w:val="20"/>
          <w:lang w:val="fr-CA"/>
        </w:rPr>
      </w:pPr>
    </w:p>
    <w:p w:rsidR="00DC4C93" w:rsidRPr="00A85B4F" w:rsidRDefault="00460701" w:rsidP="00DC4C93">
      <w:pPr>
        <w:widowControl w:val="0"/>
        <w:jc w:val="both"/>
        <w:rPr>
          <w:rFonts w:cs="Times New Roman"/>
          <w:sz w:val="20"/>
          <w:szCs w:val="20"/>
          <w:lang w:val="fr-CA"/>
        </w:rPr>
      </w:pPr>
      <w:r w:rsidRPr="00A85B4F">
        <w:rPr>
          <w:rFonts w:cs="Times New Roman"/>
          <w:sz w:val="20"/>
          <w:szCs w:val="20"/>
          <w:lang w:val="fr-CA"/>
        </w:rPr>
        <w:fldChar w:fldCharType="begin"/>
      </w:r>
      <w:r w:rsidR="00DC4C93" w:rsidRPr="00A85B4F">
        <w:rPr>
          <w:rFonts w:cs="Times New Roman"/>
          <w:sz w:val="20"/>
          <w:szCs w:val="20"/>
          <w:lang w:val="fr-CA"/>
        </w:rPr>
        <w:instrText xml:space="preserve"> SEQ CHAPTER \h \r 1</w:instrText>
      </w:r>
      <w:r w:rsidRPr="00A85B4F">
        <w:rPr>
          <w:rFonts w:cs="Times New Roman"/>
          <w:sz w:val="20"/>
          <w:szCs w:val="20"/>
          <w:lang w:val="fr-CA"/>
        </w:rPr>
        <w:fldChar w:fldCharType="end"/>
      </w:r>
      <w:r w:rsidR="00DC4C93" w:rsidRPr="00A85B4F">
        <w:rPr>
          <w:rFonts w:cs="Times New Roman"/>
          <w:sz w:val="20"/>
          <w:szCs w:val="20"/>
          <w:lang w:val="fr-CA"/>
        </w:rPr>
        <w:t xml:space="preserve">L’article 184.4 du </w:t>
      </w:r>
      <w:r w:rsidR="00DC4C93" w:rsidRPr="00A85B4F">
        <w:rPr>
          <w:rFonts w:cs="Times New Roman"/>
          <w:i/>
          <w:iCs/>
          <w:sz w:val="20"/>
          <w:szCs w:val="20"/>
          <w:lang w:val="fr-CA"/>
        </w:rPr>
        <w:t>Code</w:t>
      </w:r>
      <w:r w:rsidR="00DC4C93" w:rsidRPr="00A85B4F">
        <w:rPr>
          <w:rFonts w:cs="Times New Roman"/>
          <w:sz w:val="20"/>
          <w:szCs w:val="20"/>
          <w:lang w:val="fr-CA"/>
        </w:rPr>
        <w:t xml:space="preserve"> prévoit qu’un agent de la paix peut intercepter une communication privée, sans autorisation judiciaire préalable si les conditions suivantes sont réunies : (i) il a des motifs raisonnables de croire qu’une autorisation ne peut être obtenue, vue l’urgence de la situation; (ii) il a des motifs raisonnables de croire qu’une interception immédiate est nécessaire pour empêcher un acte illicite qui causerait des dommages sérieux à une personne ou un bien;  (iii) l’auteur de la communication ou la personne à laquelle celui</w:t>
      </w:r>
      <w:r w:rsidR="00DC4C93" w:rsidRPr="00A85B4F">
        <w:rPr>
          <w:rFonts w:cs="Times New Roman"/>
          <w:sz w:val="20"/>
          <w:szCs w:val="20"/>
          <w:lang w:val="fr-CA"/>
        </w:rPr>
        <w:noBreakHyphen/>
        <w:t xml:space="preserve">ci la destine est soit la victime visée, soit la personne dont les actes sont susceptibles de causer les dommages.  En l’espèce, la police s’est appuyée sur l’art. 184.4 pour intercepter des communications privées dans le contexte de l’enlèvement présumé de trois personnes.  Le ministère public a ensuite tenté de présenter des éléments de preuve recueillis à partir de ces interceptions au procès des intimés pour leurs rôles allégués relativement à des accusations d’enlèvement, de séquestration et d’extorsion.  Les intimés ont contesté la validité constitutionnelle de l’art. 184.4 du </w:t>
      </w:r>
      <w:r w:rsidR="00DC4C93" w:rsidRPr="00A85B4F">
        <w:rPr>
          <w:rFonts w:cs="Times New Roman"/>
          <w:i/>
          <w:iCs/>
          <w:sz w:val="20"/>
          <w:szCs w:val="20"/>
          <w:lang w:val="fr-CA"/>
        </w:rPr>
        <w:t>Code criminel</w:t>
      </w:r>
      <w:r w:rsidR="00DC4C93" w:rsidRPr="00A85B4F">
        <w:rPr>
          <w:rFonts w:cs="Times New Roman"/>
          <w:sz w:val="20"/>
          <w:szCs w:val="20"/>
          <w:lang w:val="fr-CA"/>
        </w:rPr>
        <w:t xml:space="preserve"> en s’appuyant sur l’art. 52 de la </w:t>
      </w:r>
      <w:r w:rsidR="00DC4C93" w:rsidRPr="00A85B4F">
        <w:rPr>
          <w:rFonts w:cs="Times New Roman"/>
          <w:i/>
          <w:iCs/>
          <w:sz w:val="20"/>
          <w:szCs w:val="20"/>
          <w:lang w:val="fr-CA"/>
        </w:rPr>
        <w:t>Loi constitutionnelle de 1982</w:t>
      </w:r>
      <w:r w:rsidR="00DC4C93" w:rsidRPr="00A85B4F">
        <w:rPr>
          <w:rFonts w:cs="Times New Roman"/>
          <w:sz w:val="20"/>
          <w:szCs w:val="20"/>
          <w:lang w:val="fr-CA"/>
        </w:rPr>
        <w:t xml:space="preserve">, et des articles 7, 8 et 11 d) de la </w:t>
      </w:r>
      <w:r w:rsidR="00DC4C93" w:rsidRPr="00A85B4F">
        <w:rPr>
          <w:rFonts w:cs="Times New Roman"/>
          <w:i/>
          <w:iCs/>
          <w:sz w:val="20"/>
          <w:szCs w:val="20"/>
          <w:lang w:val="fr-CA"/>
        </w:rPr>
        <w:t>Charte</w:t>
      </w:r>
      <w:r w:rsidR="00DC4C93" w:rsidRPr="00A85B4F">
        <w:rPr>
          <w:rFonts w:cs="Times New Roman"/>
          <w:sz w:val="20"/>
          <w:szCs w:val="20"/>
          <w:lang w:val="fr-CA"/>
        </w:rPr>
        <w:t xml:space="preserve">.  Ils ont également contesté la manière dont la police avait mis en œuvre l’art. 184.4, l’admissibilité de la preuve obtenue en vertu de cette disposition et l’admissibilité de la preuve obtenue en vertu d’autorisations judiciaires subséquentes délivrées en application de l’art. 186 du </w:t>
      </w:r>
      <w:r w:rsidR="00DC4C93" w:rsidRPr="00A85B4F">
        <w:rPr>
          <w:rFonts w:cs="Times New Roman"/>
          <w:i/>
          <w:iCs/>
          <w:sz w:val="20"/>
          <w:szCs w:val="20"/>
          <w:lang w:val="fr-CA"/>
        </w:rPr>
        <w:t>Code criminel</w:t>
      </w:r>
      <w:r w:rsidR="00DC4C93" w:rsidRPr="00A85B4F">
        <w:rPr>
          <w:rFonts w:cs="Times New Roman"/>
          <w:sz w:val="20"/>
          <w:szCs w:val="20"/>
          <w:lang w:val="fr-CA"/>
        </w:rPr>
        <w:t xml:space="preserve">. </w:t>
      </w: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r w:rsidRPr="00A85B4F">
        <w:rPr>
          <w:rFonts w:cs="Times New Roman"/>
          <w:sz w:val="20"/>
          <w:szCs w:val="20"/>
          <w:lang w:val="fr-CA"/>
        </w:rPr>
        <w:t>Origine :</w:t>
      </w:r>
      <w:r w:rsidRPr="00A85B4F">
        <w:rPr>
          <w:rFonts w:cs="Times New Roman"/>
          <w:sz w:val="20"/>
          <w:szCs w:val="20"/>
          <w:lang w:val="fr-CA"/>
        </w:rPr>
        <w:tab/>
      </w:r>
      <w:r w:rsidRPr="00A85B4F">
        <w:rPr>
          <w:rFonts w:cs="Times New Roman"/>
          <w:sz w:val="20"/>
          <w:szCs w:val="20"/>
          <w:lang w:val="fr-CA"/>
        </w:rPr>
        <w:tab/>
      </w:r>
      <w:r w:rsidRPr="00A85B4F">
        <w:rPr>
          <w:rFonts w:cs="Times New Roman"/>
          <w:sz w:val="20"/>
          <w:szCs w:val="20"/>
          <w:lang w:val="fr-CA"/>
        </w:rPr>
        <w:tab/>
      </w:r>
      <w:r w:rsidRPr="00A85B4F">
        <w:rPr>
          <w:rFonts w:cs="Times New Roman"/>
          <w:sz w:val="20"/>
          <w:szCs w:val="20"/>
          <w:lang w:val="fr-CA"/>
        </w:rPr>
        <w:tab/>
      </w:r>
      <w:r w:rsidRPr="00A85B4F">
        <w:rPr>
          <w:rFonts w:cs="Times New Roman"/>
          <w:sz w:val="20"/>
          <w:szCs w:val="20"/>
          <w:lang w:val="fr-CA"/>
        </w:rPr>
        <w:tab/>
        <w:t>Colombie</w:t>
      </w:r>
      <w:r w:rsidRPr="00A85B4F">
        <w:rPr>
          <w:rFonts w:cs="Times New Roman"/>
          <w:sz w:val="20"/>
          <w:szCs w:val="20"/>
          <w:lang w:val="fr-CA"/>
        </w:rPr>
        <w:noBreakHyphen/>
        <w:t>Britannique</w:t>
      </w: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r w:rsidRPr="00A85B4F">
        <w:rPr>
          <w:rFonts w:cs="Times New Roman"/>
          <w:sz w:val="20"/>
          <w:szCs w:val="20"/>
          <w:lang w:val="fr-CA"/>
        </w:rPr>
        <w:t>N</w:t>
      </w:r>
      <w:r w:rsidRPr="00A85B4F">
        <w:rPr>
          <w:rFonts w:cs="Times New Roman"/>
          <w:sz w:val="20"/>
          <w:szCs w:val="20"/>
          <w:vertAlign w:val="superscript"/>
          <w:lang w:val="fr-CA"/>
        </w:rPr>
        <w:t xml:space="preserve">o </w:t>
      </w:r>
      <w:r w:rsidRPr="00A85B4F">
        <w:rPr>
          <w:rFonts w:cs="Times New Roman"/>
          <w:sz w:val="20"/>
          <w:szCs w:val="20"/>
          <w:lang w:val="fr-CA"/>
        </w:rPr>
        <w:t>du greffe :</w:t>
      </w:r>
      <w:r w:rsidRPr="00A85B4F">
        <w:rPr>
          <w:rFonts w:cs="Times New Roman"/>
          <w:sz w:val="20"/>
          <w:szCs w:val="20"/>
          <w:lang w:val="fr-CA"/>
        </w:rPr>
        <w:tab/>
      </w:r>
      <w:r w:rsidRPr="00A85B4F">
        <w:rPr>
          <w:rFonts w:cs="Times New Roman"/>
          <w:sz w:val="20"/>
          <w:szCs w:val="20"/>
          <w:lang w:val="fr-CA"/>
        </w:rPr>
        <w:tab/>
      </w:r>
      <w:r w:rsidRPr="00A85B4F">
        <w:rPr>
          <w:rFonts w:cs="Times New Roman"/>
          <w:sz w:val="20"/>
          <w:szCs w:val="20"/>
          <w:lang w:val="fr-CA"/>
        </w:rPr>
        <w:tab/>
      </w:r>
      <w:r w:rsidRPr="00A85B4F">
        <w:rPr>
          <w:rFonts w:cs="Times New Roman"/>
          <w:sz w:val="20"/>
          <w:szCs w:val="20"/>
          <w:lang w:val="fr-CA"/>
        </w:rPr>
        <w:tab/>
        <w:t>33751</w:t>
      </w: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jc w:val="both"/>
        <w:rPr>
          <w:rFonts w:cs="Times New Roman"/>
          <w:sz w:val="20"/>
          <w:szCs w:val="20"/>
          <w:lang w:val="fr-CA"/>
        </w:rPr>
      </w:pPr>
      <w:r w:rsidRPr="00A85B4F">
        <w:rPr>
          <w:rFonts w:cs="Times New Roman"/>
          <w:sz w:val="20"/>
          <w:szCs w:val="20"/>
          <w:lang w:val="fr-CA"/>
        </w:rPr>
        <w:t xml:space="preserve">Jugement de la Cour suprême </w:t>
      </w:r>
    </w:p>
    <w:p w:rsidR="00DC4C93" w:rsidRPr="00A85B4F" w:rsidRDefault="00DC4C93" w:rsidP="00DC4C93">
      <w:pPr>
        <w:widowControl w:val="0"/>
        <w:jc w:val="both"/>
        <w:rPr>
          <w:rFonts w:cs="Times New Roman"/>
          <w:sz w:val="20"/>
          <w:szCs w:val="20"/>
          <w:lang w:val="fr-CA"/>
        </w:rPr>
      </w:pPr>
      <w:r w:rsidRPr="00A85B4F">
        <w:rPr>
          <w:rFonts w:cs="Times New Roman"/>
          <w:sz w:val="20"/>
          <w:szCs w:val="20"/>
          <w:lang w:val="fr-CA"/>
        </w:rPr>
        <w:t>de la Colombie</w:t>
      </w:r>
      <w:r w:rsidRPr="00A85B4F">
        <w:rPr>
          <w:rFonts w:cs="Times New Roman"/>
          <w:sz w:val="20"/>
          <w:szCs w:val="20"/>
          <w:lang w:val="fr-CA"/>
        </w:rPr>
        <w:noBreakHyphen/>
        <w:t>Britannique :</w:t>
      </w:r>
      <w:r w:rsidRPr="00A85B4F">
        <w:rPr>
          <w:rFonts w:cs="Times New Roman"/>
          <w:sz w:val="20"/>
          <w:szCs w:val="20"/>
          <w:lang w:val="fr-CA"/>
        </w:rPr>
        <w:tab/>
      </w:r>
      <w:r w:rsidRPr="00A85B4F">
        <w:rPr>
          <w:rFonts w:cs="Times New Roman"/>
          <w:sz w:val="20"/>
          <w:szCs w:val="20"/>
          <w:lang w:val="fr-CA"/>
        </w:rPr>
        <w:tab/>
        <w:t>le 22 février 2008</w:t>
      </w:r>
    </w:p>
    <w:p w:rsidR="00DC4C93" w:rsidRPr="00A85B4F" w:rsidRDefault="00DC4C93" w:rsidP="00DC4C93">
      <w:pPr>
        <w:widowControl w:val="0"/>
        <w:jc w:val="both"/>
        <w:rPr>
          <w:rFonts w:cs="Times New Roman"/>
          <w:sz w:val="20"/>
          <w:szCs w:val="20"/>
          <w:lang w:val="fr-CA"/>
        </w:rPr>
      </w:pPr>
    </w:p>
    <w:p w:rsidR="00DC4C93" w:rsidRPr="00A85B4F" w:rsidRDefault="00DC4C93" w:rsidP="00DC4C93">
      <w:pPr>
        <w:widowControl w:val="0"/>
        <w:ind w:left="3600" w:hanging="3600"/>
        <w:jc w:val="both"/>
        <w:rPr>
          <w:rFonts w:cs="Times New Roman"/>
          <w:sz w:val="20"/>
          <w:szCs w:val="20"/>
          <w:lang w:val="fr-CA"/>
        </w:rPr>
      </w:pPr>
      <w:r w:rsidRPr="00A85B4F">
        <w:rPr>
          <w:rFonts w:cs="Times New Roman"/>
          <w:sz w:val="20"/>
          <w:szCs w:val="20"/>
          <w:lang w:val="fr-CA"/>
        </w:rPr>
        <w:t>Avocats :</w:t>
      </w:r>
      <w:r w:rsidRPr="00A85B4F">
        <w:rPr>
          <w:rFonts w:cs="Times New Roman"/>
          <w:sz w:val="20"/>
          <w:szCs w:val="20"/>
          <w:lang w:val="fr-CA"/>
        </w:rPr>
        <w:tab/>
        <w:t>Trevor Shaw et Samiran Lakshman pour l’appelante</w:t>
      </w:r>
    </w:p>
    <w:p w:rsidR="00DC4C93" w:rsidRPr="00A85B4F" w:rsidRDefault="00DC4C93" w:rsidP="00DC4C93">
      <w:pPr>
        <w:widowControl w:val="0"/>
        <w:ind w:left="3600" w:hanging="3600"/>
        <w:jc w:val="both"/>
        <w:rPr>
          <w:rFonts w:cs="Times New Roman"/>
          <w:sz w:val="20"/>
          <w:szCs w:val="20"/>
        </w:rPr>
      </w:pPr>
      <w:r w:rsidRPr="00A85B4F">
        <w:rPr>
          <w:rFonts w:cs="Times New Roman"/>
          <w:sz w:val="20"/>
          <w:szCs w:val="20"/>
          <w:lang w:val="fr-CA"/>
        </w:rPr>
        <w:tab/>
      </w:r>
      <w:r w:rsidRPr="00A85B4F">
        <w:rPr>
          <w:rFonts w:cs="Times New Roman"/>
          <w:sz w:val="20"/>
          <w:szCs w:val="20"/>
        </w:rPr>
        <w:t>Simon R.A. Buck pour l’intimé Yat Fung Albert Tse</w:t>
      </w:r>
    </w:p>
    <w:p w:rsidR="00DC4C93" w:rsidRPr="00A85B4F" w:rsidRDefault="00DC4C93" w:rsidP="00DC4C93">
      <w:pPr>
        <w:widowControl w:val="0"/>
        <w:ind w:left="3600" w:hanging="3600"/>
        <w:jc w:val="both"/>
        <w:rPr>
          <w:rFonts w:cs="Times New Roman"/>
          <w:sz w:val="20"/>
          <w:szCs w:val="20"/>
        </w:rPr>
      </w:pPr>
      <w:r w:rsidRPr="00A85B4F">
        <w:rPr>
          <w:rFonts w:cs="Times New Roman"/>
          <w:sz w:val="20"/>
          <w:szCs w:val="20"/>
        </w:rPr>
        <w:tab/>
        <w:t>Brent V. Bagnall pour l’intimé Nhan Trong Ly</w:t>
      </w:r>
    </w:p>
    <w:p w:rsidR="00DC4C93" w:rsidRPr="00A85B4F" w:rsidRDefault="00DC4C93" w:rsidP="00DC4C93">
      <w:pPr>
        <w:widowControl w:val="0"/>
        <w:ind w:left="3600" w:hanging="3600"/>
        <w:jc w:val="both"/>
        <w:rPr>
          <w:rFonts w:cs="Times New Roman"/>
          <w:sz w:val="20"/>
          <w:szCs w:val="20"/>
        </w:rPr>
      </w:pPr>
      <w:r w:rsidRPr="00A85B4F">
        <w:rPr>
          <w:rFonts w:cs="Times New Roman"/>
          <w:sz w:val="20"/>
          <w:szCs w:val="20"/>
        </w:rPr>
        <w:tab/>
        <w:t>Howard Rubin, c.r. pour l’intimé Viet Bac Nguyen</w:t>
      </w:r>
    </w:p>
    <w:p w:rsidR="00DC4C93" w:rsidRPr="00A85B4F" w:rsidRDefault="00DC4C93" w:rsidP="00DC4C93">
      <w:pPr>
        <w:widowControl w:val="0"/>
        <w:ind w:left="3600" w:hanging="3600"/>
        <w:jc w:val="both"/>
        <w:rPr>
          <w:rFonts w:cs="Times New Roman"/>
          <w:sz w:val="20"/>
          <w:szCs w:val="20"/>
        </w:rPr>
      </w:pPr>
      <w:r w:rsidRPr="00A85B4F">
        <w:rPr>
          <w:rFonts w:cs="Times New Roman"/>
          <w:sz w:val="20"/>
          <w:szCs w:val="20"/>
        </w:rPr>
        <w:tab/>
        <w:t>Kenneth S. Westlake, c.r. pour l’intimé Huong Dac Doan</w:t>
      </w:r>
    </w:p>
    <w:p w:rsidR="00DC4C93" w:rsidRPr="00A85B4F" w:rsidRDefault="00DC4C93" w:rsidP="00DC4C93">
      <w:pPr>
        <w:widowControl w:val="0"/>
        <w:ind w:left="3600" w:hanging="3600"/>
        <w:jc w:val="both"/>
        <w:rPr>
          <w:rFonts w:cs="Times New Roman"/>
          <w:sz w:val="20"/>
          <w:szCs w:val="20"/>
          <w:lang w:val="fr-CA"/>
        </w:rPr>
      </w:pPr>
      <w:r w:rsidRPr="00DC4C93">
        <w:rPr>
          <w:rFonts w:cs="Times New Roman"/>
          <w:sz w:val="20"/>
          <w:szCs w:val="20"/>
        </w:rPr>
        <w:tab/>
      </w:r>
      <w:r w:rsidRPr="00A85B4F">
        <w:rPr>
          <w:rFonts w:cs="Times New Roman"/>
          <w:sz w:val="20"/>
          <w:szCs w:val="20"/>
          <w:lang w:val="fr-CA"/>
        </w:rPr>
        <w:t>Ian Donaldson, c.r. pour les intimés Daniel Luis Soux et Myles Alexander Vandrick</w:t>
      </w:r>
    </w:p>
    <w:p w:rsidR="00201497" w:rsidRDefault="00201497">
      <w:pPr>
        <w:rPr>
          <w:sz w:val="20"/>
          <w:szCs w:val="20"/>
          <w:lang w:val="fr-CA"/>
        </w:rPr>
      </w:pPr>
    </w:p>
    <w:p w:rsidR="00201497" w:rsidRDefault="00460701">
      <w:pPr>
        <w:rPr>
          <w:sz w:val="20"/>
          <w:szCs w:val="20"/>
          <w:lang w:val="fr-CA"/>
        </w:rPr>
      </w:pPr>
      <w:r w:rsidRPr="00460701">
        <w:rPr>
          <w:sz w:val="20"/>
          <w:szCs w:val="20"/>
          <w:lang w:val="fr-CA"/>
        </w:rPr>
        <w:pict>
          <v:rect id="_x0000_i1112" style="width:2in;height:1pt" o:hrpct="0" o:hralign="center" o:hrstd="t" o:hrnoshade="t" o:hr="t" fillcolor="black [3213]" stroked="f"/>
        </w:pict>
      </w:r>
    </w:p>
    <w:p w:rsidR="00201497" w:rsidRDefault="00201497">
      <w:pPr>
        <w:rPr>
          <w:sz w:val="20"/>
          <w:szCs w:val="20"/>
          <w:lang w:val="fr-CA"/>
        </w:rPr>
      </w:pPr>
    </w:p>
    <w:p w:rsidR="000B3C9A" w:rsidRPr="00DD0B49" w:rsidRDefault="000B3C9A" w:rsidP="000B3C9A">
      <w:pPr>
        <w:tabs>
          <w:tab w:val="left" w:pos="-1440"/>
          <w:tab w:val="left" w:pos="-720"/>
        </w:tabs>
        <w:jc w:val="both"/>
        <w:rPr>
          <w:sz w:val="20"/>
          <w:szCs w:val="20"/>
          <w:lang w:val="fr-CA"/>
        </w:rPr>
      </w:pPr>
    </w:p>
    <w:p w:rsidR="000B3C9A" w:rsidRPr="00DD0B49" w:rsidRDefault="000B3C9A" w:rsidP="000B3C9A">
      <w:pPr>
        <w:tabs>
          <w:tab w:val="left" w:pos="-1440"/>
          <w:tab w:val="left" w:pos="-720"/>
        </w:tabs>
        <w:jc w:val="both"/>
        <w:rPr>
          <w:sz w:val="20"/>
          <w:szCs w:val="20"/>
          <w:lang w:val="fr-CA"/>
        </w:rPr>
      </w:pPr>
    </w:p>
    <w:p w:rsidR="005F263E" w:rsidRPr="00C50A5C" w:rsidRDefault="005F263E" w:rsidP="00782AE4">
      <w:pPr>
        <w:jc w:val="both"/>
        <w:rPr>
          <w:sz w:val="20"/>
          <w:szCs w:val="20"/>
          <w:lang w:val="fr-CA"/>
        </w:rPr>
      </w:pPr>
    </w:p>
    <w:p w:rsidR="005F263E" w:rsidRPr="00C50A5C" w:rsidRDefault="005F263E" w:rsidP="00782AE4">
      <w:pPr>
        <w:jc w:val="both"/>
        <w:rPr>
          <w:sz w:val="20"/>
          <w:szCs w:val="20"/>
          <w:lang w:val="fr-CA"/>
        </w:rPr>
        <w:sectPr w:rsidR="005F263E" w:rsidRPr="00C50A5C" w:rsidSect="005F263E">
          <w:headerReference w:type="default" r:id="rId58"/>
          <w:footerReference w:type="default" r:id="rId59"/>
          <w:headerReference w:type="first" r:id="rId60"/>
          <w:footerReference w:type="first" r:id="rId61"/>
          <w:pgSz w:w="12240" w:h="15840"/>
          <w:pgMar w:top="720" w:right="965" w:bottom="1080" w:left="1656" w:header="720" w:footer="965" w:gutter="0"/>
          <w:cols w:space="720"/>
          <w:titlePg/>
          <w:docGrid w:linePitch="326"/>
        </w:sectPr>
      </w:pPr>
    </w:p>
    <w:p w:rsidR="00E903A1" w:rsidRPr="002E0C7E" w:rsidRDefault="00460701" w:rsidP="00E903A1">
      <w:pPr>
        <w:widowControl w:val="0"/>
        <w:spacing w:line="180" w:lineRule="auto"/>
        <w:jc w:val="center"/>
        <w:rPr>
          <w:rFonts w:asciiTheme="minorHAnsi" w:hAnsiTheme="minorHAnsi" w:cstheme="minorHAnsi"/>
          <w:b/>
          <w:szCs w:val="24"/>
        </w:rPr>
      </w:pPr>
      <w:r w:rsidRPr="002E0C7E">
        <w:rPr>
          <w:rFonts w:asciiTheme="minorHAnsi" w:hAnsiTheme="minorHAnsi" w:cstheme="minorHAnsi"/>
          <w:b/>
          <w:szCs w:val="24"/>
        </w:rPr>
        <w:lastRenderedPageBreak/>
        <w:fldChar w:fldCharType="begin"/>
      </w:r>
      <w:r w:rsidR="00E903A1" w:rsidRPr="002E0C7E">
        <w:rPr>
          <w:rFonts w:asciiTheme="minorHAnsi" w:hAnsiTheme="minorHAnsi" w:cstheme="minorHAnsi"/>
          <w:b/>
          <w:szCs w:val="24"/>
        </w:rPr>
        <w:instrText xml:space="preserve"> SEQ CHAPTER \h \r 1</w:instrText>
      </w:r>
      <w:r w:rsidRPr="002E0C7E">
        <w:rPr>
          <w:rFonts w:asciiTheme="minorHAnsi" w:hAnsiTheme="minorHAnsi" w:cstheme="minorHAnsi"/>
          <w:b/>
          <w:szCs w:val="24"/>
        </w:rPr>
        <w:fldChar w:fldCharType="end"/>
      </w:r>
      <w:r w:rsidR="00E903A1" w:rsidRPr="002E0C7E">
        <w:rPr>
          <w:rFonts w:asciiTheme="minorHAnsi" w:hAnsiTheme="minorHAnsi" w:cstheme="minorHAnsi"/>
          <w:b/>
          <w:szCs w:val="24"/>
        </w:rPr>
        <w:t>SUPREME COURT OF CANADA SCHEDULE / CALENDRIER DE LA COUR SUPREME</w:t>
      </w:r>
    </w:p>
    <w:p w:rsidR="00E903A1" w:rsidRPr="002E0C7E" w:rsidRDefault="00E903A1" w:rsidP="00E903A1">
      <w:pPr>
        <w:widowControl w:val="0"/>
        <w:spacing w:line="180" w:lineRule="auto"/>
        <w:rPr>
          <w:rFonts w:asciiTheme="minorHAnsi" w:hAnsiTheme="minorHAnsi" w:cstheme="minorHAnsi"/>
          <w:szCs w:val="24"/>
        </w:rPr>
      </w:pPr>
      <w:r w:rsidRPr="002E0C7E">
        <w:rPr>
          <w:rFonts w:asciiTheme="minorHAnsi" w:hAnsiTheme="minorHAnsi" w:cstheme="minorHAnsi"/>
          <w:szCs w:val="24"/>
        </w:rPr>
        <w:t xml:space="preserve"> </w:t>
      </w:r>
    </w:p>
    <w:p w:rsidR="00E903A1" w:rsidRPr="002E0C7E" w:rsidRDefault="00E903A1" w:rsidP="00E903A1">
      <w:pPr>
        <w:widowControl w:val="0"/>
        <w:tabs>
          <w:tab w:val="center" w:pos="5400"/>
          <w:tab w:val="right" w:pos="10440"/>
        </w:tabs>
        <w:rPr>
          <w:rFonts w:ascii="Arial" w:hAnsi="Arial"/>
          <w:sz w:val="18"/>
        </w:rPr>
      </w:pPr>
      <w:r w:rsidRPr="002E0C7E">
        <w:rPr>
          <w:rFonts w:ascii="Arial" w:hAnsi="Arial"/>
          <w:sz w:val="18"/>
        </w:rPr>
        <w:tab/>
      </w:r>
      <w:r w:rsidRPr="002E0C7E">
        <w:rPr>
          <w:rFonts w:ascii="Arial" w:hAnsi="Arial"/>
          <w:i/>
          <w:sz w:val="36"/>
        </w:rPr>
        <w:t xml:space="preserve">- </w:t>
      </w:r>
      <w:r w:rsidRPr="002E0C7E">
        <w:rPr>
          <w:rFonts w:ascii="Arial" w:hAnsi="Arial"/>
          <w:b/>
          <w:i/>
          <w:sz w:val="36"/>
        </w:rPr>
        <w:t>2011</w:t>
      </w:r>
      <w:r w:rsidRPr="002E0C7E">
        <w:rPr>
          <w:rFonts w:ascii="Arial" w:hAnsi="Arial"/>
          <w:i/>
          <w:sz w:val="36"/>
        </w:rPr>
        <w:t xml:space="preserve"> -</w:t>
      </w:r>
      <w:r w:rsidRPr="002E0C7E">
        <w:rPr>
          <w:rFonts w:ascii="Arial" w:hAnsi="Arial"/>
          <w:sz w:val="18"/>
        </w:rPr>
        <w:tab/>
      </w:r>
    </w:p>
    <w:tbl>
      <w:tblPr>
        <w:tblW w:w="0" w:type="auto"/>
        <w:jc w:val="center"/>
        <w:tblBorders>
          <w:top w:val="nil"/>
          <w:left w:val="nil"/>
          <w:bottom w:val="nil"/>
          <w:right w:val="nil"/>
          <w:insideH w:val="nil"/>
          <w:insideV w:val="nil"/>
        </w:tblBorders>
        <w:tblLayout w:type="fixed"/>
        <w:tblCellMar>
          <w:left w:w="0" w:type="dxa"/>
          <w:right w:w="0" w:type="dxa"/>
        </w:tblCellMar>
        <w:tblLook w:val="0000"/>
      </w:tblPr>
      <w:tblGrid>
        <w:gridCol w:w="450"/>
        <w:gridCol w:w="488"/>
        <w:gridCol w:w="469"/>
        <w:gridCol w:w="469"/>
        <w:gridCol w:w="463"/>
        <w:gridCol w:w="475"/>
        <w:gridCol w:w="469"/>
        <w:gridCol w:w="469"/>
        <w:gridCol w:w="469"/>
        <w:gridCol w:w="457"/>
        <w:gridCol w:w="506"/>
        <w:gridCol w:w="450"/>
        <w:gridCol w:w="484"/>
        <w:gridCol w:w="450"/>
        <w:gridCol w:w="468"/>
        <w:gridCol w:w="469"/>
        <w:gridCol w:w="536"/>
        <w:gridCol w:w="450"/>
        <w:gridCol w:w="540"/>
        <w:gridCol w:w="450"/>
        <w:gridCol w:w="450"/>
        <w:gridCol w:w="396"/>
        <w:gridCol w:w="470"/>
      </w:tblGrid>
      <w:tr w:rsidR="00E903A1" w:rsidRPr="002E0C7E" w:rsidTr="00741DC5">
        <w:trPr>
          <w:cantSplit/>
          <w:jc w:val="center"/>
        </w:trPr>
        <w:tc>
          <w:tcPr>
            <w:tcW w:w="3283" w:type="dxa"/>
            <w:gridSpan w:val="7"/>
            <w:tcBorders>
              <w:top w:val="double" w:sz="8" w:space="0" w:color="000000"/>
              <w:left w:val="double" w:sz="8" w:space="0" w:color="000000"/>
              <w:bottom w:val="double" w:sz="8" w:space="0" w:color="000000"/>
              <w:right w:val="double" w:sz="6" w:space="0" w:color="000000"/>
            </w:tcBorders>
            <w:shd w:val="pct30" w:color="000000" w:fill="auto"/>
            <w:tcMar>
              <w:top w:w="72" w:type="dxa"/>
              <w:left w:w="0" w:type="dxa"/>
              <w:bottom w:w="72" w:type="dxa"/>
              <w:right w:w="0" w:type="dxa"/>
            </w:tcMar>
          </w:tcPr>
          <w:p w:rsidR="00E903A1" w:rsidRPr="002E0C7E" w:rsidRDefault="00E903A1" w:rsidP="00741DC5">
            <w:pPr>
              <w:widowControl w:val="0"/>
              <w:jc w:val="center"/>
              <w:rPr>
                <w:rFonts w:ascii="Arial" w:hAnsi="Arial"/>
                <w:sz w:val="14"/>
              </w:rPr>
            </w:pPr>
            <w:r w:rsidRPr="002E0C7E">
              <w:rPr>
                <w:rFonts w:ascii="Arial" w:hAnsi="Arial"/>
                <w:b/>
                <w:sz w:val="14"/>
              </w:rPr>
              <w:t>OCTOBER - OCTOBRE</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E903A1" w:rsidRPr="002E0C7E" w:rsidRDefault="00E903A1" w:rsidP="00741DC5">
            <w:pPr>
              <w:widowControl w:val="0"/>
              <w:jc w:val="center"/>
              <w:rPr>
                <w:rFonts w:ascii="Arial" w:hAnsi="Arial"/>
                <w:sz w:val="14"/>
              </w:rPr>
            </w:pPr>
          </w:p>
        </w:tc>
        <w:tc>
          <w:tcPr>
            <w:tcW w:w="3284" w:type="dxa"/>
            <w:gridSpan w:val="7"/>
            <w:tcBorders>
              <w:top w:val="double" w:sz="8"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E903A1" w:rsidRPr="002E0C7E" w:rsidRDefault="00E903A1" w:rsidP="00741DC5">
            <w:pPr>
              <w:widowControl w:val="0"/>
              <w:jc w:val="center"/>
              <w:rPr>
                <w:rFonts w:ascii="Arial" w:hAnsi="Arial"/>
                <w:sz w:val="14"/>
              </w:rPr>
            </w:pPr>
            <w:r w:rsidRPr="002E0C7E">
              <w:rPr>
                <w:rFonts w:ascii="Arial" w:hAnsi="Arial"/>
                <w:b/>
                <w:sz w:val="14"/>
              </w:rPr>
              <w:t>NOVEMBER - NOVEMBRE</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E903A1" w:rsidRPr="002E0C7E" w:rsidRDefault="00E903A1" w:rsidP="00741DC5">
            <w:pPr>
              <w:widowControl w:val="0"/>
              <w:jc w:val="center"/>
              <w:rPr>
                <w:rFonts w:ascii="Arial" w:hAnsi="Arial"/>
                <w:sz w:val="14"/>
              </w:rPr>
            </w:pPr>
          </w:p>
        </w:tc>
        <w:tc>
          <w:tcPr>
            <w:tcW w:w="3292" w:type="dxa"/>
            <w:gridSpan w:val="7"/>
            <w:tcBorders>
              <w:top w:val="double" w:sz="8" w:space="0" w:color="000000"/>
              <w:left w:val="double" w:sz="6" w:space="0" w:color="000000"/>
              <w:bottom w:val="double" w:sz="8" w:space="0" w:color="000000"/>
              <w:right w:val="double" w:sz="8" w:space="0" w:color="000000"/>
            </w:tcBorders>
            <w:shd w:val="pct30" w:color="000000" w:fill="auto"/>
            <w:tcMar>
              <w:top w:w="72" w:type="dxa"/>
              <w:left w:w="0" w:type="dxa"/>
              <w:bottom w:w="72" w:type="dxa"/>
              <w:right w:w="0" w:type="dxa"/>
            </w:tcMar>
          </w:tcPr>
          <w:p w:rsidR="00E903A1" w:rsidRPr="002E0C7E" w:rsidRDefault="00E903A1" w:rsidP="00741DC5">
            <w:pPr>
              <w:widowControl w:val="0"/>
              <w:jc w:val="center"/>
              <w:rPr>
                <w:rFonts w:ascii="Arial" w:hAnsi="Arial"/>
                <w:sz w:val="14"/>
              </w:rPr>
            </w:pPr>
            <w:r w:rsidRPr="002E0C7E">
              <w:rPr>
                <w:rFonts w:ascii="Arial" w:hAnsi="Arial"/>
                <w:b/>
                <w:sz w:val="14"/>
              </w:rPr>
              <w:t>DECEMBER - DÉCEMBRE</w:t>
            </w:r>
          </w:p>
        </w:tc>
      </w:tr>
      <w:tr w:rsidR="00E903A1" w:rsidRPr="002E0C7E" w:rsidTr="00741DC5">
        <w:trPr>
          <w:cantSplit/>
          <w:trHeight w:val="288"/>
          <w:jc w:val="center"/>
        </w:trPr>
        <w:tc>
          <w:tcPr>
            <w:tcW w:w="45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S</w:t>
            </w:r>
          </w:p>
          <w:p w:rsidR="00E903A1" w:rsidRPr="002E0C7E" w:rsidRDefault="00E903A1" w:rsidP="00741DC5">
            <w:pPr>
              <w:widowControl w:val="0"/>
              <w:jc w:val="center"/>
              <w:rPr>
                <w:rFonts w:ascii="Arial" w:hAnsi="Arial"/>
                <w:sz w:val="14"/>
              </w:rPr>
            </w:pPr>
            <w:r w:rsidRPr="002E0C7E">
              <w:rPr>
                <w:rFonts w:ascii="Arial" w:hAnsi="Arial"/>
                <w:sz w:val="14"/>
              </w:rPr>
              <w:t>D</w:t>
            </w:r>
          </w:p>
        </w:tc>
        <w:tc>
          <w:tcPr>
            <w:tcW w:w="48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M</w:t>
            </w:r>
          </w:p>
          <w:p w:rsidR="00E903A1" w:rsidRPr="002E0C7E" w:rsidRDefault="00E903A1" w:rsidP="00741DC5">
            <w:pPr>
              <w:widowControl w:val="0"/>
              <w:jc w:val="center"/>
              <w:rPr>
                <w:rFonts w:ascii="Arial" w:hAnsi="Arial"/>
                <w:sz w:val="14"/>
              </w:rPr>
            </w:pPr>
            <w:r w:rsidRPr="002E0C7E">
              <w:rPr>
                <w:rFonts w:ascii="Arial" w:hAnsi="Arial"/>
                <w:sz w:val="14"/>
              </w:rPr>
              <w:t>L</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T</w:t>
            </w:r>
          </w:p>
          <w:p w:rsidR="00E903A1" w:rsidRPr="002E0C7E" w:rsidRDefault="00E903A1" w:rsidP="00741DC5">
            <w:pPr>
              <w:widowControl w:val="0"/>
              <w:jc w:val="center"/>
              <w:rPr>
                <w:rFonts w:ascii="Arial" w:hAnsi="Arial"/>
                <w:sz w:val="14"/>
              </w:rPr>
            </w:pPr>
            <w:r w:rsidRPr="002E0C7E">
              <w:rPr>
                <w:rFonts w:ascii="Arial" w:hAnsi="Arial"/>
                <w:sz w:val="14"/>
              </w:rPr>
              <w:t>M</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W</w:t>
            </w:r>
          </w:p>
          <w:p w:rsidR="00E903A1" w:rsidRPr="002E0C7E" w:rsidRDefault="00E903A1" w:rsidP="00741DC5">
            <w:pPr>
              <w:widowControl w:val="0"/>
              <w:jc w:val="center"/>
              <w:rPr>
                <w:rFonts w:ascii="Arial" w:hAnsi="Arial"/>
                <w:sz w:val="14"/>
              </w:rPr>
            </w:pPr>
            <w:r w:rsidRPr="002E0C7E">
              <w:rPr>
                <w:rFonts w:ascii="Arial" w:hAnsi="Arial"/>
                <w:sz w:val="14"/>
              </w:rPr>
              <w:t>M</w:t>
            </w:r>
          </w:p>
        </w:tc>
        <w:tc>
          <w:tcPr>
            <w:tcW w:w="463"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T</w:t>
            </w:r>
          </w:p>
          <w:p w:rsidR="00E903A1" w:rsidRPr="002E0C7E" w:rsidRDefault="00E903A1" w:rsidP="00741DC5">
            <w:pPr>
              <w:widowControl w:val="0"/>
              <w:jc w:val="center"/>
              <w:rPr>
                <w:rFonts w:ascii="Arial" w:hAnsi="Arial"/>
                <w:sz w:val="14"/>
              </w:rPr>
            </w:pPr>
            <w:r w:rsidRPr="002E0C7E">
              <w:rPr>
                <w:rFonts w:ascii="Arial" w:hAnsi="Arial"/>
                <w:sz w:val="14"/>
              </w:rPr>
              <w:t>J</w:t>
            </w:r>
          </w:p>
        </w:tc>
        <w:tc>
          <w:tcPr>
            <w:tcW w:w="475"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F</w:t>
            </w:r>
          </w:p>
          <w:p w:rsidR="00E903A1" w:rsidRPr="002E0C7E" w:rsidRDefault="00E903A1" w:rsidP="00741DC5">
            <w:pPr>
              <w:widowControl w:val="0"/>
              <w:jc w:val="center"/>
              <w:rPr>
                <w:rFonts w:ascii="Arial" w:hAnsi="Arial"/>
                <w:sz w:val="14"/>
              </w:rPr>
            </w:pPr>
            <w:r w:rsidRPr="002E0C7E">
              <w:rPr>
                <w:rFonts w:ascii="Arial" w:hAnsi="Arial"/>
                <w:sz w:val="14"/>
              </w:rPr>
              <w:t>V</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S</w:t>
            </w:r>
          </w:p>
          <w:p w:rsidR="00E903A1" w:rsidRPr="002E0C7E" w:rsidRDefault="00E903A1" w:rsidP="00741DC5">
            <w:pPr>
              <w:widowControl w:val="0"/>
              <w:jc w:val="center"/>
              <w:rPr>
                <w:rFonts w:ascii="Arial" w:hAnsi="Arial"/>
                <w:sz w:val="14"/>
              </w:rPr>
            </w:pPr>
            <w:r w:rsidRPr="002E0C7E">
              <w:rPr>
                <w:rFonts w:ascii="Arial" w:hAnsi="Arial"/>
                <w:sz w:val="14"/>
              </w:rPr>
              <w:t>S</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S</w:t>
            </w:r>
          </w:p>
          <w:p w:rsidR="00E903A1" w:rsidRPr="002E0C7E" w:rsidRDefault="00E903A1" w:rsidP="00741DC5">
            <w:pPr>
              <w:widowControl w:val="0"/>
              <w:jc w:val="center"/>
              <w:rPr>
                <w:rFonts w:ascii="Arial" w:hAnsi="Arial"/>
                <w:sz w:val="14"/>
              </w:rPr>
            </w:pPr>
            <w:r w:rsidRPr="002E0C7E">
              <w:rPr>
                <w:rFonts w:ascii="Arial" w:hAnsi="Arial"/>
                <w:sz w:val="14"/>
              </w:rPr>
              <w:t>D</w:t>
            </w:r>
          </w:p>
        </w:tc>
        <w:tc>
          <w:tcPr>
            <w:tcW w:w="457"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M</w:t>
            </w:r>
          </w:p>
          <w:p w:rsidR="00E903A1" w:rsidRPr="002E0C7E" w:rsidRDefault="00E903A1" w:rsidP="00741DC5">
            <w:pPr>
              <w:widowControl w:val="0"/>
              <w:jc w:val="center"/>
              <w:rPr>
                <w:rFonts w:ascii="Arial" w:hAnsi="Arial"/>
                <w:sz w:val="14"/>
              </w:rPr>
            </w:pPr>
            <w:r w:rsidRPr="002E0C7E">
              <w:rPr>
                <w:rFonts w:ascii="Arial" w:hAnsi="Arial"/>
                <w:sz w:val="14"/>
              </w:rPr>
              <w:t>L</w:t>
            </w:r>
          </w:p>
        </w:tc>
        <w:tc>
          <w:tcPr>
            <w:tcW w:w="50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T</w:t>
            </w:r>
          </w:p>
          <w:p w:rsidR="00E903A1" w:rsidRPr="002E0C7E" w:rsidRDefault="00E903A1" w:rsidP="00741DC5">
            <w:pPr>
              <w:widowControl w:val="0"/>
              <w:jc w:val="center"/>
              <w:rPr>
                <w:rFonts w:ascii="Arial" w:hAnsi="Arial"/>
                <w:sz w:val="14"/>
              </w:rPr>
            </w:pPr>
            <w:r w:rsidRPr="002E0C7E">
              <w:rPr>
                <w:rFonts w:ascii="Arial" w:hAnsi="Arial"/>
                <w:sz w:val="14"/>
              </w:rPr>
              <w:t>M</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W</w:t>
            </w:r>
          </w:p>
          <w:p w:rsidR="00E903A1" w:rsidRPr="002E0C7E" w:rsidRDefault="00E903A1" w:rsidP="00741DC5">
            <w:pPr>
              <w:widowControl w:val="0"/>
              <w:jc w:val="center"/>
              <w:rPr>
                <w:rFonts w:ascii="Arial" w:hAnsi="Arial"/>
                <w:sz w:val="14"/>
              </w:rPr>
            </w:pPr>
            <w:r w:rsidRPr="002E0C7E">
              <w:rPr>
                <w:rFonts w:ascii="Arial" w:hAnsi="Arial"/>
                <w:sz w:val="14"/>
              </w:rPr>
              <w:t>M</w:t>
            </w:r>
          </w:p>
        </w:tc>
        <w:tc>
          <w:tcPr>
            <w:tcW w:w="484"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T</w:t>
            </w:r>
          </w:p>
          <w:p w:rsidR="00E903A1" w:rsidRPr="002E0C7E" w:rsidRDefault="00E903A1" w:rsidP="00741DC5">
            <w:pPr>
              <w:widowControl w:val="0"/>
              <w:jc w:val="center"/>
              <w:rPr>
                <w:rFonts w:ascii="Arial" w:hAnsi="Arial"/>
                <w:sz w:val="14"/>
              </w:rPr>
            </w:pPr>
            <w:r w:rsidRPr="002E0C7E">
              <w:rPr>
                <w:rFonts w:ascii="Arial" w:hAnsi="Arial"/>
                <w:sz w:val="14"/>
              </w:rPr>
              <w:t>J</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F</w:t>
            </w:r>
          </w:p>
          <w:p w:rsidR="00E903A1" w:rsidRPr="002E0C7E" w:rsidRDefault="00E903A1" w:rsidP="00741DC5">
            <w:pPr>
              <w:widowControl w:val="0"/>
              <w:jc w:val="center"/>
              <w:rPr>
                <w:rFonts w:ascii="Arial" w:hAnsi="Arial"/>
                <w:sz w:val="14"/>
              </w:rPr>
            </w:pPr>
            <w:r w:rsidRPr="002E0C7E">
              <w:rPr>
                <w:rFonts w:ascii="Arial" w:hAnsi="Arial"/>
                <w:sz w:val="14"/>
              </w:rPr>
              <w:t>V</w:t>
            </w:r>
          </w:p>
        </w:tc>
        <w:tc>
          <w:tcPr>
            <w:tcW w:w="468"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S</w:t>
            </w:r>
          </w:p>
          <w:p w:rsidR="00E903A1" w:rsidRPr="002E0C7E" w:rsidRDefault="00E903A1" w:rsidP="00741DC5">
            <w:pPr>
              <w:widowControl w:val="0"/>
              <w:jc w:val="center"/>
              <w:rPr>
                <w:rFonts w:ascii="Arial" w:hAnsi="Arial"/>
                <w:sz w:val="14"/>
              </w:rPr>
            </w:pPr>
            <w:r w:rsidRPr="002E0C7E">
              <w:rPr>
                <w:rFonts w:ascii="Arial" w:hAnsi="Arial"/>
                <w:sz w:val="14"/>
              </w:rPr>
              <w:t>S</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536"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S</w:t>
            </w:r>
          </w:p>
          <w:p w:rsidR="00E903A1" w:rsidRPr="002E0C7E" w:rsidRDefault="00E903A1" w:rsidP="00741DC5">
            <w:pPr>
              <w:widowControl w:val="0"/>
              <w:jc w:val="center"/>
              <w:rPr>
                <w:rFonts w:ascii="Arial" w:hAnsi="Arial"/>
                <w:sz w:val="14"/>
              </w:rPr>
            </w:pPr>
            <w:r w:rsidRPr="002E0C7E">
              <w:rPr>
                <w:rFonts w:ascii="Arial" w:hAnsi="Arial"/>
                <w:sz w:val="14"/>
              </w:rPr>
              <w:t>D</w:t>
            </w:r>
          </w:p>
        </w:tc>
        <w:tc>
          <w:tcPr>
            <w:tcW w:w="45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M</w:t>
            </w:r>
          </w:p>
          <w:p w:rsidR="00E903A1" w:rsidRPr="002E0C7E" w:rsidRDefault="00E903A1" w:rsidP="00741DC5">
            <w:pPr>
              <w:widowControl w:val="0"/>
              <w:jc w:val="center"/>
              <w:rPr>
                <w:rFonts w:ascii="Arial" w:hAnsi="Arial"/>
                <w:sz w:val="14"/>
              </w:rPr>
            </w:pPr>
            <w:r w:rsidRPr="002E0C7E">
              <w:rPr>
                <w:rFonts w:ascii="Arial" w:hAnsi="Arial"/>
                <w:sz w:val="14"/>
              </w:rPr>
              <w:t>L</w:t>
            </w:r>
          </w:p>
        </w:tc>
        <w:tc>
          <w:tcPr>
            <w:tcW w:w="54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T</w:t>
            </w:r>
          </w:p>
          <w:p w:rsidR="00E903A1" w:rsidRPr="002E0C7E" w:rsidRDefault="00E903A1" w:rsidP="00741DC5">
            <w:pPr>
              <w:widowControl w:val="0"/>
              <w:jc w:val="center"/>
              <w:rPr>
                <w:rFonts w:ascii="Arial" w:hAnsi="Arial"/>
                <w:sz w:val="14"/>
              </w:rPr>
            </w:pPr>
            <w:r w:rsidRPr="002E0C7E">
              <w:rPr>
                <w:rFonts w:ascii="Arial" w:hAnsi="Arial"/>
                <w:sz w:val="14"/>
              </w:rPr>
              <w:t>M</w:t>
            </w:r>
          </w:p>
        </w:tc>
        <w:tc>
          <w:tcPr>
            <w:tcW w:w="45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W</w:t>
            </w:r>
          </w:p>
          <w:p w:rsidR="00E903A1" w:rsidRPr="002E0C7E" w:rsidRDefault="00E903A1" w:rsidP="00741DC5">
            <w:pPr>
              <w:widowControl w:val="0"/>
              <w:jc w:val="center"/>
              <w:rPr>
                <w:rFonts w:ascii="Arial" w:hAnsi="Arial"/>
                <w:sz w:val="14"/>
              </w:rPr>
            </w:pPr>
            <w:r w:rsidRPr="002E0C7E">
              <w:rPr>
                <w:rFonts w:ascii="Arial" w:hAnsi="Arial"/>
                <w:sz w:val="14"/>
              </w:rPr>
              <w:t>M</w:t>
            </w:r>
          </w:p>
        </w:tc>
        <w:tc>
          <w:tcPr>
            <w:tcW w:w="45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T</w:t>
            </w:r>
          </w:p>
          <w:p w:rsidR="00E903A1" w:rsidRPr="002E0C7E" w:rsidRDefault="00E903A1" w:rsidP="00741DC5">
            <w:pPr>
              <w:widowControl w:val="0"/>
              <w:jc w:val="center"/>
              <w:rPr>
                <w:rFonts w:ascii="Arial" w:hAnsi="Arial"/>
                <w:sz w:val="14"/>
              </w:rPr>
            </w:pPr>
            <w:r w:rsidRPr="002E0C7E">
              <w:rPr>
                <w:rFonts w:ascii="Arial" w:hAnsi="Arial"/>
                <w:sz w:val="14"/>
              </w:rPr>
              <w:t>J</w:t>
            </w:r>
          </w:p>
        </w:tc>
        <w:tc>
          <w:tcPr>
            <w:tcW w:w="396"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F</w:t>
            </w:r>
          </w:p>
          <w:p w:rsidR="00E903A1" w:rsidRPr="002E0C7E" w:rsidRDefault="00E903A1" w:rsidP="00741DC5">
            <w:pPr>
              <w:widowControl w:val="0"/>
              <w:jc w:val="center"/>
              <w:rPr>
                <w:rFonts w:ascii="Arial" w:hAnsi="Arial"/>
                <w:sz w:val="14"/>
              </w:rPr>
            </w:pPr>
            <w:r w:rsidRPr="002E0C7E">
              <w:rPr>
                <w:rFonts w:ascii="Arial" w:hAnsi="Arial"/>
                <w:sz w:val="14"/>
              </w:rPr>
              <w:t>V</w:t>
            </w:r>
          </w:p>
        </w:tc>
        <w:tc>
          <w:tcPr>
            <w:tcW w:w="470" w:type="dxa"/>
            <w:tcBorders>
              <w:top w:val="doub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S</w:t>
            </w:r>
          </w:p>
          <w:p w:rsidR="00E903A1" w:rsidRPr="002E0C7E" w:rsidRDefault="00E903A1" w:rsidP="00741DC5">
            <w:pPr>
              <w:widowControl w:val="0"/>
              <w:jc w:val="center"/>
              <w:rPr>
                <w:rFonts w:ascii="Arial" w:hAnsi="Arial"/>
                <w:sz w:val="14"/>
              </w:rPr>
            </w:pPr>
            <w:r w:rsidRPr="002E0C7E">
              <w:rPr>
                <w:rFonts w:ascii="Arial" w:hAnsi="Arial"/>
                <w:sz w:val="14"/>
              </w:rPr>
              <w:t>S</w:t>
            </w:r>
          </w:p>
        </w:tc>
      </w:tr>
      <w:tr w:rsidR="00E903A1" w:rsidRPr="002E0C7E" w:rsidTr="00741DC5">
        <w:trPr>
          <w:cantSplit/>
          <w:trHeight w:val="288"/>
          <w:jc w:val="center"/>
        </w:trPr>
        <w:tc>
          <w:tcPr>
            <w:tcW w:w="45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88" w:type="dxa"/>
            <w:tcBorders>
              <w:top w:val="single" w:sz="8" w:space="0" w:color="000000"/>
              <w:left w:val="single" w:sz="8" w:space="0" w:color="000000"/>
              <w:bottom w:val="nil"/>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63"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75"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57" w:type="dxa"/>
            <w:tcBorders>
              <w:top w:val="single" w:sz="8" w:space="0" w:color="000000"/>
              <w:left w:val="single" w:sz="8" w:space="0" w:color="000000"/>
              <w:bottom w:val="nil"/>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50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w:t>
            </w:r>
          </w:p>
        </w:tc>
        <w:tc>
          <w:tcPr>
            <w:tcW w:w="484"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3</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4</w:t>
            </w:r>
          </w:p>
        </w:tc>
        <w:tc>
          <w:tcPr>
            <w:tcW w:w="468"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5</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53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54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w:t>
            </w:r>
          </w:p>
        </w:tc>
        <w:tc>
          <w:tcPr>
            <w:tcW w:w="39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3</w:t>
            </w:r>
          </w:p>
        </w:tc>
      </w:tr>
      <w:tr w:rsidR="00E903A1" w:rsidRPr="002E0C7E" w:rsidTr="00741DC5">
        <w:trPr>
          <w:cantSplit/>
          <w:trHeight w:val="288"/>
          <w:jc w:val="center"/>
        </w:trPr>
        <w:tc>
          <w:tcPr>
            <w:tcW w:w="45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w:t>
            </w:r>
          </w:p>
        </w:tc>
        <w:tc>
          <w:tcPr>
            <w:tcW w:w="488" w:type="dxa"/>
            <w:tcBorders>
              <w:top w:val="single" w:sz="8" w:space="0" w:color="000000"/>
              <w:left w:val="single" w:sz="8" w:space="0" w:color="000000"/>
              <w:bottom w:val="nil"/>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3</w:t>
            </w:r>
          </w:p>
        </w:tc>
        <w:tc>
          <w:tcPr>
            <w:tcW w:w="469" w:type="dxa"/>
            <w:tcBorders>
              <w:top w:val="single" w:sz="8" w:space="0" w:color="000000"/>
              <w:left w:val="nil"/>
              <w:bottom w:val="nil"/>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5</w:t>
            </w:r>
          </w:p>
        </w:tc>
        <w:tc>
          <w:tcPr>
            <w:tcW w:w="463" w:type="dxa"/>
            <w:tcBorders>
              <w:top w:val="single" w:sz="8" w:space="0" w:color="000000"/>
              <w:left w:val="single" w:sz="8" w:space="0" w:color="000000"/>
              <w:bottom w:val="nil"/>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6</w:t>
            </w:r>
          </w:p>
        </w:tc>
        <w:tc>
          <w:tcPr>
            <w:tcW w:w="475"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7</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8</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6</w:t>
            </w:r>
          </w:p>
        </w:tc>
        <w:tc>
          <w:tcPr>
            <w:tcW w:w="457"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b/>
                <w:sz w:val="14"/>
              </w:rPr>
              <w:t>M</w:t>
            </w:r>
          </w:p>
          <w:p w:rsidR="00E903A1" w:rsidRPr="002E0C7E" w:rsidRDefault="00E903A1" w:rsidP="00741DC5">
            <w:pPr>
              <w:widowControl w:val="0"/>
              <w:jc w:val="center"/>
              <w:rPr>
                <w:rFonts w:ascii="Arial" w:hAnsi="Arial"/>
                <w:sz w:val="14"/>
              </w:rPr>
            </w:pPr>
            <w:r w:rsidRPr="002E0C7E">
              <w:rPr>
                <w:rFonts w:ascii="Arial" w:hAnsi="Arial"/>
                <w:sz w:val="14"/>
              </w:rPr>
              <w:t>7</w:t>
            </w:r>
          </w:p>
        </w:tc>
        <w:tc>
          <w:tcPr>
            <w:tcW w:w="50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8</w:t>
            </w:r>
          </w:p>
        </w:tc>
        <w:tc>
          <w:tcPr>
            <w:tcW w:w="450"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9</w:t>
            </w:r>
          </w:p>
        </w:tc>
        <w:tc>
          <w:tcPr>
            <w:tcW w:w="484"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10</w:t>
            </w:r>
          </w:p>
        </w:tc>
        <w:tc>
          <w:tcPr>
            <w:tcW w:w="450"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b/>
                <w:sz w:val="14"/>
              </w:rPr>
              <w:t>H</w:t>
            </w:r>
          </w:p>
          <w:p w:rsidR="00E903A1" w:rsidRPr="002E0C7E" w:rsidRDefault="00E903A1" w:rsidP="00741DC5">
            <w:pPr>
              <w:widowControl w:val="0"/>
              <w:jc w:val="center"/>
              <w:rPr>
                <w:rFonts w:ascii="Arial" w:hAnsi="Arial"/>
                <w:sz w:val="14"/>
              </w:rPr>
            </w:pPr>
            <w:r w:rsidRPr="002E0C7E">
              <w:rPr>
                <w:rFonts w:ascii="Arial" w:hAnsi="Arial"/>
                <w:sz w:val="14"/>
              </w:rPr>
              <w:t>11</w:t>
            </w:r>
          </w:p>
        </w:tc>
        <w:tc>
          <w:tcPr>
            <w:tcW w:w="468" w:type="dxa"/>
            <w:tcBorders>
              <w:top w:val="single" w:sz="8" w:space="0" w:color="000000"/>
              <w:left w:val="nil"/>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12</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536"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4</w:t>
            </w:r>
          </w:p>
        </w:tc>
        <w:tc>
          <w:tcPr>
            <w:tcW w:w="450"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b/>
                <w:sz w:val="14"/>
              </w:rPr>
              <w:t>M</w:t>
            </w:r>
          </w:p>
          <w:p w:rsidR="00E903A1" w:rsidRPr="002E0C7E" w:rsidRDefault="00E903A1" w:rsidP="00741DC5">
            <w:pPr>
              <w:widowControl w:val="0"/>
              <w:jc w:val="center"/>
              <w:rPr>
                <w:rFonts w:ascii="Arial" w:hAnsi="Arial"/>
                <w:sz w:val="14"/>
              </w:rPr>
            </w:pPr>
            <w:r w:rsidRPr="002E0C7E">
              <w:rPr>
                <w:rFonts w:ascii="Arial" w:hAnsi="Arial"/>
                <w:sz w:val="14"/>
              </w:rPr>
              <w:t>5</w:t>
            </w:r>
          </w:p>
        </w:tc>
        <w:tc>
          <w:tcPr>
            <w:tcW w:w="54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6</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7</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8</w:t>
            </w:r>
          </w:p>
        </w:tc>
        <w:tc>
          <w:tcPr>
            <w:tcW w:w="39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9</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10</w:t>
            </w:r>
          </w:p>
        </w:tc>
      </w:tr>
      <w:tr w:rsidR="00E903A1" w:rsidRPr="002E0C7E" w:rsidTr="00741DC5">
        <w:trPr>
          <w:cantSplit/>
          <w:trHeight w:val="288"/>
          <w:jc w:val="center"/>
        </w:trPr>
        <w:tc>
          <w:tcPr>
            <w:tcW w:w="450"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9</w:t>
            </w:r>
          </w:p>
        </w:tc>
        <w:tc>
          <w:tcPr>
            <w:tcW w:w="488"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b/>
                <w:sz w:val="14"/>
              </w:rPr>
              <w:t>H</w:t>
            </w:r>
          </w:p>
          <w:p w:rsidR="00E903A1" w:rsidRPr="002E0C7E" w:rsidRDefault="00E903A1" w:rsidP="00741DC5">
            <w:pPr>
              <w:widowControl w:val="0"/>
              <w:jc w:val="center"/>
              <w:rPr>
                <w:rFonts w:ascii="Arial" w:hAnsi="Arial"/>
                <w:sz w:val="14"/>
              </w:rPr>
            </w:pPr>
            <w:r w:rsidRPr="002E0C7E">
              <w:rPr>
                <w:rFonts w:ascii="Arial" w:hAnsi="Arial"/>
                <w:sz w:val="14"/>
              </w:rPr>
              <w:t>10</w:t>
            </w:r>
          </w:p>
        </w:tc>
        <w:tc>
          <w:tcPr>
            <w:tcW w:w="469"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b/>
                <w:sz w:val="14"/>
              </w:rPr>
              <w:t>M</w:t>
            </w:r>
          </w:p>
          <w:p w:rsidR="00E903A1" w:rsidRPr="002E0C7E" w:rsidRDefault="00E903A1" w:rsidP="00741DC5">
            <w:pPr>
              <w:widowControl w:val="0"/>
              <w:jc w:val="center"/>
              <w:rPr>
                <w:rFonts w:ascii="Arial" w:hAnsi="Arial"/>
                <w:sz w:val="14"/>
              </w:rPr>
            </w:pPr>
            <w:r w:rsidRPr="002E0C7E">
              <w:rPr>
                <w:rFonts w:ascii="Arial" w:hAnsi="Arial"/>
                <w:sz w:val="14"/>
              </w:rPr>
              <w:t>11</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12</w:t>
            </w:r>
          </w:p>
        </w:tc>
        <w:tc>
          <w:tcPr>
            <w:tcW w:w="463"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13</w:t>
            </w:r>
          </w:p>
        </w:tc>
        <w:tc>
          <w:tcPr>
            <w:tcW w:w="475"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14</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15</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13</w:t>
            </w:r>
          </w:p>
        </w:tc>
        <w:tc>
          <w:tcPr>
            <w:tcW w:w="457" w:type="dxa"/>
            <w:tcBorders>
              <w:top w:val="single" w:sz="8" w:space="0" w:color="000000"/>
              <w:left w:val="single" w:sz="8" w:space="0" w:color="000000"/>
              <w:bottom w:val="nil"/>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14</w:t>
            </w:r>
          </w:p>
        </w:tc>
        <w:tc>
          <w:tcPr>
            <w:tcW w:w="506"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15</w:t>
            </w:r>
          </w:p>
        </w:tc>
        <w:tc>
          <w:tcPr>
            <w:tcW w:w="450"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16</w:t>
            </w:r>
          </w:p>
        </w:tc>
        <w:tc>
          <w:tcPr>
            <w:tcW w:w="484"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17</w:t>
            </w:r>
          </w:p>
        </w:tc>
        <w:tc>
          <w:tcPr>
            <w:tcW w:w="450" w:type="dxa"/>
            <w:tcBorders>
              <w:top w:val="nil"/>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18</w:t>
            </w:r>
          </w:p>
        </w:tc>
        <w:tc>
          <w:tcPr>
            <w:tcW w:w="468"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19</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53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11</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12</w:t>
            </w:r>
          </w:p>
        </w:tc>
        <w:tc>
          <w:tcPr>
            <w:tcW w:w="54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13</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14</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15</w:t>
            </w:r>
          </w:p>
        </w:tc>
        <w:tc>
          <w:tcPr>
            <w:tcW w:w="39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16</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17</w:t>
            </w:r>
          </w:p>
        </w:tc>
      </w:tr>
      <w:tr w:rsidR="00E903A1" w:rsidRPr="002E0C7E" w:rsidTr="00741DC5">
        <w:trPr>
          <w:cantSplit/>
          <w:trHeight w:val="288"/>
          <w:jc w:val="center"/>
        </w:trPr>
        <w:tc>
          <w:tcPr>
            <w:tcW w:w="45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16</w:t>
            </w:r>
          </w:p>
        </w:tc>
        <w:tc>
          <w:tcPr>
            <w:tcW w:w="488" w:type="dxa"/>
            <w:tcBorders>
              <w:top w:val="nil"/>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19</w:t>
            </w:r>
          </w:p>
        </w:tc>
        <w:tc>
          <w:tcPr>
            <w:tcW w:w="463"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20</w:t>
            </w:r>
          </w:p>
        </w:tc>
        <w:tc>
          <w:tcPr>
            <w:tcW w:w="475"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21</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22</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20</w:t>
            </w:r>
          </w:p>
        </w:tc>
        <w:tc>
          <w:tcPr>
            <w:tcW w:w="457" w:type="dxa"/>
            <w:tcBorders>
              <w:top w:val="single" w:sz="8" w:space="0" w:color="000000"/>
              <w:left w:val="single" w:sz="8" w:space="0" w:color="000000"/>
              <w:bottom w:val="nil"/>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21</w:t>
            </w:r>
          </w:p>
        </w:tc>
        <w:tc>
          <w:tcPr>
            <w:tcW w:w="506" w:type="dxa"/>
            <w:tcBorders>
              <w:top w:val="single" w:sz="8" w:space="0" w:color="000000"/>
              <w:left w:val="single" w:sz="8" w:space="0" w:color="000000"/>
              <w:bottom w:val="nil"/>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22</w:t>
            </w:r>
          </w:p>
        </w:tc>
        <w:tc>
          <w:tcPr>
            <w:tcW w:w="450" w:type="dxa"/>
            <w:tcBorders>
              <w:top w:val="single" w:sz="8" w:space="0" w:color="000000"/>
              <w:left w:val="single" w:sz="8" w:space="0" w:color="000000"/>
              <w:bottom w:val="nil"/>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23</w:t>
            </w:r>
          </w:p>
        </w:tc>
        <w:tc>
          <w:tcPr>
            <w:tcW w:w="484"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24</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25</w:t>
            </w:r>
          </w:p>
        </w:tc>
        <w:tc>
          <w:tcPr>
            <w:tcW w:w="468"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26</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53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18</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19</w:t>
            </w:r>
          </w:p>
        </w:tc>
        <w:tc>
          <w:tcPr>
            <w:tcW w:w="54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20</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21</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22</w:t>
            </w:r>
          </w:p>
        </w:tc>
        <w:tc>
          <w:tcPr>
            <w:tcW w:w="39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23</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24</w:t>
            </w:r>
          </w:p>
        </w:tc>
      </w:tr>
      <w:tr w:rsidR="00E903A1" w:rsidRPr="002E0C7E" w:rsidTr="00741DC5">
        <w:trPr>
          <w:cantSplit/>
          <w:trHeight w:val="288"/>
          <w:jc w:val="center"/>
        </w:trPr>
        <w:tc>
          <w:tcPr>
            <w:tcW w:w="450"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23</w:t>
            </w:r>
          </w:p>
          <w:p w:rsidR="00E903A1" w:rsidRPr="002E0C7E" w:rsidRDefault="00E903A1" w:rsidP="00741DC5">
            <w:pPr>
              <w:widowControl w:val="0"/>
              <w:jc w:val="center"/>
              <w:rPr>
                <w:rFonts w:ascii="Arial" w:hAnsi="Arial"/>
                <w:sz w:val="14"/>
              </w:rPr>
            </w:pPr>
            <w:r w:rsidRPr="002E0C7E">
              <w:rPr>
                <w:rFonts w:ascii="Arial" w:hAnsi="Arial"/>
                <w:sz w:val="14"/>
              </w:rPr>
              <w:t>/ 30</w:t>
            </w:r>
          </w:p>
        </w:tc>
        <w:tc>
          <w:tcPr>
            <w:tcW w:w="488"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24</w:t>
            </w:r>
          </w:p>
          <w:p w:rsidR="00E903A1" w:rsidRPr="002E0C7E" w:rsidRDefault="00E903A1" w:rsidP="00741DC5">
            <w:pPr>
              <w:widowControl w:val="0"/>
              <w:jc w:val="center"/>
              <w:rPr>
                <w:rFonts w:ascii="Arial" w:hAnsi="Arial"/>
                <w:sz w:val="14"/>
              </w:rPr>
            </w:pPr>
            <w:r w:rsidRPr="002E0C7E">
              <w:rPr>
                <w:rFonts w:ascii="Arial" w:hAnsi="Arial"/>
                <w:sz w:val="14"/>
              </w:rPr>
              <w:t>/ 31</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25</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26</w:t>
            </w:r>
          </w:p>
        </w:tc>
        <w:tc>
          <w:tcPr>
            <w:tcW w:w="463"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27</w:t>
            </w:r>
          </w:p>
        </w:tc>
        <w:tc>
          <w:tcPr>
            <w:tcW w:w="475"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28</w:t>
            </w:r>
          </w:p>
        </w:tc>
        <w:tc>
          <w:tcPr>
            <w:tcW w:w="469"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29</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69"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27</w:t>
            </w:r>
          </w:p>
        </w:tc>
        <w:tc>
          <w:tcPr>
            <w:tcW w:w="457" w:type="dxa"/>
            <w:tcBorders>
              <w:top w:val="single" w:sz="8" w:space="0" w:color="000000"/>
              <w:left w:val="single" w:sz="8" w:space="0" w:color="000000"/>
              <w:bottom w:val="double" w:sz="8" w:space="0" w:color="000000"/>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28</w:t>
            </w:r>
          </w:p>
        </w:tc>
        <w:tc>
          <w:tcPr>
            <w:tcW w:w="50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29</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30</w:t>
            </w:r>
          </w:p>
        </w:tc>
        <w:tc>
          <w:tcPr>
            <w:tcW w:w="484"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68"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536" w:type="dxa"/>
            <w:tcBorders>
              <w:top w:val="sing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25</w:t>
            </w:r>
          </w:p>
        </w:tc>
        <w:tc>
          <w:tcPr>
            <w:tcW w:w="450"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b/>
                <w:sz w:val="14"/>
              </w:rPr>
              <w:t>H</w:t>
            </w:r>
          </w:p>
          <w:p w:rsidR="00E903A1" w:rsidRPr="002E0C7E" w:rsidRDefault="00E903A1" w:rsidP="00741DC5">
            <w:pPr>
              <w:widowControl w:val="0"/>
              <w:jc w:val="center"/>
              <w:rPr>
                <w:rFonts w:ascii="Arial" w:hAnsi="Arial"/>
                <w:sz w:val="14"/>
              </w:rPr>
            </w:pPr>
            <w:r w:rsidRPr="002E0C7E">
              <w:rPr>
                <w:rFonts w:ascii="Arial" w:hAnsi="Arial"/>
                <w:sz w:val="14"/>
              </w:rPr>
              <w:t>26</w:t>
            </w:r>
          </w:p>
        </w:tc>
        <w:tc>
          <w:tcPr>
            <w:tcW w:w="540"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b/>
                <w:sz w:val="14"/>
              </w:rPr>
              <w:t>H</w:t>
            </w:r>
          </w:p>
          <w:p w:rsidR="00E903A1" w:rsidRPr="002E0C7E" w:rsidRDefault="00E903A1" w:rsidP="00741DC5">
            <w:pPr>
              <w:widowControl w:val="0"/>
              <w:jc w:val="center"/>
              <w:rPr>
                <w:rFonts w:ascii="Arial" w:hAnsi="Arial"/>
                <w:sz w:val="14"/>
              </w:rPr>
            </w:pPr>
            <w:r w:rsidRPr="002E0C7E">
              <w:rPr>
                <w:rFonts w:ascii="Arial" w:hAnsi="Arial"/>
                <w:sz w:val="14"/>
              </w:rPr>
              <w:t>27</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28</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29</w:t>
            </w:r>
          </w:p>
        </w:tc>
        <w:tc>
          <w:tcPr>
            <w:tcW w:w="39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30</w:t>
            </w:r>
          </w:p>
        </w:tc>
        <w:tc>
          <w:tcPr>
            <w:tcW w:w="470"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31</w:t>
            </w:r>
          </w:p>
        </w:tc>
      </w:tr>
    </w:tbl>
    <w:p w:rsidR="00E903A1" w:rsidRPr="002E0C7E" w:rsidRDefault="00E903A1" w:rsidP="00E903A1">
      <w:pPr>
        <w:widowControl w:val="0"/>
        <w:tabs>
          <w:tab w:val="center" w:pos="5400"/>
        </w:tabs>
        <w:rPr>
          <w:rFonts w:ascii="Arial" w:hAnsi="Arial"/>
          <w:sz w:val="16"/>
        </w:rPr>
      </w:pPr>
      <w:r w:rsidRPr="002E0C7E">
        <w:rPr>
          <w:rFonts w:ascii="Arial" w:hAnsi="Arial"/>
          <w:sz w:val="18"/>
        </w:rPr>
        <w:tab/>
      </w:r>
      <w:r w:rsidRPr="002E0C7E">
        <w:rPr>
          <w:rFonts w:ascii="Arial" w:hAnsi="Arial"/>
          <w:i/>
          <w:sz w:val="36"/>
        </w:rPr>
        <w:t xml:space="preserve">- </w:t>
      </w:r>
      <w:r w:rsidRPr="002E0C7E">
        <w:rPr>
          <w:rFonts w:ascii="Arial" w:hAnsi="Arial"/>
          <w:b/>
          <w:i/>
          <w:sz w:val="36"/>
        </w:rPr>
        <w:t>2012</w:t>
      </w:r>
      <w:r w:rsidRPr="002E0C7E">
        <w:rPr>
          <w:rFonts w:ascii="Arial" w:hAnsi="Arial"/>
          <w:i/>
          <w:sz w:val="36"/>
        </w:rPr>
        <w:t xml:space="preserve"> -</w:t>
      </w:r>
    </w:p>
    <w:tbl>
      <w:tblPr>
        <w:tblW w:w="0" w:type="auto"/>
        <w:jc w:val="center"/>
        <w:tblBorders>
          <w:top w:val="nil"/>
          <w:left w:val="nil"/>
          <w:bottom w:val="nil"/>
          <w:right w:val="nil"/>
          <w:insideH w:val="nil"/>
          <w:insideV w:val="nil"/>
        </w:tblBorders>
        <w:tblLayout w:type="fixed"/>
        <w:tblCellMar>
          <w:left w:w="0" w:type="dxa"/>
          <w:right w:w="0" w:type="dxa"/>
        </w:tblCellMar>
        <w:tblLook w:val="0000"/>
      </w:tblPr>
      <w:tblGrid>
        <w:gridCol w:w="469"/>
        <w:gridCol w:w="469"/>
        <w:gridCol w:w="498"/>
        <w:gridCol w:w="440"/>
        <w:gridCol w:w="469"/>
        <w:gridCol w:w="469"/>
        <w:gridCol w:w="469"/>
        <w:gridCol w:w="469"/>
        <w:gridCol w:w="469"/>
        <w:gridCol w:w="469"/>
        <w:gridCol w:w="469"/>
        <w:gridCol w:w="469"/>
        <w:gridCol w:w="486"/>
        <w:gridCol w:w="452"/>
        <w:gridCol w:w="469"/>
        <w:gridCol w:w="469"/>
        <w:gridCol w:w="469"/>
        <w:gridCol w:w="480"/>
        <w:gridCol w:w="458"/>
        <w:gridCol w:w="442"/>
        <w:gridCol w:w="450"/>
        <w:gridCol w:w="516"/>
        <w:gridCol w:w="470"/>
      </w:tblGrid>
      <w:tr w:rsidR="00E903A1" w:rsidRPr="002E0C7E" w:rsidTr="00741DC5">
        <w:trPr>
          <w:cantSplit/>
          <w:jc w:val="center"/>
        </w:trPr>
        <w:tc>
          <w:tcPr>
            <w:tcW w:w="3283" w:type="dxa"/>
            <w:gridSpan w:val="7"/>
            <w:tcBorders>
              <w:top w:val="double" w:sz="8" w:space="0" w:color="000000"/>
              <w:left w:val="double" w:sz="8" w:space="0" w:color="000000"/>
              <w:bottom w:val="double" w:sz="8" w:space="0" w:color="000000"/>
              <w:right w:val="double" w:sz="6" w:space="0" w:color="000000"/>
            </w:tcBorders>
            <w:shd w:val="pct30" w:color="000000" w:fill="auto"/>
            <w:tcMar>
              <w:top w:w="72" w:type="dxa"/>
              <w:left w:w="0" w:type="dxa"/>
              <w:bottom w:w="72" w:type="dxa"/>
              <w:right w:w="0" w:type="dxa"/>
            </w:tcMar>
          </w:tcPr>
          <w:p w:rsidR="00E903A1" w:rsidRPr="002E0C7E" w:rsidRDefault="00E903A1" w:rsidP="00741DC5">
            <w:pPr>
              <w:widowControl w:val="0"/>
              <w:jc w:val="center"/>
              <w:rPr>
                <w:rFonts w:ascii="Arial" w:hAnsi="Arial"/>
                <w:sz w:val="14"/>
              </w:rPr>
            </w:pPr>
            <w:r w:rsidRPr="002E0C7E">
              <w:rPr>
                <w:rFonts w:ascii="Arial" w:hAnsi="Arial"/>
                <w:b/>
                <w:sz w:val="14"/>
              </w:rPr>
              <w:t>JANUARY - JANVIER</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E903A1" w:rsidRPr="002E0C7E" w:rsidRDefault="00E903A1" w:rsidP="00741DC5">
            <w:pPr>
              <w:widowControl w:val="0"/>
              <w:jc w:val="center"/>
              <w:rPr>
                <w:rFonts w:ascii="Arial" w:hAnsi="Arial"/>
                <w:sz w:val="14"/>
              </w:rPr>
            </w:pPr>
          </w:p>
        </w:tc>
        <w:tc>
          <w:tcPr>
            <w:tcW w:w="3283" w:type="dxa"/>
            <w:gridSpan w:val="7"/>
            <w:tcBorders>
              <w:top w:val="double" w:sz="8"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E903A1" w:rsidRPr="002E0C7E" w:rsidRDefault="00E903A1" w:rsidP="00741DC5">
            <w:pPr>
              <w:widowControl w:val="0"/>
              <w:jc w:val="center"/>
              <w:rPr>
                <w:rFonts w:ascii="Arial" w:hAnsi="Arial"/>
                <w:sz w:val="14"/>
              </w:rPr>
            </w:pPr>
            <w:r w:rsidRPr="002E0C7E">
              <w:rPr>
                <w:rFonts w:ascii="Arial" w:hAnsi="Arial"/>
                <w:b/>
                <w:sz w:val="14"/>
              </w:rPr>
              <w:t>FEBRUARY - FÉVRIER</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E903A1" w:rsidRPr="002E0C7E" w:rsidRDefault="00E903A1" w:rsidP="00741DC5">
            <w:pPr>
              <w:widowControl w:val="0"/>
              <w:jc w:val="center"/>
              <w:rPr>
                <w:rFonts w:ascii="Arial" w:hAnsi="Arial"/>
                <w:sz w:val="14"/>
              </w:rPr>
            </w:pPr>
          </w:p>
        </w:tc>
        <w:tc>
          <w:tcPr>
            <w:tcW w:w="3285" w:type="dxa"/>
            <w:gridSpan w:val="7"/>
            <w:tcBorders>
              <w:top w:val="double" w:sz="8" w:space="0" w:color="000000"/>
              <w:left w:val="double" w:sz="6" w:space="0" w:color="000000"/>
              <w:bottom w:val="double" w:sz="8" w:space="0" w:color="000000"/>
              <w:right w:val="double" w:sz="8" w:space="0" w:color="000000"/>
            </w:tcBorders>
            <w:shd w:val="pct30" w:color="000000" w:fill="auto"/>
            <w:tcMar>
              <w:top w:w="72" w:type="dxa"/>
              <w:left w:w="0" w:type="dxa"/>
              <w:bottom w:w="72" w:type="dxa"/>
              <w:right w:w="0" w:type="dxa"/>
            </w:tcMar>
          </w:tcPr>
          <w:p w:rsidR="00E903A1" w:rsidRPr="002E0C7E" w:rsidRDefault="00E903A1" w:rsidP="00741DC5">
            <w:pPr>
              <w:widowControl w:val="0"/>
              <w:jc w:val="center"/>
              <w:rPr>
                <w:rFonts w:ascii="Arial" w:hAnsi="Arial"/>
                <w:sz w:val="14"/>
              </w:rPr>
            </w:pPr>
            <w:r w:rsidRPr="002E0C7E">
              <w:rPr>
                <w:rFonts w:ascii="Arial" w:hAnsi="Arial"/>
                <w:b/>
                <w:sz w:val="14"/>
              </w:rPr>
              <w:t>MARCH - MARS</w:t>
            </w:r>
          </w:p>
        </w:tc>
      </w:tr>
      <w:tr w:rsidR="00E903A1" w:rsidRPr="002E0C7E" w:rsidTr="00741DC5">
        <w:trPr>
          <w:cantSplit/>
          <w:jc w:val="center"/>
        </w:trPr>
        <w:tc>
          <w:tcPr>
            <w:tcW w:w="469"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S</w:t>
            </w:r>
          </w:p>
          <w:p w:rsidR="00E903A1" w:rsidRPr="002E0C7E" w:rsidRDefault="00E903A1" w:rsidP="00741DC5">
            <w:pPr>
              <w:widowControl w:val="0"/>
              <w:jc w:val="center"/>
              <w:rPr>
                <w:rFonts w:ascii="Arial" w:hAnsi="Arial"/>
                <w:sz w:val="14"/>
              </w:rPr>
            </w:pPr>
            <w:r w:rsidRPr="002E0C7E">
              <w:rPr>
                <w:rFonts w:ascii="Arial" w:hAnsi="Arial"/>
                <w:sz w:val="14"/>
              </w:rPr>
              <w:t>D</w:t>
            </w:r>
          </w:p>
        </w:tc>
        <w:tc>
          <w:tcPr>
            <w:tcW w:w="469" w:type="dxa"/>
            <w:tcBorders>
              <w:top w:val="doub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M</w:t>
            </w:r>
          </w:p>
          <w:p w:rsidR="00E903A1" w:rsidRPr="002E0C7E" w:rsidRDefault="00E903A1" w:rsidP="00741DC5">
            <w:pPr>
              <w:widowControl w:val="0"/>
              <w:jc w:val="center"/>
              <w:rPr>
                <w:rFonts w:ascii="Arial" w:hAnsi="Arial"/>
                <w:sz w:val="14"/>
              </w:rPr>
            </w:pPr>
            <w:r w:rsidRPr="002E0C7E">
              <w:rPr>
                <w:rFonts w:ascii="Arial" w:hAnsi="Arial"/>
                <w:sz w:val="14"/>
              </w:rPr>
              <w:t>L</w:t>
            </w:r>
          </w:p>
        </w:tc>
        <w:tc>
          <w:tcPr>
            <w:tcW w:w="498"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T</w:t>
            </w:r>
          </w:p>
          <w:p w:rsidR="00E903A1" w:rsidRPr="002E0C7E" w:rsidRDefault="00E903A1" w:rsidP="00741DC5">
            <w:pPr>
              <w:widowControl w:val="0"/>
              <w:jc w:val="center"/>
              <w:rPr>
                <w:rFonts w:ascii="Arial" w:hAnsi="Arial"/>
                <w:sz w:val="14"/>
              </w:rPr>
            </w:pPr>
            <w:r w:rsidRPr="002E0C7E">
              <w:rPr>
                <w:rFonts w:ascii="Arial" w:hAnsi="Arial"/>
                <w:sz w:val="14"/>
              </w:rPr>
              <w:t>M</w:t>
            </w:r>
          </w:p>
        </w:tc>
        <w:tc>
          <w:tcPr>
            <w:tcW w:w="44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W</w:t>
            </w:r>
          </w:p>
          <w:p w:rsidR="00E903A1" w:rsidRPr="002E0C7E" w:rsidRDefault="00E903A1" w:rsidP="00741DC5">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T</w:t>
            </w:r>
          </w:p>
          <w:p w:rsidR="00E903A1" w:rsidRPr="002E0C7E" w:rsidRDefault="00E903A1" w:rsidP="00741DC5">
            <w:pPr>
              <w:widowControl w:val="0"/>
              <w:jc w:val="center"/>
              <w:rPr>
                <w:rFonts w:ascii="Arial" w:hAnsi="Arial"/>
                <w:sz w:val="14"/>
              </w:rPr>
            </w:pPr>
            <w:r w:rsidRPr="002E0C7E">
              <w:rPr>
                <w:rFonts w:ascii="Arial" w:hAnsi="Arial"/>
                <w:sz w:val="14"/>
              </w:rPr>
              <w:t>J</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F</w:t>
            </w:r>
          </w:p>
          <w:p w:rsidR="00E903A1" w:rsidRPr="002E0C7E" w:rsidRDefault="00E903A1" w:rsidP="00741DC5">
            <w:pPr>
              <w:widowControl w:val="0"/>
              <w:jc w:val="center"/>
              <w:rPr>
                <w:rFonts w:ascii="Arial" w:hAnsi="Arial"/>
                <w:sz w:val="14"/>
              </w:rPr>
            </w:pPr>
            <w:r w:rsidRPr="002E0C7E">
              <w:rPr>
                <w:rFonts w:ascii="Arial" w:hAnsi="Arial"/>
                <w:sz w:val="14"/>
              </w:rPr>
              <w:t>V</w:t>
            </w:r>
          </w:p>
        </w:tc>
        <w:tc>
          <w:tcPr>
            <w:tcW w:w="469" w:type="dxa"/>
            <w:tcBorders>
              <w:top w:val="doub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S</w:t>
            </w:r>
          </w:p>
          <w:p w:rsidR="00E903A1" w:rsidRPr="002E0C7E" w:rsidRDefault="00E903A1" w:rsidP="00741DC5">
            <w:pPr>
              <w:widowControl w:val="0"/>
              <w:jc w:val="center"/>
              <w:rPr>
                <w:rFonts w:ascii="Arial" w:hAnsi="Arial"/>
                <w:sz w:val="14"/>
              </w:rPr>
            </w:pPr>
            <w:r w:rsidRPr="002E0C7E">
              <w:rPr>
                <w:rFonts w:ascii="Arial" w:hAnsi="Arial"/>
                <w:sz w:val="14"/>
              </w:rPr>
              <w:t>S</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69"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S</w:t>
            </w:r>
          </w:p>
          <w:p w:rsidR="00E903A1" w:rsidRPr="002E0C7E" w:rsidRDefault="00E903A1" w:rsidP="00741DC5">
            <w:pPr>
              <w:widowControl w:val="0"/>
              <w:jc w:val="center"/>
              <w:rPr>
                <w:rFonts w:ascii="Arial" w:hAnsi="Arial"/>
                <w:sz w:val="14"/>
              </w:rPr>
            </w:pPr>
            <w:r w:rsidRPr="002E0C7E">
              <w:rPr>
                <w:rFonts w:ascii="Arial" w:hAnsi="Arial"/>
                <w:sz w:val="14"/>
              </w:rPr>
              <w:t>D</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M</w:t>
            </w:r>
          </w:p>
          <w:p w:rsidR="00E903A1" w:rsidRPr="002E0C7E" w:rsidRDefault="00E903A1" w:rsidP="00741DC5">
            <w:pPr>
              <w:widowControl w:val="0"/>
              <w:jc w:val="center"/>
              <w:rPr>
                <w:rFonts w:ascii="Arial" w:hAnsi="Arial"/>
                <w:sz w:val="14"/>
              </w:rPr>
            </w:pPr>
            <w:r w:rsidRPr="002E0C7E">
              <w:rPr>
                <w:rFonts w:ascii="Arial" w:hAnsi="Arial"/>
                <w:sz w:val="14"/>
              </w:rPr>
              <w:t>L</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T</w:t>
            </w:r>
          </w:p>
          <w:p w:rsidR="00E903A1" w:rsidRPr="002E0C7E" w:rsidRDefault="00E903A1" w:rsidP="00741DC5">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W</w:t>
            </w:r>
          </w:p>
          <w:p w:rsidR="00E903A1" w:rsidRPr="002E0C7E" w:rsidRDefault="00E903A1" w:rsidP="00741DC5">
            <w:pPr>
              <w:widowControl w:val="0"/>
              <w:jc w:val="center"/>
              <w:rPr>
                <w:rFonts w:ascii="Arial" w:hAnsi="Arial"/>
                <w:sz w:val="14"/>
              </w:rPr>
            </w:pPr>
            <w:r w:rsidRPr="002E0C7E">
              <w:rPr>
                <w:rFonts w:ascii="Arial" w:hAnsi="Arial"/>
                <w:sz w:val="14"/>
              </w:rPr>
              <w:t>M</w:t>
            </w:r>
          </w:p>
        </w:tc>
        <w:tc>
          <w:tcPr>
            <w:tcW w:w="486"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T</w:t>
            </w:r>
          </w:p>
          <w:p w:rsidR="00E903A1" w:rsidRPr="002E0C7E" w:rsidRDefault="00E903A1" w:rsidP="00741DC5">
            <w:pPr>
              <w:widowControl w:val="0"/>
              <w:jc w:val="center"/>
              <w:rPr>
                <w:rFonts w:ascii="Arial" w:hAnsi="Arial"/>
                <w:sz w:val="14"/>
              </w:rPr>
            </w:pPr>
            <w:r w:rsidRPr="002E0C7E">
              <w:rPr>
                <w:rFonts w:ascii="Arial" w:hAnsi="Arial"/>
                <w:sz w:val="14"/>
              </w:rPr>
              <w:t>J</w:t>
            </w:r>
          </w:p>
        </w:tc>
        <w:tc>
          <w:tcPr>
            <w:tcW w:w="452"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F</w:t>
            </w:r>
          </w:p>
          <w:p w:rsidR="00E903A1" w:rsidRPr="002E0C7E" w:rsidRDefault="00E903A1" w:rsidP="00741DC5">
            <w:pPr>
              <w:widowControl w:val="0"/>
              <w:jc w:val="center"/>
              <w:rPr>
                <w:rFonts w:ascii="Arial" w:hAnsi="Arial"/>
                <w:sz w:val="14"/>
              </w:rPr>
            </w:pPr>
            <w:r w:rsidRPr="002E0C7E">
              <w:rPr>
                <w:rFonts w:ascii="Arial" w:hAnsi="Arial"/>
                <w:sz w:val="14"/>
              </w:rPr>
              <w:t>V</w:t>
            </w:r>
          </w:p>
        </w:tc>
        <w:tc>
          <w:tcPr>
            <w:tcW w:w="469" w:type="dxa"/>
            <w:tcBorders>
              <w:top w:val="doub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S</w:t>
            </w:r>
          </w:p>
          <w:p w:rsidR="00E903A1" w:rsidRPr="002E0C7E" w:rsidRDefault="00E903A1" w:rsidP="00741DC5">
            <w:pPr>
              <w:widowControl w:val="0"/>
              <w:jc w:val="center"/>
              <w:rPr>
                <w:rFonts w:ascii="Arial" w:hAnsi="Arial"/>
                <w:sz w:val="14"/>
              </w:rPr>
            </w:pPr>
            <w:r w:rsidRPr="002E0C7E">
              <w:rPr>
                <w:rFonts w:ascii="Arial" w:hAnsi="Arial"/>
                <w:sz w:val="14"/>
              </w:rPr>
              <w:t>S</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69"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S</w:t>
            </w:r>
          </w:p>
          <w:p w:rsidR="00E903A1" w:rsidRPr="002E0C7E" w:rsidRDefault="00E903A1" w:rsidP="00741DC5">
            <w:pPr>
              <w:widowControl w:val="0"/>
              <w:jc w:val="center"/>
              <w:rPr>
                <w:rFonts w:ascii="Arial" w:hAnsi="Arial"/>
                <w:sz w:val="14"/>
              </w:rPr>
            </w:pPr>
            <w:r w:rsidRPr="002E0C7E">
              <w:rPr>
                <w:rFonts w:ascii="Arial" w:hAnsi="Arial"/>
                <w:sz w:val="14"/>
              </w:rPr>
              <w:t>D</w:t>
            </w:r>
          </w:p>
        </w:tc>
        <w:tc>
          <w:tcPr>
            <w:tcW w:w="48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M</w:t>
            </w:r>
          </w:p>
          <w:p w:rsidR="00E903A1" w:rsidRPr="002E0C7E" w:rsidRDefault="00E903A1" w:rsidP="00741DC5">
            <w:pPr>
              <w:widowControl w:val="0"/>
              <w:jc w:val="center"/>
              <w:rPr>
                <w:rFonts w:ascii="Arial" w:hAnsi="Arial"/>
                <w:sz w:val="14"/>
              </w:rPr>
            </w:pPr>
            <w:r w:rsidRPr="002E0C7E">
              <w:rPr>
                <w:rFonts w:ascii="Arial" w:hAnsi="Arial"/>
                <w:sz w:val="14"/>
              </w:rPr>
              <w:t>L</w:t>
            </w:r>
          </w:p>
        </w:tc>
        <w:tc>
          <w:tcPr>
            <w:tcW w:w="458"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T</w:t>
            </w:r>
          </w:p>
          <w:p w:rsidR="00E903A1" w:rsidRPr="002E0C7E" w:rsidRDefault="00E903A1" w:rsidP="00741DC5">
            <w:pPr>
              <w:widowControl w:val="0"/>
              <w:jc w:val="center"/>
              <w:rPr>
                <w:rFonts w:ascii="Arial" w:hAnsi="Arial"/>
                <w:sz w:val="14"/>
              </w:rPr>
            </w:pPr>
            <w:r w:rsidRPr="002E0C7E">
              <w:rPr>
                <w:rFonts w:ascii="Arial" w:hAnsi="Arial"/>
                <w:sz w:val="14"/>
              </w:rPr>
              <w:t>M</w:t>
            </w:r>
          </w:p>
        </w:tc>
        <w:tc>
          <w:tcPr>
            <w:tcW w:w="442"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W</w:t>
            </w:r>
          </w:p>
          <w:p w:rsidR="00E903A1" w:rsidRPr="002E0C7E" w:rsidRDefault="00E903A1" w:rsidP="00741DC5">
            <w:pPr>
              <w:widowControl w:val="0"/>
              <w:jc w:val="center"/>
              <w:rPr>
                <w:rFonts w:ascii="Arial" w:hAnsi="Arial"/>
                <w:sz w:val="14"/>
              </w:rPr>
            </w:pPr>
            <w:r w:rsidRPr="002E0C7E">
              <w:rPr>
                <w:rFonts w:ascii="Arial" w:hAnsi="Arial"/>
                <w:sz w:val="14"/>
              </w:rPr>
              <w:t>M</w:t>
            </w:r>
          </w:p>
        </w:tc>
        <w:tc>
          <w:tcPr>
            <w:tcW w:w="45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T</w:t>
            </w:r>
          </w:p>
          <w:p w:rsidR="00E903A1" w:rsidRPr="002E0C7E" w:rsidRDefault="00E903A1" w:rsidP="00741DC5">
            <w:pPr>
              <w:widowControl w:val="0"/>
              <w:jc w:val="center"/>
              <w:rPr>
                <w:rFonts w:ascii="Arial" w:hAnsi="Arial"/>
                <w:sz w:val="14"/>
              </w:rPr>
            </w:pPr>
            <w:r w:rsidRPr="002E0C7E">
              <w:rPr>
                <w:rFonts w:ascii="Arial" w:hAnsi="Arial"/>
                <w:sz w:val="14"/>
              </w:rPr>
              <w:t>J</w:t>
            </w:r>
          </w:p>
        </w:tc>
        <w:tc>
          <w:tcPr>
            <w:tcW w:w="516"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F</w:t>
            </w:r>
          </w:p>
          <w:p w:rsidR="00E903A1" w:rsidRPr="002E0C7E" w:rsidRDefault="00E903A1" w:rsidP="00741DC5">
            <w:pPr>
              <w:widowControl w:val="0"/>
              <w:jc w:val="center"/>
              <w:rPr>
                <w:rFonts w:ascii="Arial" w:hAnsi="Arial"/>
                <w:sz w:val="14"/>
              </w:rPr>
            </w:pPr>
            <w:r w:rsidRPr="002E0C7E">
              <w:rPr>
                <w:rFonts w:ascii="Arial" w:hAnsi="Arial"/>
                <w:sz w:val="14"/>
              </w:rPr>
              <w:t>V</w:t>
            </w:r>
          </w:p>
        </w:tc>
        <w:tc>
          <w:tcPr>
            <w:tcW w:w="470" w:type="dxa"/>
            <w:tcBorders>
              <w:top w:val="doub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S</w:t>
            </w:r>
          </w:p>
          <w:p w:rsidR="00E903A1" w:rsidRPr="002E0C7E" w:rsidRDefault="00E903A1" w:rsidP="00741DC5">
            <w:pPr>
              <w:widowControl w:val="0"/>
              <w:jc w:val="center"/>
              <w:rPr>
                <w:rFonts w:ascii="Arial" w:hAnsi="Arial"/>
                <w:sz w:val="14"/>
              </w:rPr>
            </w:pPr>
            <w:r w:rsidRPr="002E0C7E">
              <w:rPr>
                <w:rFonts w:ascii="Arial" w:hAnsi="Arial"/>
                <w:sz w:val="14"/>
              </w:rPr>
              <w:t>S</w:t>
            </w:r>
          </w:p>
        </w:tc>
      </w:tr>
      <w:tr w:rsidR="00E903A1" w:rsidRPr="002E0C7E" w:rsidTr="00741DC5">
        <w:trPr>
          <w:cantSplit/>
          <w:jc w:val="center"/>
        </w:trPr>
        <w:tc>
          <w:tcPr>
            <w:tcW w:w="469"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w:t>
            </w:r>
          </w:p>
        </w:tc>
        <w:tc>
          <w:tcPr>
            <w:tcW w:w="469"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b/>
                <w:sz w:val="14"/>
              </w:rPr>
              <w:t>H</w:t>
            </w:r>
          </w:p>
          <w:p w:rsidR="00E903A1" w:rsidRPr="002E0C7E" w:rsidRDefault="00E903A1" w:rsidP="00741DC5">
            <w:pPr>
              <w:widowControl w:val="0"/>
              <w:jc w:val="center"/>
              <w:rPr>
                <w:rFonts w:ascii="Arial" w:hAnsi="Arial"/>
                <w:sz w:val="14"/>
              </w:rPr>
            </w:pPr>
            <w:r w:rsidRPr="002E0C7E">
              <w:rPr>
                <w:rFonts w:ascii="Arial" w:hAnsi="Arial"/>
                <w:sz w:val="14"/>
              </w:rPr>
              <w:t>2</w:t>
            </w:r>
          </w:p>
        </w:tc>
        <w:tc>
          <w:tcPr>
            <w:tcW w:w="49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3</w:t>
            </w:r>
          </w:p>
        </w:tc>
        <w:tc>
          <w:tcPr>
            <w:tcW w:w="44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4</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6</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7</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w:t>
            </w:r>
          </w:p>
        </w:tc>
        <w:tc>
          <w:tcPr>
            <w:tcW w:w="48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w:t>
            </w:r>
          </w:p>
        </w:tc>
        <w:tc>
          <w:tcPr>
            <w:tcW w:w="452"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3</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4</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8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5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42"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w:t>
            </w:r>
          </w:p>
        </w:tc>
        <w:tc>
          <w:tcPr>
            <w:tcW w:w="51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3</w:t>
            </w:r>
          </w:p>
        </w:tc>
      </w:tr>
      <w:tr w:rsidR="00E903A1" w:rsidRPr="002E0C7E" w:rsidTr="00741DC5">
        <w:trPr>
          <w:cantSplit/>
          <w:jc w:val="center"/>
        </w:trPr>
        <w:tc>
          <w:tcPr>
            <w:tcW w:w="469"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8</w:t>
            </w:r>
          </w:p>
        </w:tc>
        <w:tc>
          <w:tcPr>
            <w:tcW w:w="469"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b/>
                <w:sz w:val="14"/>
              </w:rPr>
              <w:t>M</w:t>
            </w:r>
          </w:p>
          <w:p w:rsidR="00E903A1" w:rsidRPr="002E0C7E" w:rsidRDefault="00E903A1" w:rsidP="00741DC5">
            <w:pPr>
              <w:widowControl w:val="0"/>
              <w:jc w:val="center"/>
              <w:rPr>
                <w:rFonts w:ascii="Arial" w:hAnsi="Arial"/>
                <w:sz w:val="14"/>
              </w:rPr>
            </w:pPr>
            <w:r w:rsidRPr="002E0C7E">
              <w:rPr>
                <w:rFonts w:ascii="Arial" w:hAnsi="Arial"/>
                <w:sz w:val="14"/>
              </w:rPr>
              <w:t>9</w:t>
            </w:r>
          </w:p>
        </w:tc>
        <w:tc>
          <w:tcPr>
            <w:tcW w:w="498"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10</w:t>
            </w:r>
          </w:p>
        </w:tc>
        <w:tc>
          <w:tcPr>
            <w:tcW w:w="44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11</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13</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14</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5</w:t>
            </w:r>
          </w:p>
        </w:tc>
        <w:tc>
          <w:tcPr>
            <w:tcW w:w="469"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b/>
                <w:sz w:val="14"/>
              </w:rPr>
              <w:t>M</w:t>
            </w:r>
          </w:p>
          <w:p w:rsidR="00E903A1" w:rsidRPr="002E0C7E" w:rsidRDefault="00E903A1" w:rsidP="00741DC5">
            <w:pPr>
              <w:widowControl w:val="0"/>
              <w:jc w:val="center"/>
              <w:rPr>
                <w:rFonts w:ascii="Arial" w:hAnsi="Arial"/>
                <w:sz w:val="14"/>
              </w:rPr>
            </w:pPr>
            <w:r w:rsidRPr="002E0C7E">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8</w:t>
            </w:r>
          </w:p>
        </w:tc>
        <w:tc>
          <w:tcPr>
            <w:tcW w:w="48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9</w:t>
            </w:r>
          </w:p>
        </w:tc>
        <w:tc>
          <w:tcPr>
            <w:tcW w:w="452"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10</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11</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4</w:t>
            </w:r>
          </w:p>
        </w:tc>
        <w:tc>
          <w:tcPr>
            <w:tcW w:w="48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5</w:t>
            </w:r>
          </w:p>
        </w:tc>
        <w:tc>
          <w:tcPr>
            <w:tcW w:w="45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6</w:t>
            </w:r>
          </w:p>
        </w:tc>
        <w:tc>
          <w:tcPr>
            <w:tcW w:w="442"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7</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8</w:t>
            </w:r>
          </w:p>
        </w:tc>
        <w:tc>
          <w:tcPr>
            <w:tcW w:w="51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9</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10</w:t>
            </w:r>
          </w:p>
        </w:tc>
      </w:tr>
      <w:tr w:rsidR="00E903A1" w:rsidRPr="002E0C7E" w:rsidTr="00741DC5">
        <w:trPr>
          <w:cantSplit/>
          <w:jc w:val="center"/>
        </w:trPr>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15</w:t>
            </w:r>
          </w:p>
        </w:tc>
        <w:tc>
          <w:tcPr>
            <w:tcW w:w="469"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16</w:t>
            </w:r>
          </w:p>
        </w:tc>
        <w:tc>
          <w:tcPr>
            <w:tcW w:w="498"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17</w:t>
            </w:r>
          </w:p>
        </w:tc>
        <w:tc>
          <w:tcPr>
            <w:tcW w:w="44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19</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20</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21</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12</w:t>
            </w:r>
          </w:p>
        </w:tc>
        <w:tc>
          <w:tcPr>
            <w:tcW w:w="469"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13</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15</w:t>
            </w:r>
          </w:p>
        </w:tc>
        <w:tc>
          <w:tcPr>
            <w:tcW w:w="48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16</w:t>
            </w:r>
          </w:p>
        </w:tc>
        <w:tc>
          <w:tcPr>
            <w:tcW w:w="452"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17</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18</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11</w:t>
            </w:r>
          </w:p>
        </w:tc>
        <w:tc>
          <w:tcPr>
            <w:tcW w:w="480"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b/>
                <w:sz w:val="14"/>
              </w:rPr>
              <w:t>M</w:t>
            </w:r>
          </w:p>
          <w:p w:rsidR="00E903A1" w:rsidRPr="002E0C7E" w:rsidRDefault="00E903A1" w:rsidP="00741DC5">
            <w:pPr>
              <w:widowControl w:val="0"/>
              <w:jc w:val="center"/>
              <w:rPr>
                <w:rFonts w:ascii="Arial" w:hAnsi="Arial"/>
                <w:sz w:val="14"/>
              </w:rPr>
            </w:pPr>
            <w:r w:rsidRPr="002E0C7E">
              <w:rPr>
                <w:rFonts w:ascii="Arial" w:hAnsi="Arial"/>
                <w:sz w:val="14"/>
              </w:rPr>
              <w:t>12</w:t>
            </w:r>
          </w:p>
        </w:tc>
        <w:tc>
          <w:tcPr>
            <w:tcW w:w="458"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13</w:t>
            </w:r>
          </w:p>
        </w:tc>
        <w:tc>
          <w:tcPr>
            <w:tcW w:w="442"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14</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15</w:t>
            </w:r>
          </w:p>
        </w:tc>
        <w:tc>
          <w:tcPr>
            <w:tcW w:w="51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16</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17</w:t>
            </w:r>
          </w:p>
        </w:tc>
      </w:tr>
      <w:tr w:rsidR="00E903A1" w:rsidRPr="002E0C7E" w:rsidTr="00741DC5">
        <w:trPr>
          <w:cantSplit/>
          <w:jc w:val="center"/>
        </w:trPr>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23</w:t>
            </w:r>
          </w:p>
        </w:tc>
        <w:tc>
          <w:tcPr>
            <w:tcW w:w="49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24</w:t>
            </w:r>
          </w:p>
        </w:tc>
        <w:tc>
          <w:tcPr>
            <w:tcW w:w="44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25</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26</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27</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28</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19</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20</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22</w:t>
            </w:r>
          </w:p>
        </w:tc>
        <w:tc>
          <w:tcPr>
            <w:tcW w:w="48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23</w:t>
            </w:r>
          </w:p>
        </w:tc>
        <w:tc>
          <w:tcPr>
            <w:tcW w:w="452"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24</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25</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69"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18</w:t>
            </w:r>
          </w:p>
        </w:tc>
        <w:tc>
          <w:tcPr>
            <w:tcW w:w="48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19</w:t>
            </w:r>
          </w:p>
        </w:tc>
        <w:tc>
          <w:tcPr>
            <w:tcW w:w="458"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20</w:t>
            </w:r>
          </w:p>
        </w:tc>
        <w:tc>
          <w:tcPr>
            <w:tcW w:w="442"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21</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22</w:t>
            </w:r>
          </w:p>
        </w:tc>
        <w:tc>
          <w:tcPr>
            <w:tcW w:w="51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23</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24</w:t>
            </w:r>
          </w:p>
        </w:tc>
      </w:tr>
      <w:tr w:rsidR="00E903A1" w:rsidRPr="002E0C7E" w:rsidTr="00741DC5">
        <w:trPr>
          <w:cantSplit/>
          <w:jc w:val="center"/>
        </w:trPr>
        <w:tc>
          <w:tcPr>
            <w:tcW w:w="469"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29</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30</w:t>
            </w:r>
          </w:p>
        </w:tc>
        <w:tc>
          <w:tcPr>
            <w:tcW w:w="498"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31</w:t>
            </w:r>
          </w:p>
        </w:tc>
        <w:tc>
          <w:tcPr>
            <w:tcW w:w="44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69"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26</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27</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28</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29</w:t>
            </w:r>
          </w:p>
        </w:tc>
        <w:tc>
          <w:tcPr>
            <w:tcW w:w="48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52"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69"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25</w:t>
            </w:r>
          </w:p>
        </w:tc>
        <w:tc>
          <w:tcPr>
            <w:tcW w:w="48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26</w:t>
            </w:r>
          </w:p>
        </w:tc>
        <w:tc>
          <w:tcPr>
            <w:tcW w:w="458"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27</w:t>
            </w:r>
          </w:p>
        </w:tc>
        <w:tc>
          <w:tcPr>
            <w:tcW w:w="442"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28</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29</w:t>
            </w:r>
          </w:p>
        </w:tc>
        <w:tc>
          <w:tcPr>
            <w:tcW w:w="51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30</w:t>
            </w:r>
          </w:p>
        </w:tc>
        <w:tc>
          <w:tcPr>
            <w:tcW w:w="470"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31</w:t>
            </w:r>
          </w:p>
        </w:tc>
      </w:tr>
    </w:tbl>
    <w:p w:rsidR="00E903A1" w:rsidRPr="002E0C7E" w:rsidRDefault="00E903A1" w:rsidP="00E903A1">
      <w:pPr>
        <w:widowControl w:val="0"/>
        <w:rPr>
          <w:rFonts w:ascii="Arial" w:hAnsi="Arial"/>
          <w:vanish/>
          <w:szCs w:val="24"/>
        </w:rPr>
      </w:pPr>
    </w:p>
    <w:tbl>
      <w:tblPr>
        <w:tblW w:w="0" w:type="auto"/>
        <w:jc w:val="center"/>
        <w:tblBorders>
          <w:top w:val="nil"/>
          <w:left w:val="nil"/>
          <w:bottom w:val="nil"/>
          <w:right w:val="nil"/>
          <w:insideH w:val="nil"/>
          <w:insideV w:val="nil"/>
        </w:tblBorders>
        <w:tblLayout w:type="fixed"/>
        <w:tblCellMar>
          <w:left w:w="0" w:type="dxa"/>
          <w:right w:w="0" w:type="dxa"/>
        </w:tblCellMar>
        <w:tblLook w:val="0000"/>
      </w:tblPr>
      <w:tblGrid>
        <w:gridCol w:w="446"/>
        <w:gridCol w:w="492"/>
        <w:gridCol w:w="469"/>
        <w:gridCol w:w="469"/>
        <w:gridCol w:w="469"/>
        <w:gridCol w:w="469"/>
        <w:gridCol w:w="469"/>
        <w:gridCol w:w="469"/>
        <w:gridCol w:w="473"/>
        <w:gridCol w:w="466"/>
        <w:gridCol w:w="469"/>
        <w:gridCol w:w="469"/>
        <w:gridCol w:w="486"/>
        <w:gridCol w:w="450"/>
        <w:gridCol w:w="472"/>
        <w:gridCol w:w="518"/>
        <w:gridCol w:w="420"/>
        <w:gridCol w:w="480"/>
        <w:gridCol w:w="458"/>
        <w:gridCol w:w="469"/>
        <w:gridCol w:w="469"/>
        <w:gridCol w:w="469"/>
        <w:gridCol w:w="470"/>
      </w:tblGrid>
      <w:tr w:rsidR="00E903A1" w:rsidRPr="002E0C7E" w:rsidTr="00741DC5">
        <w:trPr>
          <w:cantSplit/>
          <w:jc w:val="center"/>
        </w:trPr>
        <w:tc>
          <w:tcPr>
            <w:tcW w:w="3283" w:type="dxa"/>
            <w:gridSpan w:val="7"/>
            <w:tcBorders>
              <w:top w:val="double" w:sz="8" w:space="0" w:color="000000"/>
              <w:left w:val="double" w:sz="8" w:space="0" w:color="000000"/>
              <w:bottom w:val="double" w:sz="8" w:space="0" w:color="000000"/>
              <w:right w:val="double" w:sz="6" w:space="0" w:color="000000"/>
            </w:tcBorders>
            <w:shd w:val="pct30" w:color="000000" w:fill="auto"/>
            <w:tcMar>
              <w:top w:w="72" w:type="dxa"/>
              <w:left w:w="0" w:type="dxa"/>
              <w:bottom w:w="72" w:type="dxa"/>
              <w:right w:w="0" w:type="dxa"/>
            </w:tcMar>
          </w:tcPr>
          <w:p w:rsidR="00E903A1" w:rsidRPr="002E0C7E" w:rsidRDefault="00E903A1" w:rsidP="00741DC5">
            <w:pPr>
              <w:widowControl w:val="0"/>
              <w:jc w:val="center"/>
              <w:rPr>
                <w:rFonts w:ascii="Arial" w:hAnsi="Arial"/>
                <w:sz w:val="14"/>
              </w:rPr>
            </w:pPr>
            <w:r w:rsidRPr="002E0C7E">
              <w:rPr>
                <w:rFonts w:ascii="Arial" w:hAnsi="Arial"/>
                <w:b/>
                <w:sz w:val="14"/>
              </w:rPr>
              <w:t>APRIL - AVRIL</w:t>
            </w:r>
          </w:p>
        </w:tc>
        <w:tc>
          <w:tcPr>
            <w:tcW w:w="469" w:type="dxa"/>
            <w:tcBorders>
              <w:top w:val="nil"/>
              <w:left w:val="double" w:sz="6" w:space="0" w:color="000000"/>
              <w:bottom w:val="nil"/>
              <w:right w:val="double" w:sz="6" w:space="0" w:color="000000"/>
            </w:tcBorders>
            <w:tcMar>
              <w:top w:w="72" w:type="dxa"/>
              <w:left w:w="0" w:type="dxa"/>
              <w:bottom w:w="72" w:type="dxa"/>
              <w:right w:w="0" w:type="dxa"/>
            </w:tcMar>
          </w:tcPr>
          <w:p w:rsidR="00E903A1" w:rsidRPr="002E0C7E" w:rsidRDefault="00E903A1" w:rsidP="00741DC5">
            <w:pPr>
              <w:widowControl w:val="0"/>
              <w:jc w:val="center"/>
              <w:rPr>
                <w:rFonts w:ascii="Arial" w:hAnsi="Arial"/>
                <w:sz w:val="14"/>
              </w:rPr>
            </w:pPr>
          </w:p>
        </w:tc>
        <w:tc>
          <w:tcPr>
            <w:tcW w:w="3285" w:type="dxa"/>
            <w:gridSpan w:val="7"/>
            <w:tcBorders>
              <w:top w:val="double" w:sz="8" w:space="0" w:color="000000"/>
              <w:left w:val="double" w:sz="6" w:space="0" w:color="000000"/>
              <w:bottom w:val="double" w:sz="8" w:space="0" w:color="000000"/>
              <w:right w:val="double" w:sz="6" w:space="0" w:color="000000"/>
            </w:tcBorders>
            <w:shd w:val="pct30" w:color="000000" w:fill="auto"/>
            <w:tcMar>
              <w:top w:w="72" w:type="dxa"/>
              <w:left w:w="0" w:type="dxa"/>
              <w:bottom w:w="72" w:type="dxa"/>
              <w:right w:w="0" w:type="dxa"/>
            </w:tcMar>
          </w:tcPr>
          <w:p w:rsidR="00E903A1" w:rsidRPr="002E0C7E" w:rsidRDefault="00E903A1" w:rsidP="00741DC5">
            <w:pPr>
              <w:widowControl w:val="0"/>
              <w:jc w:val="center"/>
              <w:rPr>
                <w:rFonts w:ascii="Arial" w:hAnsi="Arial"/>
                <w:sz w:val="14"/>
              </w:rPr>
            </w:pPr>
            <w:r w:rsidRPr="002E0C7E">
              <w:rPr>
                <w:rFonts w:ascii="Arial" w:hAnsi="Arial"/>
                <w:b/>
                <w:sz w:val="14"/>
              </w:rPr>
              <w:t>MAY - MAI</w:t>
            </w:r>
          </w:p>
        </w:tc>
        <w:tc>
          <w:tcPr>
            <w:tcW w:w="518" w:type="dxa"/>
            <w:tcBorders>
              <w:top w:val="nil"/>
              <w:left w:val="double" w:sz="6" w:space="0" w:color="000000"/>
              <w:bottom w:val="nil"/>
              <w:right w:val="double" w:sz="6" w:space="0" w:color="000000"/>
            </w:tcBorders>
            <w:tcMar>
              <w:top w:w="72" w:type="dxa"/>
              <w:left w:w="0" w:type="dxa"/>
              <w:bottom w:w="72" w:type="dxa"/>
              <w:right w:w="0" w:type="dxa"/>
            </w:tcMar>
          </w:tcPr>
          <w:p w:rsidR="00E903A1" w:rsidRPr="002E0C7E" w:rsidRDefault="00E903A1" w:rsidP="00741DC5">
            <w:pPr>
              <w:widowControl w:val="0"/>
              <w:jc w:val="center"/>
              <w:rPr>
                <w:rFonts w:ascii="Arial" w:hAnsi="Arial"/>
                <w:sz w:val="14"/>
              </w:rPr>
            </w:pPr>
          </w:p>
        </w:tc>
        <w:tc>
          <w:tcPr>
            <w:tcW w:w="3235" w:type="dxa"/>
            <w:gridSpan w:val="7"/>
            <w:tcBorders>
              <w:top w:val="double" w:sz="8" w:space="0" w:color="000000"/>
              <w:left w:val="double" w:sz="6" w:space="0" w:color="000000"/>
              <w:bottom w:val="double" w:sz="8" w:space="0" w:color="000000"/>
              <w:right w:val="double" w:sz="8" w:space="0" w:color="000000"/>
            </w:tcBorders>
            <w:shd w:val="pct30" w:color="000000" w:fill="auto"/>
            <w:tcMar>
              <w:top w:w="72" w:type="dxa"/>
              <w:left w:w="0" w:type="dxa"/>
              <w:bottom w:w="72" w:type="dxa"/>
              <w:right w:w="0" w:type="dxa"/>
            </w:tcMar>
          </w:tcPr>
          <w:p w:rsidR="00E903A1" w:rsidRPr="002E0C7E" w:rsidRDefault="00E903A1" w:rsidP="00741DC5">
            <w:pPr>
              <w:widowControl w:val="0"/>
              <w:jc w:val="center"/>
              <w:rPr>
                <w:rFonts w:ascii="Arial" w:hAnsi="Arial"/>
                <w:sz w:val="14"/>
              </w:rPr>
            </w:pPr>
            <w:r w:rsidRPr="002E0C7E">
              <w:rPr>
                <w:rFonts w:ascii="Arial" w:hAnsi="Arial"/>
                <w:b/>
                <w:sz w:val="14"/>
              </w:rPr>
              <w:t>JUNE - JUIN</w:t>
            </w:r>
          </w:p>
        </w:tc>
      </w:tr>
      <w:tr w:rsidR="00E903A1" w:rsidRPr="002E0C7E" w:rsidTr="00741DC5">
        <w:trPr>
          <w:cantSplit/>
          <w:jc w:val="center"/>
        </w:trPr>
        <w:tc>
          <w:tcPr>
            <w:tcW w:w="446"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S</w:t>
            </w:r>
          </w:p>
          <w:p w:rsidR="00E903A1" w:rsidRPr="002E0C7E" w:rsidRDefault="00E903A1" w:rsidP="00741DC5">
            <w:pPr>
              <w:widowControl w:val="0"/>
              <w:jc w:val="center"/>
              <w:rPr>
                <w:rFonts w:ascii="Arial" w:hAnsi="Arial"/>
                <w:sz w:val="14"/>
              </w:rPr>
            </w:pPr>
            <w:r w:rsidRPr="002E0C7E">
              <w:rPr>
                <w:rFonts w:ascii="Arial" w:hAnsi="Arial"/>
                <w:sz w:val="14"/>
              </w:rPr>
              <w:t>D</w:t>
            </w:r>
          </w:p>
        </w:tc>
        <w:tc>
          <w:tcPr>
            <w:tcW w:w="492"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M</w:t>
            </w:r>
          </w:p>
          <w:p w:rsidR="00E903A1" w:rsidRPr="002E0C7E" w:rsidRDefault="00E903A1" w:rsidP="00741DC5">
            <w:pPr>
              <w:widowControl w:val="0"/>
              <w:jc w:val="center"/>
              <w:rPr>
                <w:rFonts w:ascii="Arial" w:hAnsi="Arial"/>
                <w:sz w:val="14"/>
              </w:rPr>
            </w:pPr>
            <w:r w:rsidRPr="002E0C7E">
              <w:rPr>
                <w:rFonts w:ascii="Arial" w:hAnsi="Arial"/>
                <w:sz w:val="14"/>
              </w:rPr>
              <w:t>L</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T</w:t>
            </w:r>
          </w:p>
          <w:p w:rsidR="00E903A1" w:rsidRPr="002E0C7E" w:rsidRDefault="00E903A1" w:rsidP="00741DC5">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W</w:t>
            </w:r>
          </w:p>
          <w:p w:rsidR="00E903A1" w:rsidRPr="002E0C7E" w:rsidRDefault="00E903A1" w:rsidP="00741DC5">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T</w:t>
            </w:r>
          </w:p>
          <w:p w:rsidR="00E903A1" w:rsidRPr="002E0C7E" w:rsidRDefault="00E903A1" w:rsidP="00741DC5">
            <w:pPr>
              <w:widowControl w:val="0"/>
              <w:jc w:val="center"/>
              <w:rPr>
                <w:rFonts w:ascii="Arial" w:hAnsi="Arial"/>
                <w:sz w:val="14"/>
              </w:rPr>
            </w:pPr>
            <w:r w:rsidRPr="002E0C7E">
              <w:rPr>
                <w:rFonts w:ascii="Arial" w:hAnsi="Arial"/>
                <w:sz w:val="14"/>
              </w:rPr>
              <w:t>J</w:t>
            </w:r>
          </w:p>
        </w:tc>
        <w:tc>
          <w:tcPr>
            <w:tcW w:w="469" w:type="dxa"/>
            <w:tcBorders>
              <w:top w:val="doub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F</w:t>
            </w:r>
          </w:p>
          <w:p w:rsidR="00E903A1" w:rsidRPr="002E0C7E" w:rsidRDefault="00E903A1" w:rsidP="00741DC5">
            <w:pPr>
              <w:widowControl w:val="0"/>
              <w:jc w:val="center"/>
              <w:rPr>
                <w:rFonts w:ascii="Arial" w:hAnsi="Arial"/>
                <w:sz w:val="14"/>
              </w:rPr>
            </w:pPr>
            <w:r w:rsidRPr="002E0C7E">
              <w:rPr>
                <w:rFonts w:ascii="Arial" w:hAnsi="Arial"/>
                <w:sz w:val="14"/>
              </w:rPr>
              <w:t>V</w:t>
            </w:r>
          </w:p>
        </w:tc>
        <w:tc>
          <w:tcPr>
            <w:tcW w:w="469" w:type="dxa"/>
            <w:tcBorders>
              <w:top w:val="doub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S</w:t>
            </w:r>
          </w:p>
          <w:p w:rsidR="00E903A1" w:rsidRPr="002E0C7E" w:rsidRDefault="00E903A1" w:rsidP="00741DC5">
            <w:pPr>
              <w:widowControl w:val="0"/>
              <w:jc w:val="center"/>
              <w:rPr>
                <w:rFonts w:ascii="Arial" w:hAnsi="Arial"/>
                <w:sz w:val="14"/>
              </w:rPr>
            </w:pPr>
            <w:r w:rsidRPr="002E0C7E">
              <w:rPr>
                <w:rFonts w:ascii="Arial" w:hAnsi="Arial"/>
                <w:sz w:val="14"/>
              </w:rPr>
              <w:t>S</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73"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S</w:t>
            </w:r>
          </w:p>
          <w:p w:rsidR="00E903A1" w:rsidRPr="002E0C7E" w:rsidRDefault="00E903A1" w:rsidP="00741DC5">
            <w:pPr>
              <w:widowControl w:val="0"/>
              <w:jc w:val="center"/>
              <w:rPr>
                <w:rFonts w:ascii="Arial" w:hAnsi="Arial"/>
                <w:sz w:val="14"/>
              </w:rPr>
            </w:pPr>
            <w:r w:rsidRPr="002E0C7E">
              <w:rPr>
                <w:rFonts w:ascii="Arial" w:hAnsi="Arial"/>
                <w:sz w:val="14"/>
              </w:rPr>
              <w:t>D</w:t>
            </w:r>
          </w:p>
        </w:tc>
        <w:tc>
          <w:tcPr>
            <w:tcW w:w="466"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M</w:t>
            </w:r>
          </w:p>
          <w:p w:rsidR="00E903A1" w:rsidRPr="002E0C7E" w:rsidRDefault="00E903A1" w:rsidP="00741DC5">
            <w:pPr>
              <w:widowControl w:val="0"/>
              <w:jc w:val="center"/>
              <w:rPr>
                <w:rFonts w:ascii="Arial" w:hAnsi="Arial"/>
                <w:sz w:val="14"/>
              </w:rPr>
            </w:pPr>
            <w:r w:rsidRPr="002E0C7E">
              <w:rPr>
                <w:rFonts w:ascii="Arial" w:hAnsi="Arial"/>
                <w:sz w:val="14"/>
              </w:rPr>
              <w:t>L</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T</w:t>
            </w:r>
          </w:p>
          <w:p w:rsidR="00E903A1" w:rsidRPr="002E0C7E" w:rsidRDefault="00E903A1" w:rsidP="00741DC5">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W</w:t>
            </w:r>
          </w:p>
          <w:p w:rsidR="00E903A1" w:rsidRPr="002E0C7E" w:rsidRDefault="00E903A1" w:rsidP="00741DC5">
            <w:pPr>
              <w:widowControl w:val="0"/>
              <w:jc w:val="center"/>
              <w:rPr>
                <w:rFonts w:ascii="Arial" w:hAnsi="Arial"/>
                <w:sz w:val="14"/>
              </w:rPr>
            </w:pPr>
            <w:r w:rsidRPr="002E0C7E">
              <w:rPr>
                <w:rFonts w:ascii="Arial" w:hAnsi="Arial"/>
                <w:sz w:val="14"/>
              </w:rPr>
              <w:t>M</w:t>
            </w:r>
          </w:p>
        </w:tc>
        <w:tc>
          <w:tcPr>
            <w:tcW w:w="486"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T</w:t>
            </w:r>
          </w:p>
          <w:p w:rsidR="00E903A1" w:rsidRPr="002E0C7E" w:rsidRDefault="00E903A1" w:rsidP="00741DC5">
            <w:pPr>
              <w:widowControl w:val="0"/>
              <w:jc w:val="center"/>
              <w:rPr>
                <w:rFonts w:ascii="Arial" w:hAnsi="Arial"/>
                <w:sz w:val="14"/>
              </w:rPr>
            </w:pPr>
            <w:r w:rsidRPr="002E0C7E">
              <w:rPr>
                <w:rFonts w:ascii="Arial" w:hAnsi="Arial"/>
                <w:sz w:val="14"/>
              </w:rPr>
              <w:t>J</w:t>
            </w:r>
          </w:p>
        </w:tc>
        <w:tc>
          <w:tcPr>
            <w:tcW w:w="45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F</w:t>
            </w:r>
          </w:p>
          <w:p w:rsidR="00E903A1" w:rsidRPr="002E0C7E" w:rsidRDefault="00E903A1" w:rsidP="00741DC5">
            <w:pPr>
              <w:widowControl w:val="0"/>
              <w:jc w:val="center"/>
              <w:rPr>
                <w:rFonts w:ascii="Arial" w:hAnsi="Arial"/>
                <w:sz w:val="14"/>
              </w:rPr>
            </w:pPr>
            <w:r w:rsidRPr="002E0C7E">
              <w:rPr>
                <w:rFonts w:ascii="Arial" w:hAnsi="Arial"/>
                <w:sz w:val="14"/>
              </w:rPr>
              <w:t>V</w:t>
            </w:r>
          </w:p>
        </w:tc>
        <w:tc>
          <w:tcPr>
            <w:tcW w:w="472" w:type="dxa"/>
            <w:tcBorders>
              <w:top w:val="doub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S</w:t>
            </w:r>
          </w:p>
          <w:p w:rsidR="00E903A1" w:rsidRPr="002E0C7E" w:rsidRDefault="00E903A1" w:rsidP="00741DC5">
            <w:pPr>
              <w:widowControl w:val="0"/>
              <w:jc w:val="center"/>
              <w:rPr>
                <w:rFonts w:ascii="Arial" w:hAnsi="Arial"/>
                <w:sz w:val="14"/>
              </w:rPr>
            </w:pPr>
            <w:r w:rsidRPr="002E0C7E">
              <w:rPr>
                <w:rFonts w:ascii="Arial" w:hAnsi="Arial"/>
                <w:sz w:val="14"/>
              </w:rPr>
              <w:t>S</w:t>
            </w: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20" w:type="dxa"/>
            <w:tcBorders>
              <w:top w:val="doub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S</w:t>
            </w:r>
          </w:p>
          <w:p w:rsidR="00E903A1" w:rsidRPr="002E0C7E" w:rsidRDefault="00E903A1" w:rsidP="00741DC5">
            <w:pPr>
              <w:widowControl w:val="0"/>
              <w:jc w:val="center"/>
              <w:rPr>
                <w:rFonts w:ascii="Arial" w:hAnsi="Arial"/>
                <w:sz w:val="14"/>
              </w:rPr>
            </w:pPr>
            <w:r w:rsidRPr="002E0C7E">
              <w:rPr>
                <w:rFonts w:ascii="Arial" w:hAnsi="Arial"/>
                <w:sz w:val="14"/>
              </w:rPr>
              <w:t>D</w:t>
            </w:r>
          </w:p>
        </w:tc>
        <w:tc>
          <w:tcPr>
            <w:tcW w:w="480"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M</w:t>
            </w:r>
          </w:p>
          <w:p w:rsidR="00E903A1" w:rsidRPr="002E0C7E" w:rsidRDefault="00E903A1" w:rsidP="00741DC5">
            <w:pPr>
              <w:widowControl w:val="0"/>
              <w:jc w:val="center"/>
              <w:rPr>
                <w:rFonts w:ascii="Arial" w:hAnsi="Arial"/>
                <w:sz w:val="14"/>
              </w:rPr>
            </w:pPr>
            <w:r w:rsidRPr="002E0C7E">
              <w:rPr>
                <w:rFonts w:ascii="Arial" w:hAnsi="Arial"/>
                <w:sz w:val="14"/>
              </w:rPr>
              <w:t>L</w:t>
            </w:r>
          </w:p>
        </w:tc>
        <w:tc>
          <w:tcPr>
            <w:tcW w:w="458"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T</w:t>
            </w:r>
          </w:p>
          <w:p w:rsidR="00E903A1" w:rsidRPr="002E0C7E" w:rsidRDefault="00E903A1" w:rsidP="00741DC5">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W</w:t>
            </w:r>
          </w:p>
          <w:p w:rsidR="00E903A1" w:rsidRPr="002E0C7E" w:rsidRDefault="00E903A1" w:rsidP="00741DC5">
            <w:pPr>
              <w:widowControl w:val="0"/>
              <w:jc w:val="center"/>
              <w:rPr>
                <w:rFonts w:ascii="Arial" w:hAnsi="Arial"/>
                <w:sz w:val="14"/>
              </w:rPr>
            </w:pPr>
            <w:r w:rsidRPr="002E0C7E">
              <w:rPr>
                <w:rFonts w:ascii="Arial" w:hAnsi="Arial"/>
                <w:sz w:val="14"/>
              </w:rPr>
              <w:t>M</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T</w:t>
            </w:r>
          </w:p>
          <w:p w:rsidR="00E903A1" w:rsidRPr="002E0C7E" w:rsidRDefault="00E903A1" w:rsidP="00741DC5">
            <w:pPr>
              <w:widowControl w:val="0"/>
              <w:jc w:val="center"/>
              <w:rPr>
                <w:rFonts w:ascii="Arial" w:hAnsi="Arial"/>
                <w:sz w:val="14"/>
              </w:rPr>
            </w:pPr>
            <w:r w:rsidRPr="002E0C7E">
              <w:rPr>
                <w:rFonts w:ascii="Arial" w:hAnsi="Arial"/>
                <w:sz w:val="14"/>
              </w:rPr>
              <w:t>J</w:t>
            </w:r>
          </w:p>
        </w:tc>
        <w:tc>
          <w:tcPr>
            <w:tcW w:w="469" w:type="dxa"/>
            <w:tcBorders>
              <w:top w:val="doub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F</w:t>
            </w:r>
          </w:p>
          <w:p w:rsidR="00E903A1" w:rsidRPr="002E0C7E" w:rsidRDefault="00E903A1" w:rsidP="00741DC5">
            <w:pPr>
              <w:widowControl w:val="0"/>
              <w:jc w:val="center"/>
              <w:rPr>
                <w:rFonts w:ascii="Arial" w:hAnsi="Arial"/>
                <w:sz w:val="14"/>
              </w:rPr>
            </w:pPr>
            <w:r w:rsidRPr="002E0C7E">
              <w:rPr>
                <w:rFonts w:ascii="Arial" w:hAnsi="Arial"/>
                <w:sz w:val="14"/>
              </w:rPr>
              <w:t>v</w:t>
            </w:r>
          </w:p>
        </w:tc>
        <w:tc>
          <w:tcPr>
            <w:tcW w:w="470" w:type="dxa"/>
            <w:tcBorders>
              <w:top w:val="doub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s</w:t>
            </w:r>
          </w:p>
          <w:p w:rsidR="00E903A1" w:rsidRPr="002E0C7E" w:rsidRDefault="00E903A1" w:rsidP="00741DC5">
            <w:pPr>
              <w:widowControl w:val="0"/>
              <w:jc w:val="center"/>
              <w:rPr>
                <w:rFonts w:ascii="Arial" w:hAnsi="Arial"/>
                <w:sz w:val="14"/>
              </w:rPr>
            </w:pPr>
            <w:r w:rsidRPr="002E0C7E">
              <w:rPr>
                <w:rFonts w:ascii="Arial" w:hAnsi="Arial"/>
                <w:sz w:val="14"/>
              </w:rPr>
              <w:t>s</w:t>
            </w:r>
          </w:p>
        </w:tc>
      </w:tr>
      <w:tr w:rsidR="00E903A1" w:rsidRPr="002E0C7E" w:rsidTr="00741DC5">
        <w:trPr>
          <w:cantSplit/>
          <w:trHeight w:val="422"/>
          <w:jc w:val="center"/>
        </w:trPr>
        <w:tc>
          <w:tcPr>
            <w:tcW w:w="44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w:t>
            </w:r>
          </w:p>
        </w:tc>
        <w:tc>
          <w:tcPr>
            <w:tcW w:w="492"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4</w:t>
            </w:r>
          </w:p>
        </w:tc>
        <w:tc>
          <w:tcPr>
            <w:tcW w:w="469"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5</w:t>
            </w:r>
          </w:p>
        </w:tc>
        <w:tc>
          <w:tcPr>
            <w:tcW w:w="469"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b/>
                <w:sz w:val="14"/>
              </w:rPr>
              <w:t>H</w:t>
            </w:r>
          </w:p>
          <w:p w:rsidR="00E903A1" w:rsidRPr="002E0C7E" w:rsidRDefault="00E903A1" w:rsidP="00741DC5">
            <w:pPr>
              <w:widowControl w:val="0"/>
              <w:jc w:val="center"/>
              <w:rPr>
                <w:rFonts w:ascii="Arial" w:hAnsi="Arial"/>
                <w:sz w:val="14"/>
              </w:rPr>
            </w:pPr>
            <w:r w:rsidRPr="002E0C7E">
              <w:rPr>
                <w:rFonts w:ascii="Arial" w:hAnsi="Arial"/>
                <w:sz w:val="14"/>
              </w:rPr>
              <w:t>6</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7</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73"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6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w:t>
            </w:r>
          </w:p>
        </w:tc>
        <w:tc>
          <w:tcPr>
            <w:tcW w:w="48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3</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b/>
                <w:sz w:val="14"/>
              </w:rPr>
            </w:pPr>
          </w:p>
          <w:p w:rsidR="00E903A1" w:rsidRPr="002E0C7E" w:rsidRDefault="00E903A1" w:rsidP="00741DC5">
            <w:pPr>
              <w:widowControl w:val="0"/>
              <w:jc w:val="center"/>
              <w:rPr>
                <w:rFonts w:ascii="Arial" w:hAnsi="Arial"/>
                <w:sz w:val="14"/>
              </w:rPr>
            </w:pPr>
            <w:r w:rsidRPr="002E0C7E">
              <w:rPr>
                <w:rFonts w:ascii="Arial" w:hAnsi="Arial"/>
                <w:b/>
                <w:sz w:val="14"/>
              </w:rPr>
              <w:t>4</w:t>
            </w:r>
          </w:p>
        </w:tc>
        <w:tc>
          <w:tcPr>
            <w:tcW w:w="472"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5</w:t>
            </w: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2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8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5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w:t>
            </w:r>
          </w:p>
        </w:tc>
      </w:tr>
      <w:tr w:rsidR="00E903A1" w:rsidRPr="002E0C7E" w:rsidTr="00741DC5">
        <w:trPr>
          <w:cantSplit/>
          <w:jc w:val="center"/>
        </w:trPr>
        <w:tc>
          <w:tcPr>
            <w:tcW w:w="446"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8</w:t>
            </w:r>
          </w:p>
        </w:tc>
        <w:tc>
          <w:tcPr>
            <w:tcW w:w="492"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b/>
                <w:sz w:val="14"/>
              </w:rPr>
              <w:t>H</w:t>
            </w:r>
          </w:p>
          <w:p w:rsidR="00E903A1" w:rsidRPr="002E0C7E" w:rsidRDefault="00E903A1" w:rsidP="00741DC5">
            <w:pPr>
              <w:widowControl w:val="0"/>
              <w:jc w:val="center"/>
              <w:rPr>
                <w:rFonts w:ascii="Arial" w:hAnsi="Arial"/>
                <w:sz w:val="14"/>
              </w:rPr>
            </w:pPr>
            <w:r w:rsidRPr="002E0C7E">
              <w:rPr>
                <w:rFonts w:ascii="Arial" w:hAnsi="Arial"/>
                <w:sz w:val="14"/>
              </w:rPr>
              <w:t>9</w:t>
            </w:r>
          </w:p>
        </w:tc>
        <w:tc>
          <w:tcPr>
            <w:tcW w:w="469"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b/>
                <w:sz w:val="14"/>
              </w:rPr>
              <w:t>M</w:t>
            </w:r>
          </w:p>
          <w:p w:rsidR="00E903A1" w:rsidRPr="002E0C7E" w:rsidRDefault="00E903A1" w:rsidP="00741DC5">
            <w:pPr>
              <w:widowControl w:val="0"/>
              <w:jc w:val="center"/>
              <w:rPr>
                <w:rFonts w:ascii="Arial" w:hAnsi="Arial"/>
                <w:sz w:val="14"/>
              </w:rPr>
            </w:pPr>
            <w:r w:rsidRPr="002E0C7E">
              <w:rPr>
                <w:rFonts w:ascii="Arial" w:hAnsi="Arial"/>
                <w:sz w:val="14"/>
              </w:rPr>
              <w:t>10</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11</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13</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14</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73"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6</w:t>
            </w:r>
          </w:p>
        </w:tc>
        <w:tc>
          <w:tcPr>
            <w:tcW w:w="466"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b/>
                <w:sz w:val="14"/>
              </w:rPr>
              <w:t>M</w:t>
            </w:r>
          </w:p>
          <w:p w:rsidR="00E903A1" w:rsidRPr="002E0C7E" w:rsidRDefault="00E903A1" w:rsidP="00741DC5">
            <w:pPr>
              <w:widowControl w:val="0"/>
              <w:jc w:val="center"/>
              <w:rPr>
                <w:rFonts w:ascii="Arial" w:hAnsi="Arial"/>
                <w:sz w:val="14"/>
              </w:rPr>
            </w:pPr>
            <w:r w:rsidRPr="002E0C7E">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9</w:t>
            </w:r>
          </w:p>
        </w:tc>
        <w:tc>
          <w:tcPr>
            <w:tcW w:w="48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10</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11</w:t>
            </w:r>
          </w:p>
        </w:tc>
        <w:tc>
          <w:tcPr>
            <w:tcW w:w="472"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12</w:t>
            </w: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20"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3</w:t>
            </w:r>
          </w:p>
        </w:tc>
        <w:tc>
          <w:tcPr>
            <w:tcW w:w="480" w:type="dxa"/>
            <w:tcBorders>
              <w:top w:val="double" w:sz="8" w:space="0" w:color="000000"/>
              <w:left w:val="double" w:sz="8" w:space="0" w:color="000000"/>
              <w:bottom w:val="double" w:sz="8" w:space="0" w:color="000000"/>
              <w:right w:val="doub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b/>
                <w:sz w:val="14"/>
              </w:rPr>
              <w:t>M</w:t>
            </w:r>
          </w:p>
          <w:p w:rsidR="00E903A1" w:rsidRPr="002E0C7E" w:rsidRDefault="00E903A1" w:rsidP="00741DC5">
            <w:pPr>
              <w:widowControl w:val="0"/>
              <w:jc w:val="center"/>
              <w:rPr>
                <w:rFonts w:ascii="Arial" w:hAnsi="Arial"/>
                <w:sz w:val="14"/>
              </w:rPr>
            </w:pPr>
            <w:r w:rsidRPr="002E0C7E">
              <w:rPr>
                <w:rFonts w:ascii="Arial" w:hAnsi="Arial"/>
                <w:sz w:val="14"/>
              </w:rPr>
              <w:t>4</w:t>
            </w:r>
          </w:p>
        </w:tc>
        <w:tc>
          <w:tcPr>
            <w:tcW w:w="458"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6</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8</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9</w:t>
            </w:r>
          </w:p>
        </w:tc>
      </w:tr>
      <w:tr w:rsidR="00E903A1" w:rsidRPr="002E0C7E" w:rsidTr="00741DC5">
        <w:trPr>
          <w:cantSplit/>
          <w:jc w:val="center"/>
        </w:trPr>
        <w:tc>
          <w:tcPr>
            <w:tcW w:w="44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15</w:t>
            </w:r>
          </w:p>
        </w:tc>
        <w:tc>
          <w:tcPr>
            <w:tcW w:w="492" w:type="dxa"/>
            <w:tcBorders>
              <w:top w:val="nil"/>
              <w:left w:val="single" w:sz="8" w:space="0" w:color="000000"/>
              <w:bottom w:val="single" w:sz="8" w:space="0" w:color="000000"/>
              <w:right w:val="nil"/>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16</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17</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18</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19</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20</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21</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73"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13</w:t>
            </w:r>
          </w:p>
        </w:tc>
        <w:tc>
          <w:tcPr>
            <w:tcW w:w="466"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15</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16</w:t>
            </w:r>
          </w:p>
        </w:tc>
        <w:tc>
          <w:tcPr>
            <w:tcW w:w="486"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17</w:t>
            </w:r>
          </w:p>
        </w:tc>
        <w:tc>
          <w:tcPr>
            <w:tcW w:w="450"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18</w:t>
            </w:r>
          </w:p>
        </w:tc>
        <w:tc>
          <w:tcPr>
            <w:tcW w:w="472"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19</w:t>
            </w: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2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10</w:t>
            </w:r>
          </w:p>
        </w:tc>
        <w:tc>
          <w:tcPr>
            <w:tcW w:w="480" w:type="dxa"/>
            <w:tcBorders>
              <w:top w:val="single" w:sz="8" w:space="0" w:color="000000"/>
              <w:left w:val="single" w:sz="8" w:space="0" w:color="000000"/>
              <w:bottom w:val="nil"/>
              <w:right w:val="nil"/>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11</w:t>
            </w:r>
          </w:p>
        </w:tc>
        <w:tc>
          <w:tcPr>
            <w:tcW w:w="458"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12</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13</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14</w:t>
            </w:r>
          </w:p>
        </w:tc>
        <w:tc>
          <w:tcPr>
            <w:tcW w:w="469" w:type="dxa"/>
            <w:tcBorders>
              <w:top w:val="single" w:sz="8" w:space="0" w:color="000000"/>
              <w:left w:val="single" w:sz="8" w:space="0" w:color="000000"/>
              <w:bottom w:val="single" w:sz="8" w:space="0" w:color="000000"/>
              <w:right w:val="single" w:sz="8" w:space="0" w:color="000000"/>
            </w:tcBorders>
            <w:shd w:val="pct30" w:color="000000" w:fill="auto"/>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15</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16</w:t>
            </w:r>
          </w:p>
        </w:tc>
      </w:tr>
      <w:tr w:rsidR="00E903A1" w:rsidRPr="002E0C7E" w:rsidTr="00741DC5">
        <w:trPr>
          <w:cantSplit/>
          <w:jc w:val="center"/>
        </w:trPr>
        <w:tc>
          <w:tcPr>
            <w:tcW w:w="446"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22</w:t>
            </w:r>
          </w:p>
        </w:tc>
        <w:tc>
          <w:tcPr>
            <w:tcW w:w="492"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vAlign w:val="cente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23</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24</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25</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26</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27</w:t>
            </w:r>
          </w:p>
        </w:tc>
        <w:tc>
          <w:tcPr>
            <w:tcW w:w="469"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28</w:t>
            </w: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73" w:type="dxa"/>
            <w:tcBorders>
              <w:top w:val="single" w:sz="8" w:space="0" w:color="000000"/>
              <w:left w:val="doub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20</w:t>
            </w:r>
          </w:p>
        </w:tc>
        <w:tc>
          <w:tcPr>
            <w:tcW w:w="466" w:type="dxa"/>
            <w:tcBorders>
              <w:top w:val="double" w:sz="8" w:space="0" w:color="000000"/>
              <w:left w:val="doub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b/>
                <w:sz w:val="14"/>
              </w:rPr>
              <w:t>H</w:t>
            </w:r>
          </w:p>
          <w:p w:rsidR="00E903A1" w:rsidRPr="002E0C7E" w:rsidRDefault="00E903A1" w:rsidP="00741DC5">
            <w:pPr>
              <w:widowControl w:val="0"/>
              <w:jc w:val="center"/>
              <w:rPr>
                <w:rFonts w:ascii="Arial" w:hAnsi="Arial"/>
                <w:sz w:val="14"/>
              </w:rPr>
            </w:pPr>
            <w:r w:rsidRPr="002E0C7E">
              <w:rPr>
                <w:rFonts w:ascii="Arial" w:hAnsi="Arial"/>
                <w:sz w:val="14"/>
              </w:rPr>
              <w:t>21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22</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23</w:t>
            </w:r>
          </w:p>
        </w:tc>
        <w:tc>
          <w:tcPr>
            <w:tcW w:w="486"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24</w:t>
            </w:r>
          </w:p>
        </w:tc>
        <w:tc>
          <w:tcPr>
            <w:tcW w:w="45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25</w:t>
            </w:r>
          </w:p>
        </w:tc>
        <w:tc>
          <w:tcPr>
            <w:tcW w:w="472" w:type="dxa"/>
            <w:tcBorders>
              <w:top w:val="single" w:sz="8" w:space="0" w:color="000000"/>
              <w:left w:val="single" w:sz="8" w:space="0" w:color="000000"/>
              <w:bottom w:val="single" w:sz="8" w:space="0" w:color="000000"/>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26</w:t>
            </w: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20" w:type="dxa"/>
            <w:tcBorders>
              <w:top w:val="single" w:sz="8" w:space="0" w:color="000000"/>
              <w:left w:val="doub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17</w:t>
            </w:r>
          </w:p>
        </w:tc>
        <w:tc>
          <w:tcPr>
            <w:tcW w:w="480"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18</w:t>
            </w:r>
          </w:p>
        </w:tc>
        <w:tc>
          <w:tcPr>
            <w:tcW w:w="458"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19</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20</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21</w:t>
            </w:r>
          </w:p>
        </w:tc>
        <w:tc>
          <w:tcPr>
            <w:tcW w:w="469" w:type="dxa"/>
            <w:tcBorders>
              <w:top w:val="single" w:sz="8" w:space="0" w:color="000000"/>
              <w:left w:val="single" w:sz="8" w:space="0" w:color="000000"/>
              <w:bottom w:val="sing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22</w:t>
            </w:r>
          </w:p>
        </w:tc>
        <w:tc>
          <w:tcPr>
            <w:tcW w:w="470" w:type="dxa"/>
            <w:tcBorders>
              <w:top w:val="single" w:sz="8" w:space="0" w:color="000000"/>
              <w:left w:val="single" w:sz="8" w:space="0" w:color="000000"/>
              <w:bottom w:val="sing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23</w:t>
            </w:r>
          </w:p>
        </w:tc>
      </w:tr>
      <w:tr w:rsidR="00E903A1" w:rsidRPr="002E0C7E" w:rsidTr="00741DC5">
        <w:trPr>
          <w:cantSplit/>
          <w:jc w:val="center"/>
        </w:trPr>
        <w:tc>
          <w:tcPr>
            <w:tcW w:w="446"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29</w:t>
            </w:r>
          </w:p>
        </w:tc>
        <w:tc>
          <w:tcPr>
            <w:tcW w:w="492"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30</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69" w:type="dxa"/>
            <w:tcBorders>
              <w:top w:val="single" w:sz="8" w:space="0" w:color="000000"/>
              <w:left w:val="single" w:sz="8" w:space="0" w:color="000000"/>
              <w:bottom w:val="double" w:sz="8" w:space="0" w:color="000000"/>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69"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73"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r w:rsidRPr="002E0C7E">
              <w:rPr>
                <w:rFonts w:ascii="Arial" w:hAnsi="Arial"/>
                <w:sz w:val="14"/>
              </w:rPr>
              <w:t xml:space="preserve">    </w:t>
            </w:r>
          </w:p>
          <w:p w:rsidR="00E903A1" w:rsidRPr="002E0C7E" w:rsidRDefault="00E903A1" w:rsidP="00741DC5">
            <w:pPr>
              <w:widowControl w:val="0"/>
              <w:jc w:val="center"/>
              <w:rPr>
                <w:rFonts w:ascii="Arial" w:hAnsi="Arial"/>
                <w:sz w:val="14"/>
              </w:rPr>
            </w:pPr>
            <w:r w:rsidRPr="002E0C7E">
              <w:rPr>
                <w:rFonts w:ascii="Arial" w:hAnsi="Arial"/>
                <w:sz w:val="14"/>
              </w:rPr>
              <w:t>27</w:t>
            </w:r>
          </w:p>
        </w:tc>
        <w:tc>
          <w:tcPr>
            <w:tcW w:w="46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28</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29</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30</w:t>
            </w:r>
          </w:p>
        </w:tc>
        <w:tc>
          <w:tcPr>
            <w:tcW w:w="486"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31</w:t>
            </w:r>
          </w:p>
        </w:tc>
        <w:tc>
          <w:tcPr>
            <w:tcW w:w="45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472" w:type="dxa"/>
            <w:tcBorders>
              <w:top w:val="single" w:sz="8" w:space="0" w:color="000000"/>
              <w:left w:val="single" w:sz="8" w:space="0" w:color="000000"/>
              <w:bottom w:val="double" w:sz="8" w:space="0" w:color="000000"/>
              <w:right w:val="nil"/>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p>
        </w:tc>
        <w:tc>
          <w:tcPr>
            <w:tcW w:w="518" w:type="dxa"/>
            <w:tcBorders>
              <w:top w:val="nil"/>
              <w:left w:val="double" w:sz="8" w:space="0" w:color="000000"/>
              <w:bottom w:val="nil"/>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tc>
        <w:tc>
          <w:tcPr>
            <w:tcW w:w="420" w:type="dxa"/>
            <w:tcBorders>
              <w:top w:val="single" w:sz="8" w:space="0" w:color="000000"/>
              <w:left w:val="doub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24</w:t>
            </w:r>
          </w:p>
        </w:tc>
        <w:tc>
          <w:tcPr>
            <w:tcW w:w="480"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25</w:t>
            </w:r>
          </w:p>
        </w:tc>
        <w:tc>
          <w:tcPr>
            <w:tcW w:w="458"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26</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27</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28</w:t>
            </w:r>
          </w:p>
        </w:tc>
        <w:tc>
          <w:tcPr>
            <w:tcW w:w="469" w:type="dxa"/>
            <w:tcBorders>
              <w:top w:val="single" w:sz="8" w:space="0" w:color="000000"/>
              <w:left w:val="single" w:sz="8" w:space="0" w:color="000000"/>
              <w:bottom w:val="double" w:sz="8" w:space="0" w:color="000000"/>
              <w:right w:val="sing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29</w:t>
            </w:r>
          </w:p>
        </w:tc>
        <w:tc>
          <w:tcPr>
            <w:tcW w:w="470" w:type="dxa"/>
            <w:tcBorders>
              <w:top w:val="single" w:sz="8" w:space="0" w:color="000000"/>
              <w:left w:val="single" w:sz="8" w:space="0" w:color="000000"/>
              <w:bottom w:val="double" w:sz="8" w:space="0" w:color="000000"/>
              <w:right w:val="double" w:sz="8" w:space="0" w:color="000000"/>
            </w:tcBorders>
            <w:tcMar>
              <w:top w:w="72" w:type="dxa"/>
              <w:left w:w="0" w:type="dxa"/>
              <w:bottom w:w="43" w:type="dxa"/>
              <w:right w:w="0" w:type="dxa"/>
            </w:tcMar>
          </w:tcPr>
          <w:p w:rsidR="00E903A1" w:rsidRPr="002E0C7E" w:rsidRDefault="00E903A1" w:rsidP="00741DC5">
            <w:pPr>
              <w:widowControl w:val="0"/>
              <w:jc w:val="center"/>
              <w:rPr>
                <w:rFonts w:ascii="Arial" w:hAnsi="Arial"/>
                <w:sz w:val="14"/>
              </w:rPr>
            </w:pPr>
          </w:p>
          <w:p w:rsidR="00E903A1" w:rsidRPr="002E0C7E" w:rsidRDefault="00E903A1" w:rsidP="00741DC5">
            <w:pPr>
              <w:widowControl w:val="0"/>
              <w:jc w:val="center"/>
              <w:rPr>
                <w:rFonts w:ascii="Arial" w:hAnsi="Arial"/>
                <w:sz w:val="14"/>
              </w:rPr>
            </w:pPr>
            <w:r w:rsidRPr="002E0C7E">
              <w:rPr>
                <w:rFonts w:ascii="Arial" w:hAnsi="Arial"/>
                <w:sz w:val="14"/>
              </w:rPr>
              <w:t>30</w:t>
            </w:r>
          </w:p>
        </w:tc>
      </w:tr>
    </w:tbl>
    <w:p w:rsidR="00E903A1" w:rsidRPr="002E0C7E" w:rsidRDefault="00E903A1" w:rsidP="00E903A1">
      <w:pPr>
        <w:widowControl w:val="0"/>
        <w:rPr>
          <w:rFonts w:ascii="Arial" w:hAnsi="Arial"/>
          <w:sz w:val="16"/>
        </w:rPr>
      </w:pPr>
    </w:p>
    <w:tbl>
      <w:tblPr>
        <w:tblW w:w="10620" w:type="dxa"/>
        <w:tblInd w:w="120" w:type="dxa"/>
        <w:tblBorders>
          <w:top w:val="nil"/>
          <w:left w:val="nil"/>
          <w:bottom w:val="nil"/>
          <w:right w:val="nil"/>
          <w:insideH w:val="nil"/>
          <w:insideV w:val="nil"/>
        </w:tblBorders>
        <w:tblLayout w:type="fixed"/>
        <w:tblCellMar>
          <w:left w:w="120" w:type="dxa"/>
          <w:right w:w="120" w:type="dxa"/>
        </w:tblCellMar>
        <w:tblLook w:val="0000"/>
      </w:tblPr>
      <w:tblGrid>
        <w:gridCol w:w="1710"/>
        <w:gridCol w:w="540"/>
        <w:gridCol w:w="8370"/>
      </w:tblGrid>
      <w:tr w:rsidR="00E903A1" w:rsidRPr="002E0C7E" w:rsidTr="00741DC5">
        <w:trPr>
          <w:cantSplit/>
        </w:trPr>
        <w:tc>
          <w:tcPr>
            <w:tcW w:w="1710" w:type="dxa"/>
            <w:tcBorders>
              <w:top w:val="nil"/>
              <w:left w:val="nil"/>
              <w:bottom w:val="nil"/>
              <w:right w:val="nil"/>
            </w:tcBorders>
            <w:tcMar>
              <w:top w:w="43" w:type="dxa"/>
              <w:left w:w="120" w:type="dxa"/>
              <w:bottom w:w="29" w:type="dxa"/>
              <w:right w:w="120" w:type="dxa"/>
            </w:tcMar>
          </w:tcPr>
          <w:p w:rsidR="00E903A1" w:rsidRPr="002E0C7E" w:rsidRDefault="00E903A1" w:rsidP="00741DC5">
            <w:pPr>
              <w:widowControl w:val="0"/>
              <w:rPr>
                <w:rFonts w:ascii="Arial" w:hAnsi="Arial"/>
                <w:sz w:val="16"/>
              </w:rPr>
            </w:pPr>
            <w:r w:rsidRPr="002E0C7E">
              <w:rPr>
                <w:rFonts w:ascii="Arial" w:hAnsi="Arial"/>
                <w:sz w:val="16"/>
              </w:rPr>
              <w:t>Sittings of the court:</w:t>
            </w:r>
          </w:p>
          <w:p w:rsidR="00E903A1" w:rsidRPr="002E0C7E" w:rsidRDefault="00E903A1" w:rsidP="00741DC5">
            <w:pPr>
              <w:widowControl w:val="0"/>
              <w:rPr>
                <w:rFonts w:ascii="Arial" w:hAnsi="Arial"/>
                <w:sz w:val="16"/>
              </w:rPr>
            </w:pPr>
            <w:r w:rsidRPr="002E0C7E">
              <w:rPr>
                <w:rFonts w:ascii="Arial" w:hAnsi="Arial"/>
                <w:sz w:val="16"/>
              </w:rPr>
              <w:t>Séances de la cour :</w:t>
            </w:r>
          </w:p>
        </w:tc>
        <w:tc>
          <w:tcPr>
            <w:tcW w:w="540" w:type="dxa"/>
            <w:tcBorders>
              <w:top w:val="nil"/>
              <w:left w:val="nil"/>
              <w:bottom w:val="double" w:sz="8" w:space="0" w:color="000000"/>
              <w:right w:val="nil"/>
            </w:tcBorders>
            <w:shd w:val="pct30" w:color="000000" w:fill="auto"/>
            <w:tcMar>
              <w:top w:w="43" w:type="dxa"/>
              <w:left w:w="178" w:type="dxa"/>
              <w:bottom w:w="29" w:type="dxa"/>
              <w:right w:w="178" w:type="dxa"/>
            </w:tcMar>
          </w:tcPr>
          <w:p w:rsidR="00E903A1" w:rsidRPr="002E0C7E" w:rsidRDefault="00E903A1" w:rsidP="00741DC5">
            <w:pPr>
              <w:widowControl w:val="0"/>
              <w:rPr>
                <w:rFonts w:ascii="Arial" w:hAnsi="Arial"/>
                <w:sz w:val="16"/>
              </w:rPr>
            </w:pPr>
          </w:p>
          <w:p w:rsidR="00E903A1" w:rsidRPr="002E0C7E" w:rsidRDefault="00E903A1" w:rsidP="00741DC5">
            <w:pPr>
              <w:widowControl w:val="0"/>
              <w:rPr>
                <w:rFonts w:ascii="Arial" w:hAnsi="Arial"/>
                <w:sz w:val="16"/>
              </w:rPr>
            </w:pPr>
          </w:p>
        </w:tc>
        <w:tc>
          <w:tcPr>
            <w:tcW w:w="8370" w:type="dxa"/>
            <w:vMerge w:val="restart"/>
            <w:tcBorders>
              <w:top w:val="nil"/>
              <w:left w:val="nil"/>
              <w:bottom w:val="nil"/>
              <w:right w:val="nil"/>
            </w:tcBorders>
            <w:tcMar>
              <w:top w:w="43" w:type="dxa"/>
              <w:left w:w="139" w:type="dxa"/>
              <w:bottom w:w="29" w:type="dxa"/>
              <w:right w:w="120" w:type="dxa"/>
            </w:tcMar>
          </w:tcPr>
          <w:p w:rsidR="00E903A1" w:rsidRPr="00B058C3" w:rsidRDefault="00E903A1" w:rsidP="00741D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2E0C7E">
              <w:rPr>
                <w:rFonts w:ascii="Arial" w:hAnsi="Arial"/>
                <w:b/>
                <w:sz w:val="16"/>
              </w:rPr>
              <w:tab/>
            </w:r>
            <w:r w:rsidRPr="00B058C3">
              <w:rPr>
                <w:rFonts w:ascii="Arial" w:hAnsi="Arial"/>
                <w:b/>
                <w:sz w:val="16"/>
                <w:lang w:val="fr-CA"/>
              </w:rPr>
              <w:t>18  sitting weeks/semaines séances de la cour</w:t>
            </w:r>
          </w:p>
          <w:p w:rsidR="00E903A1" w:rsidRPr="00B058C3" w:rsidRDefault="00E903A1" w:rsidP="00741D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B058C3">
              <w:rPr>
                <w:rFonts w:ascii="Arial" w:hAnsi="Arial"/>
                <w:b/>
                <w:sz w:val="16"/>
                <w:lang w:val="fr-CA"/>
              </w:rPr>
              <w:tab/>
              <w:t>87  sitting days/journées séances de la cour</w:t>
            </w:r>
          </w:p>
          <w:p w:rsidR="00E903A1" w:rsidRPr="00B058C3" w:rsidRDefault="00E903A1" w:rsidP="00741D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lang w:val="fr-CA"/>
              </w:rPr>
            </w:pPr>
            <w:r w:rsidRPr="00B058C3">
              <w:rPr>
                <w:rFonts w:ascii="Arial" w:hAnsi="Arial"/>
                <w:b/>
                <w:sz w:val="16"/>
                <w:lang w:val="fr-CA"/>
              </w:rPr>
              <w:tab/>
              <w:t>9    motion and conference days/ journées des requêtes et des conférences</w:t>
            </w:r>
          </w:p>
          <w:p w:rsidR="00E903A1" w:rsidRPr="002E0C7E" w:rsidRDefault="00E903A1" w:rsidP="00741D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16"/>
              </w:rPr>
            </w:pPr>
            <w:r w:rsidRPr="00B058C3">
              <w:rPr>
                <w:rFonts w:ascii="Arial" w:hAnsi="Arial"/>
                <w:b/>
                <w:sz w:val="16"/>
                <w:lang w:val="fr-CA"/>
              </w:rPr>
              <w:tab/>
            </w:r>
            <w:r w:rsidRPr="002E0C7E">
              <w:rPr>
                <w:rFonts w:ascii="Arial" w:hAnsi="Arial"/>
                <w:b/>
                <w:sz w:val="16"/>
              </w:rPr>
              <w:t>3    holidays during sitting days/ jours fériés durant les sessions</w:t>
            </w:r>
          </w:p>
          <w:p w:rsidR="00E903A1" w:rsidRPr="002E0C7E" w:rsidRDefault="00E903A1" w:rsidP="00741D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r w:rsidR="00E903A1" w:rsidRPr="002E0C7E" w:rsidTr="00741DC5">
        <w:trPr>
          <w:cantSplit/>
        </w:trPr>
        <w:tc>
          <w:tcPr>
            <w:tcW w:w="1710" w:type="dxa"/>
            <w:tcBorders>
              <w:top w:val="nil"/>
              <w:left w:val="nil"/>
              <w:bottom w:val="nil"/>
              <w:right w:val="double" w:sz="8" w:space="0" w:color="000000"/>
            </w:tcBorders>
            <w:tcMar>
              <w:top w:w="43" w:type="dxa"/>
              <w:left w:w="120" w:type="dxa"/>
              <w:bottom w:w="29" w:type="dxa"/>
              <w:right w:w="120" w:type="dxa"/>
            </w:tcMar>
          </w:tcPr>
          <w:p w:rsidR="00E903A1" w:rsidRPr="002E0C7E" w:rsidRDefault="00E903A1" w:rsidP="00741D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Motions:</w:t>
            </w:r>
          </w:p>
          <w:p w:rsidR="00E903A1" w:rsidRPr="002E0C7E" w:rsidRDefault="00E903A1" w:rsidP="00741D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Requêtes :</w:t>
            </w:r>
          </w:p>
        </w:tc>
        <w:tc>
          <w:tcPr>
            <w:tcW w:w="540" w:type="dxa"/>
            <w:tcBorders>
              <w:top w:val="double" w:sz="8" w:space="0" w:color="000000"/>
              <w:left w:val="double" w:sz="8" w:space="0" w:color="000000"/>
              <w:bottom w:val="double" w:sz="8" w:space="0" w:color="000000"/>
              <w:right w:val="double" w:sz="8" w:space="0" w:color="000000"/>
            </w:tcBorders>
            <w:shd w:val="pct30" w:color="000000" w:fill="auto"/>
            <w:tcMar>
              <w:top w:w="43" w:type="dxa"/>
              <w:left w:w="178" w:type="dxa"/>
              <w:bottom w:w="29" w:type="dxa"/>
              <w:right w:w="178" w:type="dxa"/>
            </w:tcMar>
            <w:vAlign w:val="center"/>
          </w:tcPr>
          <w:p w:rsidR="00E903A1" w:rsidRPr="002E0C7E" w:rsidRDefault="00E903A1" w:rsidP="00741D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b/>
                <w:sz w:val="16"/>
              </w:rPr>
              <w:t>M</w:t>
            </w:r>
          </w:p>
        </w:tc>
        <w:tc>
          <w:tcPr>
            <w:tcW w:w="8370" w:type="dxa"/>
            <w:vMerge/>
            <w:tcBorders>
              <w:top w:val="nil"/>
              <w:left w:val="double" w:sz="8" w:space="0" w:color="000000"/>
              <w:bottom w:val="nil"/>
              <w:right w:val="nil"/>
            </w:tcBorders>
            <w:tcMar>
              <w:top w:w="43" w:type="dxa"/>
              <w:left w:w="139" w:type="dxa"/>
              <w:bottom w:w="29" w:type="dxa"/>
              <w:right w:w="120" w:type="dxa"/>
            </w:tcMar>
          </w:tcPr>
          <w:p w:rsidR="00E903A1" w:rsidRPr="002E0C7E" w:rsidRDefault="00E903A1" w:rsidP="00741D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r w:rsidR="00E903A1" w:rsidRPr="002E0C7E" w:rsidTr="00741DC5">
        <w:trPr>
          <w:cantSplit/>
        </w:trPr>
        <w:tc>
          <w:tcPr>
            <w:tcW w:w="1710" w:type="dxa"/>
            <w:tcBorders>
              <w:top w:val="nil"/>
              <w:left w:val="nil"/>
              <w:bottom w:val="nil"/>
              <w:right w:val="double" w:sz="8" w:space="0" w:color="000000"/>
            </w:tcBorders>
            <w:tcMar>
              <w:top w:w="43" w:type="dxa"/>
              <w:left w:w="120" w:type="dxa"/>
              <w:bottom w:w="29" w:type="dxa"/>
              <w:right w:w="120" w:type="dxa"/>
            </w:tcMar>
          </w:tcPr>
          <w:p w:rsidR="00E903A1" w:rsidRPr="002E0C7E" w:rsidRDefault="00E903A1" w:rsidP="00741D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r w:rsidRPr="002E0C7E">
              <w:rPr>
                <w:rFonts w:ascii="Arial" w:hAnsi="Arial"/>
                <w:sz w:val="16"/>
              </w:rPr>
              <w:t>Holidays:</w:t>
            </w:r>
          </w:p>
          <w:p w:rsidR="00E903A1" w:rsidRPr="002E0C7E" w:rsidRDefault="00E903A1" w:rsidP="00741D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lang w:val="fr-CA"/>
              </w:rPr>
            </w:pPr>
            <w:r w:rsidRPr="002E0C7E">
              <w:rPr>
                <w:rFonts w:ascii="Arial" w:hAnsi="Arial"/>
                <w:sz w:val="16"/>
                <w:lang w:val="fr-CA"/>
              </w:rPr>
              <w:t>Jours fériés :</w:t>
            </w:r>
          </w:p>
        </w:tc>
        <w:tc>
          <w:tcPr>
            <w:tcW w:w="540" w:type="dxa"/>
            <w:tcBorders>
              <w:top w:val="double" w:sz="8" w:space="0" w:color="000000"/>
              <w:left w:val="double" w:sz="8" w:space="0" w:color="000000"/>
              <w:bottom w:val="double" w:sz="8" w:space="0" w:color="000000"/>
              <w:right w:val="double" w:sz="8" w:space="0" w:color="000000"/>
            </w:tcBorders>
            <w:tcMar>
              <w:top w:w="43" w:type="dxa"/>
              <w:left w:w="178" w:type="dxa"/>
              <w:bottom w:w="29" w:type="dxa"/>
              <w:right w:w="178" w:type="dxa"/>
            </w:tcMar>
            <w:vAlign w:val="center"/>
          </w:tcPr>
          <w:p w:rsidR="00E903A1" w:rsidRPr="002E0C7E" w:rsidRDefault="00E903A1" w:rsidP="00741DC5">
            <w:pPr>
              <w:widowControl w:val="0"/>
              <w:tabs>
                <w:tab w:val="center" w:pos="150"/>
              </w:tabs>
              <w:rPr>
                <w:rFonts w:ascii="Arial" w:hAnsi="Arial"/>
                <w:sz w:val="16"/>
              </w:rPr>
            </w:pPr>
            <w:r w:rsidRPr="002E0C7E">
              <w:rPr>
                <w:rFonts w:ascii="Arial" w:hAnsi="Arial"/>
                <w:b/>
                <w:sz w:val="16"/>
              </w:rPr>
              <w:tab/>
              <w:t>H</w:t>
            </w:r>
          </w:p>
        </w:tc>
        <w:tc>
          <w:tcPr>
            <w:tcW w:w="8370" w:type="dxa"/>
            <w:vMerge/>
            <w:tcBorders>
              <w:top w:val="nil"/>
              <w:left w:val="double" w:sz="8" w:space="0" w:color="000000"/>
              <w:bottom w:val="nil"/>
              <w:right w:val="nil"/>
            </w:tcBorders>
            <w:tcMar>
              <w:top w:w="43" w:type="dxa"/>
              <w:left w:w="139" w:type="dxa"/>
              <w:bottom w:w="29" w:type="dxa"/>
              <w:right w:w="120" w:type="dxa"/>
            </w:tcMar>
          </w:tcPr>
          <w:p w:rsidR="00E903A1" w:rsidRPr="002E0C7E" w:rsidRDefault="00E903A1" w:rsidP="00741DC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91"/>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16"/>
              </w:rPr>
            </w:pPr>
          </w:p>
        </w:tc>
      </w:tr>
    </w:tbl>
    <w:p w:rsidR="00E903A1" w:rsidRPr="002E0C7E" w:rsidRDefault="00E903A1" w:rsidP="00E903A1">
      <w:pPr>
        <w:widowControl w:val="0"/>
        <w:rPr>
          <w:rFonts w:ascii="Arial" w:hAnsi="Arial"/>
          <w:sz w:val="16"/>
        </w:rPr>
      </w:pPr>
    </w:p>
    <w:p w:rsidR="002410B8" w:rsidRPr="0022323B" w:rsidRDefault="002410B8" w:rsidP="00E903A1">
      <w:pPr>
        <w:jc w:val="center"/>
        <w:rPr>
          <w:lang w:val="fr-CA"/>
        </w:rPr>
      </w:pPr>
    </w:p>
    <w:sectPr w:rsidR="002410B8" w:rsidRPr="0022323B" w:rsidSect="00924065">
      <w:headerReference w:type="default" r:id="rId62"/>
      <w:footerReference w:type="default" r:id="rId63"/>
      <w:pgSz w:w="12240" w:h="15840" w:code="1"/>
      <w:pgMar w:top="720" w:right="720" w:bottom="1110" w:left="1080" w:header="144" w:footer="14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5E7" w:rsidRDefault="008705E7" w:rsidP="00A87207">
      <w:r>
        <w:separator/>
      </w:r>
    </w:p>
  </w:endnote>
  <w:endnote w:type="continuationSeparator" w:id="0">
    <w:p w:rsidR="008705E7" w:rsidRDefault="008705E7" w:rsidP="00A87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8705E7">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460701">
    <w:pPr>
      <w:pStyle w:val="Footer"/>
      <w:rPr>
        <w:lang w:val="fr-CA"/>
      </w:rPr>
    </w:pPr>
    <w:r w:rsidRPr="00460701">
      <w:rPr>
        <w:lang w:val="fr-CA"/>
      </w:rPr>
      <w:pict>
        <v:rect id="_x0000_i1061" style="width:480.95pt;height:1pt" o:hralign="center" o:hrstd="t" o:hrnoshade="t" o:hr="t" fillcolor="black [3213]" stroked="f"/>
      </w:pict>
    </w:r>
  </w:p>
  <w:p w:rsidR="008705E7" w:rsidRDefault="008705E7" w:rsidP="00245129">
    <w:pPr>
      <w:tabs>
        <w:tab w:val="center" w:pos="4680"/>
      </w:tabs>
    </w:pPr>
    <w:r>
      <w:tab/>
    </w:r>
    <w:r w:rsidRPr="0009648D">
      <w:t xml:space="preserve">- </w:t>
    </w:r>
    <w:fldSimple w:instr=" PAGE   \* MERGEFORMAT ">
      <w:r w:rsidR="00743C89">
        <w:rPr>
          <w:noProof/>
        </w:rPr>
        <w:t>1549</w:t>
      </w:r>
    </w:fldSimple>
    <w:r w:rsidRPr="0009648D">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8705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8705E7" w:rsidRDefault="008705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8705E7" w:rsidRDefault="008705E7">
    <w:pPr>
      <w:tabs>
        <w:tab w:val="center" w:pos="4740"/>
      </w:tabs>
    </w:pPr>
    <w:r>
      <w:tab/>
      <w:t xml:space="preserve">- </w:t>
    </w:r>
    <w:r>
      <w:pgNum/>
    </w:r>
    <w: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460701" w:rsidP="00755F22">
    <w:pPr>
      <w:tabs>
        <w:tab w:val="left" w:pos="-1440"/>
        <w:tab w:val="left" w:pos="-720"/>
      </w:tabs>
    </w:pPr>
    <w:r>
      <w:pict>
        <v:rect id="_x0000_i1070" style="width:480.95pt;height:1pt" o:hralign="center" o:hrstd="t" o:hrnoshade="t" o:hr="t" fillcolor="black [3213]" stroked="f"/>
      </w:pict>
    </w:r>
  </w:p>
  <w:p w:rsidR="008705E7" w:rsidRDefault="008705E7" w:rsidP="00EB2B90">
    <w:pPr>
      <w:tabs>
        <w:tab w:val="center" w:pos="4680"/>
      </w:tabs>
    </w:pPr>
    <w:r>
      <w:tab/>
      <w:t xml:space="preserve">- </w:t>
    </w:r>
    <w:fldSimple w:instr=" PAGE   \* MERGEFORMAT ">
      <w:r w:rsidR="00743C89">
        <w:rPr>
          <w:noProof/>
        </w:rPr>
        <w:t>1565</w:t>
      </w:r>
    </w:fldSimple>
    <w:r>
      <w:t xml:space="preserve"> -</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460701" w:rsidP="00EB2B90">
    <w:pPr>
      <w:tabs>
        <w:tab w:val="center" w:pos="4680"/>
      </w:tabs>
    </w:pPr>
    <w:r>
      <w:pict>
        <v:rect id="_x0000_i1071" style="width:480.95pt;height:1pt" o:hralign="center" o:hrstd="t" o:hrnoshade="t" o:hr="t" fillcolor="black [3213]" stroked="f"/>
      </w:pict>
    </w:r>
  </w:p>
  <w:p w:rsidR="008705E7" w:rsidRPr="0031432F" w:rsidRDefault="008705E7" w:rsidP="00EB2B90">
    <w:pPr>
      <w:tabs>
        <w:tab w:val="center" w:pos="4680"/>
      </w:tabs>
    </w:pPr>
    <w:r>
      <w:tab/>
      <w:t xml:space="preserve">- </w:t>
    </w:r>
    <w:fldSimple w:instr=" PAGE   \* MERGEFORMAT ">
      <w:r w:rsidR="00743C89">
        <w:rPr>
          <w:noProof/>
        </w:rPr>
        <w:t>1563</w:t>
      </w:r>
    </w:fldSimple>
    <w:r>
      <w:t xml:space="preserve"> -</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8705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8705E7" w:rsidRDefault="008705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8705E7" w:rsidRDefault="008705E7">
    <w:pPr>
      <w:tabs>
        <w:tab w:val="center" w:pos="4740"/>
      </w:tabs>
    </w:pPr>
    <w:r>
      <w:tab/>
      <w:t xml:space="preserve">- </w:t>
    </w:r>
    <w:r>
      <w:pgNum/>
    </w:r>
    <w:r>
      <w:t xml:space="preserve"> -</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460701" w:rsidP="00732DB7">
    <w:r>
      <w:pict>
        <v:rect id="_x0000_i1074" style="width:480.95pt;height:1pt" o:hralign="center" o:hrstd="t" o:hrnoshade="t" o:hr="t" fillcolor="black" stroked="f"/>
      </w:pict>
    </w:r>
  </w:p>
  <w:p w:rsidR="008705E7" w:rsidRDefault="008705E7">
    <w:pPr>
      <w:tabs>
        <w:tab w:val="center" w:pos="4740"/>
      </w:tabs>
      <w:spacing w:line="0" w:lineRule="atLeast"/>
    </w:pPr>
    <w:r>
      <w:tab/>
      <w:t xml:space="preserve">- </w:t>
    </w:r>
    <w:r>
      <w:pgNum/>
    </w:r>
    <w:r>
      <w:t xml:space="preserve"> -</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460701">
    <w:pPr>
      <w:pStyle w:val="Footer"/>
    </w:pPr>
    <w:r>
      <w:pict>
        <v:rect id="_x0000_i1075" style="width:480.95pt;height:1pt" o:hralign="center" o:hrstd="t" o:hrnoshade="t" o:hr="t" fillcolor="black" stroked="f"/>
      </w:pict>
    </w:r>
  </w:p>
  <w:p w:rsidR="008705E7" w:rsidRPr="00283C52" w:rsidRDefault="008705E7">
    <w:pPr>
      <w:pStyle w:val="Footer"/>
    </w:pPr>
    <w:r>
      <w:tab/>
    </w:r>
    <w:r w:rsidRPr="00283C52">
      <w:t xml:space="preserve">- </w:t>
    </w:r>
    <w:r w:rsidRPr="00283C52">
      <w:pgNum/>
    </w:r>
    <w:r w:rsidRPr="00283C52">
      <w:t xml:space="preserve"> -</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8705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8705E7" w:rsidRDefault="008705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8705E7" w:rsidRDefault="008705E7">
    <w:pPr>
      <w:tabs>
        <w:tab w:val="center" w:pos="4740"/>
      </w:tabs>
      <w:rPr>
        <w:rFonts w:ascii="Times New" w:hAnsi="Times New"/>
      </w:rPr>
    </w:pPr>
    <w:r>
      <w:rPr>
        <w:rFonts w:ascii="Times New" w:hAnsi="Times New"/>
      </w:rPr>
      <w:tab/>
      <w:t xml:space="preserve">- </w:t>
    </w:r>
    <w:r>
      <w:rPr>
        <w:rFonts w:ascii="Times New" w:hAnsi="Times New"/>
      </w:rPr>
      <w:pgNum/>
    </w:r>
    <w:r>
      <w:rPr>
        <w:rFonts w:ascii="Times New" w:hAnsi="Times New"/>
      </w:rPr>
      <w:t xml:space="preserve"> -</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460701" w:rsidP="00732DB7">
    <w:r>
      <w:pict>
        <v:rect id="_x0000_i1079" style="width:480.95pt;height:1pt" o:hralign="center" o:hrstd="t" o:hrnoshade="t" o:hr="t" fillcolor="black" stroked="f"/>
      </w:pict>
    </w:r>
  </w:p>
  <w:p w:rsidR="008705E7" w:rsidRDefault="008705E7">
    <w:pPr>
      <w:tabs>
        <w:tab w:val="center" w:pos="4740"/>
      </w:tabs>
      <w:spacing w:line="0" w:lineRule="atLeast"/>
    </w:pPr>
    <w:r>
      <w:tab/>
      <w:t xml:space="preserve">- </w:t>
    </w:r>
    <w:r>
      <w:pgNum/>
    </w:r>
    <w:r>
      <w:t xml:space="preserve"> -</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460701">
    <w:pPr>
      <w:pStyle w:val="Footer"/>
    </w:pPr>
    <w:r>
      <w:pict>
        <v:rect id="_x0000_i1080" style="width:480.95pt;height:1pt" o:hralign="center" o:hrstd="t" o:hrnoshade="t" o:hr="t" fillcolor="black [3213]" stroked="f"/>
      </w:pict>
    </w:r>
  </w:p>
  <w:p w:rsidR="008705E7" w:rsidRPr="003C2C0F" w:rsidRDefault="008705E7" w:rsidP="00697C62">
    <w:pPr>
      <w:tabs>
        <w:tab w:val="center" w:pos="4680"/>
      </w:tabs>
    </w:pPr>
    <w:r>
      <w:tab/>
      <w:t xml:space="preserve">- </w:t>
    </w:r>
    <w:fldSimple w:instr=" PAGE   \* MERGEFORMAT ">
      <w:r w:rsidR="00743C89">
        <w:rPr>
          <w:noProof/>
        </w:rPr>
        <w:t>1572</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8705E7">
    <w:pPr>
      <w:pStyle w:val="Foote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8705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8705E7" w:rsidRDefault="008705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8705E7" w:rsidRDefault="008705E7">
    <w:pPr>
      <w:tabs>
        <w:tab w:val="center" w:pos="4740"/>
      </w:tabs>
    </w:pPr>
    <w:r>
      <w:tab/>
      <w:t xml:space="preserve">- </w:t>
    </w:r>
    <w:r>
      <w:pgNum/>
    </w:r>
    <w:r>
      <w:t xml:space="preserve"> -</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8705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pPr>
  </w:p>
  <w:p w:rsidR="008705E7" w:rsidRDefault="004607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87" style="width:480.95pt;height:1pt" o:hralign="center" o:hrstd="t" o:hrnoshade="t" o:hr="t" fillcolor="black [3213]" stroked="f"/>
      </w:pict>
    </w:r>
  </w:p>
  <w:p w:rsidR="008705E7" w:rsidRDefault="008705E7" w:rsidP="00782AE4">
    <w:pPr>
      <w:tabs>
        <w:tab w:val="center" w:pos="4680"/>
      </w:tabs>
    </w:pPr>
    <w:r>
      <w:tab/>
      <w:t xml:space="preserve">- </w:t>
    </w:r>
    <w:r w:rsidR="00460701" w:rsidRPr="001775C1">
      <w:rPr>
        <w:szCs w:val="24"/>
      </w:rPr>
      <w:fldChar w:fldCharType="begin"/>
    </w:r>
    <w:r w:rsidRPr="001775C1">
      <w:rPr>
        <w:szCs w:val="24"/>
      </w:rPr>
      <w:instrText xml:space="preserve"> PAGE   \* MERGEFORMAT </w:instrText>
    </w:r>
    <w:r w:rsidR="00460701" w:rsidRPr="001775C1">
      <w:rPr>
        <w:szCs w:val="24"/>
      </w:rPr>
      <w:fldChar w:fldCharType="separate"/>
    </w:r>
    <w:r w:rsidR="00743C89">
      <w:rPr>
        <w:noProof/>
        <w:szCs w:val="24"/>
      </w:rPr>
      <w:t>1590</w:t>
    </w:r>
    <w:r w:rsidR="00460701" w:rsidRPr="001775C1">
      <w:rPr>
        <w:szCs w:val="24"/>
      </w:rPr>
      <w:fldChar w:fldCharType="end"/>
    </w:r>
    <w:r>
      <w:t xml:space="preserve"> -</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460701" w:rsidP="00782AE4">
    <w:pPr>
      <w:tabs>
        <w:tab w:val="center" w:pos="4680"/>
      </w:tabs>
    </w:pPr>
    <w:r>
      <w:pict>
        <v:rect id="_x0000_i1088" style="width:480.95pt;height:1pt" o:hralign="center" o:hrstd="t" o:hrnoshade="t" o:hr="t" fillcolor="black [3213]" stroked="f"/>
      </w:pict>
    </w:r>
  </w:p>
  <w:p w:rsidR="008705E7" w:rsidRDefault="008705E7" w:rsidP="00782AE4">
    <w:pPr>
      <w:tabs>
        <w:tab w:val="center" w:pos="4680"/>
      </w:tabs>
    </w:pPr>
    <w:r>
      <w:tab/>
      <w:t xml:space="preserve">- </w:t>
    </w:r>
    <w:r w:rsidR="00460701" w:rsidRPr="001775C1">
      <w:rPr>
        <w:szCs w:val="24"/>
      </w:rPr>
      <w:fldChar w:fldCharType="begin"/>
    </w:r>
    <w:r w:rsidRPr="001775C1">
      <w:rPr>
        <w:szCs w:val="24"/>
      </w:rPr>
      <w:instrText xml:space="preserve"> PAGE   \* MERGEFORMAT </w:instrText>
    </w:r>
    <w:r w:rsidR="00460701" w:rsidRPr="001775C1">
      <w:rPr>
        <w:szCs w:val="24"/>
      </w:rPr>
      <w:fldChar w:fldCharType="separate"/>
    </w:r>
    <w:r w:rsidR="00743C89">
      <w:rPr>
        <w:noProof/>
        <w:szCs w:val="24"/>
      </w:rPr>
      <w:t>1574</w:t>
    </w:r>
    <w:r w:rsidR="00460701" w:rsidRPr="001775C1">
      <w:rPr>
        <w:szCs w:val="24"/>
      </w:rPr>
      <w:fldChar w:fldCharType="end"/>
    </w:r>
    <w:r>
      <w:t xml:space="preserve"> -</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8705E7">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19" w:lineRule="auto"/>
    </w:pPr>
  </w:p>
  <w:p w:rsidR="008705E7" w:rsidRDefault="008705E7">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0" w:lineRule="atLeast"/>
    </w:pPr>
  </w:p>
  <w:p w:rsidR="008705E7" w:rsidRDefault="008705E7">
    <w:pPr>
      <w:tabs>
        <w:tab w:val="center" w:pos="4740"/>
      </w:tabs>
    </w:pPr>
    <w:r>
      <w:tab/>
      <w:t xml:space="preserve">- </w:t>
    </w:r>
    <w:r>
      <w:pgNum/>
    </w:r>
    <w:r>
      <w:t xml:space="preserve"> -</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460701" w:rsidP="0022323B">
    <w:r>
      <w:pict>
        <v:rect id="_x0000_i1091" style="width:480.95pt;height:1pt" o:hralign="center" o:hrstd="t" o:hrnoshade="t" o:hr="t" fillcolor="black [3213]" stroked="f"/>
      </w:pict>
    </w:r>
  </w:p>
  <w:p w:rsidR="008705E7" w:rsidRDefault="008705E7">
    <w:pPr>
      <w:tabs>
        <w:tab w:val="center" w:pos="4740"/>
      </w:tabs>
      <w:spacing w:line="0" w:lineRule="atLeast"/>
    </w:pPr>
    <w:r>
      <w:tab/>
      <w:t xml:space="preserve">- </w:t>
    </w:r>
    <w:fldSimple w:instr=" PAGE   \* MERGEFORMAT ">
      <w:r>
        <w:rPr>
          <w:noProof/>
        </w:rPr>
        <w:t>535</w:t>
      </w:r>
    </w:fldSimple>
    <w:r>
      <w:t xml:space="preserve"> -</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460701" w:rsidP="0022323B">
    <w:r>
      <w:pict>
        <v:rect id="_x0000_i1092" style="width:480.95pt;height:1pt" o:hralign="center" o:hrstd="t" o:hrnoshade="t" o:hr="t" fillcolor="black [3213]" stroked="f"/>
      </w:pict>
    </w:r>
  </w:p>
  <w:p w:rsidR="008705E7" w:rsidRDefault="008705E7" w:rsidP="0022323B">
    <w:pPr>
      <w:tabs>
        <w:tab w:val="center" w:pos="4740"/>
      </w:tabs>
      <w:spacing w:line="0" w:lineRule="atLeast"/>
    </w:pPr>
    <w:r>
      <w:tab/>
      <w:t xml:space="preserve">- </w:t>
    </w:r>
    <w:fldSimple w:instr=" PAGE   \* MERGEFORMAT ">
      <w:r w:rsidR="00743C89">
        <w:rPr>
          <w:noProof/>
        </w:rPr>
        <w:t>1591</w:t>
      </w:r>
    </w:fldSimple>
    <w:r>
      <w:t xml:space="preserve"> -</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460701" w:rsidP="0022323B">
    <w:r>
      <w:pict>
        <v:rect id="_x0000_i1113" style="width:480.95pt;height:1pt" o:hralign="center" o:hrstd="t" o:hrnoshade="t" o:hr="t" fillcolor="black [3213]" stroked="f"/>
      </w:pict>
    </w:r>
  </w:p>
  <w:p w:rsidR="008705E7" w:rsidRDefault="008705E7">
    <w:pPr>
      <w:tabs>
        <w:tab w:val="center" w:pos="4740"/>
      </w:tabs>
      <w:spacing w:line="0" w:lineRule="atLeast"/>
    </w:pPr>
    <w:r>
      <w:tab/>
      <w:t xml:space="preserve">- </w:t>
    </w:r>
    <w:fldSimple w:instr=" PAGE   \* MERGEFORMAT ">
      <w:r w:rsidR="00743C89">
        <w:rPr>
          <w:noProof/>
        </w:rPr>
        <w:t>1593</w:t>
      </w:r>
    </w:fldSimple>
    <w:r>
      <w:t xml:space="preserve"> -</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460701" w:rsidP="0022323B">
    <w:r>
      <w:pict>
        <v:rect id="_x0000_i1114" style="width:480.95pt;height:1pt" o:hralign="center" o:hrstd="t" o:hrnoshade="t" o:hr="t" fillcolor="black [3213]" stroked="f"/>
      </w:pict>
    </w:r>
  </w:p>
  <w:p w:rsidR="008705E7" w:rsidRDefault="008705E7" w:rsidP="0022323B">
    <w:pPr>
      <w:tabs>
        <w:tab w:val="center" w:pos="4740"/>
      </w:tabs>
      <w:spacing w:line="0" w:lineRule="atLeast"/>
    </w:pPr>
    <w:r>
      <w:tab/>
      <w:t xml:space="preserve">- </w:t>
    </w:r>
    <w:fldSimple w:instr=" PAGE   \* MERGEFORMAT ">
      <w:r w:rsidR="00743C89">
        <w:rPr>
          <w:noProof/>
        </w:rPr>
        <w:t>1592</w:t>
      </w:r>
    </w:fldSimple>
    <w:r>
      <w:t xml:space="preserve"> -</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Pr="00924065" w:rsidRDefault="008705E7" w:rsidP="00924065">
    <w:pPr>
      <w:pStyle w:val="Footer"/>
      <w:rPr>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8705E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460701" w:rsidP="00A87207">
    <w:pPr>
      <w:pStyle w:val="Footer"/>
    </w:pPr>
    <w:r>
      <w:pict>
        <v:rect id="_x0000_i1041" style="width:480.95pt;height:1pt" o:hralign="center" o:hrstd="t" o:hrnoshade="t" o:hr="t" fillcolor="black [3213]" stroked="f"/>
      </w:pict>
    </w:r>
  </w:p>
  <w:p w:rsidR="008705E7" w:rsidRPr="00B7374B" w:rsidRDefault="008705E7" w:rsidP="00B7374B">
    <w:pPr>
      <w:tabs>
        <w:tab w:val="center" w:pos="4680"/>
      </w:tabs>
      <w:rPr>
        <w:szCs w:val="24"/>
      </w:rPr>
    </w:pPr>
    <w:r w:rsidRPr="00954D22">
      <w:rPr>
        <w:szCs w:val="24"/>
      </w:rPr>
      <w:tab/>
      <w:t xml:space="preserve">- </w:t>
    </w:r>
    <w:r w:rsidR="00460701" w:rsidRPr="00954D22">
      <w:rPr>
        <w:szCs w:val="24"/>
      </w:rPr>
      <w:fldChar w:fldCharType="begin"/>
    </w:r>
    <w:r w:rsidRPr="00954D22">
      <w:rPr>
        <w:szCs w:val="24"/>
      </w:rPr>
      <w:instrText xml:space="preserve"> PAGE   \* MERGEFORMAT </w:instrText>
    </w:r>
    <w:r w:rsidR="00460701" w:rsidRPr="00954D22">
      <w:rPr>
        <w:szCs w:val="24"/>
      </w:rPr>
      <w:fldChar w:fldCharType="separate"/>
    </w:r>
    <w:r w:rsidR="00743C89">
      <w:rPr>
        <w:noProof/>
        <w:szCs w:val="24"/>
      </w:rPr>
      <w:t>1547</w:t>
    </w:r>
    <w:r w:rsidR="00460701" w:rsidRPr="00954D22">
      <w:rPr>
        <w:szCs w:val="24"/>
      </w:rPr>
      <w:fldChar w:fldCharType="end"/>
    </w:r>
    <w:r w:rsidRPr="00954D22">
      <w:rPr>
        <w:szCs w:val="24"/>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460701" w:rsidP="00755F22">
    <w:pPr>
      <w:tabs>
        <w:tab w:val="left" w:pos="-1440"/>
        <w:tab w:val="left" w:pos="-720"/>
      </w:tabs>
    </w:pPr>
    <w:r>
      <w:pict>
        <v:rect id="_x0000_i1042" style="width:480.95pt;height:1pt" o:hralign="center" o:hrstd="t" o:hrnoshade="t" o:hr="t" fillcolor="black [3213]" stroked="f"/>
      </w:pict>
    </w:r>
  </w:p>
  <w:p w:rsidR="008705E7" w:rsidRPr="00954D22" w:rsidRDefault="008705E7" w:rsidP="00B7374B">
    <w:pPr>
      <w:tabs>
        <w:tab w:val="center" w:pos="4680"/>
      </w:tabs>
      <w:rPr>
        <w:szCs w:val="24"/>
      </w:rPr>
    </w:pPr>
    <w:r w:rsidRPr="00954D22">
      <w:rPr>
        <w:szCs w:val="24"/>
      </w:rPr>
      <w:tab/>
      <w:t xml:space="preserve">- </w:t>
    </w:r>
    <w:r w:rsidR="00460701">
      <w:rPr>
        <w:szCs w:val="24"/>
      </w:rPr>
      <w:fldChar w:fldCharType="begin"/>
    </w:r>
    <w:r>
      <w:rPr>
        <w:szCs w:val="24"/>
      </w:rPr>
      <w:instrText xml:space="preserve"> PAGE   \* MERGEFORMAT </w:instrText>
    </w:r>
    <w:r w:rsidR="00460701">
      <w:rPr>
        <w:szCs w:val="24"/>
      </w:rPr>
      <w:fldChar w:fldCharType="separate"/>
    </w:r>
    <w:r w:rsidR="00743C89">
      <w:rPr>
        <w:noProof/>
        <w:szCs w:val="24"/>
      </w:rPr>
      <w:t>1546</w:t>
    </w:r>
    <w:r w:rsidR="00460701">
      <w:rPr>
        <w:szCs w:val="24"/>
      </w:rPr>
      <w:fldChar w:fldCharType="end"/>
    </w:r>
    <w:r w:rsidRPr="00954D22">
      <w:rPr>
        <w:szCs w:val="24"/>
      </w:rPr>
      <w:t xml:space="preserve"> -</w:t>
    </w:r>
  </w:p>
  <w:p w:rsidR="008705E7" w:rsidRDefault="008705E7">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460701" w:rsidP="00A87207">
    <w:pPr>
      <w:pStyle w:val="Footer"/>
    </w:pPr>
    <w:r>
      <w:pict>
        <v:rect id="_x0000_i1044" style="width:480.95pt;height:1pt" o:hralign="center" o:hrstd="t" o:hrnoshade="t" o:hr="t" fillcolor="black [3213]" stroked="f"/>
      </w:pict>
    </w:r>
  </w:p>
  <w:p w:rsidR="008705E7" w:rsidRPr="00B7374B" w:rsidRDefault="008705E7" w:rsidP="00B7374B">
    <w:pPr>
      <w:tabs>
        <w:tab w:val="center" w:pos="4680"/>
      </w:tabs>
      <w:rPr>
        <w:szCs w:val="24"/>
      </w:rPr>
    </w:pPr>
    <w:r w:rsidRPr="00954D22">
      <w:rPr>
        <w:szCs w:val="24"/>
      </w:rPr>
      <w:tab/>
      <w:t xml:space="preserve">- </w:t>
    </w:r>
    <w:r w:rsidR="00460701" w:rsidRPr="00954D22">
      <w:rPr>
        <w:szCs w:val="24"/>
      </w:rPr>
      <w:fldChar w:fldCharType="begin"/>
    </w:r>
    <w:r w:rsidRPr="00954D22">
      <w:rPr>
        <w:szCs w:val="24"/>
      </w:rPr>
      <w:instrText xml:space="preserve"> PAGE   \* MERGEFORMAT </w:instrText>
    </w:r>
    <w:r w:rsidR="00460701" w:rsidRPr="00954D22">
      <w:rPr>
        <w:szCs w:val="24"/>
      </w:rPr>
      <w:fldChar w:fldCharType="separate"/>
    </w:r>
    <w:r>
      <w:rPr>
        <w:noProof/>
        <w:szCs w:val="24"/>
      </w:rPr>
      <w:t>1549</w:t>
    </w:r>
    <w:r w:rsidR="00460701" w:rsidRPr="00954D22">
      <w:rPr>
        <w:szCs w:val="24"/>
      </w:rPr>
      <w:fldChar w:fldCharType="end"/>
    </w:r>
    <w:r>
      <w:rPr>
        <w:szCs w:val="24"/>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460701" w:rsidP="00B7374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ict>
        <v:rect id="_x0000_i1045" style="width:480.95pt;height:1pt" o:hralign="center" o:hrstd="t" o:hrnoshade="t" o:hr="t" fillcolor="black [3213]" stroked="f"/>
      </w:pict>
    </w:r>
  </w:p>
  <w:p w:rsidR="008705E7" w:rsidRPr="00954D22" w:rsidRDefault="008705E7" w:rsidP="00B7374B">
    <w:pPr>
      <w:tabs>
        <w:tab w:val="center" w:pos="4680"/>
      </w:tabs>
      <w:rPr>
        <w:szCs w:val="24"/>
      </w:rPr>
    </w:pPr>
    <w:r w:rsidRPr="00954D22">
      <w:rPr>
        <w:szCs w:val="24"/>
      </w:rPr>
      <w:tab/>
      <w:t xml:space="preserve">- </w:t>
    </w:r>
    <w:r w:rsidR="00460701" w:rsidRPr="00954D22">
      <w:rPr>
        <w:szCs w:val="24"/>
      </w:rPr>
      <w:fldChar w:fldCharType="begin"/>
    </w:r>
    <w:r w:rsidRPr="00954D22">
      <w:rPr>
        <w:szCs w:val="24"/>
      </w:rPr>
      <w:instrText xml:space="preserve"> PAGE   \* MERGEFORMAT </w:instrText>
    </w:r>
    <w:r w:rsidR="00460701" w:rsidRPr="00954D22">
      <w:rPr>
        <w:szCs w:val="24"/>
      </w:rPr>
      <w:fldChar w:fldCharType="separate"/>
    </w:r>
    <w:r w:rsidR="00743C89">
      <w:rPr>
        <w:noProof/>
        <w:szCs w:val="24"/>
      </w:rPr>
      <w:t>1548</w:t>
    </w:r>
    <w:r w:rsidR="00460701" w:rsidRPr="00954D22">
      <w:rPr>
        <w:szCs w:val="24"/>
      </w:rPr>
      <w:fldChar w:fldCharType="end"/>
    </w:r>
    <w:r w:rsidRPr="00954D22">
      <w:rPr>
        <w:szCs w:val="24"/>
      </w:rP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8705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 w:lineRule="auto"/>
    </w:pPr>
  </w:p>
  <w:p w:rsidR="008705E7" w:rsidRDefault="008705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p w:rsidR="008705E7" w:rsidRDefault="008705E7">
    <w:pPr>
      <w:tabs>
        <w:tab w:val="center" w:pos="4740"/>
      </w:tabs>
    </w:pPr>
    <w:r>
      <w:tab/>
      <w:t xml:space="preserve">- </w:t>
    </w:r>
    <w:r>
      <w:pgNum/>
    </w:r>
    <w:r>
      <w:t xml:space="preserve"> -</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46070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60701">
      <w:rPr>
        <w:lang w:val="fr-CA"/>
      </w:rPr>
      <w:pict>
        <v:rect id="_x0000_i1060" style="width:480.95pt;height:1pt" o:hralign="center" o:hrstd="t" o:hrnoshade="t" o:hr="t" fillcolor="black [3213]" stroked="f"/>
      </w:pict>
    </w:r>
  </w:p>
  <w:p w:rsidR="008705E7" w:rsidRPr="0009648D" w:rsidRDefault="008705E7" w:rsidP="00ED7E83">
    <w:pPr>
      <w:tabs>
        <w:tab w:val="center" w:pos="4680"/>
      </w:tabs>
    </w:pPr>
    <w:r>
      <w:tab/>
    </w:r>
    <w:r w:rsidRPr="0009648D">
      <w:t xml:space="preserve">- </w:t>
    </w:r>
    <w:fldSimple w:instr=" PAGE   \* MERGEFORMAT ">
      <w:r w:rsidR="00743C89">
        <w:rPr>
          <w:noProof/>
        </w:rPr>
        <w:t>1560</w:t>
      </w:r>
    </w:fldSimple>
    <w:r w:rsidRPr="0009648D">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5E7" w:rsidRDefault="008705E7" w:rsidP="00A87207">
      <w:r>
        <w:separator/>
      </w:r>
    </w:p>
  </w:footnote>
  <w:footnote w:type="continuationSeparator" w:id="0">
    <w:p w:rsidR="008705E7" w:rsidRDefault="008705E7" w:rsidP="00A87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8705E7">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8705E7">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30"/>
      <w:gridCol w:w="1170"/>
      <w:gridCol w:w="4080"/>
    </w:tblGrid>
    <w:tr w:rsidR="008705E7">
      <w:tc>
        <w:tcPr>
          <w:tcW w:w="4230" w:type="dxa"/>
          <w:tcMar>
            <w:left w:w="0" w:type="dxa"/>
            <w:right w:w="0" w:type="dxa"/>
          </w:tcMar>
        </w:tcPr>
        <w:p w:rsidR="008705E7" w:rsidRDefault="008705E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MOTIONS</w:t>
          </w:r>
        </w:p>
      </w:tc>
      <w:tc>
        <w:tcPr>
          <w:tcW w:w="1170" w:type="dxa"/>
          <w:tcMar>
            <w:left w:w="0" w:type="dxa"/>
            <w:right w:w="0" w:type="dxa"/>
          </w:tcMar>
        </w:tcPr>
        <w:p w:rsidR="008705E7" w:rsidRDefault="008705E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8705E7" w:rsidRDefault="008705E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t>REQUÊTES</w:t>
          </w:r>
        </w:p>
      </w:tc>
    </w:tr>
    <w:tr w:rsidR="008705E7">
      <w:trPr>
        <w:gridAfter w:val="2"/>
        <w:wAfter w:w="5250" w:type="dxa"/>
      </w:trPr>
      <w:tc>
        <w:tcPr>
          <w:tcW w:w="4230" w:type="dxa"/>
          <w:tcMar>
            <w:left w:w="0" w:type="dxa"/>
            <w:right w:w="0" w:type="dxa"/>
          </w:tcMar>
        </w:tcPr>
        <w:p w:rsidR="008705E7" w:rsidRDefault="008705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8705E7" w:rsidRDefault="008705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jc w:val="both"/>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30"/>
      <w:gridCol w:w="1170"/>
      <w:gridCol w:w="4080"/>
    </w:tblGrid>
    <w:tr w:rsidR="008705E7" w:rsidRPr="00755F22" w:rsidTr="00245129">
      <w:tc>
        <w:tcPr>
          <w:tcW w:w="4230" w:type="dxa"/>
          <w:tcMar>
            <w:left w:w="0" w:type="dxa"/>
            <w:right w:w="0" w:type="dxa"/>
          </w:tcMar>
        </w:tcPr>
        <w:p w:rsidR="008705E7" w:rsidRPr="00755F22" w:rsidRDefault="008705E7" w:rsidP="00831CA9">
          <w:pPr>
            <w:keepNext/>
            <w:keepLines/>
            <w:rPr>
              <w:sz w:val="20"/>
              <w:szCs w:val="20"/>
            </w:rPr>
          </w:pPr>
          <w:r w:rsidRPr="00755F22">
            <w:rPr>
              <w:sz w:val="20"/>
              <w:szCs w:val="20"/>
            </w:rPr>
            <w:t>MOTIONS</w:t>
          </w:r>
        </w:p>
      </w:tc>
      <w:tc>
        <w:tcPr>
          <w:tcW w:w="1170" w:type="dxa"/>
          <w:tcMar>
            <w:left w:w="0" w:type="dxa"/>
            <w:right w:w="0" w:type="dxa"/>
          </w:tcMar>
        </w:tcPr>
        <w:p w:rsidR="008705E7" w:rsidRPr="00755F22" w:rsidRDefault="008705E7" w:rsidP="00831CA9">
          <w:pPr>
            <w:keepLines/>
            <w:jc w:val="center"/>
            <w:rPr>
              <w:sz w:val="20"/>
              <w:szCs w:val="20"/>
            </w:rPr>
          </w:pPr>
        </w:p>
        <w:p w:rsidR="008705E7" w:rsidRPr="00755F22" w:rsidRDefault="008705E7" w:rsidP="00831CA9">
          <w:pPr>
            <w:keepLines/>
            <w:tabs>
              <w:tab w:val="left" w:pos="-1440"/>
              <w:tab w:val="left" w:pos="-720"/>
            </w:tabs>
            <w:jc w:val="center"/>
            <w:rPr>
              <w:sz w:val="20"/>
              <w:szCs w:val="20"/>
            </w:rPr>
          </w:pPr>
        </w:p>
      </w:tc>
      <w:tc>
        <w:tcPr>
          <w:tcW w:w="4080" w:type="dxa"/>
          <w:tcMar>
            <w:left w:w="0" w:type="dxa"/>
            <w:right w:w="0" w:type="dxa"/>
          </w:tcMar>
        </w:tcPr>
        <w:p w:rsidR="008705E7" w:rsidRPr="00BA6468" w:rsidRDefault="008705E7" w:rsidP="00BA6468">
          <w:pPr>
            <w:keepLines/>
            <w:rPr>
              <w:sz w:val="20"/>
              <w:szCs w:val="20"/>
              <w:lang w:val="fr-CA"/>
            </w:rPr>
          </w:pPr>
          <w:r w:rsidRPr="00BA6468">
            <w:rPr>
              <w:sz w:val="20"/>
              <w:szCs w:val="20"/>
              <w:lang w:val="fr-CA"/>
            </w:rPr>
            <w:t>REQUÊTES</w:t>
          </w:r>
        </w:p>
      </w:tc>
    </w:tr>
  </w:tbl>
  <w:p w:rsidR="008705E7" w:rsidRDefault="008705E7" w:rsidP="00831CA9">
    <w:pPr>
      <w:jc w:val="both"/>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8705E7">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8705E7" w:rsidRPr="00743C89">
      <w:tc>
        <w:tcPr>
          <w:tcW w:w="4200" w:type="dxa"/>
          <w:tcMar>
            <w:left w:w="0" w:type="dxa"/>
            <w:right w:w="0" w:type="dxa"/>
          </w:tcMar>
        </w:tcPr>
        <w:p w:rsidR="008705E7" w:rsidRDefault="008705E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APPEALS HEARD SINCE LAST ISSUE AND DISPOSITION</w:t>
          </w:r>
        </w:p>
      </w:tc>
      <w:tc>
        <w:tcPr>
          <w:tcW w:w="1200" w:type="dxa"/>
          <w:tcMar>
            <w:left w:w="0" w:type="dxa"/>
            <w:right w:w="0" w:type="dxa"/>
          </w:tcMar>
        </w:tcPr>
        <w:p w:rsidR="008705E7" w:rsidRDefault="008705E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8705E7" w:rsidRPr="00283C52" w:rsidRDefault="008705E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283C52">
            <w:rPr>
              <w:lang w:val="fr-CA"/>
            </w:rPr>
            <w:t>APPELS ENTENDUS DEPUIS LA DERNIÈRE PARUTION ET RÉSULTAT</w:t>
          </w:r>
        </w:p>
        <w:p w:rsidR="008705E7" w:rsidRPr="00283C52" w:rsidRDefault="008705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tc>
    </w:tr>
  </w:tbl>
  <w:p w:rsidR="008705E7" w:rsidRPr="00283C52" w:rsidRDefault="008705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lang w:val="fr-CA"/>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8705E7" w:rsidRPr="00743C89" w:rsidTr="00245129">
      <w:tc>
        <w:tcPr>
          <w:tcW w:w="4200" w:type="dxa"/>
          <w:tcMar>
            <w:left w:w="0" w:type="dxa"/>
            <w:right w:w="0" w:type="dxa"/>
          </w:tcMar>
        </w:tcPr>
        <w:p w:rsidR="008705E7" w:rsidRPr="00732DB7" w:rsidRDefault="008705E7" w:rsidP="00732DB7">
          <w:pPr>
            <w:keepNext/>
            <w:keepLines/>
            <w:tabs>
              <w:tab w:val="left" w:pos="-1440"/>
              <w:tab w:val="left" w:pos="-720"/>
            </w:tabs>
            <w:rPr>
              <w:sz w:val="20"/>
              <w:szCs w:val="20"/>
            </w:rPr>
          </w:pPr>
          <w:r w:rsidRPr="00732DB7">
            <w:rPr>
              <w:sz w:val="20"/>
              <w:szCs w:val="20"/>
            </w:rPr>
            <w:t>APPEALS HEARD SINCE LAST ISSUE AND DISPOSITION</w:t>
          </w:r>
        </w:p>
      </w:tc>
      <w:tc>
        <w:tcPr>
          <w:tcW w:w="1200" w:type="dxa"/>
          <w:tcMar>
            <w:left w:w="0" w:type="dxa"/>
            <w:right w:w="0" w:type="dxa"/>
          </w:tcMar>
        </w:tcPr>
        <w:p w:rsidR="008705E7" w:rsidRPr="00732DB7" w:rsidRDefault="008705E7" w:rsidP="00732DB7">
          <w:pPr>
            <w:keepNext/>
            <w:keepLines/>
            <w:tabs>
              <w:tab w:val="left" w:pos="-1440"/>
              <w:tab w:val="left" w:pos="-720"/>
            </w:tabs>
            <w:jc w:val="center"/>
            <w:rPr>
              <w:sz w:val="20"/>
              <w:szCs w:val="20"/>
            </w:rPr>
          </w:pPr>
        </w:p>
        <w:p w:rsidR="008705E7" w:rsidRPr="00732DB7" w:rsidRDefault="008705E7" w:rsidP="00732DB7">
          <w:pPr>
            <w:keepNext/>
            <w:keepLines/>
            <w:tabs>
              <w:tab w:val="left" w:pos="-1440"/>
              <w:tab w:val="left" w:pos="-720"/>
            </w:tabs>
            <w:jc w:val="center"/>
            <w:rPr>
              <w:sz w:val="20"/>
              <w:szCs w:val="20"/>
            </w:rPr>
          </w:pPr>
        </w:p>
        <w:p w:rsidR="008705E7" w:rsidRPr="00732DB7" w:rsidRDefault="008705E7" w:rsidP="00732DB7">
          <w:pPr>
            <w:keepNext/>
            <w:keepLines/>
            <w:tabs>
              <w:tab w:val="left" w:pos="-1440"/>
              <w:tab w:val="left" w:pos="-720"/>
            </w:tabs>
            <w:jc w:val="center"/>
            <w:rPr>
              <w:sz w:val="20"/>
              <w:szCs w:val="20"/>
            </w:rPr>
          </w:pPr>
        </w:p>
      </w:tc>
      <w:tc>
        <w:tcPr>
          <w:tcW w:w="4080" w:type="dxa"/>
          <w:tcMar>
            <w:left w:w="0" w:type="dxa"/>
            <w:right w:w="0" w:type="dxa"/>
          </w:tcMar>
        </w:tcPr>
        <w:p w:rsidR="008705E7" w:rsidRPr="00732DB7" w:rsidRDefault="008705E7" w:rsidP="00732DB7">
          <w:pPr>
            <w:keepLines/>
            <w:tabs>
              <w:tab w:val="left" w:pos="-1440"/>
              <w:tab w:val="left" w:pos="-720"/>
            </w:tabs>
            <w:rPr>
              <w:sz w:val="20"/>
              <w:szCs w:val="20"/>
              <w:lang w:val="fr-CA"/>
            </w:rPr>
          </w:pPr>
          <w:r w:rsidRPr="00732DB7">
            <w:rPr>
              <w:sz w:val="20"/>
              <w:szCs w:val="20"/>
              <w:lang w:val="fr-CA"/>
            </w:rPr>
            <w:t>APPELS ENTENDUS DEPUIS LA DERNIÈRE PARUTION ET RÉSULTAT</w:t>
          </w:r>
        </w:p>
      </w:tc>
    </w:tr>
  </w:tbl>
  <w:p w:rsidR="008705E7" w:rsidRPr="00283C52" w:rsidRDefault="008705E7" w:rsidP="00732DB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8705E7">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8705E7" w:rsidRPr="00743C89">
      <w:tc>
        <w:tcPr>
          <w:tcW w:w="4200" w:type="dxa"/>
          <w:tcMar>
            <w:left w:w="0" w:type="dxa"/>
            <w:right w:w="0" w:type="dxa"/>
          </w:tcMar>
        </w:tcPr>
        <w:p w:rsidR="008705E7" w:rsidRDefault="008705E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r>
            <w:rPr>
              <w:rFonts w:ascii="Times New" w:hAnsi="Times New"/>
            </w:rPr>
            <w:t>PRONOUNCEMENTS OF APPEALS RESERVED</w:t>
          </w:r>
        </w:p>
        <w:p w:rsidR="008705E7" w:rsidRDefault="008705E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p>
      </w:tc>
      <w:tc>
        <w:tcPr>
          <w:tcW w:w="1200" w:type="dxa"/>
          <w:tcMar>
            <w:left w:w="0" w:type="dxa"/>
            <w:right w:w="0" w:type="dxa"/>
          </w:tcMar>
        </w:tcPr>
        <w:p w:rsidR="008705E7" w:rsidRDefault="008705E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rPr>
          </w:pPr>
        </w:p>
      </w:tc>
      <w:tc>
        <w:tcPr>
          <w:tcW w:w="4080" w:type="dxa"/>
          <w:tcMar>
            <w:left w:w="0" w:type="dxa"/>
            <w:right w:w="0" w:type="dxa"/>
          </w:tcMar>
        </w:tcPr>
        <w:p w:rsidR="008705E7" w:rsidRPr="003C2C0F" w:rsidRDefault="008705E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r w:rsidRPr="003C2C0F">
            <w:rPr>
              <w:rFonts w:ascii="Times New" w:hAnsi="Times New"/>
              <w:lang w:val="fr-CA"/>
            </w:rPr>
            <w:t>JUGEMENTS RENDUS SUR LES APPELS EN DÉLIBÉRÉ</w:t>
          </w:r>
        </w:p>
        <w:p w:rsidR="008705E7" w:rsidRPr="003C2C0F" w:rsidRDefault="008705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p>
      </w:tc>
    </w:tr>
  </w:tbl>
  <w:p w:rsidR="008705E7" w:rsidRPr="003C2C0F" w:rsidRDefault="008705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 w:lineRule="auto"/>
      <w:rPr>
        <w:rFonts w:ascii="Times New" w:hAnsi="Times New"/>
        <w:lang w:val="fr-CA"/>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8705E7" w:rsidRPr="00743C89" w:rsidTr="00245129">
      <w:tc>
        <w:tcPr>
          <w:tcW w:w="4200" w:type="dxa"/>
          <w:tcMar>
            <w:left w:w="0" w:type="dxa"/>
            <w:right w:w="0" w:type="dxa"/>
          </w:tcMar>
        </w:tcPr>
        <w:p w:rsidR="008705E7" w:rsidRPr="00FF6EEC" w:rsidRDefault="008705E7" w:rsidP="00FF6EEC">
          <w:pPr>
            <w:rPr>
              <w:sz w:val="20"/>
              <w:szCs w:val="20"/>
            </w:rPr>
          </w:pPr>
          <w:r w:rsidRPr="00FF6EEC">
            <w:rPr>
              <w:sz w:val="20"/>
              <w:szCs w:val="20"/>
            </w:rPr>
            <w:t>PRONOUNCEMENTS OF APPEALS RESERVED</w:t>
          </w:r>
        </w:p>
      </w:tc>
      <w:tc>
        <w:tcPr>
          <w:tcW w:w="1200" w:type="dxa"/>
          <w:tcMar>
            <w:left w:w="0" w:type="dxa"/>
            <w:right w:w="0" w:type="dxa"/>
          </w:tcMar>
        </w:tcPr>
        <w:p w:rsidR="008705E7" w:rsidRPr="00FF6EEC" w:rsidRDefault="008705E7" w:rsidP="00FF6EEC">
          <w:pPr>
            <w:jc w:val="center"/>
            <w:rPr>
              <w:sz w:val="20"/>
              <w:szCs w:val="20"/>
            </w:rPr>
          </w:pPr>
        </w:p>
        <w:p w:rsidR="008705E7" w:rsidRPr="00FF6EEC" w:rsidRDefault="008705E7" w:rsidP="00FF6EEC">
          <w:pPr>
            <w:jc w:val="center"/>
            <w:rPr>
              <w:sz w:val="20"/>
              <w:szCs w:val="20"/>
            </w:rPr>
          </w:pPr>
        </w:p>
        <w:p w:rsidR="008705E7" w:rsidRPr="00FF6EEC" w:rsidRDefault="008705E7" w:rsidP="00FF6EEC">
          <w:pPr>
            <w:jc w:val="center"/>
            <w:rPr>
              <w:sz w:val="20"/>
              <w:szCs w:val="20"/>
            </w:rPr>
          </w:pPr>
        </w:p>
      </w:tc>
      <w:tc>
        <w:tcPr>
          <w:tcW w:w="4080" w:type="dxa"/>
          <w:tcMar>
            <w:left w:w="0" w:type="dxa"/>
            <w:right w:w="0" w:type="dxa"/>
          </w:tcMar>
        </w:tcPr>
        <w:p w:rsidR="008705E7" w:rsidRPr="00FF6EEC" w:rsidRDefault="008705E7" w:rsidP="00FF6EEC">
          <w:pPr>
            <w:rPr>
              <w:sz w:val="20"/>
              <w:szCs w:val="20"/>
              <w:lang w:val="fr-CA"/>
            </w:rPr>
          </w:pPr>
          <w:r w:rsidRPr="00FF6EEC">
            <w:rPr>
              <w:sz w:val="20"/>
              <w:szCs w:val="20"/>
              <w:lang w:val="fr-CA"/>
            </w:rPr>
            <w:t>JUGEMENTS RENDUS SUR LES APPELS EN DÉLIBÉRÉ</w:t>
          </w:r>
        </w:p>
      </w:tc>
    </w:tr>
  </w:tbl>
  <w:p w:rsidR="008705E7" w:rsidRPr="003C2C0F" w:rsidRDefault="008705E7" w:rsidP="00697C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w:hAnsi="Times New"/>
        <w:lang w:val="fr-CA"/>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8705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8705E7">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30"/>
      <w:gridCol w:w="1170"/>
      <w:gridCol w:w="4080"/>
    </w:tblGrid>
    <w:tr w:rsidR="008705E7">
      <w:tc>
        <w:tcPr>
          <w:tcW w:w="4230" w:type="dxa"/>
          <w:tcMar>
            <w:left w:w="0" w:type="dxa"/>
            <w:right w:w="0" w:type="dxa"/>
          </w:tcMar>
        </w:tcPr>
        <w:p w:rsidR="008705E7" w:rsidRDefault="008705E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HEADNOTES OF RECENT </w:t>
          </w:r>
        </w:p>
        <w:p w:rsidR="008705E7" w:rsidRDefault="008705E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w:t>
          </w:r>
        </w:p>
        <w:p w:rsidR="008705E7" w:rsidRDefault="008705E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1170" w:type="dxa"/>
          <w:tcMar>
            <w:left w:w="0" w:type="dxa"/>
            <w:right w:w="0" w:type="dxa"/>
          </w:tcMar>
        </w:tcPr>
        <w:p w:rsidR="008705E7" w:rsidRDefault="008705E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8705E7" w:rsidRDefault="008705E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SOMMAIRES DE JUGEMENTS </w:t>
          </w:r>
        </w:p>
        <w:p w:rsidR="008705E7" w:rsidRDefault="008705E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RÉCENTS</w:t>
          </w:r>
        </w:p>
        <w:p w:rsidR="008705E7" w:rsidRDefault="008705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rsidR="008705E7" w:rsidRDefault="008705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96" w:lineRule="auto"/>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30"/>
      <w:gridCol w:w="1170"/>
      <w:gridCol w:w="4080"/>
    </w:tblGrid>
    <w:tr w:rsidR="008705E7" w:rsidRPr="00782AE4" w:rsidTr="00245129">
      <w:tc>
        <w:tcPr>
          <w:tcW w:w="4230" w:type="dxa"/>
          <w:tcMar>
            <w:left w:w="0" w:type="dxa"/>
            <w:right w:w="0" w:type="dxa"/>
          </w:tcMar>
        </w:tcPr>
        <w:p w:rsidR="008705E7" w:rsidRPr="00782AE4" w:rsidRDefault="008705E7" w:rsidP="00102926">
          <w:pPr>
            <w:keepNext/>
            <w:keepLines/>
            <w:tabs>
              <w:tab w:val="left" w:pos="-1440"/>
              <w:tab w:val="left" w:pos="-720"/>
            </w:tabs>
            <w:rPr>
              <w:sz w:val="20"/>
              <w:szCs w:val="20"/>
            </w:rPr>
          </w:pPr>
          <w:r w:rsidRPr="00782AE4">
            <w:rPr>
              <w:sz w:val="20"/>
              <w:szCs w:val="20"/>
            </w:rPr>
            <w:t xml:space="preserve">HEADNOTES OF RECENT </w:t>
          </w:r>
        </w:p>
        <w:p w:rsidR="008705E7" w:rsidRPr="00782AE4" w:rsidRDefault="008705E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82AE4">
            <w:rPr>
              <w:sz w:val="20"/>
              <w:szCs w:val="20"/>
            </w:rPr>
            <w:t>JUDGMENTS</w:t>
          </w:r>
        </w:p>
      </w:tc>
      <w:tc>
        <w:tcPr>
          <w:tcW w:w="1170" w:type="dxa"/>
          <w:tcMar>
            <w:left w:w="0" w:type="dxa"/>
            <w:right w:w="0" w:type="dxa"/>
          </w:tcMar>
        </w:tcPr>
        <w:p w:rsidR="008705E7" w:rsidRDefault="008705E7" w:rsidP="00102926">
          <w:pPr>
            <w:keepNext/>
            <w:keepLines/>
            <w:tabs>
              <w:tab w:val="left" w:pos="-1440"/>
              <w:tab w:val="left" w:pos="-720"/>
            </w:tabs>
            <w:jc w:val="center"/>
            <w:rPr>
              <w:sz w:val="20"/>
              <w:szCs w:val="20"/>
            </w:rPr>
          </w:pPr>
        </w:p>
        <w:p w:rsidR="008705E7" w:rsidRDefault="008705E7" w:rsidP="00102926">
          <w:pPr>
            <w:keepNext/>
            <w:keepLines/>
            <w:tabs>
              <w:tab w:val="left" w:pos="-1440"/>
              <w:tab w:val="left" w:pos="-720"/>
            </w:tabs>
            <w:jc w:val="center"/>
            <w:rPr>
              <w:sz w:val="20"/>
              <w:szCs w:val="20"/>
            </w:rPr>
          </w:pPr>
        </w:p>
        <w:p w:rsidR="008705E7" w:rsidRPr="00782AE4" w:rsidRDefault="008705E7" w:rsidP="00102926">
          <w:pPr>
            <w:keepNext/>
            <w:keepLines/>
            <w:tabs>
              <w:tab w:val="left" w:pos="-1440"/>
              <w:tab w:val="left" w:pos="-720"/>
            </w:tabs>
            <w:jc w:val="center"/>
            <w:rPr>
              <w:sz w:val="20"/>
              <w:szCs w:val="20"/>
            </w:rPr>
          </w:pPr>
        </w:p>
      </w:tc>
      <w:tc>
        <w:tcPr>
          <w:tcW w:w="4080" w:type="dxa"/>
          <w:tcMar>
            <w:left w:w="0" w:type="dxa"/>
            <w:right w:w="0" w:type="dxa"/>
          </w:tcMar>
        </w:tcPr>
        <w:p w:rsidR="008705E7" w:rsidRPr="00102926" w:rsidRDefault="008705E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102926">
            <w:rPr>
              <w:sz w:val="20"/>
              <w:szCs w:val="20"/>
              <w:lang w:val="fr-CA"/>
            </w:rPr>
            <w:t xml:space="preserve">SOMMAIRES DE JUGEMENTS </w:t>
          </w:r>
        </w:p>
        <w:p w:rsidR="008705E7" w:rsidRPr="00782AE4" w:rsidRDefault="008705E7" w:rsidP="00102926">
          <w:pPr>
            <w:keepLines/>
            <w:tabs>
              <w:tab w:val="left" w:pos="-1440"/>
              <w:tab w:val="left" w:pos="-720"/>
            </w:tabs>
            <w:rPr>
              <w:sz w:val="20"/>
              <w:szCs w:val="20"/>
            </w:rPr>
          </w:pPr>
          <w:r w:rsidRPr="00102926">
            <w:rPr>
              <w:sz w:val="20"/>
              <w:szCs w:val="20"/>
              <w:lang w:val="fr-CA"/>
            </w:rPr>
            <w:t>RÉCENTS</w:t>
          </w:r>
        </w:p>
      </w:tc>
    </w:tr>
  </w:tbl>
  <w:p w:rsidR="008705E7" w:rsidRDefault="008705E7" w:rsidP="00782A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8705E7">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8705E7">
      <w:tc>
        <w:tcPr>
          <w:tcW w:w="4200" w:type="dxa"/>
          <w:tcMar>
            <w:left w:w="0" w:type="dxa"/>
            <w:right w:w="0" w:type="dxa"/>
          </w:tcMar>
        </w:tcPr>
        <w:p w:rsidR="008705E7" w:rsidRDefault="008705E7">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r>
            <w:t>AGENDA FOR DECEMBER 2009</w:t>
          </w:r>
        </w:p>
        <w:p w:rsidR="008705E7" w:rsidRDefault="008705E7">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c>
        <w:tcPr>
          <w:tcW w:w="1200" w:type="dxa"/>
          <w:tcMar>
            <w:left w:w="0" w:type="dxa"/>
            <w:right w:w="0" w:type="dxa"/>
          </w:tcMar>
        </w:tcPr>
        <w:p w:rsidR="008705E7" w:rsidRDefault="008705E7">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c>
        <w:tcPr>
          <w:tcW w:w="4080" w:type="dxa"/>
          <w:tcMar>
            <w:left w:w="0" w:type="dxa"/>
            <w:right w:w="0" w:type="dxa"/>
          </w:tcMar>
        </w:tcPr>
        <w:p w:rsidR="008705E7" w:rsidRDefault="008705E7">
          <w:pPr>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r>
            <w:t>CALENDRIER DE DÉCEMBRE 2009</w:t>
          </w:r>
        </w:p>
        <w:p w:rsidR="008705E7" w:rsidRDefault="008705E7">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tc>
    </w:tr>
  </w:tbl>
  <w:p w:rsidR="008705E7" w:rsidRDefault="008705E7">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spacing w:line="-19" w:lineRule="auto"/>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8705E7" w:rsidRPr="00C50A5C" w:rsidTr="00245129">
      <w:tc>
        <w:tcPr>
          <w:tcW w:w="4200" w:type="dxa"/>
          <w:tcMar>
            <w:left w:w="0" w:type="dxa"/>
            <w:right w:w="0" w:type="dxa"/>
          </w:tcMar>
        </w:tcPr>
        <w:p w:rsidR="008705E7" w:rsidRPr="00C50A5C" w:rsidRDefault="008705E7" w:rsidP="0022323B">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rPr>
              <w:sz w:val="20"/>
              <w:szCs w:val="20"/>
            </w:rPr>
          </w:pPr>
          <w:r w:rsidRPr="00C50A5C">
            <w:rPr>
              <w:sz w:val="20"/>
              <w:szCs w:val="20"/>
            </w:rPr>
            <w:t>AGENDA FOR [DATE]</w:t>
          </w:r>
        </w:p>
      </w:tc>
      <w:tc>
        <w:tcPr>
          <w:tcW w:w="1200" w:type="dxa"/>
          <w:tcMar>
            <w:left w:w="0" w:type="dxa"/>
            <w:right w:w="0" w:type="dxa"/>
          </w:tcMar>
        </w:tcPr>
        <w:p w:rsidR="008705E7" w:rsidRPr="00C50A5C" w:rsidRDefault="008705E7" w:rsidP="0022323B">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jc w:val="center"/>
            <w:rPr>
              <w:sz w:val="20"/>
              <w:szCs w:val="20"/>
            </w:rPr>
          </w:pPr>
        </w:p>
        <w:p w:rsidR="008705E7" w:rsidRPr="00C50A5C" w:rsidRDefault="008705E7" w:rsidP="0022323B">
          <w:pPr>
            <w:keepNext/>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jc w:val="center"/>
            <w:rPr>
              <w:sz w:val="20"/>
              <w:szCs w:val="20"/>
            </w:rPr>
          </w:pPr>
        </w:p>
      </w:tc>
      <w:tc>
        <w:tcPr>
          <w:tcW w:w="4080" w:type="dxa"/>
          <w:tcMar>
            <w:left w:w="0" w:type="dxa"/>
            <w:right w:w="0" w:type="dxa"/>
          </w:tcMar>
        </w:tcPr>
        <w:p w:rsidR="008705E7" w:rsidRPr="00C50A5C" w:rsidRDefault="008705E7" w:rsidP="0022323B">
          <w:pPr>
            <w:keepLines/>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rPr>
              <w:sz w:val="20"/>
              <w:szCs w:val="20"/>
              <w:lang w:val="fr-CA"/>
            </w:rPr>
          </w:pPr>
          <w:r w:rsidRPr="00C50A5C">
            <w:rPr>
              <w:sz w:val="20"/>
              <w:szCs w:val="20"/>
              <w:lang w:val="fr-CA"/>
            </w:rPr>
            <w:t>CALENDRIER DE [DATE]</w:t>
          </w:r>
        </w:p>
      </w:tc>
    </w:tr>
  </w:tbl>
  <w:p w:rsidR="008705E7" w:rsidRDefault="008705E7" w:rsidP="0022323B">
    <w:pPr>
      <w:tabs>
        <w:tab w:val="left" w:pos="240"/>
        <w:tab w:val="left" w:pos="2280"/>
        <w:tab w:val="left" w:pos="3000"/>
        <w:tab w:val="left" w:pos="4200"/>
        <w:tab w:val="left" w:pos="7920"/>
        <w:tab w:val="left" w:pos="18120"/>
        <w:tab w:val="left" w:pos="19320"/>
        <w:tab w:val="left" w:pos="20520"/>
        <w:tab w:val="left" w:pos="21720"/>
        <w:tab w:val="left" w:pos="22920"/>
        <w:tab w:val="left" w:pos="24120"/>
        <w:tab w:val="left" w:pos="25320"/>
        <w:tab w:val="left" w:pos="26520"/>
        <w:tab w:val="left" w:pos="27720"/>
        <w:tab w:val="left" w:pos="28920"/>
      </w:tabs>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8705E7">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8705E7" w:rsidRPr="005F263E" w:rsidTr="00245129">
      <w:tc>
        <w:tcPr>
          <w:tcW w:w="4200" w:type="dxa"/>
          <w:tcMar>
            <w:left w:w="0" w:type="dxa"/>
            <w:right w:w="0" w:type="dxa"/>
          </w:tcMar>
        </w:tcPr>
        <w:p w:rsidR="008705E7" w:rsidRPr="005F263E" w:rsidRDefault="008705E7" w:rsidP="00245129">
          <w:pPr>
            <w:keepNext/>
            <w:keepLines/>
            <w:tabs>
              <w:tab w:val="left" w:pos="-1440"/>
              <w:tab w:val="left" w:pos="-720"/>
            </w:tabs>
            <w:rPr>
              <w:sz w:val="20"/>
              <w:szCs w:val="20"/>
            </w:rPr>
          </w:pPr>
          <w:r w:rsidRPr="005F263E">
            <w:rPr>
              <w:sz w:val="20"/>
              <w:szCs w:val="20"/>
            </w:rPr>
            <w:t>SUMMARIES OF THE CASES</w:t>
          </w:r>
        </w:p>
      </w:tc>
      <w:tc>
        <w:tcPr>
          <w:tcW w:w="1200" w:type="dxa"/>
          <w:tcMar>
            <w:left w:w="0" w:type="dxa"/>
            <w:right w:w="0" w:type="dxa"/>
          </w:tcMar>
        </w:tcPr>
        <w:p w:rsidR="008705E7" w:rsidRPr="005F263E" w:rsidRDefault="008705E7" w:rsidP="00245129">
          <w:pPr>
            <w:keepNext/>
            <w:keepLines/>
            <w:tabs>
              <w:tab w:val="left" w:pos="-1440"/>
              <w:tab w:val="left" w:pos="-720"/>
            </w:tabs>
            <w:jc w:val="center"/>
            <w:rPr>
              <w:sz w:val="20"/>
              <w:szCs w:val="20"/>
            </w:rPr>
          </w:pPr>
        </w:p>
        <w:p w:rsidR="008705E7" w:rsidRPr="005F263E" w:rsidRDefault="008705E7" w:rsidP="00245129">
          <w:pPr>
            <w:keepNext/>
            <w:keepLines/>
            <w:tabs>
              <w:tab w:val="left" w:pos="-1440"/>
              <w:tab w:val="left" w:pos="-720"/>
            </w:tabs>
            <w:jc w:val="center"/>
            <w:rPr>
              <w:sz w:val="20"/>
              <w:szCs w:val="20"/>
            </w:rPr>
          </w:pPr>
        </w:p>
      </w:tc>
      <w:tc>
        <w:tcPr>
          <w:tcW w:w="4080" w:type="dxa"/>
          <w:tcMar>
            <w:left w:w="0" w:type="dxa"/>
            <w:right w:w="0" w:type="dxa"/>
          </w:tcMar>
        </w:tcPr>
        <w:p w:rsidR="008705E7" w:rsidRPr="005F263E" w:rsidRDefault="008705E7" w:rsidP="00245129">
          <w:pPr>
            <w:keepLines/>
            <w:tabs>
              <w:tab w:val="left" w:pos="-1440"/>
              <w:tab w:val="left" w:pos="-720"/>
            </w:tabs>
            <w:rPr>
              <w:sz w:val="20"/>
              <w:szCs w:val="20"/>
            </w:rPr>
          </w:pPr>
          <w:r w:rsidRPr="005F263E">
            <w:rPr>
              <w:sz w:val="20"/>
              <w:szCs w:val="20"/>
            </w:rPr>
            <w:t>RÉSUMÉS DES AFFAIRES</w:t>
          </w:r>
        </w:p>
      </w:tc>
    </w:tr>
  </w:tbl>
  <w:p w:rsidR="008705E7" w:rsidRDefault="008705E7" w:rsidP="005F263E"/>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8705E7">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8705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8705E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10" w:type="dxa"/>
      <w:tblInd w:w="-90" w:type="dxa"/>
      <w:tblBorders>
        <w:bottom w:val="single" w:sz="8" w:space="0" w:color="auto"/>
      </w:tblBorders>
      <w:tblLayout w:type="fixed"/>
      <w:tblCellMar>
        <w:left w:w="0" w:type="dxa"/>
        <w:right w:w="0" w:type="dxa"/>
      </w:tblCellMar>
      <w:tblLook w:val="0000"/>
    </w:tblPr>
    <w:tblGrid>
      <w:gridCol w:w="4290"/>
      <w:gridCol w:w="1200"/>
      <w:gridCol w:w="4320"/>
    </w:tblGrid>
    <w:tr w:rsidR="008705E7" w:rsidRPr="0044776A" w:rsidTr="00245129">
      <w:tc>
        <w:tcPr>
          <w:tcW w:w="4290" w:type="dxa"/>
          <w:tcMar>
            <w:left w:w="0" w:type="dxa"/>
            <w:right w:w="0" w:type="dxa"/>
          </w:tcMar>
        </w:tcPr>
        <w:p w:rsidR="008705E7" w:rsidRPr="0044776A" w:rsidRDefault="008705E7" w:rsidP="002E2327">
          <w:pPr>
            <w:keepNext/>
            <w:keepLines/>
            <w:rPr>
              <w:sz w:val="20"/>
              <w:szCs w:val="20"/>
            </w:rPr>
          </w:pPr>
          <w:r w:rsidRPr="0044776A">
            <w:rPr>
              <w:sz w:val="20"/>
              <w:szCs w:val="20"/>
            </w:rPr>
            <w:t>APPLICATIONS FOR LEAVE TO APPEAL FILED</w:t>
          </w:r>
        </w:p>
      </w:tc>
      <w:tc>
        <w:tcPr>
          <w:tcW w:w="1200" w:type="dxa"/>
          <w:tcMar>
            <w:left w:w="0" w:type="dxa"/>
            <w:right w:w="0" w:type="dxa"/>
          </w:tcMar>
        </w:tcPr>
        <w:p w:rsidR="008705E7" w:rsidRPr="0044776A" w:rsidRDefault="008705E7" w:rsidP="002E2327">
          <w:pPr>
            <w:keepNext/>
            <w:keepLines/>
            <w:tabs>
              <w:tab w:val="left" w:pos="-1440"/>
              <w:tab w:val="left" w:pos="-720"/>
            </w:tabs>
            <w:jc w:val="center"/>
            <w:rPr>
              <w:sz w:val="20"/>
              <w:szCs w:val="20"/>
            </w:rPr>
          </w:pPr>
        </w:p>
        <w:p w:rsidR="008705E7" w:rsidRPr="0044776A" w:rsidRDefault="008705E7" w:rsidP="002E2327">
          <w:pPr>
            <w:keepNext/>
            <w:keepLines/>
            <w:tabs>
              <w:tab w:val="left" w:pos="-1440"/>
              <w:tab w:val="left" w:pos="-720"/>
            </w:tabs>
            <w:jc w:val="center"/>
            <w:rPr>
              <w:sz w:val="20"/>
              <w:szCs w:val="20"/>
            </w:rPr>
          </w:pPr>
        </w:p>
        <w:p w:rsidR="008705E7" w:rsidRPr="0044776A" w:rsidRDefault="008705E7" w:rsidP="002E2327">
          <w:pPr>
            <w:keepNext/>
            <w:keepLines/>
            <w:tabs>
              <w:tab w:val="left" w:pos="-1440"/>
              <w:tab w:val="left" w:pos="-720"/>
            </w:tabs>
            <w:jc w:val="center"/>
            <w:rPr>
              <w:sz w:val="20"/>
              <w:szCs w:val="20"/>
            </w:rPr>
          </w:pPr>
        </w:p>
      </w:tc>
      <w:tc>
        <w:tcPr>
          <w:tcW w:w="4320" w:type="dxa"/>
          <w:tcMar>
            <w:left w:w="0" w:type="dxa"/>
            <w:right w:w="0" w:type="dxa"/>
          </w:tcMar>
        </w:tcPr>
        <w:p w:rsidR="008705E7" w:rsidRPr="0044776A" w:rsidRDefault="008705E7" w:rsidP="002E2327">
          <w:pPr>
            <w:keepLines/>
            <w:rPr>
              <w:sz w:val="20"/>
              <w:szCs w:val="20"/>
              <w:lang w:val="fr-CA"/>
            </w:rPr>
          </w:pPr>
          <w:r w:rsidRPr="0044776A">
            <w:rPr>
              <w:sz w:val="20"/>
              <w:szCs w:val="20"/>
              <w:lang w:val="fr-CA"/>
            </w:rPr>
            <w:t>DEMANDES D'AUTORISATION D'APPEL DÉPOSÉES</w:t>
          </w:r>
        </w:p>
      </w:tc>
    </w:tr>
  </w:tbl>
  <w:p w:rsidR="008705E7" w:rsidRDefault="008705E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8705E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8705E7" w:rsidRPr="00743C89" w:rsidTr="00245129">
      <w:tc>
        <w:tcPr>
          <w:tcW w:w="4200" w:type="dxa"/>
          <w:tcMar>
            <w:left w:w="0" w:type="dxa"/>
            <w:right w:w="0" w:type="dxa"/>
          </w:tcMar>
        </w:tcPr>
        <w:p w:rsidR="008705E7" w:rsidRPr="0044776A" w:rsidRDefault="008705E7" w:rsidP="0044776A">
          <w:pPr>
            <w:keepNext/>
            <w:keepLines/>
            <w:widowControl w:val="0"/>
            <w:rPr>
              <w:sz w:val="20"/>
              <w:szCs w:val="20"/>
            </w:rPr>
          </w:pPr>
          <w:r>
            <w:rPr>
              <w:sz w:val="20"/>
              <w:szCs w:val="20"/>
            </w:rPr>
            <w:t>APPLICATIONS FOR LEAVE</w:t>
          </w:r>
        </w:p>
        <w:p w:rsidR="008705E7" w:rsidRPr="0044776A" w:rsidRDefault="008705E7" w:rsidP="0044776A">
          <w:pPr>
            <w:keepNext/>
            <w:keepLines/>
            <w:widowControl w:val="0"/>
            <w:rPr>
              <w:sz w:val="20"/>
              <w:szCs w:val="20"/>
            </w:rPr>
          </w:pPr>
          <w:r w:rsidRPr="0044776A">
            <w:rPr>
              <w:sz w:val="20"/>
              <w:szCs w:val="20"/>
            </w:rPr>
            <w:t>SUBMITTED TO COURT SINCE LAST ISSUE</w:t>
          </w:r>
        </w:p>
      </w:tc>
      <w:tc>
        <w:tcPr>
          <w:tcW w:w="1200" w:type="dxa"/>
          <w:tcMar>
            <w:left w:w="0" w:type="dxa"/>
            <w:right w:w="0" w:type="dxa"/>
          </w:tcMar>
        </w:tcPr>
        <w:p w:rsidR="008705E7" w:rsidRPr="0044776A" w:rsidRDefault="008705E7" w:rsidP="0044776A">
          <w:pPr>
            <w:keepNext/>
            <w:keepLines/>
            <w:widowControl w:val="0"/>
            <w:jc w:val="center"/>
            <w:rPr>
              <w:sz w:val="20"/>
              <w:szCs w:val="20"/>
            </w:rPr>
          </w:pPr>
        </w:p>
        <w:p w:rsidR="008705E7" w:rsidRPr="0044776A" w:rsidRDefault="008705E7" w:rsidP="0044776A">
          <w:pPr>
            <w:keepNext/>
            <w:keepLines/>
            <w:widowControl w:val="0"/>
            <w:jc w:val="center"/>
            <w:rPr>
              <w:sz w:val="20"/>
              <w:szCs w:val="20"/>
            </w:rPr>
          </w:pPr>
        </w:p>
        <w:p w:rsidR="008705E7" w:rsidRPr="0044776A" w:rsidRDefault="008705E7" w:rsidP="0044776A">
          <w:pPr>
            <w:keepNext/>
            <w:keepLines/>
            <w:widowControl w:val="0"/>
            <w:jc w:val="center"/>
            <w:rPr>
              <w:sz w:val="20"/>
              <w:szCs w:val="20"/>
            </w:rPr>
          </w:pPr>
        </w:p>
      </w:tc>
      <w:tc>
        <w:tcPr>
          <w:tcW w:w="4080" w:type="dxa"/>
          <w:tcMar>
            <w:left w:w="0" w:type="dxa"/>
            <w:right w:w="0" w:type="dxa"/>
          </w:tcMar>
        </w:tcPr>
        <w:p w:rsidR="008705E7" w:rsidRPr="0044776A" w:rsidRDefault="008705E7" w:rsidP="0044776A">
          <w:pPr>
            <w:keepLines/>
            <w:widowControl w:val="0"/>
            <w:rPr>
              <w:sz w:val="20"/>
              <w:szCs w:val="20"/>
              <w:lang w:val="fr-CA"/>
            </w:rPr>
          </w:pPr>
          <w:r w:rsidRPr="0044776A">
            <w:rPr>
              <w:sz w:val="20"/>
              <w:szCs w:val="20"/>
              <w:lang w:val="fr-CA"/>
            </w:rPr>
            <w:t>DEMANDES SOUMISES À LA COUR DEPUIS LA DERNIÈRE PARUTION</w:t>
          </w:r>
        </w:p>
        <w:p w:rsidR="008705E7" w:rsidRPr="0044776A" w:rsidRDefault="008705E7" w:rsidP="0044776A">
          <w:pPr>
            <w:widowControl w:val="0"/>
            <w:rPr>
              <w:sz w:val="20"/>
              <w:szCs w:val="20"/>
              <w:lang w:val="fr-CA"/>
            </w:rPr>
          </w:pPr>
        </w:p>
      </w:tc>
    </w:tr>
  </w:tbl>
  <w:p w:rsidR="008705E7" w:rsidRPr="002E2327" w:rsidRDefault="008705E7">
    <w:pPr>
      <w:pStyle w:val="Header"/>
      <w:rPr>
        <w:lang w:val="fr-CA"/>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5E7" w:rsidRDefault="008705E7">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4200"/>
      <w:gridCol w:w="1200"/>
      <w:gridCol w:w="4080"/>
    </w:tblGrid>
    <w:tr w:rsidR="008705E7" w:rsidRPr="00743C89">
      <w:tc>
        <w:tcPr>
          <w:tcW w:w="4200" w:type="dxa"/>
          <w:tcMar>
            <w:left w:w="0" w:type="dxa"/>
            <w:right w:w="0" w:type="dxa"/>
          </w:tcMar>
        </w:tcPr>
        <w:p w:rsidR="008705E7" w:rsidRDefault="008705E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JUDGMENTS ON APPLICATIONS</w:t>
          </w:r>
        </w:p>
        <w:p w:rsidR="008705E7" w:rsidRDefault="008705E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FOR LEAVE</w:t>
          </w:r>
        </w:p>
      </w:tc>
      <w:tc>
        <w:tcPr>
          <w:tcW w:w="1200" w:type="dxa"/>
          <w:tcMar>
            <w:left w:w="0" w:type="dxa"/>
            <w:right w:w="0" w:type="dxa"/>
          </w:tcMar>
        </w:tcPr>
        <w:p w:rsidR="008705E7" w:rsidRDefault="008705E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080" w:type="dxa"/>
          <w:tcMar>
            <w:left w:w="0" w:type="dxa"/>
            <w:right w:w="0" w:type="dxa"/>
          </w:tcMar>
        </w:tcPr>
        <w:p w:rsidR="008705E7" w:rsidRPr="00FF6BA5" w:rsidRDefault="008705E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r w:rsidRPr="00FF6BA5">
            <w:rPr>
              <w:lang w:val="fr-CA"/>
            </w:rPr>
            <w:t>JUGEMENTS RENDUS SUR LES DEMANDES D'AUTORISATION</w:t>
          </w:r>
        </w:p>
      </w:tc>
    </w:tr>
  </w:tbl>
  <w:p w:rsidR="008705E7" w:rsidRPr="00FF6BA5" w:rsidRDefault="008705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p w:rsidR="008705E7" w:rsidRPr="00FF6BA5" w:rsidRDefault="008705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lang w:val="fr-CA"/>
      </w:rPr>
    </w:pPr>
  </w:p>
  <w:p w:rsidR="008705E7" w:rsidRPr="00FF6BA5" w:rsidRDefault="008705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fr-CA"/>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8" w:space="0" w:color="auto"/>
      </w:tblBorders>
      <w:tblLayout w:type="fixed"/>
      <w:tblCellMar>
        <w:left w:w="0" w:type="dxa"/>
        <w:right w:w="0" w:type="dxa"/>
      </w:tblCellMar>
      <w:tblLook w:val="0000"/>
    </w:tblPr>
    <w:tblGrid>
      <w:gridCol w:w="4200"/>
      <w:gridCol w:w="1200"/>
      <w:gridCol w:w="4080"/>
    </w:tblGrid>
    <w:tr w:rsidR="008705E7" w:rsidRPr="00743C89" w:rsidTr="00245129">
      <w:tc>
        <w:tcPr>
          <w:tcW w:w="4200" w:type="dxa"/>
          <w:tcMar>
            <w:left w:w="0" w:type="dxa"/>
            <w:right w:w="0" w:type="dxa"/>
          </w:tcMar>
        </w:tcPr>
        <w:p w:rsidR="008705E7" w:rsidRPr="00755F22" w:rsidRDefault="008705E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55F22">
            <w:rPr>
              <w:sz w:val="20"/>
              <w:szCs w:val="20"/>
            </w:rPr>
            <w:t>JUDGMENTS ON APPLICATIONS</w:t>
          </w:r>
        </w:p>
        <w:p w:rsidR="008705E7" w:rsidRPr="00755F22" w:rsidRDefault="008705E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55F22">
            <w:rPr>
              <w:sz w:val="20"/>
              <w:szCs w:val="20"/>
            </w:rPr>
            <w:t>FOR LEAVE</w:t>
          </w:r>
        </w:p>
      </w:tc>
      <w:tc>
        <w:tcPr>
          <w:tcW w:w="1200" w:type="dxa"/>
          <w:tcMar>
            <w:left w:w="0" w:type="dxa"/>
            <w:right w:w="0" w:type="dxa"/>
          </w:tcMar>
        </w:tcPr>
        <w:p w:rsidR="008705E7" w:rsidRPr="00755F22" w:rsidRDefault="008705E7"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8705E7" w:rsidRPr="00755F22" w:rsidRDefault="008705E7"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p w:rsidR="008705E7" w:rsidRPr="00755F22" w:rsidRDefault="008705E7" w:rsidP="008D292F">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4080" w:type="dxa"/>
          <w:tcMar>
            <w:left w:w="0" w:type="dxa"/>
            <w:right w:w="0" w:type="dxa"/>
          </w:tcMar>
        </w:tcPr>
        <w:p w:rsidR="008705E7" w:rsidRPr="00755F22" w:rsidRDefault="008705E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lang w:val="fr-CA"/>
            </w:rPr>
          </w:pPr>
          <w:r w:rsidRPr="00755F22">
            <w:rPr>
              <w:sz w:val="20"/>
              <w:szCs w:val="20"/>
              <w:lang w:val="fr-CA"/>
            </w:rPr>
            <w:t>JUGEMENTS RENDUS SUR LES DEMANDES D'AUTORISATION</w:t>
          </w:r>
        </w:p>
      </w:tc>
    </w:tr>
  </w:tbl>
  <w:p w:rsidR="008705E7" w:rsidRPr="00FF6BA5" w:rsidRDefault="008705E7" w:rsidP="00755F22">
    <w:pPr>
      <w:tabs>
        <w:tab w:val="left" w:pos="-1440"/>
        <w:tab w:val="left" w:pos="-720"/>
      </w:tabs>
      <w:rPr>
        <w:lang w:val="fr-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61722"/>
    <w:multiLevelType w:val="hybridMultilevel"/>
    <w:tmpl w:val="13C60B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1283"/>
  </w:hdrShapeDefaults>
  <w:footnotePr>
    <w:footnote w:id="-1"/>
    <w:footnote w:id="0"/>
  </w:footnotePr>
  <w:endnotePr>
    <w:endnote w:id="-1"/>
    <w:endnote w:id="0"/>
  </w:endnotePr>
  <w:compat/>
  <w:rsids>
    <w:rsidRoot w:val="00390161"/>
    <w:rsid w:val="0003223B"/>
    <w:rsid w:val="000327B2"/>
    <w:rsid w:val="00055359"/>
    <w:rsid w:val="00096BD9"/>
    <w:rsid w:val="000A0B3F"/>
    <w:rsid w:val="000B3C9A"/>
    <w:rsid w:val="000B40A2"/>
    <w:rsid w:val="000C0ACD"/>
    <w:rsid w:val="00102926"/>
    <w:rsid w:val="0010587F"/>
    <w:rsid w:val="00111C6B"/>
    <w:rsid w:val="0013369E"/>
    <w:rsid w:val="00164E6D"/>
    <w:rsid w:val="00191EFC"/>
    <w:rsid w:val="001B5C23"/>
    <w:rsid w:val="001D0D5F"/>
    <w:rsid w:val="001D6B8C"/>
    <w:rsid w:val="001F1F83"/>
    <w:rsid w:val="00201497"/>
    <w:rsid w:val="002021A9"/>
    <w:rsid w:val="002139A7"/>
    <w:rsid w:val="00215F7C"/>
    <w:rsid w:val="0022323B"/>
    <w:rsid w:val="002410B8"/>
    <w:rsid w:val="00242AEE"/>
    <w:rsid w:val="00245129"/>
    <w:rsid w:val="00245879"/>
    <w:rsid w:val="002574C2"/>
    <w:rsid w:val="00267FD5"/>
    <w:rsid w:val="002868D0"/>
    <w:rsid w:val="002A54B9"/>
    <w:rsid w:val="002B130F"/>
    <w:rsid w:val="002B516C"/>
    <w:rsid w:val="002D72EB"/>
    <w:rsid w:val="002E2327"/>
    <w:rsid w:val="002E3583"/>
    <w:rsid w:val="002E5576"/>
    <w:rsid w:val="00331B52"/>
    <w:rsid w:val="003359D3"/>
    <w:rsid w:val="00355967"/>
    <w:rsid w:val="00382C47"/>
    <w:rsid w:val="00384384"/>
    <w:rsid w:val="00390161"/>
    <w:rsid w:val="003B3977"/>
    <w:rsid w:val="00432989"/>
    <w:rsid w:val="00440E24"/>
    <w:rsid w:val="0044776A"/>
    <w:rsid w:val="00460701"/>
    <w:rsid w:val="00460AFC"/>
    <w:rsid w:val="00471E8A"/>
    <w:rsid w:val="0047471F"/>
    <w:rsid w:val="004B66B4"/>
    <w:rsid w:val="004C1AAC"/>
    <w:rsid w:val="004F090E"/>
    <w:rsid w:val="00527CC7"/>
    <w:rsid w:val="00571CA4"/>
    <w:rsid w:val="00582136"/>
    <w:rsid w:val="005B137C"/>
    <w:rsid w:val="005C6840"/>
    <w:rsid w:val="005F263E"/>
    <w:rsid w:val="00600252"/>
    <w:rsid w:val="00612A40"/>
    <w:rsid w:val="00675479"/>
    <w:rsid w:val="00697C62"/>
    <w:rsid w:val="006A329B"/>
    <w:rsid w:val="006A7EB8"/>
    <w:rsid w:val="006B6926"/>
    <w:rsid w:val="006C3F47"/>
    <w:rsid w:val="006C5F7A"/>
    <w:rsid w:val="006E06AF"/>
    <w:rsid w:val="006F350F"/>
    <w:rsid w:val="007145BC"/>
    <w:rsid w:val="00732DB7"/>
    <w:rsid w:val="00741DC5"/>
    <w:rsid w:val="0074238B"/>
    <w:rsid w:val="00743C89"/>
    <w:rsid w:val="00755F22"/>
    <w:rsid w:val="00766E4A"/>
    <w:rsid w:val="007820CE"/>
    <w:rsid w:val="00782AE4"/>
    <w:rsid w:val="0079724F"/>
    <w:rsid w:val="007A3EAE"/>
    <w:rsid w:val="007C04FC"/>
    <w:rsid w:val="007D3E0F"/>
    <w:rsid w:val="007F387B"/>
    <w:rsid w:val="00802863"/>
    <w:rsid w:val="00815B3C"/>
    <w:rsid w:val="0082783A"/>
    <w:rsid w:val="00831CA9"/>
    <w:rsid w:val="00850E1F"/>
    <w:rsid w:val="0085476B"/>
    <w:rsid w:val="008550A5"/>
    <w:rsid w:val="008705E7"/>
    <w:rsid w:val="00890FEB"/>
    <w:rsid w:val="008D292F"/>
    <w:rsid w:val="008E03DC"/>
    <w:rsid w:val="008F7B92"/>
    <w:rsid w:val="00924065"/>
    <w:rsid w:val="00930D68"/>
    <w:rsid w:val="00932DB4"/>
    <w:rsid w:val="00941A4B"/>
    <w:rsid w:val="009449CE"/>
    <w:rsid w:val="00946242"/>
    <w:rsid w:val="0095096B"/>
    <w:rsid w:val="00970CD3"/>
    <w:rsid w:val="009723FA"/>
    <w:rsid w:val="00984546"/>
    <w:rsid w:val="00996510"/>
    <w:rsid w:val="009C560C"/>
    <w:rsid w:val="009D1F15"/>
    <w:rsid w:val="009D555E"/>
    <w:rsid w:val="00A0355E"/>
    <w:rsid w:val="00A375D1"/>
    <w:rsid w:val="00A51D10"/>
    <w:rsid w:val="00A52A83"/>
    <w:rsid w:val="00A6552C"/>
    <w:rsid w:val="00A87207"/>
    <w:rsid w:val="00A91196"/>
    <w:rsid w:val="00A935AA"/>
    <w:rsid w:val="00AB2201"/>
    <w:rsid w:val="00AF1715"/>
    <w:rsid w:val="00AF3904"/>
    <w:rsid w:val="00B010C0"/>
    <w:rsid w:val="00B4740D"/>
    <w:rsid w:val="00B61629"/>
    <w:rsid w:val="00B7374B"/>
    <w:rsid w:val="00B90DC0"/>
    <w:rsid w:val="00BA116A"/>
    <w:rsid w:val="00BA18A2"/>
    <w:rsid w:val="00BA5582"/>
    <w:rsid w:val="00BA6468"/>
    <w:rsid w:val="00BD06DA"/>
    <w:rsid w:val="00BD4217"/>
    <w:rsid w:val="00BF25F3"/>
    <w:rsid w:val="00C1697B"/>
    <w:rsid w:val="00C50A5C"/>
    <w:rsid w:val="00C50FDF"/>
    <w:rsid w:val="00C624A8"/>
    <w:rsid w:val="00C73E1B"/>
    <w:rsid w:val="00C759B4"/>
    <w:rsid w:val="00C77713"/>
    <w:rsid w:val="00C87720"/>
    <w:rsid w:val="00CB43D5"/>
    <w:rsid w:val="00CC4D84"/>
    <w:rsid w:val="00D64901"/>
    <w:rsid w:val="00D76BDF"/>
    <w:rsid w:val="00D862C1"/>
    <w:rsid w:val="00D93B50"/>
    <w:rsid w:val="00D94670"/>
    <w:rsid w:val="00DA46F6"/>
    <w:rsid w:val="00DC4C93"/>
    <w:rsid w:val="00DD0B49"/>
    <w:rsid w:val="00E06DFA"/>
    <w:rsid w:val="00E20A0A"/>
    <w:rsid w:val="00E356C7"/>
    <w:rsid w:val="00E64FA7"/>
    <w:rsid w:val="00E770CB"/>
    <w:rsid w:val="00E903A1"/>
    <w:rsid w:val="00E940EB"/>
    <w:rsid w:val="00EB2B90"/>
    <w:rsid w:val="00ED7E83"/>
    <w:rsid w:val="00EF4B63"/>
    <w:rsid w:val="00F0068D"/>
    <w:rsid w:val="00F0576D"/>
    <w:rsid w:val="00F14E6D"/>
    <w:rsid w:val="00F15EA8"/>
    <w:rsid w:val="00F16C8D"/>
    <w:rsid w:val="00F26C61"/>
    <w:rsid w:val="00F33CCE"/>
    <w:rsid w:val="00F40249"/>
    <w:rsid w:val="00F526C8"/>
    <w:rsid w:val="00F9518C"/>
    <w:rsid w:val="00FA316E"/>
    <w:rsid w:val="00FA59EF"/>
    <w:rsid w:val="00FB19A2"/>
    <w:rsid w:val="00FF6EE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384"/>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5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87207"/>
    <w:pPr>
      <w:tabs>
        <w:tab w:val="center" w:pos="4680"/>
        <w:tab w:val="right" w:pos="9360"/>
      </w:tabs>
    </w:pPr>
  </w:style>
  <w:style w:type="character" w:customStyle="1" w:styleId="HeaderChar">
    <w:name w:val="Header Char"/>
    <w:basedOn w:val="DefaultParagraphFont"/>
    <w:link w:val="Header"/>
    <w:uiPriority w:val="99"/>
    <w:semiHidden/>
    <w:rsid w:val="00A87207"/>
  </w:style>
  <w:style w:type="paragraph" w:styleId="Footer">
    <w:name w:val="footer"/>
    <w:basedOn w:val="Normal"/>
    <w:link w:val="FooterChar"/>
    <w:uiPriority w:val="99"/>
    <w:unhideWhenUsed/>
    <w:rsid w:val="00A87207"/>
    <w:pPr>
      <w:tabs>
        <w:tab w:val="center" w:pos="4680"/>
        <w:tab w:val="right" w:pos="9360"/>
      </w:tabs>
    </w:pPr>
  </w:style>
  <w:style w:type="character" w:customStyle="1" w:styleId="FooterChar">
    <w:name w:val="Footer Char"/>
    <w:basedOn w:val="DefaultParagraphFont"/>
    <w:link w:val="Footer"/>
    <w:uiPriority w:val="99"/>
    <w:rsid w:val="00A87207"/>
  </w:style>
  <w:style w:type="paragraph" w:styleId="ListParagraph">
    <w:name w:val="List Paragraph"/>
    <w:basedOn w:val="Normal"/>
    <w:uiPriority w:val="34"/>
    <w:qFormat/>
    <w:rsid w:val="002E2327"/>
    <w:pPr>
      <w:ind w:left="720"/>
      <w:contextualSpacing/>
    </w:pPr>
  </w:style>
  <w:style w:type="character" w:customStyle="1" w:styleId="FootnoteTextChar">
    <w:name w:val="Footnote Text Char"/>
    <w:basedOn w:val="DefaultParagraphFont"/>
    <w:link w:val="FootnoteText"/>
    <w:semiHidden/>
    <w:rsid w:val="008D292F"/>
    <w:rPr>
      <w:rFonts w:eastAsia="Times New Roman" w:cs="Times New Roman"/>
      <w:sz w:val="20"/>
      <w:szCs w:val="20"/>
      <w:lang w:val="en-CA" w:eastAsia="en-CA"/>
    </w:rPr>
  </w:style>
  <w:style w:type="paragraph" w:styleId="FootnoteText">
    <w:name w:val="footnote text"/>
    <w:basedOn w:val="Normal"/>
    <w:link w:val="FootnoteTextChar"/>
    <w:semiHidden/>
    <w:rsid w:val="008D292F"/>
    <w:pPr>
      <w:widowControl w:val="0"/>
      <w:ind w:firstLine="720"/>
    </w:pPr>
    <w:rPr>
      <w:rFonts w:eastAsia="Times New Roman" w:cs="Times New Roman"/>
      <w:sz w:val="20"/>
      <w:szCs w:val="20"/>
      <w:lang w:eastAsia="en-CA"/>
    </w:rPr>
  </w:style>
  <w:style w:type="paragraph" w:customStyle="1" w:styleId="Header1StyleE">
    <w:name w:val="Header 1 Style E"/>
    <w:basedOn w:val="Normal"/>
    <w:next w:val="Normal"/>
    <w:autoRedefine/>
    <w:qFormat/>
    <w:rsid w:val="00755F22"/>
    <w:pPr>
      <w:widowControl w:val="0"/>
      <w:autoSpaceDE w:val="0"/>
      <w:autoSpaceDN w:val="0"/>
      <w:adjustRightInd w:val="0"/>
    </w:pPr>
    <w:rPr>
      <w:rFonts w:eastAsiaTheme="minorEastAsia" w:cs="Times New Roman"/>
      <w:b/>
      <w:szCs w:val="20"/>
      <w:lang w:eastAsia="en-CA"/>
    </w:rPr>
  </w:style>
  <w:style w:type="paragraph" w:customStyle="1" w:styleId="Header1StyleF">
    <w:name w:val="Header 1 Style F"/>
    <w:basedOn w:val="Header1StyleE"/>
    <w:autoRedefine/>
    <w:qFormat/>
    <w:rsid w:val="00755F22"/>
    <w:rPr>
      <w:lang w:val="fr-CA"/>
    </w:rPr>
  </w:style>
  <w:style w:type="paragraph" w:customStyle="1" w:styleId="Header2StyleE">
    <w:name w:val="Header 2 Style E"/>
    <w:basedOn w:val="Normal"/>
    <w:next w:val="Normal"/>
    <w:autoRedefine/>
    <w:rsid w:val="00755F22"/>
    <w:pPr>
      <w:keepLines/>
      <w:widowControl w:val="0"/>
      <w:autoSpaceDE w:val="0"/>
      <w:autoSpaceDN w:val="0"/>
      <w:adjustRightInd w:val="0"/>
      <w:ind w:left="-576"/>
    </w:pPr>
    <w:rPr>
      <w:rFonts w:eastAsiaTheme="minorEastAsia" w:cs="Times New"/>
      <w:caps/>
      <w:sz w:val="20"/>
      <w:szCs w:val="20"/>
      <w:lang w:eastAsia="en-CA"/>
    </w:rPr>
  </w:style>
  <w:style w:type="paragraph" w:customStyle="1" w:styleId="Header2StyleF">
    <w:name w:val="Header 2 Style F"/>
    <w:basedOn w:val="Header2StyleE"/>
    <w:autoRedefine/>
    <w:rsid w:val="00755F22"/>
    <w:rPr>
      <w:lang w:val="fr-CA"/>
    </w:rPr>
  </w:style>
  <w:style w:type="table" w:customStyle="1" w:styleId="Header2TableStyle">
    <w:name w:val="Header 2 Table Style"/>
    <w:basedOn w:val="TableNormal"/>
    <w:uiPriority w:val="99"/>
    <w:qFormat/>
    <w:rsid w:val="00755F22"/>
    <w:rPr>
      <w:rFonts w:eastAsiaTheme="minorEastAsia"/>
      <w:sz w:val="20"/>
      <w:lang w:val="en-CA" w:eastAsia="en-CA"/>
    </w:rPr>
    <w:tblPr>
      <w:tblInd w:w="0" w:type="dxa"/>
      <w:tblCellMar>
        <w:top w:w="0" w:type="dxa"/>
        <w:left w:w="576" w:type="dxa"/>
        <w:bottom w:w="0" w:type="dxa"/>
        <w:right w:w="576" w:type="dxa"/>
      </w:tblCellMar>
    </w:tblPr>
  </w:style>
  <w:style w:type="table" w:customStyle="1" w:styleId="HeaderTableStyle">
    <w:name w:val="Header Table Style"/>
    <w:basedOn w:val="TableNormal"/>
    <w:uiPriority w:val="99"/>
    <w:rsid w:val="00755F22"/>
    <w:rPr>
      <w:rFonts w:eastAsiaTheme="minorEastAsia"/>
      <w:lang w:val="en-CA" w:eastAsia="en-CA"/>
    </w:rPr>
    <w:tblPr>
      <w:tblInd w:w="0" w:type="dxa"/>
      <w:tblCellMar>
        <w:top w:w="0" w:type="dxa"/>
        <w:left w:w="576" w:type="dxa"/>
        <w:bottom w:w="0" w:type="dxa"/>
        <w:right w:w="576" w:type="dxa"/>
      </w:tblCellMar>
    </w:tblPr>
  </w:style>
  <w:style w:type="paragraph" w:customStyle="1" w:styleId="SCCRespondentForIndex">
    <w:name w:val="SCC.RespondentForIndex"/>
    <w:basedOn w:val="Normal"/>
    <w:next w:val="Normal"/>
    <w:link w:val="SCCRespondentForIndexChar"/>
    <w:rsid w:val="005C6840"/>
    <w:rPr>
      <w:rFonts w:eastAsia="Times New Roman" w:cs="Times New Roman"/>
      <w:b/>
      <w:szCs w:val="20"/>
      <w:lang w:eastAsia="en-CA"/>
    </w:rPr>
  </w:style>
  <w:style w:type="character" w:customStyle="1" w:styleId="SCCRespondentForIndexChar">
    <w:name w:val="SCC.RespondentForIndex Char"/>
    <w:basedOn w:val="DefaultParagraphFont"/>
    <w:link w:val="SCCRespondentForIndex"/>
    <w:rsid w:val="005C6840"/>
    <w:rPr>
      <w:rFonts w:eastAsia="Times New Roman" w:cs="Times New Roman"/>
      <w:b/>
      <w:szCs w:val="20"/>
      <w:lang w:val="en-CA" w:eastAsia="en-CA"/>
    </w:rPr>
  </w:style>
  <w:style w:type="paragraph" w:customStyle="1" w:styleId="SCCAppellantForIndex">
    <w:name w:val="SCC.AppellantForIndex"/>
    <w:basedOn w:val="Normal"/>
    <w:next w:val="Normal"/>
    <w:link w:val="SCCAppellantForIndexChar"/>
    <w:rsid w:val="005C6840"/>
    <w:rPr>
      <w:rFonts w:eastAsia="Times New Roman" w:cs="Times New Roman"/>
      <w:b/>
      <w:szCs w:val="20"/>
      <w:lang w:val="fr-CA" w:eastAsia="en-CA"/>
    </w:rPr>
  </w:style>
  <w:style w:type="character" w:customStyle="1" w:styleId="SCCAppellantForIndexChar">
    <w:name w:val="SCC.AppellantForIndex Char"/>
    <w:basedOn w:val="DefaultParagraphFont"/>
    <w:link w:val="SCCAppellantForIndex"/>
    <w:rsid w:val="005C6840"/>
    <w:rPr>
      <w:rFonts w:eastAsia="Times New Roman" w:cs="Times New Roman"/>
      <w:b/>
      <w:szCs w:val="20"/>
      <w:lang w:val="fr-CA" w:eastAsia="en-CA"/>
    </w:rPr>
  </w:style>
  <w:style w:type="paragraph" w:customStyle="1" w:styleId="SCCSystemYear">
    <w:name w:val="SCC.SystemYear"/>
    <w:basedOn w:val="Normal"/>
    <w:next w:val="Normal"/>
    <w:link w:val="SCCSystemYearChar"/>
    <w:rsid w:val="005C6840"/>
    <w:rPr>
      <w:rFonts w:eastAsia="Times New Roman" w:cs="Times New Roman"/>
      <w:b/>
      <w:szCs w:val="20"/>
      <w:lang w:val="fr-CA" w:eastAsia="en-CA"/>
    </w:rPr>
  </w:style>
  <w:style w:type="character" w:customStyle="1" w:styleId="SCCSystemYearChar">
    <w:name w:val="SCC.SystemYear Char"/>
    <w:basedOn w:val="DefaultParagraphFont"/>
    <w:link w:val="SCCSystemYear"/>
    <w:rsid w:val="005C6840"/>
    <w:rPr>
      <w:rFonts w:eastAsia="Times New Roman" w:cs="Times New Roman"/>
      <w:b/>
      <w:szCs w:val="20"/>
      <w:lang w:val="fr-CA" w:eastAsia="en-CA"/>
    </w:rPr>
  </w:style>
  <w:style w:type="paragraph" w:customStyle="1" w:styleId="SCCNormalDoubleSpacing">
    <w:name w:val="SCC.Normal.DoubleSpacing"/>
    <w:basedOn w:val="Normal"/>
    <w:link w:val="SCCNormalDoubleSpacingChar"/>
    <w:rsid w:val="005C6840"/>
    <w:pPr>
      <w:spacing w:line="480" w:lineRule="auto"/>
      <w:jc w:val="both"/>
    </w:pPr>
    <w:rPr>
      <w:rFonts w:eastAsia="Times New Roman" w:cs="Times New Roman"/>
      <w:szCs w:val="20"/>
      <w:lang w:eastAsia="en-CA"/>
    </w:rPr>
  </w:style>
  <w:style w:type="character" w:customStyle="1" w:styleId="SCCNormalDoubleSpacingChar">
    <w:name w:val="SCC.Normal.DoubleSpacing Char"/>
    <w:basedOn w:val="DefaultParagraphFont"/>
    <w:link w:val="SCCNormalDoubleSpacing"/>
    <w:rsid w:val="005C6840"/>
    <w:rPr>
      <w:rFonts w:eastAsia="Times New Roman" w:cs="Times New Roman"/>
      <w:szCs w:val="20"/>
      <w:lang w:val="en-CA" w:eastAsia="en-CA"/>
    </w:rPr>
  </w:style>
  <w:style w:type="paragraph" w:customStyle="1" w:styleId="SCCCounselName">
    <w:name w:val="SCC.CounselName"/>
    <w:basedOn w:val="SCCNormalDoubleSpacing"/>
    <w:next w:val="SCCNormalDoubleSpacing"/>
    <w:link w:val="SCCCounselNameChar"/>
    <w:rsid w:val="005C6840"/>
    <w:rPr>
      <w:i/>
    </w:rPr>
  </w:style>
  <w:style w:type="character" w:customStyle="1" w:styleId="SCCCounselNameChar">
    <w:name w:val="SCC.CounselName Char"/>
    <w:basedOn w:val="SCCNormalDoubleSpacingChar"/>
    <w:link w:val="SCCCounselName"/>
    <w:rsid w:val="005C6840"/>
    <w:rPr>
      <w:i/>
    </w:rPr>
  </w:style>
  <w:style w:type="paragraph" w:customStyle="1" w:styleId="SCCLawFirm">
    <w:name w:val="SCC.LawFirm"/>
    <w:basedOn w:val="SCCNormalDoubleSpacing"/>
    <w:next w:val="SCCNormalDoubleSpacing"/>
    <w:link w:val="SCCLawFirmChar"/>
    <w:rsid w:val="005C6840"/>
    <w:rPr>
      <w:i/>
    </w:rPr>
  </w:style>
  <w:style w:type="character" w:customStyle="1" w:styleId="SCCLawFirmChar">
    <w:name w:val="SCC.LawFirm Char"/>
    <w:basedOn w:val="SCCNormalDoubleSpacingChar"/>
    <w:link w:val="SCCLawFirm"/>
    <w:rsid w:val="005C6840"/>
    <w:rPr>
      <w:i/>
    </w:rPr>
  </w:style>
  <w:style w:type="paragraph" w:customStyle="1" w:styleId="SCCCounselPartyRole">
    <w:name w:val="SCC.CounselPartyRole"/>
    <w:basedOn w:val="SCCNormalDoubleSpacing"/>
    <w:next w:val="SCCNormalDoubleSpacing"/>
    <w:link w:val="SCCCounselPartyRoleChar"/>
    <w:rsid w:val="005C6840"/>
  </w:style>
  <w:style w:type="character" w:customStyle="1" w:styleId="SCCCounselPartyRoleChar">
    <w:name w:val="SCC.CounselPartyRole Char"/>
    <w:basedOn w:val="SCCNormalDoubleSpacingChar"/>
    <w:link w:val="SCCCounselPartyRole"/>
    <w:rsid w:val="005C6840"/>
  </w:style>
  <w:style w:type="paragraph" w:customStyle="1" w:styleId="SCCCounselSeparator">
    <w:name w:val="SCC.CounselSeparator"/>
    <w:basedOn w:val="SCCNormalDoubleSpacing"/>
    <w:next w:val="SCCNormalDoubleSpacing"/>
    <w:link w:val="SCCCounselSeparatorChar"/>
    <w:rsid w:val="005C6840"/>
    <w:rPr>
      <w:lang w:val="fr-CA"/>
    </w:rPr>
  </w:style>
  <w:style w:type="character" w:customStyle="1" w:styleId="SCCCounselSeparatorChar">
    <w:name w:val="SCC.CounselSeparator Char"/>
    <w:basedOn w:val="SCCNormalDoubleSpacingChar"/>
    <w:link w:val="SCCCounselSeparator"/>
    <w:rsid w:val="005C6840"/>
    <w:rPr>
      <w:lang w:val="fr-CA"/>
    </w:rPr>
  </w:style>
  <w:style w:type="paragraph" w:customStyle="1" w:styleId="SCCFileNumber">
    <w:name w:val="SCC.FileNumber"/>
    <w:basedOn w:val="Normal"/>
    <w:next w:val="Normal"/>
    <w:link w:val="SCCFileNumberChar"/>
    <w:rsid w:val="00BA18A2"/>
    <w:pPr>
      <w:jc w:val="center"/>
    </w:pPr>
    <w:rPr>
      <w:b/>
      <w:szCs w:val="24"/>
      <w:lang w:val="fr-CA"/>
    </w:rPr>
  </w:style>
  <w:style w:type="character" w:customStyle="1" w:styleId="SCCFileNumberChar">
    <w:name w:val="SCC.FileNumber Char"/>
    <w:basedOn w:val="DefaultParagraphFont"/>
    <w:link w:val="SCCFileNumber"/>
    <w:rsid w:val="00BA18A2"/>
    <w:rPr>
      <w:b/>
      <w:szCs w:val="24"/>
      <w:lang w:val="fr-CA"/>
    </w:rPr>
  </w:style>
  <w:style w:type="paragraph" w:customStyle="1" w:styleId="SCCLsoc">
    <w:name w:val="SCC.Lsoc"/>
    <w:basedOn w:val="Normal"/>
    <w:next w:val="Normal"/>
    <w:link w:val="SCCLsocChar"/>
    <w:rsid w:val="00BA18A2"/>
    <w:pPr>
      <w:jc w:val="center"/>
    </w:pPr>
    <w:rPr>
      <w:b/>
      <w:szCs w:val="24"/>
      <w:u w:val="single"/>
      <w:lang w:val="fr-CA"/>
    </w:rPr>
  </w:style>
  <w:style w:type="character" w:customStyle="1" w:styleId="SCCLsocChar">
    <w:name w:val="SCC.Lsoc Char"/>
    <w:basedOn w:val="DefaultParagraphFont"/>
    <w:link w:val="SCCLsoc"/>
    <w:rsid w:val="00BA18A2"/>
    <w:rPr>
      <w:b/>
      <w:szCs w:val="24"/>
      <w:u w:val="single"/>
      <w:lang w:val="fr-CA"/>
    </w:rPr>
  </w:style>
  <w:style w:type="paragraph" w:customStyle="1" w:styleId="SCCCoram">
    <w:name w:val="SCC.Coram"/>
    <w:basedOn w:val="Normal"/>
    <w:next w:val="Normal"/>
    <w:link w:val="SCCCoramChar"/>
    <w:rsid w:val="00BA18A2"/>
    <w:pPr>
      <w:jc w:val="center"/>
    </w:pPr>
    <w:rPr>
      <w:szCs w:val="24"/>
      <w:u w:val="single"/>
      <w:lang w:val="fr-CA"/>
    </w:rPr>
  </w:style>
  <w:style w:type="character" w:customStyle="1" w:styleId="SCCCoramChar">
    <w:name w:val="SCC.Coram Char"/>
    <w:basedOn w:val="DefaultParagraphFont"/>
    <w:link w:val="SCCCoram"/>
    <w:rsid w:val="00BA18A2"/>
    <w:rPr>
      <w:szCs w:val="24"/>
      <w:u w:val="single"/>
      <w:lang w:val="fr-CA"/>
    </w:rPr>
  </w:style>
  <w:style w:type="paragraph" w:customStyle="1" w:styleId="SCCShortJudgment">
    <w:name w:val="SCC.ShortJudgment"/>
    <w:basedOn w:val="Normal"/>
    <w:qFormat/>
    <w:rsid w:val="00BA18A2"/>
    <w:pPr>
      <w:ind w:firstLine="720"/>
      <w:jc w:val="both"/>
    </w:pPr>
    <w:rPr>
      <w:sz w:val="20"/>
      <w:szCs w:val="24"/>
    </w:rPr>
  </w:style>
  <w:style w:type="paragraph" w:styleId="Quote">
    <w:name w:val="Quote"/>
    <w:basedOn w:val="Normal"/>
    <w:next w:val="Normal"/>
    <w:link w:val="QuoteChar"/>
    <w:uiPriority w:val="29"/>
    <w:qFormat/>
    <w:rsid w:val="00A91196"/>
    <w:rPr>
      <w:rFonts w:eastAsia="Times New Roman" w:cs="Times New Roman"/>
      <w:i/>
      <w:iCs/>
      <w:color w:val="000000" w:themeColor="text1"/>
      <w:szCs w:val="20"/>
      <w:lang w:eastAsia="en-CA"/>
    </w:rPr>
  </w:style>
  <w:style w:type="character" w:customStyle="1" w:styleId="QuoteChar">
    <w:name w:val="Quote Char"/>
    <w:basedOn w:val="DefaultParagraphFont"/>
    <w:link w:val="Quote"/>
    <w:uiPriority w:val="29"/>
    <w:rsid w:val="00A91196"/>
    <w:rPr>
      <w:rFonts w:eastAsia="Times New Roman" w:cs="Times New Roman"/>
      <w:i/>
      <w:iCs/>
      <w:color w:val="000000" w:themeColor="text1"/>
      <w:szCs w:val="20"/>
      <w:lang w:val="en-CA" w:eastAsia="en-CA"/>
    </w:rPr>
  </w:style>
  <w:style w:type="paragraph" w:customStyle="1" w:styleId="SCCLowerCourtNameLowercase">
    <w:name w:val="SCC.LowerCourtNameLowercase"/>
    <w:basedOn w:val="SCCNormalDoubleSpacing"/>
    <w:next w:val="SCCNormalDoubleSpacing"/>
    <w:rsid w:val="00A91196"/>
    <w:pPr>
      <w:tabs>
        <w:tab w:val="left" w:pos="1168"/>
      </w:tabs>
    </w:pPr>
    <w:rPr>
      <w:smallCaps/>
    </w:rPr>
  </w:style>
  <w:style w:type="paragraph" w:customStyle="1" w:styleId="SCCSsoc">
    <w:name w:val="SCC.Ssoc"/>
    <w:basedOn w:val="Normal"/>
    <w:next w:val="Normal"/>
    <w:link w:val="SCCSsocChar"/>
    <w:rsid w:val="00C624A8"/>
    <w:rPr>
      <w:rFonts w:eastAsia="Calibri" w:cs="Times New Roman"/>
      <w:i/>
      <w:sz w:val="20"/>
      <w:szCs w:val="20"/>
    </w:rPr>
  </w:style>
  <w:style w:type="character" w:customStyle="1" w:styleId="SCCSsocChar">
    <w:name w:val="SCC.Ssoc Char"/>
    <w:basedOn w:val="DefaultParagraphFont"/>
    <w:link w:val="SCCSsoc"/>
    <w:rsid w:val="00C624A8"/>
    <w:rPr>
      <w:rFonts w:eastAsia="Calibri" w:cs="Times New Roman"/>
      <w:i/>
      <w:sz w:val="20"/>
      <w:szCs w:val="20"/>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header" Target="header21.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footer" Target="footer28.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footer" Target="footer23.xml"/><Relationship Id="rId62" Type="http://schemas.openxmlformats.org/officeDocument/2006/relationships/header" Target="header2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header" Target="header2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footer" Target="footer21.xml"/><Relationship Id="rId57" Type="http://schemas.openxmlformats.org/officeDocument/2006/relationships/footer" Target="footer25.xml"/><Relationship Id="rId61" Type="http://schemas.openxmlformats.org/officeDocument/2006/relationships/footer" Target="footer2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footer" Target="footer18.xml"/><Relationship Id="rId48" Type="http://schemas.openxmlformats.org/officeDocument/2006/relationships/footer" Target="footer20.xml"/><Relationship Id="rId56" Type="http://schemas.openxmlformats.org/officeDocument/2006/relationships/header" Target="header25.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30677</Words>
  <Characters>174865</Characters>
  <Application>Microsoft Office Word</Application>
  <DocSecurity>0</DocSecurity>
  <Lines>1457</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2011-10-31T12:26:00Z</dcterms:created>
  <dcterms:modified xsi:type="dcterms:W3CDTF">2011-11-03T18:52:00Z</dcterms:modified>
</cp:coreProperties>
</file>