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3366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3366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3366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A3366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33665" w:rsidTr="002E5576">
        <w:tc>
          <w:tcPr>
            <w:tcW w:w="4518" w:type="dxa"/>
          </w:tcPr>
          <w:p w:rsidR="00BF25F3" w:rsidRPr="002E2327" w:rsidRDefault="00FD0CB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D0CB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53659A" w:rsidP="00F0068D">
      <w:pPr>
        <w:pBdr>
          <w:bottom w:val="single" w:sz="6" w:space="1" w:color="auto"/>
        </w:pBdr>
        <w:tabs>
          <w:tab w:val="center" w:pos="4680"/>
          <w:tab w:val="right" w:pos="9360"/>
        </w:tabs>
        <w:rPr>
          <w:lang w:val="fr-CA"/>
        </w:rPr>
      </w:pPr>
      <w:proofErr w:type="spellStart"/>
      <w:r>
        <w:rPr>
          <w:lang w:val="fr-CA"/>
        </w:rPr>
        <w:t>November</w:t>
      </w:r>
      <w:proofErr w:type="spellEnd"/>
      <w:r>
        <w:rPr>
          <w:lang w:val="fr-CA"/>
        </w:rPr>
        <w:t xml:space="preserve"> 4</w:t>
      </w:r>
      <w:r w:rsidR="00440E24" w:rsidRPr="00675479">
        <w:rPr>
          <w:lang w:val="fr-CA"/>
        </w:rPr>
        <w:t>, 201</w:t>
      </w:r>
      <w:r w:rsidR="003359D3">
        <w:rPr>
          <w:lang w:val="fr-CA"/>
        </w:rPr>
        <w:t>1</w:t>
      </w:r>
      <w:r w:rsidR="00F0068D" w:rsidRPr="00675479">
        <w:rPr>
          <w:lang w:val="fr-CA"/>
        </w:rPr>
        <w:tab/>
        <w:t>1</w:t>
      </w:r>
      <w:r>
        <w:rPr>
          <w:lang w:val="fr-CA"/>
        </w:rPr>
        <w:t>612</w:t>
      </w:r>
      <w:r w:rsidR="00F0068D" w:rsidRPr="00675479">
        <w:rPr>
          <w:lang w:val="fr-CA"/>
        </w:rPr>
        <w:t xml:space="preserve"> - </w:t>
      </w:r>
      <w:r w:rsidR="001575E1">
        <w:rPr>
          <w:lang w:val="fr-CA"/>
        </w:rPr>
        <w:t>1641</w:t>
      </w:r>
      <w:r w:rsidR="00440E24" w:rsidRPr="00675479">
        <w:rPr>
          <w:lang w:val="fr-CA"/>
        </w:rPr>
        <w:tab/>
      </w:r>
      <w:r w:rsidR="00440E24" w:rsidRPr="002E2327">
        <w:rPr>
          <w:lang w:val="fr-CA"/>
        </w:rPr>
        <w:t xml:space="preserve">Le </w:t>
      </w:r>
      <w:r>
        <w:rPr>
          <w:lang w:val="fr-CA"/>
        </w:rPr>
        <w:t>4 novembre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53659A">
            <w:pPr>
              <w:tabs>
                <w:tab w:val="right" w:pos="9360"/>
              </w:tabs>
              <w:rPr>
                <w:rFonts w:cs="Times New Roman"/>
                <w:sz w:val="20"/>
                <w:szCs w:val="20"/>
              </w:rPr>
            </w:pPr>
          </w:p>
        </w:tc>
        <w:tc>
          <w:tcPr>
            <w:tcW w:w="1980" w:type="dxa"/>
          </w:tcPr>
          <w:p w:rsidR="0095096B" w:rsidRPr="002E2327" w:rsidRDefault="0053659A" w:rsidP="0095096B">
            <w:pPr>
              <w:jc w:val="center"/>
              <w:rPr>
                <w:rFonts w:cs="Times New Roman"/>
                <w:sz w:val="20"/>
                <w:szCs w:val="20"/>
              </w:rPr>
            </w:pPr>
            <w:r>
              <w:rPr>
                <w:rFonts w:cs="Times New Roman"/>
                <w:sz w:val="20"/>
                <w:szCs w:val="20"/>
              </w:rPr>
              <w:t xml:space="preserve">1612 </w:t>
            </w:r>
            <w:r w:rsidR="00FD0CB6" w:rsidRPr="002E2327">
              <w:rPr>
                <w:rFonts w:cs="Times New Roman"/>
                <w:sz w:val="20"/>
                <w:szCs w:val="20"/>
              </w:rPr>
              <w:fldChar w:fldCharType="begin"/>
            </w:r>
            <w:r w:rsidR="0095096B" w:rsidRPr="002E2327">
              <w:rPr>
                <w:rFonts w:cs="Times New Roman"/>
                <w:sz w:val="20"/>
                <w:szCs w:val="20"/>
              </w:rPr>
              <w:instrText xml:space="preserve"> SEQ CHAPTER \h \r 1</w:instrText>
            </w:r>
            <w:r w:rsidR="00FD0CB6"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1613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3659A" w:rsidP="0095096B">
            <w:pPr>
              <w:jc w:val="center"/>
              <w:rPr>
                <w:rFonts w:cs="Times New Roman"/>
                <w:sz w:val="20"/>
                <w:szCs w:val="20"/>
              </w:rPr>
            </w:pPr>
            <w:r>
              <w:rPr>
                <w:rFonts w:cs="Times New Roman"/>
                <w:sz w:val="20"/>
                <w:szCs w:val="20"/>
              </w:rPr>
              <w:t>1614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3659A" w:rsidP="0095096B">
            <w:pPr>
              <w:jc w:val="center"/>
              <w:rPr>
                <w:rFonts w:cs="Times New Roman"/>
                <w:sz w:val="20"/>
                <w:szCs w:val="20"/>
              </w:rPr>
            </w:pPr>
            <w:r>
              <w:rPr>
                <w:rFonts w:cs="Times New Roman"/>
                <w:sz w:val="20"/>
                <w:szCs w:val="20"/>
              </w:rPr>
              <w:t xml:space="preserve">1615 </w:t>
            </w:r>
            <w:r w:rsidR="0095096B" w:rsidRPr="002E2327">
              <w:rPr>
                <w:rFonts w:cs="Times New Roman"/>
                <w:sz w:val="20"/>
                <w:szCs w:val="20"/>
              </w:rPr>
              <w:t>-</w:t>
            </w:r>
            <w:r>
              <w:rPr>
                <w:rFonts w:cs="Times New Roman"/>
                <w:sz w:val="20"/>
                <w:szCs w:val="20"/>
              </w:rPr>
              <w:t xml:space="preserve"> 1628</w:t>
            </w:r>
          </w:p>
          <w:p w:rsidR="0095096B" w:rsidRPr="002E2327" w:rsidRDefault="0095096B" w:rsidP="0095096B">
            <w:pPr>
              <w:jc w:val="center"/>
              <w:rPr>
                <w:rFonts w:cs="Times New Roman"/>
                <w:sz w:val="20"/>
                <w:szCs w:val="20"/>
              </w:rPr>
            </w:pPr>
          </w:p>
          <w:p w:rsidR="0053659A" w:rsidRDefault="0053659A" w:rsidP="0095096B">
            <w:pPr>
              <w:jc w:val="center"/>
              <w:rPr>
                <w:rFonts w:cs="Times New Roman"/>
                <w:sz w:val="20"/>
                <w:szCs w:val="20"/>
              </w:rPr>
            </w:pPr>
          </w:p>
          <w:p w:rsidR="0095096B" w:rsidRPr="002E2327" w:rsidRDefault="0053659A" w:rsidP="0095096B">
            <w:pPr>
              <w:jc w:val="center"/>
              <w:rPr>
                <w:rFonts w:cs="Times New Roman"/>
                <w:sz w:val="20"/>
                <w:szCs w:val="20"/>
              </w:rPr>
            </w:pPr>
            <w:r>
              <w:rPr>
                <w:rFonts w:cs="Times New Roman"/>
                <w:sz w:val="20"/>
                <w:szCs w:val="20"/>
              </w:rPr>
              <w:t xml:space="preserve">1629 </w:t>
            </w:r>
            <w:r w:rsidR="0095096B" w:rsidRPr="002E2327">
              <w:rPr>
                <w:rFonts w:cs="Times New Roman"/>
                <w:sz w:val="20"/>
                <w:szCs w:val="20"/>
              </w:rPr>
              <w:t>-</w:t>
            </w:r>
            <w:r>
              <w:rPr>
                <w:rFonts w:cs="Times New Roman"/>
                <w:sz w:val="20"/>
                <w:szCs w:val="20"/>
              </w:rPr>
              <w:t xml:space="preserve"> 1634</w:t>
            </w:r>
          </w:p>
          <w:p w:rsidR="0095096B" w:rsidRPr="002E2327" w:rsidRDefault="0095096B" w:rsidP="0095096B">
            <w:pPr>
              <w:jc w:val="center"/>
              <w:rPr>
                <w:rFonts w:cs="Times New Roman"/>
                <w:sz w:val="20"/>
                <w:szCs w:val="20"/>
              </w:rPr>
            </w:pPr>
          </w:p>
          <w:p w:rsidR="0095096B" w:rsidRPr="002E2327" w:rsidRDefault="0053659A" w:rsidP="0095096B">
            <w:pPr>
              <w:jc w:val="center"/>
              <w:rPr>
                <w:rFonts w:cs="Times New Roman"/>
                <w:sz w:val="20"/>
                <w:szCs w:val="20"/>
              </w:rPr>
            </w:pPr>
            <w:r>
              <w:rPr>
                <w:rFonts w:cs="Times New Roman"/>
                <w:sz w:val="20"/>
                <w:szCs w:val="20"/>
              </w:rPr>
              <w:t>1635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3659A" w:rsidP="0095096B">
            <w:pPr>
              <w:jc w:val="center"/>
              <w:rPr>
                <w:rFonts w:cs="Times New Roman"/>
                <w:sz w:val="20"/>
                <w:szCs w:val="20"/>
              </w:rPr>
            </w:pPr>
            <w:r>
              <w:rPr>
                <w:rFonts w:cs="Times New Roman"/>
                <w:sz w:val="20"/>
                <w:szCs w:val="20"/>
              </w:rPr>
              <w:t>1636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3659A" w:rsidP="0095096B">
            <w:pPr>
              <w:jc w:val="center"/>
              <w:rPr>
                <w:rFonts w:cs="Times New Roman"/>
                <w:sz w:val="20"/>
                <w:szCs w:val="20"/>
              </w:rPr>
            </w:pPr>
            <w:r>
              <w:rPr>
                <w:rFonts w:cs="Times New Roman"/>
                <w:sz w:val="20"/>
                <w:szCs w:val="20"/>
              </w:rPr>
              <w:t>1637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3659A" w:rsidP="0095096B">
            <w:pPr>
              <w:jc w:val="center"/>
              <w:rPr>
                <w:rFonts w:cs="Times New Roman"/>
                <w:sz w:val="20"/>
                <w:szCs w:val="20"/>
              </w:rPr>
            </w:pPr>
            <w:r>
              <w:rPr>
                <w:rFonts w:cs="Times New Roman"/>
                <w:sz w:val="20"/>
                <w:szCs w:val="20"/>
              </w:rPr>
              <w:t xml:space="preserve">1638 </w:t>
            </w:r>
            <w:r w:rsidR="0095096B" w:rsidRPr="002E2327">
              <w:rPr>
                <w:rFonts w:cs="Times New Roman"/>
                <w:sz w:val="20"/>
                <w:szCs w:val="20"/>
              </w:rPr>
              <w:t>-</w:t>
            </w:r>
            <w:r w:rsidR="00BC3436">
              <w:rPr>
                <w:rFonts w:cs="Times New Roman"/>
                <w:sz w:val="20"/>
                <w:szCs w:val="20"/>
              </w:rPr>
              <w:t xml:space="preserve"> 1641</w:t>
            </w:r>
          </w:p>
          <w:p w:rsidR="00A87207" w:rsidRPr="002E2327" w:rsidRDefault="00A87207" w:rsidP="0053659A">
            <w:pPr>
              <w:tabs>
                <w:tab w:val="right" w:pos="9360"/>
              </w:tabs>
              <w:jc w:val="center"/>
              <w:rPr>
                <w:rFonts w:cs="Times New Roman"/>
                <w:sz w:val="20"/>
                <w:szCs w:val="20"/>
              </w:rPr>
            </w:pPr>
          </w:p>
        </w:tc>
        <w:tc>
          <w:tcPr>
            <w:tcW w:w="3888" w:type="dxa"/>
          </w:tcPr>
          <w:p w:rsidR="0095096B" w:rsidRPr="002E2327" w:rsidRDefault="00FD0CB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53659A">
            <w:pPr>
              <w:tabs>
                <w:tab w:val="right" w:pos="9360"/>
              </w:tabs>
              <w:rPr>
                <w:rFonts w:cs="Times New Roman"/>
                <w:sz w:val="20"/>
                <w:szCs w:val="20"/>
                <w:lang w:val="fr-CA"/>
              </w:rPr>
            </w:pPr>
          </w:p>
        </w:tc>
      </w:tr>
    </w:tbl>
    <w:p w:rsidR="0095096B" w:rsidRDefault="0095096B" w:rsidP="0095096B">
      <w:pPr>
        <w:tabs>
          <w:tab w:val="right" w:pos="9360"/>
        </w:tabs>
      </w:pPr>
    </w:p>
    <w:p w:rsidR="0053659A" w:rsidRDefault="0053659A" w:rsidP="0095096B">
      <w:pPr>
        <w:tabs>
          <w:tab w:val="right" w:pos="9360"/>
        </w:tabs>
      </w:pPr>
    </w:p>
    <w:p w:rsidR="0053659A" w:rsidRDefault="0053659A" w:rsidP="0095096B">
      <w:pPr>
        <w:tabs>
          <w:tab w:val="right" w:pos="9360"/>
        </w:tabs>
      </w:pPr>
    </w:p>
    <w:p w:rsidR="0053659A" w:rsidRDefault="0053659A" w:rsidP="0095096B">
      <w:pPr>
        <w:tabs>
          <w:tab w:val="right" w:pos="9360"/>
        </w:tabs>
      </w:pPr>
    </w:p>
    <w:p w:rsidR="0053659A" w:rsidRDefault="0053659A" w:rsidP="0095096B">
      <w:pPr>
        <w:tabs>
          <w:tab w:val="right" w:pos="9360"/>
        </w:tabs>
      </w:pPr>
    </w:p>
    <w:p w:rsidR="0053659A" w:rsidRPr="002E2327" w:rsidRDefault="0053659A" w:rsidP="0095096B">
      <w:pPr>
        <w:tabs>
          <w:tab w:val="right" w:pos="9360"/>
        </w:tabs>
      </w:pPr>
    </w:p>
    <w:tbl>
      <w:tblPr>
        <w:tblStyle w:val="TableGrid"/>
        <w:tblW w:w="0" w:type="auto"/>
        <w:tblLook w:val="04A0"/>
      </w:tblPr>
      <w:tblGrid>
        <w:gridCol w:w="9576"/>
      </w:tblGrid>
      <w:tr w:rsidR="0079724F" w:rsidRPr="00A3366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0189E" w:rsidRPr="00676B8C" w:rsidTr="004163EF">
        <w:tc>
          <w:tcPr>
            <w:tcW w:w="4320" w:type="dxa"/>
            <w:shd w:val="clear" w:color="auto" w:fill="auto"/>
          </w:tcPr>
          <w:p w:rsidR="0080189E" w:rsidRPr="00821035" w:rsidRDefault="0080189E" w:rsidP="004163EF">
            <w:pPr>
              <w:rPr>
                <w:b/>
                <w:sz w:val="20"/>
                <w:szCs w:val="20"/>
                <w:lang w:val="fr-CA"/>
              </w:rPr>
            </w:pPr>
            <w:r w:rsidRPr="00821035">
              <w:rPr>
                <w:b/>
                <w:sz w:val="20"/>
                <w:szCs w:val="20"/>
                <w:lang w:val="fr-CA"/>
              </w:rPr>
              <w:t xml:space="preserve">Stéphane </w:t>
            </w:r>
            <w:proofErr w:type="spellStart"/>
            <w:r w:rsidRPr="00821035">
              <w:rPr>
                <w:b/>
                <w:sz w:val="20"/>
                <w:szCs w:val="20"/>
                <w:lang w:val="fr-CA"/>
              </w:rPr>
              <w:t>Marleau</w:t>
            </w:r>
            <w:proofErr w:type="spellEnd"/>
          </w:p>
          <w:p w:rsidR="0080189E" w:rsidRPr="00821035" w:rsidRDefault="0080189E" w:rsidP="004163EF">
            <w:pPr>
              <w:tabs>
                <w:tab w:val="left" w:pos="-1440"/>
                <w:tab w:val="left" w:pos="-720"/>
              </w:tabs>
              <w:rPr>
                <w:sz w:val="20"/>
                <w:szCs w:val="20"/>
                <w:lang w:val="fr-CA"/>
              </w:rPr>
            </w:pPr>
            <w:r w:rsidRPr="00821035">
              <w:rPr>
                <w:sz w:val="20"/>
                <w:szCs w:val="20"/>
                <w:lang w:val="fr-CA"/>
              </w:rPr>
              <w:tab/>
              <w:t xml:space="preserve">Stéphane </w:t>
            </w:r>
            <w:proofErr w:type="spellStart"/>
            <w:r w:rsidRPr="00821035">
              <w:rPr>
                <w:sz w:val="20"/>
                <w:szCs w:val="20"/>
                <w:lang w:val="fr-CA"/>
              </w:rPr>
              <w:t>Marleau</w:t>
            </w:r>
            <w:proofErr w:type="spellEnd"/>
          </w:p>
          <w:p w:rsidR="0080189E" w:rsidRPr="00821035" w:rsidRDefault="0080189E" w:rsidP="004163EF">
            <w:pPr>
              <w:tabs>
                <w:tab w:val="left" w:pos="-1440"/>
                <w:tab w:val="left" w:pos="-720"/>
              </w:tabs>
              <w:rPr>
                <w:sz w:val="20"/>
                <w:szCs w:val="20"/>
                <w:lang w:val="fr-CA"/>
              </w:rPr>
            </w:pPr>
          </w:p>
          <w:p w:rsidR="0080189E" w:rsidRPr="00676B8C" w:rsidRDefault="0080189E" w:rsidP="004163EF">
            <w:pPr>
              <w:tabs>
                <w:tab w:val="left" w:pos="-1440"/>
                <w:tab w:val="left" w:pos="-720"/>
              </w:tabs>
              <w:rPr>
                <w:sz w:val="20"/>
                <w:szCs w:val="20"/>
                <w:lang w:val="fr-CA"/>
              </w:rPr>
            </w:pPr>
            <w:r w:rsidRPr="00821035">
              <w:rPr>
                <w:sz w:val="20"/>
                <w:szCs w:val="20"/>
                <w:lang w:val="fr-CA"/>
              </w:rPr>
              <w:tab/>
            </w:r>
            <w:r w:rsidRPr="00676B8C">
              <w:rPr>
                <w:sz w:val="20"/>
                <w:szCs w:val="20"/>
                <w:lang w:val="fr-CA"/>
              </w:rPr>
              <w:t>c. (34483)</w:t>
            </w:r>
          </w:p>
          <w:p w:rsidR="0080189E" w:rsidRPr="00676B8C" w:rsidRDefault="0080189E" w:rsidP="004163EF">
            <w:pPr>
              <w:tabs>
                <w:tab w:val="left" w:pos="-1440"/>
                <w:tab w:val="left" w:pos="-720"/>
              </w:tabs>
              <w:rPr>
                <w:sz w:val="20"/>
                <w:szCs w:val="20"/>
                <w:lang w:val="fr-CA"/>
              </w:rPr>
            </w:pPr>
          </w:p>
          <w:p w:rsidR="0080189E" w:rsidRPr="00676B8C" w:rsidRDefault="0080189E" w:rsidP="004163EF">
            <w:pPr>
              <w:tabs>
                <w:tab w:val="left" w:pos="-1440"/>
                <w:tab w:val="left" w:pos="-720"/>
              </w:tabs>
              <w:rPr>
                <w:b/>
                <w:sz w:val="20"/>
                <w:szCs w:val="20"/>
                <w:lang w:val="fr-CA"/>
              </w:rPr>
            </w:pPr>
            <w:r w:rsidRPr="00676B8C">
              <w:rPr>
                <w:b/>
                <w:sz w:val="20"/>
                <w:szCs w:val="20"/>
                <w:lang w:val="fr-CA"/>
              </w:rPr>
              <w:t>Directeur de l’Établissement de Port-Cartier et autre (</w:t>
            </w:r>
            <w:proofErr w:type="spellStart"/>
            <w:r w:rsidRPr="00676B8C">
              <w:rPr>
                <w:b/>
                <w:sz w:val="20"/>
                <w:szCs w:val="20"/>
                <w:lang w:val="fr-CA"/>
              </w:rPr>
              <w:t>Qc</w:t>
            </w:r>
            <w:proofErr w:type="spellEnd"/>
            <w:r w:rsidRPr="00676B8C">
              <w:rPr>
                <w:b/>
                <w:sz w:val="20"/>
                <w:szCs w:val="20"/>
                <w:lang w:val="fr-CA"/>
              </w:rPr>
              <w:t>)</w:t>
            </w:r>
          </w:p>
          <w:p w:rsidR="0080189E" w:rsidRPr="00676B8C" w:rsidRDefault="0080189E" w:rsidP="004163EF">
            <w:pPr>
              <w:tabs>
                <w:tab w:val="left" w:pos="-1440"/>
                <w:tab w:val="left" w:pos="-720"/>
              </w:tabs>
              <w:rPr>
                <w:sz w:val="20"/>
                <w:szCs w:val="20"/>
              </w:rPr>
            </w:pPr>
            <w:r w:rsidRPr="00676B8C">
              <w:rPr>
                <w:sz w:val="20"/>
                <w:szCs w:val="20"/>
                <w:lang w:val="fr-CA"/>
              </w:rPr>
              <w:tab/>
            </w:r>
            <w:r w:rsidRPr="00676B8C">
              <w:rPr>
                <w:sz w:val="20"/>
                <w:szCs w:val="20"/>
              </w:rPr>
              <w:t>Nicholas Banks</w:t>
            </w:r>
          </w:p>
          <w:p w:rsidR="0080189E" w:rsidRPr="00676B8C" w:rsidRDefault="0080189E" w:rsidP="004163EF">
            <w:pPr>
              <w:tabs>
                <w:tab w:val="left" w:pos="-1440"/>
                <w:tab w:val="left" w:pos="-720"/>
              </w:tabs>
              <w:rPr>
                <w:sz w:val="20"/>
                <w:szCs w:val="20"/>
              </w:rPr>
            </w:pPr>
            <w:r w:rsidRPr="00676B8C">
              <w:rPr>
                <w:sz w:val="20"/>
                <w:szCs w:val="20"/>
              </w:rPr>
              <w:tab/>
              <w:t>P.G. du Canada</w:t>
            </w:r>
          </w:p>
          <w:p w:rsidR="0080189E" w:rsidRPr="00676B8C" w:rsidRDefault="0080189E" w:rsidP="004163EF">
            <w:pPr>
              <w:tabs>
                <w:tab w:val="left" w:pos="-1440"/>
                <w:tab w:val="left" w:pos="-720"/>
              </w:tabs>
              <w:rPr>
                <w:sz w:val="20"/>
                <w:szCs w:val="20"/>
              </w:rPr>
            </w:pPr>
          </w:p>
          <w:p w:rsidR="0080189E" w:rsidRPr="00A935AA" w:rsidRDefault="0080189E" w:rsidP="004163EF">
            <w:pPr>
              <w:rPr>
                <w:sz w:val="20"/>
                <w:szCs w:val="20"/>
              </w:rPr>
            </w:pPr>
            <w:r w:rsidRPr="00A935AA">
              <w:rPr>
                <w:sz w:val="20"/>
                <w:szCs w:val="20"/>
              </w:rPr>
              <w:t>DATE</w:t>
            </w:r>
            <w:r>
              <w:rPr>
                <w:sz w:val="20"/>
                <w:szCs w:val="20"/>
              </w:rPr>
              <w:t xml:space="preserve"> DE PRODUCTION </w:t>
            </w:r>
            <w:r w:rsidRPr="00A935AA">
              <w:rPr>
                <w:sz w:val="20"/>
                <w:szCs w:val="20"/>
              </w:rPr>
              <w:t xml:space="preserve">: </w:t>
            </w:r>
            <w:r>
              <w:rPr>
                <w:sz w:val="20"/>
                <w:szCs w:val="20"/>
              </w:rPr>
              <w:t>11</w:t>
            </w:r>
            <w:r w:rsidRPr="00A935AA">
              <w:rPr>
                <w:sz w:val="20"/>
                <w:szCs w:val="20"/>
              </w:rPr>
              <w:t>.</w:t>
            </w:r>
            <w:r>
              <w:rPr>
                <w:sz w:val="20"/>
                <w:szCs w:val="20"/>
              </w:rPr>
              <w:t>07</w:t>
            </w:r>
            <w:r w:rsidRPr="00A935AA">
              <w:rPr>
                <w:sz w:val="20"/>
                <w:szCs w:val="20"/>
              </w:rPr>
              <w:t>.201</w:t>
            </w:r>
            <w:r>
              <w:rPr>
                <w:sz w:val="20"/>
                <w:szCs w:val="20"/>
              </w:rPr>
              <w:t>1</w:t>
            </w:r>
          </w:p>
          <w:p w:rsidR="0080189E" w:rsidRPr="00A935AA" w:rsidRDefault="00FD0CB6" w:rsidP="004163EF">
            <w:pPr>
              <w:rPr>
                <w:sz w:val="20"/>
                <w:szCs w:val="20"/>
              </w:rPr>
            </w:pPr>
            <w:r w:rsidRPr="00FD0CB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tc>
        <w:tc>
          <w:tcPr>
            <w:tcW w:w="4320" w:type="dxa"/>
            <w:shd w:val="clear" w:color="auto" w:fill="auto"/>
          </w:tcPr>
          <w:p w:rsidR="0080189E" w:rsidRPr="00821035" w:rsidRDefault="0080189E" w:rsidP="004163EF">
            <w:pPr>
              <w:keepNext/>
              <w:keepLines/>
              <w:tabs>
                <w:tab w:val="left" w:pos="-1440"/>
                <w:tab w:val="left" w:pos="-720"/>
              </w:tabs>
              <w:rPr>
                <w:b/>
                <w:sz w:val="20"/>
                <w:szCs w:val="20"/>
                <w:lang w:val="fr-CA"/>
              </w:rPr>
            </w:pPr>
            <w:r w:rsidRPr="00821035">
              <w:rPr>
                <w:b/>
                <w:sz w:val="20"/>
                <w:szCs w:val="20"/>
                <w:lang w:val="fr-CA"/>
              </w:rPr>
              <w:t xml:space="preserve">L.B. et al. </w:t>
            </w:r>
          </w:p>
          <w:p w:rsidR="0080189E" w:rsidRPr="00821035" w:rsidRDefault="0080189E" w:rsidP="004163EF">
            <w:pPr>
              <w:keepNext/>
              <w:keepLines/>
              <w:tabs>
                <w:tab w:val="left" w:pos="-1440"/>
                <w:tab w:val="left" w:pos="-720"/>
              </w:tabs>
              <w:rPr>
                <w:sz w:val="20"/>
                <w:szCs w:val="20"/>
                <w:lang w:val="fr-CA"/>
              </w:rPr>
            </w:pPr>
            <w:r w:rsidRPr="00821035">
              <w:rPr>
                <w:sz w:val="20"/>
                <w:szCs w:val="20"/>
                <w:lang w:val="fr-CA"/>
              </w:rPr>
              <w:tab/>
              <w:t>Guy Du Pont</w:t>
            </w:r>
          </w:p>
          <w:p w:rsidR="0080189E" w:rsidRPr="00A935AA" w:rsidRDefault="0080189E" w:rsidP="004163EF">
            <w:pPr>
              <w:keepNext/>
              <w:keepLines/>
              <w:tabs>
                <w:tab w:val="left" w:pos="-1440"/>
                <w:tab w:val="left" w:pos="-720"/>
              </w:tabs>
              <w:rPr>
                <w:sz w:val="20"/>
                <w:szCs w:val="20"/>
              </w:rPr>
            </w:pPr>
            <w:r w:rsidRPr="00821035">
              <w:rPr>
                <w:sz w:val="20"/>
                <w:szCs w:val="20"/>
                <w:lang w:val="fr-CA"/>
              </w:rPr>
              <w:tab/>
            </w:r>
            <w:r>
              <w:rPr>
                <w:sz w:val="20"/>
                <w:szCs w:val="20"/>
              </w:rPr>
              <w:t>Davies Ward Phillips &amp; Vineberg LLP</w:t>
            </w:r>
          </w:p>
          <w:p w:rsidR="0080189E" w:rsidRPr="00A935AA" w:rsidRDefault="0080189E" w:rsidP="004163EF">
            <w:pPr>
              <w:keepNext/>
              <w:keepLines/>
              <w:tabs>
                <w:tab w:val="left" w:pos="-1440"/>
                <w:tab w:val="left" w:pos="-720"/>
              </w:tabs>
              <w:rPr>
                <w:sz w:val="20"/>
                <w:szCs w:val="20"/>
              </w:rPr>
            </w:pPr>
          </w:p>
          <w:p w:rsidR="0080189E" w:rsidRPr="00676B8C" w:rsidRDefault="0080189E" w:rsidP="004163EF">
            <w:pPr>
              <w:keepNext/>
              <w:keepLines/>
              <w:tabs>
                <w:tab w:val="left" w:pos="-1440"/>
                <w:tab w:val="left" w:pos="-720"/>
              </w:tabs>
              <w:rPr>
                <w:sz w:val="20"/>
                <w:szCs w:val="20"/>
              </w:rPr>
            </w:pPr>
            <w:r w:rsidRPr="00A935AA">
              <w:rPr>
                <w:sz w:val="20"/>
                <w:szCs w:val="20"/>
              </w:rPr>
              <w:tab/>
            </w:r>
            <w:r w:rsidRPr="00676B8C">
              <w:rPr>
                <w:sz w:val="20"/>
                <w:szCs w:val="20"/>
              </w:rPr>
              <w:t>v. (34441)</w:t>
            </w:r>
          </w:p>
          <w:p w:rsidR="0080189E" w:rsidRPr="00676B8C" w:rsidRDefault="0080189E" w:rsidP="004163EF">
            <w:pPr>
              <w:keepNext/>
              <w:keepLines/>
              <w:tabs>
                <w:tab w:val="left" w:pos="-1440"/>
                <w:tab w:val="left" w:pos="-720"/>
              </w:tabs>
              <w:rPr>
                <w:sz w:val="20"/>
                <w:szCs w:val="20"/>
              </w:rPr>
            </w:pPr>
          </w:p>
          <w:p w:rsidR="0080189E" w:rsidRPr="00676B8C" w:rsidRDefault="0080189E" w:rsidP="004163EF">
            <w:pPr>
              <w:keepNext/>
              <w:keepLines/>
              <w:tabs>
                <w:tab w:val="left" w:pos="-1440"/>
                <w:tab w:val="left" w:pos="-720"/>
              </w:tabs>
              <w:rPr>
                <w:b/>
                <w:sz w:val="20"/>
                <w:szCs w:val="20"/>
                <w:lang w:val="fr-CA"/>
              </w:rPr>
            </w:pPr>
            <w:r w:rsidRPr="00676B8C">
              <w:rPr>
                <w:b/>
                <w:sz w:val="20"/>
                <w:szCs w:val="20"/>
                <w:lang w:val="fr-CA"/>
              </w:rPr>
              <w:t>G.N. et al. (Que.)</w:t>
            </w:r>
          </w:p>
          <w:p w:rsidR="0080189E" w:rsidRPr="00676B8C" w:rsidRDefault="0080189E" w:rsidP="004163EF">
            <w:pPr>
              <w:keepNext/>
              <w:keepLines/>
              <w:tabs>
                <w:tab w:val="left" w:pos="-1440"/>
                <w:tab w:val="left" w:pos="-720"/>
              </w:tabs>
              <w:rPr>
                <w:sz w:val="20"/>
                <w:szCs w:val="20"/>
                <w:lang w:val="fr-CA"/>
              </w:rPr>
            </w:pPr>
            <w:r w:rsidRPr="00676B8C">
              <w:rPr>
                <w:sz w:val="20"/>
                <w:szCs w:val="20"/>
                <w:lang w:val="fr-CA"/>
              </w:rPr>
              <w:tab/>
            </w:r>
            <w:r>
              <w:rPr>
                <w:sz w:val="20"/>
                <w:szCs w:val="20"/>
                <w:lang w:val="fr-CA"/>
              </w:rPr>
              <w:t>Sonia Heyeur</w:t>
            </w:r>
          </w:p>
          <w:p w:rsidR="0080189E" w:rsidRPr="00676B8C" w:rsidRDefault="0080189E" w:rsidP="004163EF">
            <w:pPr>
              <w:keepNext/>
              <w:keepLines/>
              <w:tabs>
                <w:tab w:val="left" w:pos="-1440"/>
                <w:tab w:val="left" w:pos="-720"/>
              </w:tabs>
              <w:rPr>
                <w:sz w:val="20"/>
                <w:szCs w:val="20"/>
                <w:lang w:val="fr-CA"/>
              </w:rPr>
            </w:pPr>
          </w:p>
          <w:p w:rsidR="0080189E" w:rsidRPr="00676B8C" w:rsidRDefault="0080189E" w:rsidP="004163EF">
            <w:pPr>
              <w:rPr>
                <w:sz w:val="20"/>
                <w:szCs w:val="20"/>
                <w:lang w:val="fr-CA"/>
              </w:rPr>
            </w:pPr>
            <w:r w:rsidRPr="00676B8C">
              <w:rPr>
                <w:sz w:val="20"/>
                <w:szCs w:val="20"/>
                <w:lang w:val="fr-CA"/>
              </w:rPr>
              <w:t>FILING DATE: 2</w:t>
            </w:r>
            <w:r>
              <w:rPr>
                <w:sz w:val="20"/>
                <w:szCs w:val="20"/>
                <w:lang w:val="fr-CA"/>
              </w:rPr>
              <w:t>1</w:t>
            </w:r>
            <w:r w:rsidRPr="00676B8C">
              <w:rPr>
                <w:sz w:val="20"/>
                <w:szCs w:val="20"/>
                <w:lang w:val="fr-CA"/>
              </w:rPr>
              <w:t>.0</w:t>
            </w:r>
            <w:r>
              <w:rPr>
                <w:sz w:val="20"/>
                <w:szCs w:val="20"/>
                <w:lang w:val="fr-CA"/>
              </w:rPr>
              <w:t>9</w:t>
            </w:r>
            <w:r w:rsidRPr="00676B8C">
              <w:rPr>
                <w:sz w:val="20"/>
                <w:szCs w:val="20"/>
                <w:lang w:val="fr-CA"/>
              </w:rPr>
              <w:t>.2011</w:t>
            </w:r>
            <w:r w:rsidR="00FD0CB6" w:rsidRPr="00FD0CB6">
              <w:rPr>
                <w:sz w:val="20"/>
                <w:szCs w:val="20"/>
                <w:lang w:val="fr-CA"/>
              </w:rPr>
              <w:pict>
                <v:rect id="_x0000_i1026" style="width:108pt;height:1pt" o:hrpct="0" o:hralign="center" o:hrstd="t" o:hrnoshade="t" o:hr="t" fillcolor="black [3213]" stroked="f"/>
              </w:pict>
            </w:r>
          </w:p>
        </w:tc>
      </w:tr>
      <w:tr w:rsidR="0080189E" w:rsidRPr="00A935AA" w:rsidTr="004163EF">
        <w:tc>
          <w:tcPr>
            <w:tcW w:w="4320" w:type="dxa"/>
            <w:shd w:val="clear" w:color="auto" w:fill="auto"/>
          </w:tcPr>
          <w:p w:rsidR="0080189E" w:rsidRPr="00821035" w:rsidRDefault="0080189E" w:rsidP="004163EF">
            <w:pPr>
              <w:rPr>
                <w:b/>
                <w:sz w:val="20"/>
                <w:szCs w:val="20"/>
              </w:rPr>
            </w:pPr>
          </w:p>
          <w:p w:rsidR="0080189E" w:rsidRPr="00821035" w:rsidRDefault="0080189E" w:rsidP="004163EF">
            <w:pPr>
              <w:rPr>
                <w:b/>
                <w:sz w:val="20"/>
                <w:szCs w:val="20"/>
              </w:rPr>
            </w:pPr>
            <w:r w:rsidRPr="00821035">
              <w:rPr>
                <w:b/>
                <w:sz w:val="20"/>
                <w:szCs w:val="20"/>
              </w:rPr>
              <w:t>Mikel (Mehrdad) Golzarian</w:t>
            </w:r>
          </w:p>
          <w:p w:rsidR="0080189E" w:rsidRPr="00821035" w:rsidRDefault="0080189E" w:rsidP="004163EF">
            <w:pPr>
              <w:tabs>
                <w:tab w:val="left" w:pos="-1440"/>
                <w:tab w:val="left" w:pos="-720"/>
              </w:tabs>
              <w:rPr>
                <w:sz w:val="20"/>
                <w:szCs w:val="20"/>
              </w:rPr>
            </w:pPr>
            <w:r w:rsidRPr="00821035">
              <w:rPr>
                <w:sz w:val="20"/>
                <w:szCs w:val="20"/>
              </w:rPr>
              <w:tab/>
              <w:t>Mikel Golzarian</w:t>
            </w:r>
          </w:p>
          <w:p w:rsidR="0080189E" w:rsidRPr="00821035" w:rsidRDefault="0080189E" w:rsidP="004163EF">
            <w:pPr>
              <w:tabs>
                <w:tab w:val="left" w:pos="-1440"/>
                <w:tab w:val="left" w:pos="-720"/>
              </w:tabs>
              <w:rPr>
                <w:sz w:val="20"/>
                <w:szCs w:val="20"/>
              </w:rPr>
            </w:pPr>
          </w:p>
          <w:p w:rsidR="0080189E" w:rsidRPr="00821035" w:rsidRDefault="0080189E" w:rsidP="004163EF">
            <w:pPr>
              <w:tabs>
                <w:tab w:val="left" w:pos="-1440"/>
                <w:tab w:val="left" w:pos="-720"/>
              </w:tabs>
              <w:rPr>
                <w:sz w:val="20"/>
                <w:szCs w:val="20"/>
              </w:rPr>
            </w:pPr>
            <w:r w:rsidRPr="00821035">
              <w:rPr>
                <w:sz w:val="20"/>
                <w:szCs w:val="20"/>
              </w:rPr>
              <w:tab/>
              <w:t>c. (34503)</w:t>
            </w:r>
          </w:p>
          <w:p w:rsidR="0080189E" w:rsidRPr="00821035" w:rsidRDefault="0080189E" w:rsidP="004163EF">
            <w:pPr>
              <w:tabs>
                <w:tab w:val="left" w:pos="-1440"/>
                <w:tab w:val="left" w:pos="-720"/>
              </w:tabs>
              <w:rPr>
                <w:sz w:val="20"/>
                <w:szCs w:val="20"/>
              </w:rPr>
            </w:pPr>
          </w:p>
          <w:p w:rsidR="0080189E" w:rsidRPr="00C44FB4" w:rsidRDefault="0080189E" w:rsidP="004163EF">
            <w:pPr>
              <w:tabs>
                <w:tab w:val="left" w:pos="-1440"/>
                <w:tab w:val="left" w:pos="-720"/>
              </w:tabs>
              <w:rPr>
                <w:b/>
                <w:sz w:val="20"/>
                <w:szCs w:val="20"/>
                <w:lang w:val="fr-CA"/>
              </w:rPr>
            </w:pPr>
            <w:r w:rsidRPr="00C44FB4">
              <w:rPr>
                <w:b/>
                <w:sz w:val="20"/>
                <w:szCs w:val="20"/>
                <w:lang w:val="fr-CA"/>
              </w:rPr>
              <w:t>Association des policiers provinciaux du Québec et autres (Qc)</w:t>
            </w:r>
          </w:p>
          <w:p w:rsidR="0080189E" w:rsidRPr="00821035" w:rsidRDefault="0080189E" w:rsidP="004163EF">
            <w:pPr>
              <w:tabs>
                <w:tab w:val="left" w:pos="-1440"/>
                <w:tab w:val="left" w:pos="-720"/>
              </w:tabs>
              <w:rPr>
                <w:sz w:val="20"/>
                <w:szCs w:val="20"/>
                <w:lang w:val="fr-CA"/>
              </w:rPr>
            </w:pPr>
            <w:r w:rsidRPr="00C44FB4">
              <w:rPr>
                <w:sz w:val="20"/>
                <w:szCs w:val="20"/>
                <w:lang w:val="fr-CA"/>
              </w:rPr>
              <w:tab/>
            </w:r>
            <w:r w:rsidRPr="00821035">
              <w:rPr>
                <w:sz w:val="20"/>
                <w:szCs w:val="20"/>
                <w:lang w:val="fr-CA"/>
              </w:rPr>
              <w:t>Gino Castiglio</w:t>
            </w:r>
          </w:p>
          <w:p w:rsidR="0080189E" w:rsidRPr="00821035" w:rsidRDefault="0080189E" w:rsidP="004163EF">
            <w:pPr>
              <w:tabs>
                <w:tab w:val="left" w:pos="-1440"/>
                <w:tab w:val="left" w:pos="-720"/>
              </w:tabs>
              <w:rPr>
                <w:sz w:val="20"/>
                <w:szCs w:val="20"/>
                <w:lang w:val="fr-CA"/>
              </w:rPr>
            </w:pPr>
            <w:r w:rsidRPr="00821035">
              <w:rPr>
                <w:sz w:val="20"/>
                <w:szCs w:val="20"/>
                <w:lang w:val="fr-CA"/>
              </w:rPr>
              <w:tab/>
              <w:t>Castiglio &amp; Associés</w:t>
            </w:r>
          </w:p>
          <w:p w:rsidR="0080189E" w:rsidRPr="00821035" w:rsidRDefault="0080189E" w:rsidP="004163EF">
            <w:pPr>
              <w:tabs>
                <w:tab w:val="left" w:pos="-1440"/>
                <w:tab w:val="left" w:pos="-720"/>
              </w:tabs>
              <w:rPr>
                <w:sz w:val="20"/>
                <w:szCs w:val="20"/>
                <w:lang w:val="fr-CA"/>
              </w:rPr>
            </w:pPr>
          </w:p>
          <w:p w:rsidR="0080189E" w:rsidRPr="00821035" w:rsidRDefault="0080189E" w:rsidP="004163EF">
            <w:pPr>
              <w:rPr>
                <w:sz w:val="20"/>
                <w:szCs w:val="20"/>
                <w:lang w:val="fr-CA"/>
              </w:rPr>
            </w:pPr>
            <w:r w:rsidRPr="00821035">
              <w:rPr>
                <w:sz w:val="20"/>
                <w:szCs w:val="20"/>
                <w:lang w:val="fr-CA"/>
              </w:rPr>
              <w:t>DATE DE PRODUCTION : 23.09.2011</w:t>
            </w:r>
          </w:p>
          <w:p w:rsidR="0080189E" w:rsidRPr="00A935AA" w:rsidRDefault="00FD0CB6" w:rsidP="004163EF">
            <w:pPr>
              <w:rPr>
                <w:sz w:val="20"/>
                <w:szCs w:val="20"/>
              </w:rPr>
            </w:pPr>
            <w:r w:rsidRPr="00FD0CB6">
              <w:rPr>
                <w:sz w:val="20"/>
                <w:szCs w:val="20"/>
                <w:lang w:val="fr-CA"/>
              </w:rPr>
              <w:pict>
                <v:rect id="_x0000_i1027" style="width:108pt;height:1pt" o:hrpct="0" o:hralign="center" o:hrstd="t" o:hrnoshade="t" o:hr="t" fillcolor="black [3213]" stroked="f"/>
              </w:pict>
            </w:r>
          </w:p>
        </w:tc>
        <w:tc>
          <w:tcPr>
            <w:tcW w:w="1181" w:type="dxa"/>
            <w:shd w:val="clear" w:color="auto" w:fill="auto"/>
          </w:tcPr>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tc>
        <w:tc>
          <w:tcPr>
            <w:tcW w:w="4320" w:type="dxa"/>
            <w:shd w:val="clear" w:color="auto" w:fill="auto"/>
          </w:tcPr>
          <w:p w:rsidR="0080189E" w:rsidRPr="00A935AA" w:rsidRDefault="0080189E" w:rsidP="004163EF">
            <w:pPr>
              <w:keepNext/>
              <w:keepLines/>
              <w:tabs>
                <w:tab w:val="left" w:pos="-1440"/>
                <w:tab w:val="left" w:pos="-720"/>
              </w:tabs>
              <w:rPr>
                <w:b/>
                <w:sz w:val="20"/>
                <w:szCs w:val="20"/>
              </w:rPr>
            </w:pPr>
            <w:r>
              <w:rPr>
                <w:b/>
                <w:sz w:val="20"/>
                <w:szCs w:val="20"/>
              </w:rPr>
              <w:t>J.J.</w:t>
            </w:r>
          </w:p>
          <w:p w:rsidR="0080189E" w:rsidRPr="00A935AA" w:rsidRDefault="0080189E" w:rsidP="004163EF">
            <w:pPr>
              <w:keepNext/>
              <w:keepLines/>
              <w:tabs>
                <w:tab w:val="left" w:pos="-1440"/>
                <w:tab w:val="left" w:pos="-720"/>
              </w:tabs>
              <w:rPr>
                <w:sz w:val="20"/>
                <w:szCs w:val="20"/>
              </w:rPr>
            </w:pPr>
            <w:r w:rsidRPr="00A935AA">
              <w:rPr>
                <w:sz w:val="20"/>
                <w:szCs w:val="20"/>
              </w:rPr>
              <w:tab/>
            </w:r>
            <w:r>
              <w:rPr>
                <w:sz w:val="20"/>
                <w:szCs w:val="20"/>
              </w:rPr>
              <w:t>James C. MacInnis</w:t>
            </w:r>
          </w:p>
          <w:p w:rsidR="0080189E" w:rsidRPr="00A935AA" w:rsidRDefault="0080189E" w:rsidP="004163EF">
            <w:pPr>
              <w:keepNext/>
              <w:keepLines/>
              <w:tabs>
                <w:tab w:val="left" w:pos="-1440"/>
                <w:tab w:val="left" w:pos="-720"/>
              </w:tabs>
              <w:rPr>
                <w:sz w:val="20"/>
                <w:szCs w:val="20"/>
              </w:rPr>
            </w:pPr>
            <w:r w:rsidRPr="00A935AA">
              <w:rPr>
                <w:sz w:val="20"/>
                <w:szCs w:val="20"/>
              </w:rPr>
              <w:tab/>
            </w:r>
            <w:r>
              <w:rPr>
                <w:sz w:val="20"/>
                <w:szCs w:val="20"/>
              </w:rPr>
              <w:t>Nathanson, Schachter &amp; Thompson</w:t>
            </w:r>
          </w:p>
          <w:p w:rsidR="0080189E" w:rsidRPr="00A935AA" w:rsidRDefault="0080189E" w:rsidP="004163EF">
            <w:pPr>
              <w:keepNext/>
              <w:keepLines/>
              <w:tabs>
                <w:tab w:val="left" w:pos="-1440"/>
                <w:tab w:val="left" w:pos="-720"/>
              </w:tabs>
              <w:rPr>
                <w:sz w:val="20"/>
                <w:szCs w:val="20"/>
              </w:rPr>
            </w:pPr>
          </w:p>
          <w:p w:rsidR="0080189E" w:rsidRPr="00676B8C" w:rsidRDefault="0080189E" w:rsidP="004163EF">
            <w:pPr>
              <w:keepNext/>
              <w:keepLines/>
              <w:tabs>
                <w:tab w:val="left" w:pos="-1440"/>
                <w:tab w:val="left" w:pos="-720"/>
              </w:tabs>
              <w:rPr>
                <w:sz w:val="20"/>
                <w:szCs w:val="20"/>
              </w:rPr>
            </w:pPr>
            <w:r w:rsidRPr="00A935AA">
              <w:rPr>
                <w:sz w:val="20"/>
                <w:szCs w:val="20"/>
              </w:rPr>
              <w:tab/>
            </w:r>
            <w:r w:rsidRPr="00676B8C">
              <w:rPr>
                <w:sz w:val="20"/>
                <w:szCs w:val="20"/>
              </w:rPr>
              <w:t>v. (34</w:t>
            </w:r>
            <w:r>
              <w:rPr>
                <w:sz w:val="20"/>
                <w:szCs w:val="20"/>
              </w:rPr>
              <w:t>465</w:t>
            </w:r>
            <w:r w:rsidRPr="00676B8C">
              <w:rPr>
                <w:sz w:val="20"/>
                <w:szCs w:val="20"/>
              </w:rPr>
              <w:t>)</w:t>
            </w:r>
          </w:p>
          <w:p w:rsidR="0080189E" w:rsidRPr="00676B8C" w:rsidRDefault="0080189E" w:rsidP="004163EF">
            <w:pPr>
              <w:keepNext/>
              <w:keepLines/>
              <w:tabs>
                <w:tab w:val="left" w:pos="-1440"/>
                <w:tab w:val="left" w:pos="-720"/>
              </w:tabs>
              <w:rPr>
                <w:sz w:val="20"/>
                <w:szCs w:val="20"/>
              </w:rPr>
            </w:pPr>
          </w:p>
          <w:p w:rsidR="0080189E" w:rsidRPr="00676B8C" w:rsidRDefault="0080189E" w:rsidP="004163EF">
            <w:pPr>
              <w:keepNext/>
              <w:keepLines/>
              <w:tabs>
                <w:tab w:val="left" w:pos="-1440"/>
                <w:tab w:val="left" w:pos="-720"/>
              </w:tabs>
              <w:rPr>
                <w:b/>
                <w:sz w:val="20"/>
                <w:szCs w:val="20"/>
              </w:rPr>
            </w:pPr>
            <w:r>
              <w:rPr>
                <w:b/>
                <w:sz w:val="20"/>
                <w:szCs w:val="20"/>
              </w:rPr>
              <w:t xml:space="preserve">Canadian Union of Public Employees, Local 561 et al. </w:t>
            </w:r>
            <w:r w:rsidRPr="00676B8C">
              <w:rPr>
                <w:b/>
                <w:sz w:val="20"/>
                <w:szCs w:val="20"/>
              </w:rPr>
              <w:t>(</w:t>
            </w:r>
            <w:r>
              <w:rPr>
                <w:b/>
                <w:sz w:val="20"/>
                <w:szCs w:val="20"/>
              </w:rPr>
              <w:t>B</w:t>
            </w:r>
            <w:r w:rsidRPr="00676B8C">
              <w:rPr>
                <w:b/>
                <w:sz w:val="20"/>
                <w:szCs w:val="20"/>
              </w:rPr>
              <w:t>.</w:t>
            </w:r>
            <w:r>
              <w:rPr>
                <w:b/>
                <w:sz w:val="20"/>
                <w:szCs w:val="20"/>
              </w:rPr>
              <w:t>C.</w:t>
            </w:r>
            <w:r w:rsidRPr="00676B8C">
              <w:rPr>
                <w:b/>
                <w:sz w:val="20"/>
                <w:szCs w:val="20"/>
              </w:rPr>
              <w:t>)</w:t>
            </w:r>
          </w:p>
          <w:p w:rsidR="0080189E" w:rsidRPr="00676B8C" w:rsidRDefault="0080189E" w:rsidP="004163EF">
            <w:pPr>
              <w:keepNext/>
              <w:keepLines/>
              <w:tabs>
                <w:tab w:val="left" w:pos="-1440"/>
                <w:tab w:val="left" w:pos="-720"/>
              </w:tabs>
              <w:rPr>
                <w:sz w:val="20"/>
                <w:szCs w:val="20"/>
              </w:rPr>
            </w:pPr>
            <w:r w:rsidRPr="00676B8C">
              <w:rPr>
                <w:sz w:val="20"/>
                <w:szCs w:val="20"/>
              </w:rPr>
              <w:tab/>
            </w:r>
            <w:r>
              <w:rPr>
                <w:sz w:val="20"/>
                <w:szCs w:val="20"/>
              </w:rPr>
              <w:t>Brandon Quinn</w:t>
            </w:r>
          </w:p>
          <w:p w:rsidR="0080189E" w:rsidRPr="00676B8C" w:rsidRDefault="0080189E" w:rsidP="004163EF">
            <w:pPr>
              <w:keepNext/>
              <w:keepLines/>
              <w:tabs>
                <w:tab w:val="left" w:pos="-1440"/>
                <w:tab w:val="left" w:pos="-720"/>
              </w:tabs>
              <w:rPr>
                <w:sz w:val="20"/>
                <w:szCs w:val="20"/>
              </w:rPr>
            </w:pPr>
            <w:r w:rsidRPr="00676B8C">
              <w:rPr>
                <w:sz w:val="20"/>
                <w:szCs w:val="20"/>
              </w:rPr>
              <w:tab/>
            </w:r>
            <w:r>
              <w:rPr>
                <w:sz w:val="20"/>
                <w:szCs w:val="20"/>
              </w:rPr>
              <w:t>Hastings Labour Law Office</w:t>
            </w:r>
          </w:p>
          <w:p w:rsidR="0080189E" w:rsidRPr="00676B8C" w:rsidRDefault="0080189E" w:rsidP="004163EF">
            <w:pPr>
              <w:keepNext/>
              <w:keepLines/>
              <w:tabs>
                <w:tab w:val="left" w:pos="-1440"/>
                <w:tab w:val="left" w:pos="-720"/>
              </w:tabs>
              <w:rPr>
                <w:sz w:val="20"/>
                <w:szCs w:val="20"/>
              </w:rPr>
            </w:pPr>
          </w:p>
          <w:p w:rsidR="0080189E" w:rsidRPr="00A935AA" w:rsidRDefault="0080189E" w:rsidP="004163EF">
            <w:pPr>
              <w:rPr>
                <w:sz w:val="20"/>
                <w:szCs w:val="20"/>
              </w:rPr>
            </w:pPr>
            <w:r w:rsidRPr="00A935AA">
              <w:rPr>
                <w:sz w:val="20"/>
                <w:szCs w:val="20"/>
              </w:rPr>
              <w:t>FILING DATE: 2</w:t>
            </w:r>
            <w:r>
              <w:rPr>
                <w:sz w:val="20"/>
                <w:szCs w:val="20"/>
              </w:rPr>
              <w:t>7</w:t>
            </w:r>
            <w:r w:rsidRPr="00A935AA">
              <w:rPr>
                <w:sz w:val="20"/>
                <w:szCs w:val="20"/>
              </w:rPr>
              <w:t>.0</w:t>
            </w:r>
            <w:r>
              <w:rPr>
                <w:sz w:val="20"/>
                <w:szCs w:val="20"/>
              </w:rPr>
              <w:t>9</w:t>
            </w:r>
            <w:r w:rsidRPr="00A935AA">
              <w:rPr>
                <w:sz w:val="20"/>
                <w:szCs w:val="20"/>
              </w:rPr>
              <w:t>.201</w:t>
            </w:r>
            <w:r>
              <w:rPr>
                <w:sz w:val="20"/>
                <w:szCs w:val="20"/>
              </w:rPr>
              <w:t>1</w:t>
            </w:r>
            <w:r w:rsidR="00FD0CB6" w:rsidRPr="00FD0CB6">
              <w:rPr>
                <w:sz w:val="20"/>
                <w:szCs w:val="20"/>
                <w:lang w:val="fr-CA"/>
              </w:rPr>
              <w:pict>
                <v:rect id="_x0000_i1028" style="width:108pt;height:1pt" o:hrpct="0" o:hralign="center" o:hrstd="t" o:hrnoshade="t" o:hr="t" fillcolor="black [3213]" stroked="f"/>
              </w:pict>
            </w:r>
          </w:p>
        </w:tc>
      </w:tr>
      <w:tr w:rsidR="0080189E" w:rsidRPr="00A935AA" w:rsidTr="004163EF">
        <w:tc>
          <w:tcPr>
            <w:tcW w:w="4320" w:type="dxa"/>
            <w:shd w:val="clear" w:color="auto" w:fill="auto"/>
          </w:tcPr>
          <w:p w:rsidR="0080189E" w:rsidRPr="00A935AA" w:rsidRDefault="0080189E" w:rsidP="004163EF">
            <w:pPr>
              <w:rPr>
                <w:b/>
                <w:sz w:val="20"/>
                <w:szCs w:val="20"/>
              </w:rPr>
            </w:pPr>
            <w:r>
              <w:rPr>
                <w:b/>
                <w:sz w:val="20"/>
                <w:szCs w:val="20"/>
              </w:rPr>
              <w:t xml:space="preserve">Tove Reece et al. </w:t>
            </w:r>
          </w:p>
          <w:p w:rsidR="0080189E" w:rsidRPr="00A935AA" w:rsidRDefault="0080189E" w:rsidP="004163EF">
            <w:pPr>
              <w:tabs>
                <w:tab w:val="left" w:pos="-1440"/>
                <w:tab w:val="left" w:pos="-720"/>
              </w:tabs>
              <w:rPr>
                <w:sz w:val="20"/>
                <w:szCs w:val="20"/>
              </w:rPr>
            </w:pPr>
            <w:r w:rsidRPr="00A935AA">
              <w:rPr>
                <w:sz w:val="20"/>
                <w:szCs w:val="20"/>
              </w:rPr>
              <w:tab/>
            </w:r>
            <w:r>
              <w:rPr>
                <w:sz w:val="20"/>
                <w:szCs w:val="20"/>
              </w:rPr>
              <w:t>Clayton C. Ruby</w:t>
            </w:r>
          </w:p>
          <w:p w:rsidR="0080189E" w:rsidRPr="00A935AA" w:rsidRDefault="0080189E" w:rsidP="004163EF">
            <w:pPr>
              <w:tabs>
                <w:tab w:val="left" w:pos="-1440"/>
                <w:tab w:val="left" w:pos="-720"/>
              </w:tabs>
              <w:rPr>
                <w:sz w:val="20"/>
                <w:szCs w:val="20"/>
              </w:rPr>
            </w:pPr>
            <w:r w:rsidRPr="00A935AA">
              <w:rPr>
                <w:sz w:val="20"/>
                <w:szCs w:val="20"/>
              </w:rPr>
              <w:tab/>
            </w:r>
            <w:r>
              <w:rPr>
                <w:sz w:val="20"/>
                <w:szCs w:val="20"/>
              </w:rPr>
              <w:t xml:space="preserve">Ruby &amp; Shiller </w:t>
            </w:r>
          </w:p>
          <w:p w:rsidR="0080189E" w:rsidRPr="00A935AA" w:rsidRDefault="0080189E" w:rsidP="004163EF">
            <w:pPr>
              <w:tabs>
                <w:tab w:val="left" w:pos="-1440"/>
                <w:tab w:val="left" w:pos="-720"/>
              </w:tabs>
              <w:rPr>
                <w:sz w:val="20"/>
                <w:szCs w:val="20"/>
              </w:rPr>
            </w:pPr>
          </w:p>
          <w:p w:rsidR="0080189E" w:rsidRPr="00A935AA" w:rsidRDefault="0080189E" w:rsidP="004163EF">
            <w:pPr>
              <w:tabs>
                <w:tab w:val="left" w:pos="-1440"/>
                <w:tab w:val="left" w:pos="-720"/>
              </w:tabs>
              <w:rPr>
                <w:sz w:val="20"/>
                <w:szCs w:val="20"/>
              </w:rPr>
            </w:pPr>
            <w:r w:rsidRPr="00A935AA">
              <w:rPr>
                <w:sz w:val="20"/>
                <w:szCs w:val="20"/>
              </w:rPr>
              <w:tab/>
              <w:t>v. (3</w:t>
            </w:r>
            <w:r>
              <w:rPr>
                <w:sz w:val="20"/>
                <w:szCs w:val="20"/>
              </w:rPr>
              <w:t>4454</w:t>
            </w:r>
            <w:r w:rsidRPr="00A935AA">
              <w:rPr>
                <w:sz w:val="20"/>
                <w:szCs w:val="20"/>
              </w:rPr>
              <w:t>)</w:t>
            </w:r>
          </w:p>
          <w:p w:rsidR="0080189E" w:rsidRPr="00A935AA" w:rsidRDefault="0080189E" w:rsidP="004163EF">
            <w:pPr>
              <w:tabs>
                <w:tab w:val="left" w:pos="-1440"/>
                <w:tab w:val="left" w:pos="-720"/>
              </w:tabs>
              <w:rPr>
                <w:sz w:val="20"/>
                <w:szCs w:val="20"/>
              </w:rPr>
            </w:pPr>
          </w:p>
          <w:p w:rsidR="0080189E" w:rsidRPr="00A935AA" w:rsidRDefault="0080189E" w:rsidP="004163EF">
            <w:pPr>
              <w:tabs>
                <w:tab w:val="left" w:pos="-1440"/>
                <w:tab w:val="left" w:pos="-720"/>
              </w:tabs>
              <w:rPr>
                <w:b/>
                <w:sz w:val="20"/>
                <w:szCs w:val="20"/>
              </w:rPr>
            </w:pPr>
            <w:r>
              <w:rPr>
                <w:b/>
                <w:sz w:val="20"/>
                <w:szCs w:val="20"/>
              </w:rPr>
              <w:t>City of Edmonton (Alta</w:t>
            </w:r>
            <w:r w:rsidRPr="00A935AA">
              <w:rPr>
                <w:b/>
                <w:sz w:val="20"/>
                <w:szCs w:val="20"/>
              </w:rPr>
              <w:t>.)</w:t>
            </w:r>
          </w:p>
          <w:p w:rsidR="0080189E" w:rsidRPr="00A935AA" w:rsidRDefault="0080189E" w:rsidP="004163EF">
            <w:pPr>
              <w:tabs>
                <w:tab w:val="left" w:pos="-1440"/>
                <w:tab w:val="left" w:pos="-720"/>
              </w:tabs>
              <w:rPr>
                <w:sz w:val="20"/>
                <w:szCs w:val="20"/>
              </w:rPr>
            </w:pPr>
            <w:r w:rsidRPr="00A935AA">
              <w:rPr>
                <w:sz w:val="20"/>
                <w:szCs w:val="20"/>
              </w:rPr>
              <w:tab/>
            </w:r>
            <w:r>
              <w:rPr>
                <w:sz w:val="20"/>
                <w:szCs w:val="20"/>
              </w:rPr>
              <w:t>Steven F.E. Phipps</w:t>
            </w:r>
          </w:p>
          <w:p w:rsidR="0080189E" w:rsidRPr="00A935AA" w:rsidRDefault="0080189E" w:rsidP="004163EF">
            <w:pPr>
              <w:tabs>
                <w:tab w:val="left" w:pos="-1440"/>
                <w:tab w:val="left" w:pos="-720"/>
              </w:tabs>
              <w:rPr>
                <w:sz w:val="20"/>
                <w:szCs w:val="20"/>
              </w:rPr>
            </w:pPr>
            <w:r w:rsidRPr="00A935AA">
              <w:rPr>
                <w:sz w:val="20"/>
                <w:szCs w:val="20"/>
              </w:rPr>
              <w:tab/>
            </w:r>
            <w:r>
              <w:rPr>
                <w:sz w:val="20"/>
                <w:szCs w:val="20"/>
              </w:rPr>
              <w:t>Fraser Milner Casgrain LLP</w:t>
            </w:r>
          </w:p>
          <w:p w:rsidR="0080189E" w:rsidRPr="00A935AA" w:rsidRDefault="0080189E" w:rsidP="004163EF">
            <w:pPr>
              <w:tabs>
                <w:tab w:val="left" w:pos="-1440"/>
                <w:tab w:val="left" w:pos="-720"/>
              </w:tabs>
              <w:rPr>
                <w:sz w:val="20"/>
                <w:szCs w:val="20"/>
              </w:rPr>
            </w:pPr>
          </w:p>
          <w:p w:rsidR="0080189E" w:rsidRPr="00A935AA" w:rsidRDefault="0080189E" w:rsidP="004163EF">
            <w:pPr>
              <w:rPr>
                <w:sz w:val="20"/>
                <w:szCs w:val="20"/>
              </w:rPr>
            </w:pPr>
            <w:r w:rsidRPr="00A935AA">
              <w:rPr>
                <w:sz w:val="20"/>
                <w:szCs w:val="20"/>
              </w:rPr>
              <w:t>FILING DATE: 2</w:t>
            </w:r>
            <w:r>
              <w:rPr>
                <w:sz w:val="20"/>
                <w:szCs w:val="20"/>
              </w:rPr>
              <w:t>8</w:t>
            </w:r>
            <w:r w:rsidRPr="00A935AA">
              <w:rPr>
                <w:sz w:val="20"/>
                <w:szCs w:val="20"/>
              </w:rPr>
              <w:t>.</w:t>
            </w:r>
            <w:r>
              <w:rPr>
                <w:sz w:val="20"/>
                <w:szCs w:val="20"/>
              </w:rPr>
              <w:t>09</w:t>
            </w:r>
            <w:r w:rsidRPr="00A935AA">
              <w:rPr>
                <w:sz w:val="20"/>
                <w:szCs w:val="20"/>
              </w:rPr>
              <w:t>.201</w:t>
            </w:r>
            <w:r>
              <w:rPr>
                <w:sz w:val="20"/>
                <w:szCs w:val="20"/>
              </w:rPr>
              <w:t>1</w:t>
            </w:r>
          </w:p>
          <w:p w:rsidR="0080189E" w:rsidRPr="00A935AA" w:rsidRDefault="00FD0CB6" w:rsidP="004163EF">
            <w:pPr>
              <w:rPr>
                <w:sz w:val="20"/>
                <w:szCs w:val="20"/>
              </w:rPr>
            </w:pPr>
            <w:r w:rsidRPr="00FD0CB6">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Default="0080189E" w:rsidP="004163EF">
            <w:pPr>
              <w:jc w:val="center"/>
              <w:rPr>
                <w:sz w:val="20"/>
                <w:szCs w:val="20"/>
              </w:rPr>
            </w:pPr>
          </w:p>
          <w:p w:rsidR="0080189E" w:rsidRDefault="0080189E" w:rsidP="004163EF">
            <w:pPr>
              <w:jc w:val="center"/>
              <w:rPr>
                <w:sz w:val="20"/>
                <w:szCs w:val="20"/>
              </w:rPr>
            </w:pPr>
          </w:p>
          <w:p w:rsidR="0080189E" w:rsidRPr="00A935AA" w:rsidRDefault="0080189E" w:rsidP="004163EF">
            <w:pPr>
              <w:jc w:val="center"/>
              <w:rPr>
                <w:sz w:val="20"/>
                <w:szCs w:val="20"/>
              </w:rPr>
            </w:pPr>
          </w:p>
        </w:tc>
        <w:tc>
          <w:tcPr>
            <w:tcW w:w="4320" w:type="dxa"/>
            <w:shd w:val="clear" w:color="auto" w:fill="auto"/>
          </w:tcPr>
          <w:p w:rsidR="0080189E" w:rsidRPr="00C44FB4" w:rsidRDefault="0080189E" w:rsidP="004163EF">
            <w:pPr>
              <w:keepNext/>
              <w:keepLines/>
              <w:tabs>
                <w:tab w:val="left" w:pos="-1440"/>
                <w:tab w:val="left" w:pos="-720"/>
              </w:tabs>
              <w:rPr>
                <w:b/>
                <w:sz w:val="20"/>
                <w:szCs w:val="20"/>
                <w:lang w:val="fr-CA"/>
              </w:rPr>
            </w:pPr>
            <w:r w:rsidRPr="00C44FB4">
              <w:rPr>
                <w:b/>
                <w:sz w:val="20"/>
                <w:szCs w:val="20"/>
                <w:lang w:val="fr-CA"/>
              </w:rPr>
              <w:t>Claude Robinson et autre</w:t>
            </w:r>
          </w:p>
          <w:p w:rsidR="0080189E" w:rsidRPr="00C44FB4" w:rsidRDefault="0080189E" w:rsidP="004163EF">
            <w:pPr>
              <w:keepNext/>
              <w:keepLines/>
              <w:tabs>
                <w:tab w:val="left" w:pos="-1440"/>
                <w:tab w:val="left" w:pos="-720"/>
              </w:tabs>
              <w:rPr>
                <w:sz w:val="20"/>
                <w:szCs w:val="20"/>
                <w:lang w:val="fr-CA"/>
              </w:rPr>
            </w:pPr>
            <w:r w:rsidRPr="00C44FB4">
              <w:rPr>
                <w:sz w:val="20"/>
                <w:szCs w:val="20"/>
                <w:lang w:val="fr-CA"/>
              </w:rPr>
              <w:tab/>
              <w:t>Gilles Daigle</w:t>
            </w:r>
          </w:p>
          <w:p w:rsidR="0080189E" w:rsidRPr="00C44FB4" w:rsidRDefault="0080189E" w:rsidP="004163EF">
            <w:pPr>
              <w:keepNext/>
              <w:keepLines/>
              <w:tabs>
                <w:tab w:val="left" w:pos="-1440"/>
                <w:tab w:val="left" w:pos="-720"/>
              </w:tabs>
              <w:rPr>
                <w:sz w:val="20"/>
                <w:szCs w:val="20"/>
              </w:rPr>
            </w:pPr>
            <w:r w:rsidRPr="00C44FB4">
              <w:rPr>
                <w:sz w:val="20"/>
                <w:szCs w:val="20"/>
                <w:lang w:val="fr-CA"/>
              </w:rPr>
              <w:tab/>
            </w:r>
            <w:r w:rsidRPr="00C44FB4">
              <w:rPr>
                <w:sz w:val="20"/>
                <w:szCs w:val="20"/>
              </w:rPr>
              <w:t>Gowling Lafleur Henderson, s.r.l</w:t>
            </w:r>
            <w:r>
              <w:rPr>
                <w:sz w:val="20"/>
                <w:szCs w:val="20"/>
              </w:rPr>
              <w:t>.</w:t>
            </w:r>
          </w:p>
          <w:p w:rsidR="0080189E" w:rsidRPr="00C44FB4" w:rsidRDefault="0080189E" w:rsidP="004163EF">
            <w:pPr>
              <w:keepNext/>
              <w:keepLines/>
              <w:tabs>
                <w:tab w:val="left" w:pos="-1440"/>
                <w:tab w:val="left" w:pos="-720"/>
              </w:tabs>
              <w:rPr>
                <w:sz w:val="20"/>
                <w:szCs w:val="20"/>
              </w:rPr>
            </w:pPr>
          </w:p>
          <w:p w:rsidR="0080189E" w:rsidRPr="00821035" w:rsidRDefault="0080189E" w:rsidP="004163EF">
            <w:pPr>
              <w:keepNext/>
              <w:keepLines/>
              <w:tabs>
                <w:tab w:val="left" w:pos="-1440"/>
                <w:tab w:val="left" w:pos="-720"/>
              </w:tabs>
              <w:rPr>
                <w:sz w:val="20"/>
                <w:szCs w:val="20"/>
                <w:lang w:val="fr-CA"/>
              </w:rPr>
            </w:pPr>
            <w:r w:rsidRPr="00C44FB4">
              <w:rPr>
                <w:sz w:val="20"/>
                <w:szCs w:val="20"/>
              </w:rPr>
              <w:tab/>
            </w:r>
            <w:r w:rsidRPr="00821035">
              <w:rPr>
                <w:sz w:val="20"/>
                <w:szCs w:val="20"/>
                <w:lang w:val="fr-CA"/>
              </w:rPr>
              <w:t>c. (34469)</w:t>
            </w:r>
          </w:p>
          <w:p w:rsidR="0080189E" w:rsidRPr="00821035" w:rsidRDefault="0080189E" w:rsidP="004163EF">
            <w:pPr>
              <w:keepNext/>
              <w:keepLines/>
              <w:tabs>
                <w:tab w:val="left" w:pos="-1440"/>
                <w:tab w:val="left" w:pos="-720"/>
              </w:tabs>
              <w:rPr>
                <w:sz w:val="20"/>
                <w:szCs w:val="20"/>
                <w:lang w:val="fr-CA"/>
              </w:rPr>
            </w:pPr>
          </w:p>
          <w:p w:rsidR="0080189E" w:rsidRPr="001C2A97" w:rsidRDefault="0080189E" w:rsidP="004163EF">
            <w:pPr>
              <w:keepNext/>
              <w:keepLines/>
              <w:tabs>
                <w:tab w:val="left" w:pos="-1440"/>
                <w:tab w:val="left" w:pos="-720"/>
              </w:tabs>
              <w:rPr>
                <w:b/>
                <w:sz w:val="20"/>
                <w:szCs w:val="20"/>
                <w:lang w:val="fr-CA"/>
              </w:rPr>
            </w:pPr>
            <w:r w:rsidRPr="001C2A97">
              <w:rPr>
                <w:b/>
                <w:sz w:val="20"/>
                <w:szCs w:val="20"/>
                <w:lang w:val="fr-CA"/>
              </w:rPr>
              <w:t>France Animation S.A. et autres (Qc)</w:t>
            </w:r>
          </w:p>
          <w:p w:rsidR="0080189E" w:rsidRPr="001C2A97" w:rsidRDefault="0080189E" w:rsidP="004163EF">
            <w:pPr>
              <w:keepNext/>
              <w:keepLines/>
              <w:tabs>
                <w:tab w:val="left" w:pos="-1440"/>
                <w:tab w:val="left" w:pos="-720"/>
              </w:tabs>
              <w:rPr>
                <w:sz w:val="20"/>
                <w:szCs w:val="20"/>
                <w:lang w:val="fr-CA"/>
              </w:rPr>
            </w:pPr>
            <w:r w:rsidRPr="001C2A97">
              <w:rPr>
                <w:sz w:val="20"/>
                <w:szCs w:val="20"/>
                <w:lang w:val="fr-CA"/>
              </w:rPr>
              <w:tab/>
            </w:r>
            <w:r>
              <w:rPr>
                <w:sz w:val="20"/>
                <w:szCs w:val="20"/>
                <w:lang w:val="fr-CA"/>
              </w:rPr>
              <w:t>Pierre Y. Lefebvre</w:t>
            </w:r>
          </w:p>
          <w:p w:rsidR="0080189E" w:rsidRPr="001C2A97" w:rsidRDefault="0080189E" w:rsidP="004163EF">
            <w:pPr>
              <w:keepNext/>
              <w:keepLines/>
              <w:tabs>
                <w:tab w:val="left" w:pos="-1440"/>
                <w:tab w:val="left" w:pos="-720"/>
              </w:tabs>
              <w:rPr>
                <w:sz w:val="20"/>
                <w:szCs w:val="20"/>
                <w:lang w:val="fr-CA"/>
              </w:rPr>
            </w:pPr>
            <w:r w:rsidRPr="001C2A97">
              <w:rPr>
                <w:sz w:val="20"/>
                <w:szCs w:val="20"/>
                <w:lang w:val="fr-CA"/>
              </w:rPr>
              <w:tab/>
            </w:r>
            <w:r>
              <w:rPr>
                <w:sz w:val="20"/>
                <w:szCs w:val="20"/>
                <w:lang w:val="fr-CA"/>
              </w:rPr>
              <w:t>Fasken Martineau DuMoulin, s.e.n.c.r.l.</w:t>
            </w:r>
          </w:p>
          <w:p w:rsidR="0080189E" w:rsidRPr="001C2A97" w:rsidRDefault="0080189E" w:rsidP="004163EF">
            <w:pPr>
              <w:keepNext/>
              <w:keepLines/>
              <w:tabs>
                <w:tab w:val="left" w:pos="-1440"/>
                <w:tab w:val="left" w:pos="-720"/>
              </w:tabs>
              <w:rPr>
                <w:sz w:val="20"/>
                <w:szCs w:val="20"/>
                <w:lang w:val="fr-CA"/>
              </w:rPr>
            </w:pPr>
          </w:p>
          <w:p w:rsidR="0080189E" w:rsidRPr="00A935AA" w:rsidRDefault="0080189E" w:rsidP="004163EF">
            <w:pPr>
              <w:rPr>
                <w:sz w:val="20"/>
                <w:szCs w:val="20"/>
              </w:rPr>
            </w:pPr>
            <w:r>
              <w:rPr>
                <w:sz w:val="20"/>
                <w:szCs w:val="20"/>
              </w:rPr>
              <w:t>D</w:t>
            </w:r>
            <w:r w:rsidRPr="00A935AA">
              <w:rPr>
                <w:sz w:val="20"/>
                <w:szCs w:val="20"/>
              </w:rPr>
              <w:t>ATE</w:t>
            </w:r>
            <w:r>
              <w:rPr>
                <w:sz w:val="20"/>
                <w:szCs w:val="20"/>
              </w:rPr>
              <w:t xml:space="preserve"> DE PRODUCTION </w:t>
            </w:r>
            <w:r w:rsidRPr="00A935AA">
              <w:rPr>
                <w:sz w:val="20"/>
                <w:szCs w:val="20"/>
              </w:rPr>
              <w:t>: 28.0</w:t>
            </w:r>
            <w:r>
              <w:rPr>
                <w:sz w:val="20"/>
                <w:szCs w:val="20"/>
              </w:rPr>
              <w:t>9</w:t>
            </w:r>
            <w:r w:rsidRPr="00A935AA">
              <w:rPr>
                <w:sz w:val="20"/>
                <w:szCs w:val="20"/>
              </w:rPr>
              <w:t>.201</w:t>
            </w:r>
            <w:r>
              <w:rPr>
                <w:sz w:val="20"/>
                <w:szCs w:val="20"/>
              </w:rPr>
              <w:t>1</w:t>
            </w:r>
            <w:r w:rsidR="00FD0CB6" w:rsidRPr="00FD0CB6">
              <w:rPr>
                <w:sz w:val="20"/>
                <w:szCs w:val="20"/>
                <w:lang w:val="fr-CA"/>
              </w:rPr>
              <w:pict>
                <v:rect id="_x0000_i1030" style="width:108pt;height:1pt" o:hrpct="0" o:hralign="center" o:hrstd="t" o:hrnoshade="t" o:hr="t" fillcolor="black [3213]" stroked="f"/>
              </w:pict>
            </w:r>
          </w:p>
        </w:tc>
      </w:tr>
      <w:tr w:rsidR="0080189E" w:rsidRPr="00A935AA" w:rsidTr="004163EF">
        <w:trPr>
          <w:cantSplit/>
        </w:trPr>
        <w:tc>
          <w:tcPr>
            <w:tcW w:w="4320" w:type="dxa"/>
            <w:shd w:val="clear" w:color="auto" w:fill="auto"/>
          </w:tcPr>
          <w:p w:rsidR="0080189E" w:rsidRPr="00A935AA" w:rsidRDefault="0080189E" w:rsidP="004163EF">
            <w:pPr>
              <w:rPr>
                <w:b/>
                <w:sz w:val="20"/>
                <w:szCs w:val="20"/>
              </w:rPr>
            </w:pPr>
            <w:r>
              <w:rPr>
                <w:b/>
                <w:sz w:val="20"/>
                <w:szCs w:val="20"/>
              </w:rPr>
              <w:t>ADI International Inc.</w:t>
            </w:r>
          </w:p>
          <w:p w:rsidR="0080189E" w:rsidRPr="00A935AA" w:rsidRDefault="0080189E" w:rsidP="004163EF">
            <w:pPr>
              <w:tabs>
                <w:tab w:val="left" w:pos="-1440"/>
                <w:tab w:val="left" w:pos="-720"/>
              </w:tabs>
              <w:rPr>
                <w:sz w:val="20"/>
                <w:szCs w:val="20"/>
              </w:rPr>
            </w:pPr>
            <w:r w:rsidRPr="00A935AA">
              <w:rPr>
                <w:sz w:val="20"/>
                <w:szCs w:val="20"/>
              </w:rPr>
              <w:tab/>
            </w:r>
            <w:r>
              <w:rPr>
                <w:sz w:val="20"/>
                <w:szCs w:val="20"/>
              </w:rPr>
              <w:t>Kevin J. Kiley</w:t>
            </w:r>
          </w:p>
          <w:p w:rsidR="0080189E" w:rsidRPr="00A935AA" w:rsidRDefault="0080189E" w:rsidP="004163EF">
            <w:pPr>
              <w:tabs>
                <w:tab w:val="left" w:pos="-1440"/>
                <w:tab w:val="left" w:pos="-720"/>
              </w:tabs>
              <w:rPr>
                <w:sz w:val="20"/>
                <w:szCs w:val="20"/>
              </w:rPr>
            </w:pPr>
            <w:r w:rsidRPr="00A935AA">
              <w:rPr>
                <w:sz w:val="20"/>
                <w:szCs w:val="20"/>
              </w:rPr>
              <w:tab/>
            </w:r>
            <w:r>
              <w:rPr>
                <w:sz w:val="20"/>
                <w:szCs w:val="20"/>
              </w:rPr>
              <w:t>McInnes Cooper</w:t>
            </w:r>
          </w:p>
          <w:p w:rsidR="0080189E" w:rsidRPr="00A935AA" w:rsidRDefault="0080189E" w:rsidP="004163EF">
            <w:pPr>
              <w:tabs>
                <w:tab w:val="left" w:pos="-1440"/>
                <w:tab w:val="left" w:pos="-720"/>
              </w:tabs>
              <w:rPr>
                <w:sz w:val="20"/>
                <w:szCs w:val="20"/>
              </w:rPr>
            </w:pPr>
          </w:p>
          <w:p w:rsidR="0080189E" w:rsidRPr="00A935AA" w:rsidRDefault="0080189E" w:rsidP="004163EF">
            <w:pPr>
              <w:tabs>
                <w:tab w:val="left" w:pos="-1440"/>
                <w:tab w:val="left" w:pos="-720"/>
              </w:tabs>
              <w:rPr>
                <w:sz w:val="20"/>
                <w:szCs w:val="20"/>
              </w:rPr>
            </w:pPr>
            <w:r w:rsidRPr="00A935AA">
              <w:rPr>
                <w:sz w:val="20"/>
                <w:szCs w:val="20"/>
              </w:rPr>
              <w:tab/>
              <w:t>v. (3</w:t>
            </w:r>
            <w:r>
              <w:rPr>
                <w:sz w:val="20"/>
                <w:szCs w:val="20"/>
              </w:rPr>
              <w:t>4463</w:t>
            </w:r>
            <w:r w:rsidRPr="00A935AA">
              <w:rPr>
                <w:sz w:val="20"/>
                <w:szCs w:val="20"/>
              </w:rPr>
              <w:t>)</w:t>
            </w:r>
          </w:p>
          <w:p w:rsidR="0080189E" w:rsidRPr="00A935AA" w:rsidRDefault="0080189E" w:rsidP="004163EF">
            <w:pPr>
              <w:tabs>
                <w:tab w:val="left" w:pos="-1440"/>
                <w:tab w:val="left" w:pos="-720"/>
              </w:tabs>
              <w:rPr>
                <w:sz w:val="20"/>
                <w:szCs w:val="20"/>
              </w:rPr>
            </w:pPr>
          </w:p>
          <w:p w:rsidR="0080189E" w:rsidRPr="00A935AA" w:rsidRDefault="0080189E" w:rsidP="004163EF">
            <w:pPr>
              <w:tabs>
                <w:tab w:val="left" w:pos="-1440"/>
                <w:tab w:val="left" w:pos="-720"/>
              </w:tabs>
              <w:rPr>
                <w:b/>
                <w:sz w:val="20"/>
                <w:szCs w:val="20"/>
              </w:rPr>
            </w:pPr>
            <w:r>
              <w:rPr>
                <w:b/>
                <w:sz w:val="20"/>
                <w:szCs w:val="20"/>
              </w:rPr>
              <w:t>WCI Waste Conversion Inc. (P.E</w:t>
            </w:r>
            <w:r w:rsidRPr="00A935AA">
              <w:rPr>
                <w:b/>
                <w:sz w:val="20"/>
                <w:szCs w:val="20"/>
              </w:rPr>
              <w:t>.</w:t>
            </w:r>
            <w:r>
              <w:rPr>
                <w:b/>
                <w:sz w:val="20"/>
                <w:szCs w:val="20"/>
              </w:rPr>
              <w:t>I</w:t>
            </w:r>
            <w:r w:rsidRPr="00A935AA">
              <w:rPr>
                <w:b/>
                <w:sz w:val="20"/>
                <w:szCs w:val="20"/>
              </w:rPr>
              <w:t>.)</w:t>
            </w:r>
          </w:p>
          <w:p w:rsidR="0080189E" w:rsidRPr="00A935AA" w:rsidRDefault="0080189E" w:rsidP="004163EF">
            <w:pPr>
              <w:tabs>
                <w:tab w:val="left" w:pos="-1440"/>
                <w:tab w:val="left" w:pos="-720"/>
              </w:tabs>
              <w:rPr>
                <w:sz w:val="20"/>
                <w:szCs w:val="20"/>
              </w:rPr>
            </w:pPr>
            <w:r w:rsidRPr="00A935AA">
              <w:rPr>
                <w:sz w:val="20"/>
                <w:szCs w:val="20"/>
              </w:rPr>
              <w:tab/>
            </w:r>
            <w:r>
              <w:rPr>
                <w:sz w:val="20"/>
                <w:szCs w:val="20"/>
              </w:rPr>
              <w:t>James W. Gormley, Q.C.</w:t>
            </w:r>
          </w:p>
          <w:p w:rsidR="0080189E" w:rsidRPr="00A935AA" w:rsidRDefault="0080189E" w:rsidP="004163EF">
            <w:pPr>
              <w:tabs>
                <w:tab w:val="left" w:pos="-1440"/>
                <w:tab w:val="left" w:pos="-720"/>
              </w:tabs>
              <w:rPr>
                <w:sz w:val="20"/>
                <w:szCs w:val="20"/>
              </w:rPr>
            </w:pPr>
            <w:r w:rsidRPr="00A935AA">
              <w:rPr>
                <w:sz w:val="20"/>
                <w:szCs w:val="20"/>
              </w:rPr>
              <w:tab/>
            </w:r>
            <w:r>
              <w:rPr>
                <w:sz w:val="20"/>
                <w:szCs w:val="20"/>
              </w:rPr>
              <w:t>Stewart McKelvey</w:t>
            </w:r>
          </w:p>
          <w:p w:rsidR="0080189E" w:rsidRPr="00A935AA" w:rsidRDefault="0080189E" w:rsidP="004163EF">
            <w:pPr>
              <w:tabs>
                <w:tab w:val="left" w:pos="-1440"/>
                <w:tab w:val="left" w:pos="-720"/>
              </w:tabs>
              <w:rPr>
                <w:sz w:val="20"/>
                <w:szCs w:val="20"/>
              </w:rPr>
            </w:pPr>
          </w:p>
          <w:p w:rsidR="0080189E" w:rsidRPr="00A935AA" w:rsidRDefault="0080189E" w:rsidP="004163EF">
            <w:pPr>
              <w:rPr>
                <w:sz w:val="20"/>
                <w:szCs w:val="20"/>
              </w:rPr>
            </w:pPr>
            <w:r w:rsidRPr="00A935AA">
              <w:rPr>
                <w:sz w:val="20"/>
                <w:szCs w:val="20"/>
              </w:rPr>
              <w:t>FILING DATE: 2</w:t>
            </w:r>
            <w:r>
              <w:rPr>
                <w:sz w:val="20"/>
                <w:szCs w:val="20"/>
              </w:rPr>
              <w:t>9</w:t>
            </w:r>
            <w:r w:rsidRPr="00A935AA">
              <w:rPr>
                <w:sz w:val="20"/>
                <w:szCs w:val="20"/>
              </w:rPr>
              <w:t>.</w:t>
            </w:r>
            <w:r>
              <w:rPr>
                <w:sz w:val="20"/>
                <w:szCs w:val="20"/>
              </w:rPr>
              <w:t>09</w:t>
            </w:r>
            <w:r w:rsidRPr="00A935AA">
              <w:rPr>
                <w:sz w:val="20"/>
                <w:szCs w:val="20"/>
              </w:rPr>
              <w:t>.201</w:t>
            </w:r>
            <w:r>
              <w:rPr>
                <w:sz w:val="20"/>
                <w:szCs w:val="20"/>
              </w:rPr>
              <w:t>1</w:t>
            </w:r>
          </w:p>
          <w:p w:rsidR="0080189E" w:rsidRPr="00A935AA" w:rsidRDefault="00FD0CB6" w:rsidP="004163EF">
            <w:pPr>
              <w:rPr>
                <w:sz w:val="20"/>
                <w:szCs w:val="20"/>
              </w:rPr>
            </w:pPr>
            <w:r w:rsidRPr="00FD0CB6">
              <w:rPr>
                <w:sz w:val="20"/>
                <w:szCs w:val="20"/>
                <w:lang w:val="fr-CA"/>
              </w:rPr>
              <w:pict>
                <v:rect id="_x0000_i1031" style="width:108pt;height:1pt" o:hrpct="0" o:hralign="center" o:hrstd="t" o:hrnoshade="t" o:hr="t" fillcolor="black [3213]" stroked="f"/>
              </w:pict>
            </w:r>
          </w:p>
        </w:tc>
        <w:tc>
          <w:tcPr>
            <w:tcW w:w="1181" w:type="dxa"/>
            <w:shd w:val="clear" w:color="auto" w:fill="auto"/>
          </w:tcPr>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p w:rsidR="0080189E" w:rsidRPr="00A935AA" w:rsidRDefault="0080189E" w:rsidP="004163EF">
            <w:pPr>
              <w:jc w:val="center"/>
              <w:rPr>
                <w:sz w:val="20"/>
                <w:szCs w:val="20"/>
              </w:rPr>
            </w:pPr>
          </w:p>
        </w:tc>
        <w:tc>
          <w:tcPr>
            <w:tcW w:w="4320" w:type="dxa"/>
            <w:shd w:val="clear" w:color="auto" w:fill="auto"/>
          </w:tcPr>
          <w:p w:rsidR="0080189E" w:rsidRPr="00A935AA" w:rsidRDefault="0080189E" w:rsidP="004163EF">
            <w:pPr>
              <w:keepNext/>
              <w:keepLines/>
              <w:tabs>
                <w:tab w:val="left" w:pos="-1440"/>
                <w:tab w:val="left" w:pos="-720"/>
              </w:tabs>
              <w:rPr>
                <w:b/>
                <w:sz w:val="20"/>
                <w:szCs w:val="20"/>
              </w:rPr>
            </w:pPr>
            <w:r>
              <w:rPr>
                <w:b/>
                <w:sz w:val="20"/>
                <w:szCs w:val="20"/>
              </w:rPr>
              <w:t>Lojas Renner S.A.</w:t>
            </w:r>
          </w:p>
          <w:p w:rsidR="0080189E" w:rsidRPr="00A935AA" w:rsidRDefault="0080189E" w:rsidP="004163EF">
            <w:pPr>
              <w:keepNext/>
              <w:keepLines/>
              <w:tabs>
                <w:tab w:val="left" w:pos="-1440"/>
                <w:tab w:val="left" w:pos="-720"/>
              </w:tabs>
              <w:rPr>
                <w:sz w:val="20"/>
                <w:szCs w:val="20"/>
              </w:rPr>
            </w:pPr>
            <w:r w:rsidRPr="00A935AA">
              <w:rPr>
                <w:sz w:val="20"/>
                <w:szCs w:val="20"/>
              </w:rPr>
              <w:tab/>
            </w:r>
            <w:r>
              <w:rPr>
                <w:sz w:val="20"/>
                <w:szCs w:val="20"/>
              </w:rPr>
              <w:t>Kenneth D. McKay</w:t>
            </w:r>
          </w:p>
          <w:p w:rsidR="0080189E" w:rsidRPr="00A935AA" w:rsidRDefault="0080189E" w:rsidP="004163EF">
            <w:pPr>
              <w:keepNext/>
              <w:keepLines/>
              <w:tabs>
                <w:tab w:val="left" w:pos="-1440"/>
                <w:tab w:val="left" w:pos="-720"/>
              </w:tabs>
              <w:rPr>
                <w:sz w:val="20"/>
                <w:szCs w:val="20"/>
              </w:rPr>
            </w:pPr>
            <w:r w:rsidRPr="00A935AA">
              <w:rPr>
                <w:sz w:val="20"/>
                <w:szCs w:val="20"/>
              </w:rPr>
              <w:tab/>
            </w:r>
            <w:r>
              <w:rPr>
                <w:sz w:val="20"/>
                <w:szCs w:val="20"/>
              </w:rPr>
              <w:t>Sim Lowman Ashton &amp; McKay</w:t>
            </w:r>
          </w:p>
          <w:p w:rsidR="0080189E" w:rsidRPr="00A935AA" w:rsidRDefault="0080189E" w:rsidP="004163EF">
            <w:pPr>
              <w:keepNext/>
              <w:keepLines/>
              <w:tabs>
                <w:tab w:val="left" w:pos="-1440"/>
                <w:tab w:val="left" w:pos="-720"/>
              </w:tabs>
              <w:rPr>
                <w:sz w:val="20"/>
                <w:szCs w:val="20"/>
              </w:rPr>
            </w:pPr>
          </w:p>
          <w:p w:rsidR="0080189E" w:rsidRPr="001C2A97" w:rsidRDefault="0080189E" w:rsidP="004163EF">
            <w:pPr>
              <w:keepNext/>
              <w:keepLines/>
              <w:tabs>
                <w:tab w:val="left" w:pos="-1440"/>
                <w:tab w:val="left" w:pos="-720"/>
              </w:tabs>
              <w:rPr>
                <w:sz w:val="20"/>
                <w:szCs w:val="20"/>
              </w:rPr>
            </w:pPr>
            <w:r w:rsidRPr="00A935AA">
              <w:rPr>
                <w:sz w:val="20"/>
                <w:szCs w:val="20"/>
              </w:rPr>
              <w:tab/>
            </w:r>
            <w:r w:rsidRPr="001C2A97">
              <w:rPr>
                <w:sz w:val="20"/>
                <w:szCs w:val="20"/>
              </w:rPr>
              <w:t>v. (34</w:t>
            </w:r>
            <w:r>
              <w:rPr>
                <w:sz w:val="20"/>
                <w:szCs w:val="20"/>
              </w:rPr>
              <w:t>481</w:t>
            </w:r>
            <w:r w:rsidRPr="001C2A97">
              <w:rPr>
                <w:sz w:val="20"/>
                <w:szCs w:val="20"/>
              </w:rPr>
              <w:t>)</w:t>
            </w:r>
          </w:p>
          <w:p w:rsidR="0080189E" w:rsidRPr="001C2A97" w:rsidRDefault="0080189E" w:rsidP="004163EF">
            <w:pPr>
              <w:keepNext/>
              <w:keepLines/>
              <w:tabs>
                <w:tab w:val="left" w:pos="-1440"/>
                <w:tab w:val="left" w:pos="-720"/>
              </w:tabs>
              <w:rPr>
                <w:sz w:val="20"/>
                <w:szCs w:val="20"/>
              </w:rPr>
            </w:pPr>
          </w:p>
          <w:p w:rsidR="0080189E" w:rsidRPr="001C2A97" w:rsidRDefault="0080189E" w:rsidP="004163EF">
            <w:pPr>
              <w:keepNext/>
              <w:keepLines/>
              <w:tabs>
                <w:tab w:val="left" w:pos="-1440"/>
                <w:tab w:val="left" w:pos="-720"/>
              </w:tabs>
              <w:rPr>
                <w:b/>
                <w:sz w:val="20"/>
                <w:szCs w:val="20"/>
              </w:rPr>
            </w:pPr>
            <w:r>
              <w:rPr>
                <w:b/>
                <w:sz w:val="20"/>
                <w:szCs w:val="20"/>
              </w:rPr>
              <w:t xml:space="preserve">Tucows.Com Co. </w:t>
            </w:r>
            <w:r w:rsidRPr="001C2A97">
              <w:rPr>
                <w:b/>
                <w:sz w:val="20"/>
                <w:szCs w:val="20"/>
              </w:rPr>
              <w:t>(Ont.)</w:t>
            </w:r>
          </w:p>
          <w:p w:rsidR="0080189E" w:rsidRPr="001C2A97" w:rsidRDefault="0080189E" w:rsidP="004163EF">
            <w:pPr>
              <w:keepNext/>
              <w:keepLines/>
              <w:tabs>
                <w:tab w:val="left" w:pos="-1440"/>
                <w:tab w:val="left" w:pos="-720"/>
              </w:tabs>
              <w:rPr>
                <w:sz w:val="20"/>
                <w:szCs w:val="20"/>
              </w:rPr>
            </w:pPr>
            <w:r w:rsidRPr="001C2A97">
              <w:rPr>
                <w:sz w:val="20"/>
                <w:szCs w:val="20"/>
              </w:rPr>
              <w:tab/>
            </w:r>
            <w:r>
              <w:rPr>
                <w:sz w:val="20"/>
                <w:szCs w:val="20"/>
              </w:rPr>
              <w:t>P. John Brunner</w:t>
            </w:r>
          </w:p>
          <w:p w:rsidR="0080189E" w:rsidRPr="001C2A97" w:rsidRDefault="0080189E" w:rsidP="004163EF">
            <w:pPr>
              <w:keepNext/>
              <w:keepLines/>
              <w:tabs>
                <w:tab w:val="left" w:pos="-1440"/>
                <w:tab w:val="left" w:pos="-720"/>
              </w:tabs>
              <w:rPr>
                <w:sz w:val="20"/>
                <w:szCs w:val="20"/>
              </w:rPr>
            </w:pPr>
            <w:r w:rsidRPr="001C2A97">
              <w:rPr>
                <w:sz w:val="20"/>
                <w:szCs w:val="20"/>
              </w:rPr>
              <w:tab/>
            </w:r>
            <w:r>
              <w:rPr>
                <w:sz w:val="20"/>
                <w:szCs w:val="20"/>
              </w:rPr>
              <w:t>Brunner &amp; Lundy</w:t>
            </w:r>
          </w:p>
          <w:p w:rsidR="0080189E" w:rsidRPr="001C2A97" w:rsidRDefault="0080189E" w:rsidP="004163EF">
            <w:pPr>
              <w:keepNext/>
              <w:keepLines/>
              <w:tabs>
                <w:tab w:val="left" w:pos="-1440"/>
                <w:tab w:val="left" w:pos="-720"/>
              </w:tabs>
              <w:rPr>
                <w:sz w:val="20"/>
                <w:szCs w:val="20"/>
              </w:rPr>
            </w:pPr>
          </w:p>
          <w:p w:rsidR="0080189E" w:rsidRPr="00A935AA" w:rsidRDefault="0080189E" w:rsidP="004163EF">
            <w:pPr>
              <w:rPr>
                <w:sz w:val="20"/>
                <w:szCs w:val="20"/>
              </w:rPr>
            </w:pPr>
            <w:r w:rsidRPr="00A935AA">
              <w:rPr>
                <w:sz w:val="20"/>
                <w:szCs w:val="20"/>
              </w:rPr>
              <w:t xml:space="preserve">FILING DATE: </w:t>
            </w:r>
            <w:r>
              <w:rPr>
                <w:sz w:val="20"/>
                <w:szCs w:val="20"/>
              </w:rPr>
              <w:t>04</w:t>
            </w:r>
            <w:r w:rsidRPr="00A935AA">
              <w:rPr>
                <w:sz w:val="20"/>
                <w:szCs w:val="20"/>
              </w:rPr>
              <w:t>.</w:t>
            </w:r>
            <w:r>
              <w:rPr>
                <w:sz w:val="20"/>
                <w:szCs w:val="20"/>
              </w:rPr>
              <w:t>10</w:t>
            </w:r>
            <w:r w:rsidRPr="00A935AA">
              <w:rPr>
                <w:sz w:val="20"/>
                <w:szCs w:val="20"/>
              </w:rPr>
              <w:t>.201</w:t>
            </w:r>
            <w:r>
              <w:rPr>
                <w:sz w:val="20"/>
                <w:szCs w:val="20"/>
              </w:rPr>
              <w:t>1</w:t>
            </w:r>
            <w:r w:rsidR="00FD0CB6" w:rsidRPr="00FD0CB6">
              <w:rPr>
                <w:sz w:val="20"/>
                <w:szCs w:val="20"/>
                <w:lang w:val="fr-CA"/>
              </w:rPr>
              <w:pict>
                <v:rect id="_x0000_i1032" style="width:108pt;height:1pt" o:hrpct="0" o:hralign="center" o:hrstd="t" o:hrnoshade="t" o:hr="t" fillcolor="black [3213]" stroked="f"/>
              </w:pict>
            </w:r>
          </w:p>
        </w:tc>
      </w:tr>
      <w:tr w:rsidR="0080189E" w:rsidRPr="00710C90" w:rsidTr="004163EF">
        <w:trPr>
          <w:cantSplit/>
        </w:trPr>
        <w:tc>
          <w:tcPr>
            <w:tcW w:w="4320" w:type="dxa"/>
            <w:shd w:val="clear" w:color="auto" w:fill="auto"/>
          </w:tcPr>
          <w:p w:rsidR="0080189E" w:rsidRPr="00710C90" w:rsidRDefault="0080189E" w:rsidP="004163EF">
            <w:pPr>
              <w:rPr>
                <w:b/>
                <w:sz w:val="20"/>
                <w:szCs w:val="20"/>
                <w:lang w:val="fr-CA"/>
              </w:rPr>
            </w:pPr>
            <w:r w:rsidRPr="00710C90">
              <w:rPr>
                <w:b/>
                <w:sz w:val="20"/>
                <w:szCs w:val="20"/>
                <w:lang w:val="fr-CA"/>
              </w:rPr>
              <w:lastRenderedPageBreak/>
              <w:t>Éric Lamontagne</w:t>
            </w:r>
          </w:p>
          <w:p w:rsidR="0080189E" w:rsidRPr="00710C90" w:rsidRDefault="0080189E" w:rsidP="004163EF">
            <w:pPr>
              <w:tabs>
                <w:tab w:val="left" w:pos="-1440"/>
                <w:tab w:val="left" w:pos="-720"/>
              </w:tabs>
              <w:rPr>
                <w:sz w:val="20"/>
                <w:szCs w:val="20"/>
                <w:lang w:val="fr-CA"/>
              </w:rPr>
            </w:pPr>
            <w:r w:rsidRPr="00710C90">
              <w:rPr>
                <w:sz w:val="20"/>
                <w:szCs w:val="20"/>
                <w:lang w:val="fr-CA"/>
              </w:rPr>
              <w:tab/>
              <w:t>Maude Pagé-Arpin</w:t>
            </w:r>
          </w:p>
          <w:p w:rsidR="0080189E" w:rsidRPr="00710C90" w:rsidRDefault="0080189E" w:rsidP="004163EF">
            <w:pPr>
              <w:tabs>
                <w:tab w:val="left" w:pos="-1440"/>
                <w:tab w:val="left" w:pos="-720"/>
              </w:tabs>
              <w:rPr>
                <w:sz w:val="20"/>
                <w:szCs w:val="20"/>
                <w:lang w:val="fr-CA"/>
              </w:rPr>
            </w:pPr>
            <w:r w:rsidRPr="00710C90">
              <w:rPr>
                <w:sz w:val="20"/>
                <w:szCs w:val="20"/>
                <w:lang w:val="fr-CA"/>
              </w:rPr>
              <w:tab/>
              <w:t>Labelle, Boudrault, C</w:t>
            </w:r>
            <w:r>
              <w:rPr>
                <w:sz w:val="20"/>
                <w:szCs w:val="20"/>
                <w:lang w:val="fr-CA"/>
              </w:rPr>
              <w:t>ôté &amp; Associés</w:t>
            </w:r>
          </w:p>
          <w:p w:rsidR="0080189E" w:rsidRPr="00710C90" w:rsidRDefault="0080189E" w:rsidP="004163EF">
            <w:pPr>
              <w:tabs>
                <w:tab w:val="left" w:pos="-1440"/>
                <w:tab w:val="left" w:pos="-720"/>
              </w:tabs>
              <w:rPr>
                <w:sz w:val="20"/>
                <w:szCs w:val="20"/>
                <w:lang w:val="fr-CA"/>
              </w:rPr>
            </w:pPr>
          </w:p>
          <w:p w:rsidR="0080189E" w:rsidRPr="00710C90" w:rsidRDefault="0080189E" w:rsidP="004163EF">
            <w:pPr>
              <w:tabs>
                <w:tab w:val="left" w:pos="-1440"/>
                <w:tab w:val="left" w:pos="-720"/>
              </w:tabs>
              <w:rPr>
                <w:sz w:val="20"/>
                <w:szCs w:val="20"/>
                <w:lang w:val="fr-CA"/>
              </w:rPr>
            </w:pPr>
            <w:r w:rsidRPr="00710C90">
              <w:rPr>
                <w:sz w:val="20"/>
                <w:szCs w:val="20"/>
                <w:lang w:val="fr-CA"/>
              </w:rPr>
              <w:tab/>
            </w:r>
            <w:r>
              <w:rPr>
                <w:sz w:val="20"/>
                <w:szCs w:val="20"/>
                <w:lang w:val="fr-CA"/>
              </w:rPr>
              <w:t>c</w:t>
            </w:r>
            <w:r w:rsidRPr="00710C90">
              <w:rPr>
                <w:sz w:val="20"/>
                <w:szCs w:val="20"/>
                <w:lang w:val="fr-CA"/>
              </w:rPr>
              <w:t>. (34487)</w:t>
            </w:r>
          </w:p>
          <w:p w:rsidR="0080189E" w:rsidRPr="00710C90" w:rsidRDefault="0080189E" w:rsidP="004163EF">
            <w:pPr>
              <w:tabs>
                <w:tab w:val="left" w:pos="-1440"/>
                <w:tab w:val="left" w:pos="-720"/>
              </w:tabs>
              <w:rPr>
                <w:sz w:val="20"/>
                <w:szCs w:val="20"/>
                <w:lang w:val="fr-CA"/>
              </w:rPr>
            </w:pPr>
          </w:p>
          <w:p w:rsidR="0080189E" w:rsidRPr="00710C90" w:rsidRDefault="0080189E" w:rsidP="004163EF">
            <w:pPr>
              <w:tabs>
                <w:tab w:val="left" w:pos="-1440"/>
                <w:tab w:val="left" w:pos="-720"/>
              </w:tabs>
              <w:rPr>
                <w:b/>
                <w:sz w:val="20"/>
                <w:szCs w:val="20"/>
                <w:lang w:val="fr-CA"/>
              </w:rPr>
            </w:pPr>
            <w:r w:rsidRPr="00710C90">
              <w:rPr>
                <w:b/>
                <w:sz w:val="20"/>
                <w:szCs w:val="20"/>
                <w:lang w:val="fr-CA"/>
              </w:rPr>
              <w:t>Sa Majesté la Reine (Qc)</w:t>
            </w:r>
          </w:p>
          <w:p w:rsidR="0080189E" w:rsidRPr="00710C90" w:rsidRDefault="0080189E" w:rsidP="004163EF">
            <w:pPr>
              <w:tabs>
                <w:tab w:val="left" w:pos="-1440"/>
                <w:tab w:val="left" w:pos="-720"/>
              </w:tabs>
              <w:rPr>
                <w:sz w:val="20"/>
                <w:szCs w:val="20"/>
                <w:lang w:val="fr-CA"/>
              </w:rPr>
            </w:pPr>
            <w:r w:rsidRPr="00710C90">
              <w:rPr>
                <w:sz w:val="20"/>
                <w:szCs w:val="20"/>
                <w:lang w:val="fr-CA"/>
              </w:rPr>
              <w:tab/>
            </w:r>
            <w:r>
              <w:rPr>
                <w:sz w:val="20"/>
                <w:szCs w:val="20"/>
                <w:lang w:val="fr-CA"/>
              </w:rPr>
              <w:t>André Campagna</w:t>
            </w:r>
          </w:p>
          <w:p w:rsidR="0080189E" w:rsidRPr="00710C90" w:rsidRDefault="0080189E" w:rsidP="004163EF">
            <w:pPr>
              <w:tabs>
                <w:tab w:val="left" w:pos="-1440"/>
                <w:tab w:val="left" w:pos="-720"/>
              </w:tabs>
              <w:rPr>
                <w:sz w:val="20"/>
                <w:szCs w:val="20"/>
                <w:lang w:val="fr-CA"/>
              </w:rPr>
            </w:pPr>
            <w:r w:rsidRPr="00710C90">
              <w:rPr>
                <w:sz w:val="20"/>
                <w:szCs w:val="20"/>
                <w:lang w:val="fr-CA"/>
              </w:rPr>
              <w:tab/>
            </w:r>
            <w:r>
              <w:rPr>
                <w:sz w:val="20"/>
                <w:szCs w:val="20"/>
                <w:lang w:val="fr-CA"/>
              </w:rPr>
              <w:t xml:space="preserve">Poursuites criminelles et pénales du </w:t>
            </w:r>
            <w:r>
              <w:rPr>
                <w:sz w:val="20"/>
                <w:szCs w:val="20"/>
                <w:lang w:val="fr-CA"/>
              </w:rPr>
              <w:tab/>
              <w:t>Québec</w:t>
            </w:r>
          </w:p>
          <w:p w:rsidR="0080189E" w:rsidRPr="00710C90" w:rsidRDefault="0080189E" w:rsidP="004163EF">
            <w:pPr>
              <w:tabs>
                <w:tab w:val="left" w:pos="-1440"/>
                <w:tab w:val="left" w:pos="-720"/>
              </w:tabs>
              <w:rPr>
                <w:sz w:val="20"/>
                <w:szCs w:val="20"/>
                <w:lang w:val="fr-CA"/>
              </w:rPr>
            </w:pPr>
          </w:p>
          <w:p w:rsidR="0080189E" w:rsidRPr="00710C90" w:rsidRDefault="0080189E" w:rsidP="004163EF">
            <w:pPr>
              <w:rPr>
                <w:sz w:val="20"/>
                <w:szCs w:val="20"/>
                <w:lang w:val="fr-CA"/>
              </w:rPr>
            </w:pPr>
            <w:r w:rsidRPr="00710C90">
              <w:rPr>
                <w:sz w:val="20"/>
                <w:szCs w:val="20"/>
                <w:lang w:val="fr-CA"/>
              </w:rPr>
              <w:t>DATE</w:t>
            </w:r>
            <w:r>
              <w:rPr>
                <w:sz w:val="20"/>
                <w:szCs w:val="20"/>
                <w:lang w:val="fr-CA"/>
              </w:rPr>
              <w:t xml:space="preserve"> DE PRODUCTION </w:t>
            </w:r>
            <w:r w:rsidRPr="00710C90">
              <w:rPr>
                <w:sz w:val="20"/>
                <w:szCs w:val="20"/>
                <w:lang w:val="fr-CA"/>
              </w:rPr>
              <w:t xml:space="preserve">: </w:t>
            </w:r>
            <w:r>
              <w:rPr>
                <w:sz w:val="20"/>
                <w:szCs w:val="20"/>
                <w:lang w:val="fr-CA"/>
              </w:rPr>
              <w:t>10</w:t>
            </w:r>
            <w:r w:rsidRPr="00710C90">
              <w:rPr>
                <w:sz w:val="20"/>
                <w:szCs w:val="20"/>
                <w:lang w:val="fr-CA"/>
              </w:rPr>
              <w:t>.10.2011</w:t>
            </w:r>
          </w:p>
          <w:p w:rsidR="0080189E" w:rsidRPr="00710C90" w:rsidRDefault="00FD0CB6" w:rsidP="004163EF">
            <w:pPr>
              <w:rPr>
                <w:sz w:val="20"/>
                <w:szCs w:val="20"/>
                <w:lang w:val="fr-CA"/>
              </w:rPr>
            </w:pPr>
            <w:r w:rsidRPr="00FD0CB6">
              <w:rPr>
                <w:sz w:val="20"/>
                <w:szCs w:val="20"/>
                <w:lang w:val="fr-CA"/>
              </w:rPr>
              <w:pict>
                <v:rect id="_x0000_i1033" style="width:108pt;height:1pt" o:hrpct="0" o:hralign="center" o:hrstd="t" o:hrnoshade="t" o:hr="t" fillcolor="black [3213]" stroked="f"/>
              </w:pict>
            </w:r>
          </w:p>
        </w:tc>
        <w:tc>
          <w:tcPr>
            <w:tcW w:w="1181" w:type="dxa"/>
            <w:shd w:val="clear" w:color="auto" w:fill="auto"/>
          </w:tcPr>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p w:rsidR="0080189E" w:rsidRPr="00710C90" w:rsidRDefault="0080189E" w:rsidP="004163EF">
            <w:pPr>
              <w:jc w:val="center"/>
              <w:rPr>
                <w:sz w:val="20"/>
                <w:szCs w:val="20"/>
                <w:lang w:val="fr-CA"/>
              </w:rPr>
            </w:pPr>
          </w:p>
        </w:tc>
        <w:tc>
          <w:tcPr>
            <w:tcW w:w="4320" w:type="dxa"/>
            <w:shd w:val="clear" w:color="auto" w:fill="auto"/>
          </w:tcPr>
          <w:p w:rsidR="0080189E" w:rsidRPr="00710C90" w:rsidRDefault="0080189E" w:rsidP="004163EF">
            <w:pPr>
              <w:keepNext/>
              <w:keepLines/>
              <w:tabs>
                <w:tab w:val="left" w:pos="-1440"/>
                <w:tab w:val="left" w:pos="-720"/>
              </w:tabs>
              <w:rPr>
                <w:b/>
                <w:sz w:val="20"/>
                <w:szCs w:val="20"/>
              </w:rPr>
            </w:pPr>
            <w:r w:rsidRPr="00710C90">
              <w:rPr>
                <w:b/>
                <w:sz w:val="20"/>
                <w:szCs w:val="20"/>
              </w:rPr>
              <w:t>Sonny Singh Rai</w:t>
            </w:r>
          </w:p>
          <w:p w:rsidR="0080189E" w:rsidRPr="00710C90" w:rsidRDefault="0080189E" w:rsidP="004163EF">
            <w:pPr>
              <w:keepNext/>
              <w:keepLines/>
              <w:tabs>
                <w:tab w:val="left" w:pos="-1440"/>
                <w:tab w:val="left" w:pos="-720"/>
              </w:tabs>
              <w:rPr>
                <w:sz w:val="20"/>
                <w:szCs w:val="20"/>
              </w:rPr>
            </w:pPr>
            <w:r w:rsidRPr="00710C90">
              <w:rPr>
                <w:sz w:val="20"/>
                <w:szCs w:val="20"/>
              </w:rPr>
              <w:tab/>
              <w:t>Richard C.C. Peck, Q.C.</w:t>
            </w:r>
          </w:p>
          <w:p w:rsidR="0080189E" w:rsidRPr="00710C90" w:rsidRDefault="0080189E" w:rsidP="004163EF">
            <w:pPr>
              <w:keepNext/>
              <w:keepLines/>
              <w:tabs>
                <w:tab w:val="left" w:pos="-1440"/>
                <w:tab w:val="left" w:pos="-720"/>
              </w:tabs>
              <w:rPr>
                <w:sz w:val="20"/>
                <w:szCs w:val="20"/>
              </w:rPr>
            </w:pPr>
            <w:r w:rsidRPr="00710C90">
              <w:rPr>
                <w:sz w:val="20"/>
                <w:szCs w:val="20"/>
              </w:rPr>
              <w:tab/>
            </w:r>
            <w:r>
              <w:rPr>
                <w:sz w:val="20"/>
                <w:szCs w:val="20"/>
              </w:rPr>
              <w:t>Peck and Company</w:t>
            </w:r>
          </w:p>
          <w:p w:rsidR="0080189E" w:rsidRPr="00710C90" w:rsidRDefault="0080189E" w:rsidP="004163EF">
            <w:pPr>
              <w:keepNext/>
              <w:keepLines/>
              <w:tabs>
                <w:tab w:val="left" w:pos="-1440"/>
                <w:tab w:val="left" w:pos="-720"/>
              </w:tabs>
              <w:rPr>
                <w:sz w:val="20"/>
                <w:szCs w:val="20"/>
              </w:rPr>
            </w:pPr>
          </w:p>
          <w:p w:rsidR="0080189E" w:rsidRPr="003C6F5E" w:rsidRDefault="0080189E" w:rsidP="004163EF">
            <w:pPr>
              <w:keepNext/>
              <w:keepLines/>
              <w:tabs>
                <w:tab w:val="left" w:pos="-1440"/>
                <w:tab w:val="left" w:pos="-720"/>
              </w:tabs>
              <w:rPr>
                <w:sz w:val="20"/>
                <w:szCs w:val="20"/>
              </w:rPr>
            </w:pPr>
            <w:r w:rsidRPr="00710C90">
              <w:rPr>
                <w:sz w:val="20"/>
                <w:szCs w:val="20"/>
              </w:rPr>
              <w:tab/>
            </w:r>
            <w:r w:rsidRPr="003C6F5E">
              <w:rPr>
                <w:sz w:val="20"/>
                <w:szCs w:val="20"/>
              </w:rPr>
              <w:t>v. (34489)</w:t>
            </w:r>
          </w:p>
          <w:p w:rsidR="0080189E" w:rsidRPr="003C6F5E" w:rsidRDefault="0080189E" w:rsidP="004163EF">
            <w:pPr>
              <w:keepNext/>
              <w:keepLines/>
              <w:tabs>
                <w:tab w:val="left" w:pos="-1440"/>
                <w:tab w:val="left" w:pos="-720"/>
              </w:tabs>
              <w:rPr>
                <w:sz w:val="20"/>
                <w:szCs w:val="20"/>
              </w:rPr>
            </w:pPr>
          </w:p>
          <w:p w:rsidR="0080189E" w:rsidRPr="003C6F5E" w:rsidRDefault="0080189E" w:rsidP="004163EF">
            <w:pPr>
              <w:keepNext/>
              <w:keepLines/>
              <w:tabs>
                <w:tab w:val="left" w:pos="-1440"/>
                <w:tab w:val="left" w:pos="-720"/>
              </w:tabs>
              <w:rPr>
                <w:b/>
                <w:sz w:val="20"/>
                <w:szCs w:val="20"/>
              </w:rPr>
            </w:pPr>
            <w:r w:rsidRPr="003C6F5E">
              <w:rPr>
                <w:b/>
                <w:sz w:val="20"/>
                <w:szCs w:val="20"/>
              </w:rPr>
              <w:t>Her Majesty the Queen (B.C.)</w:t>
            </w:r>
          </w:p>
          <w:p w:rsidR="0080189E" w:rsidRPr="003C6F5E" w:rsidRDefault="0080189E" w:rsidP="004163EF">
            <w:pPr>
              <w:keepNext/>
              <w:keepLines/>
              <w:tabs>
                <w:tab w:val="left" w:pos="-1440"/>
                <w:tab w:val="left" w:pos="-720"/>
              </w:tabs>
              <w:rPr>
                <w:sz w:val="20"/>
                <w:szCs w:val="20"/>
              </w:rPr>
            </w:pPr>
            <w:r w:rsidRPr="003C6F5E">
              <w:rPr>
                <w:sz w:val="20"/>
                <w:szCs w:val="20"/>
              </w:rPr>
              <w:tab/>
            </w:r>
            <w:r>
              <w:rPr>
                <w:sz w:val="20"/>
                <w:szCs w:val="20"/>
              </w:rPr>
              <w:t>W. Paul Riley</w:t>
            </w:r>
          </w:p>
          <w:p w:rsidR="0080189E" w:rsidRPr="003C6F5E" w:rsidRDefault="0080189E" w:rsidP="004163EF">
            <w:pPr>
              <w:keepNext/>
              <w:keepLines/>
              <w:tabs>
                <w:tab w:val="left" w:pos="-1440"/>
                <w:tab w:val="left" w:pos="-720"/>
              </w:tabs>
              <w:rPr>
                <w:sz w:val="20"/>
                <w:szCs w:val="20"/>
              </w:rPr>
            </w:pPr>
            <w:r w:rsidRPr="003C6F5E">
              <w:rPr>
                <w:sz w:val="20"/>
                <w:szCs w:val="20"/>
              </w:rPr>
              <w:tab/>
            </w:r>
            <w:r>
              <w:rPr>
                <w:sz w:val="20"/>
                <w:szCs w:val="20"/>
              </w:rPr>
              <w:t>Public Prosecution Service of Canada</w:t>
            </w:r>
          </w:p>
          <w:p w:rsidR="0080189E" w:rsidRPr="003C6F5E" w:rsidRDefault="0080189E" w:rsidP="004163EF">
            <w:pPr>
              <w:keepNext/>
              <w:keepLines/>
              <w:tabs>
                <w:tab w:val="left" w:pos="-1440"/>
                <w:tab w:val="left" w:pos="-720"/>
              </w:tabs>
              <w:rPr>
                <w:sz w:val="20"/>
                <w:szCs w:val="20"/>
              </w:rPr>
            </w:pPr>
          </w:p>
          <w:p w:rsidR="0080189E" w:rsidRPr="00710C90" w:rsidRDefault="0080189E" w:rsidP="004163EF">
            <w:pPr>
              <w:rPr>
                <w:sz w:val="20"/>
                <w:szCs w:val="20"/>
                <w:lang w:val="fr-CA"/>
              </w:rPr>
            </w:pPr>
            <w:r w:rsidRPr="00710C90">
              <w:rPr>
                <w:sz w:val="20"/>
                <w:szCs w:val="20"/>
                <w:lang w:val="fr-CA"/>
              </w:rPr>
              <w:t xml:space="preserve">FILING DATE: </w:t>
            </w:r>
            <w:r>
              <w:rPr>
                <w:sz w:val="20"/>
                <w:szCs w:val="20"/>
                <w:lang w:val="fr-CA"/>
              </w:rPr>
              <w:t>10</w:t>
            </w:r>
            <w:r w:rsidRPr="00710C90">
              <w:rPr>
                <w:sz w:val="20"/>
                <w:szCs w:val="20"/>
                <w:lang w:val="fr-CA"/>
              </w:rPr>
              <w:t>.10.2011</w:t>
            </w:r>
            <w:r w:rsidR="00FD0CB6" w:rsidRPr="00FD0CB6">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3659A">
          <w:headerReference w:type="default" r:id="rId14"/>
          <w:footerReference w:type="default" r:id="rId15"/>
          <w:headerReference w:type="first" r:id="rId16"/>
          <w:footerReference w:type="first" r:id="rId17"/>
          <w:pgSz w:w="12240" w:h="15840"/>
          <w:pgMar w:top="720" w:right="965" w:bottom="1080" w:left="1656" w:header="706" w:footer="706" w:gutter="0"/>
          <w:pgNumType w:start="1612"/>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4163E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9E414D" w:rsidRPr="00C50A5C" w:rsidRDefault="009E414D" w:rsidP="009E414D">
      <w:pPr>
        <w:widowControl w:val="0"/>
        <w:rPr>
          <w:b/>
          <w:sz w:val="20"/>
          <w:szCs w:val="20"/>
        </w:rPr>
      </w:pPr>
      <w:r>
        <w:rPr>
          <w:b/>
          <w:sz w:val="20"/>
          <w:szCs w:val="20"/>
        </w:rPr>
        <w:t>OCTOBER 31</w:t>
      </w:r>
      <w:r w:rsidRPr="00C50A5C">
        <w:rPr>
          <w:b/>
          <w:sz w:val="20"/>
          <w:szCs w:val="20"/>
        </w:rPr>
        <w:t>, 201</w:t>
      </w:r>
      <w:r>
        <w:rPr>
          <w:b/>
          <w:sz w:val="20"/>
          <w:szCs w:val="20"/>
        </w:rPr>
        <w:t>1</w:t>
      </w:r>
      <w:r w:rsidRPr="00C50A5C">
        <w:rPr>
          <w:b/>
          <w:sz w:val="20"/>
          <w:szCs w:val="20"/>
        </w:rPr>
        <w:t xml:space="preserve"> / LE </w:t>
      </w:r>
      <w:r>
        <w:rPr>
          <w:b/>
          <w:sz w:val="20"/>
          <w:szCs w:val="20"/>
        </w:rPr>
        <w:t>31 OCTOBRE</w:t>
      </w:r>
      <w:r w:rsidRPr="00C50A5C">
        <w:rPr>
          <w:b/>
          <w:sz w:val="20"/>
          <w:szCs w:val="20"/>
        </w:rPr>
        <w:t xml:space="preserve"> 201</w:t>
      </w:r>
      <w:r>
        <w:rPr>
          <w:b/>
          <w:sz w:val="20"/>
          <w:szCs w:val="20"/>
        </w:rPr>
        <w:t>1</w:t>
      </w:r>
    </w:p>
    <w:p w:rsidR="009E414D" w:rsidRPr="00C50A5C" w:rsidRDefault="009E414D" w:rsidP="009E414D">
      <w:pPr>
        <w:widowControl w:val="0"/>
        <w:rPr>
          <w:b/>
          <w:sz w:val="20"/>
          <w:szCs w:val="20"/>
        </w:rPr>
      </w:pPr>
    </w:p>
    <w:p w:rsidR="009E414D" w:rsidRPr="00C50A5C" w:rsidRDefault="009E414D" w:rsidP="009E414D">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w:t>
      </w:r>
      <w:r>
        <w:rPr>
          <w:b/>
          <w:sz w:val="20"/>
          <w:szCs w:val="20"/>
        </w:rPr>
        <w:t>Fish</w:t>
      </w:r>
      <w:r w:rsidRPr="00C50A5C">
        <w:rPr>
          <w:b/>
          <w:sz w:val="20"/>
          <w:szCs w:val="20"/>
        </w:rPr>
        <w:t xml:space="preserve"> JJ.</w:t>
      </w:r>
    </w:p>
    <w:p w:rsidR="009E414D" w:rsidRPr="00C50A5C" w:rsidRDefault="009E414D" w:rsidP="009E414D">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w:t>
      </w:r>
      <w:r>
        <w:rPr>
          <w:b/>
          <w:sz w:val="20"/>
          <w:szCs w:val="20"/>
          <w:lang w:val="fr-CA"/>
        </w:rPr>
        <w:t>Fish</w:t>
      </w:r>
    </w:p>
    <w:p w:rsidR="009E414D" w:rsidRPr="00C50A5C" w:rsidRDefault="009E414D" w:rsidP="009E414D">
      <w:pPr>
        <w:widowControl w:val="0"/>
        <w:rPr>
          <w:sz w:val="20"/>
          <w:szCs w:val="20"/>
          <w:lang w:val="fr-CA"/>
        </w:rPr>
      </w:pPr>
    </w:p>
    <w:p w:rsidR="009E414D" w:rsidRPr="00C50A5C" w:rsidRDefault="009E414D" w:rsidP="009E414D">
      <w:pPr>
        <w:pStyle w:val="ListParagraph"/>
        <w:widowControl w:val="0"/>
        <w:numPr>
          <w:ilvl w:val="0"/>
          <w:numId w:val="1"/>
        </w:numPr>
        <w:ind w:hanging="720"/>
        <w:jc w:val="both"/>
        <w:rPr>
          <w:sz w:val="20"/>
          <w:szCs w:val="20"/>
        </w:rPr>
      </w:pPr>
      <w:r w:rsidRPr="000A76EF">
        <w:rPr>
          <w:i/>
          <w:sz w:val="20"/>
          <w:szCs w:val="20"/>
        </w:rPr>
        <w:t>Kaitlyn Ruth Smith v. Her Majesty the Queen</w:t>
      </w:r>
      <w:r w:rsidRPr="005E2A40">
        <w:rPr>
          <w:sz w:val="20"/>
          <w:szCs w:val="20"/>
        </w:rPr>
        <w:t xml:space="preserve"> (Alta.) (Crim</w:t>
      </w:r>
      <w:r>
        <w:rPr>
          <w:sz w:val="20"/>
          <w:szCs w:val="20"/>
        </w:rPr>
        <w:t>.</w:t>
      </w:r>
      <w:r w:rsidRPr="005E2A40">
        <w:rPr>
          <w:sz w:val="20"/>
          <w:szCs w:val="20"/>
        </w:rPr>
        <w:t>) (By Leave)</w:t>
      </w:r>
      <w:r>
        <w:rPr>
          <w:sz w:val="20"/>
          <w:szCs w:val="20"/>
        </w:rPr>
        <w:t xml:space="preserve"> </w:t>
      </w:r>
      <w:r w:rsidRPr="00C50A5C">
        <w:rPr>
          <w:sz w:val="20"/>
          <w:szCs w:val="20"/>
        </w:rPr>
        <w:t>(3</w:t>
      </w:r>
      <w:r>
        <w:rPr>
          <w:sz w:val="20"/>
          <w:szCs w:val="20"/>
        </w:rPr>
        <w:t>4352</w:t>
      </w:r>
      <w:r w:rsidRPr="00C50A5C">
        <w:rPr>
          <w:sz w:val="20"/>
          <w:szCs w:val="20"/>
        </w:rPr>
        <w:t>)</w:t>
      </w:r>
    </w:p>
    <w:p w:rsidR="009E414D" w:rsidRPr="00C50A5C" w:rsidRDefault="009E414D" w:rsidP="009E414D">
      <w:pPr>
        <w:widowControl w:val="0"/>
        <w:jc w:val="both"/>
        <w:rPr>
          <w:sz w:val="20"/>
          <w:szCs w:val="20"/>
        </w:rPr>
      </w:pPr>
    </w:p>
    <w:p w:rsidR="009E414D" w:rsidRPr="000A76EF" w:rsidRDefault="009E414D" w:rsidP="009E414D">
      <w:pPr>
        <w:pStyle w:val="ListParagraph"/>
        <w:widowControl w:val="0"/>
        <w:numPr>
          <w:ilvl w:val="0"/>
          <w:numId w:val="1"/>
        </w:numPr>
        <w:ind w:hanging="720"/>
        <w:jc w:val="both"/>
        <w:rPr>
          <w:sz w:val="20"/>
          <w:szCs w:val="20"/>
        </w:rPr>
      </w:pPr>
      <w:r w:rsidRPr="000A76EF">
        <w:rPr>
          <w:i/>
          <w:sz w:val="20"/>
          <w:szCs w:val="20"/>
        </w:rPr>
        <w:t>Donald Earhart v. Her Majesty the Queen</w:t>
      </w:r>
      <w:r w:rsidRPr="005E2A40">
        <w:rPr>
          <w:sz w:val="20"/>
          <w:szCs w:val="20"/>
        </w:rPr>
        <w:t xml:space="preserve"> (Ont.) (Crim</w:t>
      </w:r>
      <w:r>
        <w:rPr>
          <w:sz w:val="20"/>
          <w:szCs w:val="20"/>
        </w:rPr>
        <w:t>.</w:t>
      </w:r>
      <w:r w:rsidRPr="005E2A40">
        <w:rPr>
          <w:sz w:val="20"/>
          <w:szCs w:val="20"/>
        </w:rPr>
        <w:t>) (By Leave)</w:t>
      </w:r>
      <w:r w:rsidRPr="000A76EF">
        <w:rPr>
          <w:sz w:val="20"/>
          <w:szCs w:val="20"/>
        </w:rPr>
        <w:t xml:space="preserve"> (34351)</w:t>
      </w:r>
    </w:p>
    <w:p w:rsidR="009E414D" w:rsidRPr="000A76EF" w:rsidRDefault="009E414D" w:rsidP="009E414D">
      <w:pPr>
        <w:widowControl w:val="0"/>
        <w:jc w:val="both"/>
        <w:rPr>
          <w:sz w:val="20"/>
          <w:szCs w:val="20"/>
        </w:rPr>
      </w:pPr>
    </w:p>
    <w:p w:rsidR="009E414D" w:rsidRPr="00C50A5C" w:rsidRDefault="009E414D" w:rsidP="009E414D">
      <w:pPr>
        <w:pStyle w:val="ListParagraph"/>
        <w:widowControl w:val="0"/>
        <w:numPr>
          <w:ilvl w:val="0"/>
          <w:numId w:val="1"/>
        </w:numPr>
        <w:ind w:hanging="720"/>
        <w:jc w:val="both"/>
        <w:rPr>
          <w:sz w:val="20"/>
          <w:szCs w:val="20"/>
        </w:rPr>
      </w:pPr>
      <w:r w:rsidRPr="000A76EF">
        <w:rPr>
          <w:i/>
          <w:sz w:val="20"/>
          <w:szCs w:val="20"/>
        </w:rPr>
        <w:t>Anthony Power, F.C.A et al. v. The Institute of Chartered Accountants of Ontario et al.</w:t>
      </w:r>
      <w:r w:rsidRPr="005E2A40">
        <w:rPr>
          <w:sz w:val="20"/>
          <w:szCs w:val="20"/>
        </w:rPr>
        <w:t xml:space="preserve"> (Ont.) (Civil) (By Leave)</w:t>
      </w:r>
      <w:r w:rsidRPr="00C50A5C">
        <w:rPr>
          <w:sz w:val="20"/>
          <w:szCs w:val="20"/>
        </w:rPr>
        <w:t xml:space="preserve"> (3</w:t>
      </w:r>
      <w:r>
        <w:rPr>
          <w:sz w:val="20"/>
          <w:szCs w:val="20"/>
        </w:rPr>
        <w:t>4400</w:t>
      </w:r>
      <w:r w:rsidRPr="00C50A5C">
        <w:rPr>
          <w:sz w:val="20"/>
          <w:szCs w:val="20"/>
        </w:rPr>
        <w:t>)</w:t>
      </w:r>
    </w:p>
    <w:p w:rsidR="009E414D" w:rsidRPr="000A76EF" w:rsidRDefault="009E414D" w:rsidP="009E414D">
      <w:pPr>
        <w:widowControl w:val="0"/>
        <w:rPr>
          <w:i/>
          <w:sz w:val="20"/>
          <w:szCs w:val="20"/>
        </w:rPr>
      </w:pPr>
    </w:p>
    <w:p w:rsidR="009E414D" w:rsidRPr="00C50A5C" w:rsidRDefault="009E414D" w:rsidP="009E414D">
      <w:pPr>
        <w:pStyle w:val="ListParagraph"/>
        <w:widowControl w:val="0"/>
        <w:numPr>
          <w:ilvl w:val="0"/>
          <w:numId w:val="1"/>
        </w:numPr>
        <w:ind w:hanging="720"/>
        <w:jc w:val="both"/>
        <w:rPr>
          <w:sz w:val="20"/>
          <w:szCs w:val="20"/>
        </w:rPr>
      </w:pPr>
      <w:r w:rsidRPr="000A76EF">
        <w:rPr>
          <w:i/>
          <w:sz w:val="20"/>
          <w:szCs w:val="20"/>
          <w:lang w:val="fr-CA"/>
        </w:rPr>
        <w:t xml:space="preserve">Dimitri Burcevski et al. </w:t>
      </w:r>
      <w:r w:rsidRPr="00EA317F">
        <w:rPr>
          <w:i/>
          <w:sz w:val="20"/>
          <w:szCs w:val="20"/>
          <w:lang w:val="fr-CA"/>
        </w:rPr>
        <w:t>v. Monyca Ambrozic</w:t>
      </w:r>
      <w:r w:rsidRPr="005E2A40">
        <w:rPr>
          <w:sz w:val="20"/>
          <w:szCs w:val="20"/>
          <w:lang w:val="fr-CA"/>
        </w:rPr>
        <w:t xml:space="preserve"> (Alta.) </w:t>
      </w:r>
      <w:r w:rsidRPr="005E2A40">
        <w:rPr>
          <w:sz w:val="20"/>
          <w:szCs w:val="20"/>
        </w:rPr>
        <w:t>(Civil) (By Leave)</w:t>
      </w:r>
      <w:r w:rsidRPr="00C50A5C">
        <w:rPr>
          <w:sz w:val="20"/>
          <w:szCs w:val="20"/>
        </w:rPr>
        <w:t xml:space="preserve"> (3</w:t>
      </w:r>
      <w:r>
        <w:rPr>
          <w:sz w:val="20"/>
          <w:szCs w:val="20"/>
        </w:rPr>
        <w:t>4433</w:t>
      </w:r>
      <w:r w:rsidRPr="00C50A5C">
        <w:rPr>
          <w:sz w:val="20"/>
          <w:szCs w:val="20"/>
        </w:rPr>
        <w:t>)</w:t>
      </w:r>
    </w:p>
    <w:p w:rsidR="009E414D" w:rsidRDefault="009E414D" w:rsidP="009E414D">
      <w:pPr>
        <w:widowControl w:val="0"/>
        <w:jc w:val="both"/>
        <w:rPr>
          <w:sz w:val="20"/>
          <w:szCs w:val="20"/>
        </w:rPr>
      </w:pPr>
    </w:p>
    <w:p w:rsidR="009E414D" w:rsidRPr="00C50A5C" w:rsidRDefault="009E414D" w:rsidP="009E414D">
      <w:pPr>
        <w:pStyle w:val="ListParagraph"/>
        <w:widowControl w:val="0"/>
        <w:numPr>
          <w:ilvl w:val="0"/>
          <w:numId w:val="1"/>
        </w:numPr>
        <w:ind w:hanging="720"/>
        <w:jc w:val="both"/>
        <w:rPr>
          <w:sz w:val="20"/>
          <w:szCs w:val="20"/>
        </w:rPr>
      </w:pPr>
      <w:r w:rsidRPr="00CE4956">
        <w:rPr>
          <w:i/>
          <w:sz w:val="20"/>
          <w:szCs w:val="20"/>
        </w:rPr>
        <w:t>Toshiba of Canada Limited et al. v. Commissioner of Competition et al.</w:t>
      </w:r>
      <w:r w:rsidRPr="005E2A40">
        <w:rPr>
          <w:sz w:val="20"/>
          <w:szCs w:val="20"/>
        </w:rPr>
        <w:t xml:space="preserve"> (Ont.) (Civil) (By Leave)</w:t>
      </w:r>
      <w:r w:rsidRPr="00C50A5C">
        <w:rPr>
          <w:sz w:val="20"/>
          <w:szCs w:val="20"/>
        </w:rPr>
        <w:t xml:space="preserve"> (3</w:t>
      </w:r>
      <w:r>
        <w:rPr>
          <w:sz w:val="20"/>
          <w:szCs w:val="20"/>
        </w:rPr>
        <w:t>3619</w:t>
      </w:r>
      <w:r w:rsidRPr="00C50A5C">
        <w:rPr>
          <w:sz w:val="20"/>
          <w:szCs w:val="20"/>
        </w:rPr>
        <w:t>)</w:t>
      </w:r>
    </w:p>
    <w:p w:rsidR="009E414D" w:rsidRPr="00C50A5C" w:rsidRDefault="009E414D" w:rsidP="009E414D">
      <w:pPr>
        <w:widowControl w:val="0"/>
        <w:rPr>
          <w:sz w:val="20"/>
          <w:szCs w:val="20"/>
        </w:rPr>
      </w:pPr>
    </w:p>
    <w:p w:rsidR="009E414D" w:rsidRPr="000D3B6E" w:rsidRDefault="009E414D" w:rsidP="009E414D">
      <w:pPr>
        <w:pStyle w:val="ListParagraph"/>
        <w:widowControl w:val="0"/>
        <w:numPr>
          <w:ilvl w:val="0"/>
          <w:numId w:val="1"/>
        </w:numPr>
        <w:ind w:hanging="720"/>
        <w:jc w:val="both"/>
        <w:rPr>
          <w:sz w:val="20"/>
          <w:szCs w:val="20"/>
        </w:rPr>
      </w:pPr>
      <w:r w:rsidRPr="00CE4956">
        <w:rPr>
          <w:i/>
          <w:sz w:val="20"/>
          <w:szCs w:val="20"/>
        </w:rPr>
        <w:t>K.L.K v. E.J.G.K.</w:t>
      </w:r>
      <w:r w:rsidRPr="005E2A40">
        <w:rPr>
          <w:sz w:val="20"/>
          <w:szCs w:val="20"/>
        </w:rPr>
        <w:t xml:space="preserve"> (B.C.) (Civil) (By Leave)</w:t>
      </w:r>
      <w:r w:rsidRPr="000D3B6E">
        <w:rPr>
          <w:sz w:val="20"/>
          <w:szCs w:val="20"/>
        </w:rPr>
        <w:t xml:space="preserve"> (34</w:t>
      </w:r>
      <w:r>
        <w:rPr>
          <w:sz w:val="20"/>
          <w:szCs w:val="20"/>
        </w:rPr>
        <w:t>431</w:t>
      </w:r>
      <w:r w:rsidRPr="000D3B6E">
        <w:rPr>
          <w:sz w:val="20"/>
          <w:szCs w:val="20"/>
        </w:rPr>
        <w:t>)</w:t>
      </w:r>
    </w:p>
    <w:p w:rsidR="009E414D" w:rsidRDefault="009E414D" w:rsidP="009E414D">
      <w:pPr>
        <w:widowControl w:val="0"/>
        <w:jc w:val="both"/>
        <w:rPr>
          <w:sz w:val="20"/>
          <w:szCs w:val="20"/>
        </w:rPr>
      </w:pPr>
    </w:p>
    <w:p w:rsidR="009E414D" w:rsidRDefault="009E414D" w:rsidP="009E414D">
      <w:pPr>
        <w:widowControl w:val="0"/>
        <w:jc w:val="both"/>
        <w:rPr>
          <w:sz w:val="20"/>
          <w:szCs w:val="20"/>
        </w:rPr>
      </w:pPr>
    </w:p>
    <w:p w:rsidR="009E414D" w:rsidRPr="00C50A5C" w:rsidRDefault="009E414D" w:rsidP="009E414D">
      <w:pPr>
        <w:widowControl w:val="0"/>
        <w:jc w:val="center"/>
        <w:rPr>
          <w:b/>
          <w:sz w:val="20"/>
          <w:szCs w:val="20"/>
        </w:rPr>
      </w:pPr>
      <w:r w:rsidRPr="00C50A5C">
        <w:rPr>
          <w:b/>
          <w:sz w:val="20"/>
          <w:szCs w:val="20"/>
        </w:rPr>
        <w:t xml:space="preserve">CORAM: LeBel, </w:t>
      </w:r>
      <w:r>
        <w:rPr>
          <w:b/>
          <w:sz w:val="20"/>
          <w:szCs w:val="20"/>
        </w:rPr>
        <w:t>Abella</w:t>
      </w:r>
      <w:r w:rsidRPr="00C50A5C">
        <w:rPr>
          <w:b/>
          <w:sz w:val="20"/>
          <w:szCs w:val="20"/>
        </w:rPr>
        <w:t xml:space="preserve"> and Cro</w:t>
      </w:r>
      <w:r>
        <w:rPr>
          <w:b/>
          <w:sz w:val="20"/>
          <w:szCs w:val="20"/>
        </w:rPr>
        <w:t>mwell</w:t>
      </w:r>
      <w:r w:rsidRPr="00C50A5C">
        <w:rPr>
          <w:b/>
          <w:sz w:val="20"/>
          <w:szCs w:val="20"/>
        </w:rPr>
        <w:t xml:space="preserve"> JJ.</w:t>
      </w:r>
    </w:p>
    <w:p w:rsidR="009E414D" w:rsidRPr="00C50A5C" w:rsidRDefault="009E414D" w:rsidP="009E414D">
      <w:pPr>
        <w:widowControl w:val="0"/>
        <w:jc w:val="center"/>
        <w:rPr>
          <w:b/>
          <w:sz w:val="20"/>
          <w:szCs w:val="20"/>
          <w:lang w:val="fr-CA"/>
        </w:rPr>
      </w:pPr>
      <w:r w:rsidRPr="00C50A5C">
        <w:rPr>
          <w:b/>
          <w:sz w:val="20"/>
          <w:szCs w:val="20"/>
          <w:lang w:val="fr-CA"/>
        </w:rPr>
        <w:t xml:space="preserve">Les juges LeBel, </w:t>
      </w:r>
      <w:r>
        <w:rPr>
          <w:b/>
          <w:sz w:val="20"/>
          <w:szCs w:val="20"/>
          <w:lang w:val="fr-CA"/>
        </w:rPr>
        <w:t>Abella</w:t>
      </w:r>
      <w:r w:rsidRPr="00C50A5C">
        <w:rPr>
          <w:b/>
          <w:sz w:val="20"/>
          <w:szCs w:val="20"/>
          <w:lang w:val="fr-CA"/>
        </w:rPr>
        <w:t xml:space="preserve"> et Cro</w:t>
      </w:r>
      <w:r>
        <w:rPr>
          <w:b/>
          <w:sz w:val="20"/>
          <w:szCs w:val="20"/>
          <w:lang w:val="fr-CA"/>
        </w:rPr>
        <w:t>mwell</w:t>
      </w:r>
    </w:p>
    <w:p w:rsidR="009E414D" w:rsidRPr="00C50A5C" w:rsidRDefault="009E414D" w:rsidP="009E414D">
      <w:pPr>
        <w:widowControl w:val="0"/>
        <w:jc w:val="both"/>
        <w:rPr>
          <w:sz w:val="20"/>
          <w:szCs w:val="20"/>
          <w:lang w:val="fr-CA"/>
        </w:rPr>
      </w:pPr>
    </w:p>
    <w:p w:rsidR="009E414D" w:rsidRPr="000D3B6E" w:rsidRDefault="009E414D" w:rsidP="009E414D">
      <w:pPr>
        <w:pStyle w:val="ListParagraph"/>
        <w:widowControl w:val="0"/>
        <w:numPr>
          <w:ilvl w:val="0"/>
          <w:numId w:val="1"/>
        </w:numPr>
        <w:ind w:hanging="720"/>
        <w:jc w:val="both"/>
        <w:rPr>
          <w:sz w:val="20"/>
          <w:szCs w:val="20"/>
        </w:rPr>
      </w:pPr>
      <w:r w:rsidRPr="00CE4956">
        <w:rPr>
          <w:i/>
          <w:sz w:val="20"/>
          <w:szCs w:val="20"/>
        </w:rPr>
        <w:t>Troy Palmer v. Her Majesty the Queen</w:t>
      </w:r>
      <w:r w:rsidRPr="005E2A40">
        <w:rPr>
          <w:sz w:val="20"/>
          <w:szCs w:val="20"/>
        </w:rPr>
        <w:t xml:space="preserve"> (Ont.) (Crim</w:t>
      </w:r>
      <w:r>
        <w:rPr>
          <w:sz w:val="20"/>
          <w:szCs w:val="20"/>
        </w:rPr>
        <w:t>.</w:t>
      </w:r>
      <w:r w:rsidRPr="005E2A40">
        <w:rPr>
          <w:sz w:val="20"/>
          <w:szCs w:val="20"/>
        </w:rPr>
        <w:t>) (By Leave)</w:t>
      </w:r>
      <w:r w:rsidRPr="000D3B6E">
        <w:rPr>
          <w:sz w:val="20"/>
          <w:szCs w:val="20"/>
        </w:rPr>
        <w:t xml:space="preserve"> (343</w:t>
      </w:r>
      <w:r>
        <w:rPr>
          <w:sz w:val="20"/>
          <w:szCs w:val="20"/>
        </w:rPr>
        <w:t>92</w:t>
      </w:r>
      <w:r w:rsidRPr="000D3B6E">
        <w:rPr>
          <w:sz w:val="20"/>
          <w:szCs w:val="20"/>
        </w:rPr>
        <w:t>)</w:t>
      </w:r>
    </w:p>
    <w:p w:rsidR="009E414D" w:rsidRPr="000D3B6E" w:rsidRDefault="009E414D" w:rsidP="009E414D">
      <w:pPr>
        <w:widowControl w:val="0"/>
        <w:jc w:val="both"/>
        <w:rPr>
          <w:sz w:val="20"/>
          <w:szCs w:val="20"/>
        </w:rPr>
      </w:pPr>
    </w:p>
    <w:p w:rsidR="009E414D" w:rsidRPr="00CE4956" w:rsidRDefault="009E414D" w:rsidP="009E414D">
      <w:pPr>
        <w:pStyle w:val="ListParagraph"/>
        <w:widowControl w:val="0"/>
        <w:numPr>
          <w:ilvl w:val="0"/>
          <w:numId w:val="1"/>
        </w:numPr>
        <w:ind w:hanging="720"/>
        <w:jc w:val="both"/>
        <w:rPr>
          <w:sz w:val="20"/>
          <w:szCs w:val="20"/>
        </w:rPr>
      </w:pPr>
      <w:r w:rsidRPr="00CE4956">
        <w:rPr>
          <w:i/>
          <w:sz w:val="20"/>
          <w:szCs w:val="20"/>
        </w:rPr>
        <w:t>Callum Connelly v. Her Majesty the Queen</w:t>
      </w:r>
      <w:r w:rsidRPr="005E2A40">
        <w:rPr>
          <w:sz w:val="20"/>
          <w:szCs w:val="20"/>
        </w:rPr>
        <w:t xml:space="preserve"> (Ont.) (Crim</w:t>
      </w:r>
      <w:r>
        <w:rPr>
          <w:sz w:val="20"/>
          <w:szCs w:val="20"/>
        </w:rPr>
        <w:t>.</w:t>
      </w:r>
      <w:r w:rsidRPr="005E2A40">
        <w:rPr>
          <w:sz w:val="20"/>
          <w:szCs w:val="20"/>
        </w:rPr>
        <w:t>) (By Leave)</w:t>
      </w:r>
      <w:r w:rsidRPr="00CE4956">
        <w:rPr>
          <w:sz w:val="20"/>
          <w:szCs w:val="20"/>
        </w:rPr>
        <w:t xml:space="preserve"> (34426)</w:t>
      </w:r>
    </w:p>
    <w:p w:rsidR="009E414D" w:rsidRPr="00CE4956" w:rsidRDefault="009E414D" w:rsidP="009E414D">
      <w:pPr>
        <w:widowControl w:val="0"/>
        <w:rPr>
          <w:sz w:val="20"/>
          <w:szCs w:val="20"/>
        </w:rPr>
      </w:pPr>
    </w:p>
    <w:p w:rsidR="009E414D" w:rsidRPr="00C50A5C" w:rsidRDefault="009E414D" w:rsidP="009E414D">
      <w:pPr>
        <w:pStyle w:val="ListParagraph"/>
        <w:widowControl w:val="0"/>
        <w:numPr>
          <w:ilvl w:val="0"/>
          <w:numId w:val="1"/>
        </w:numPr>
        <w:ind w:hanging="720"/>
        <w:jc w:val="both"/>
        <w:rPr>
          <w:sz w:val="20"/>
          <w:szCs w:val="20"/>
          <w:lang w:val="fr-CA"/>
        </w:rPr>
      </w:pPr>
      <w:r w:rsidRPr="00CE4956">
        <w:rPr>
          <w:i/>
          <w:sz w:val="20"/>
          <w:szCs w:val="20"/>
          <w:lang w:val="fr-CA"/>
        </w:rPr>
        <w:t>Léo Fuoco c. Ville de Montréal</w:t>
      </w:r>
      <w:r w:rsidRPr="005E2A40">
        <w:rPr>
          <w:sz w:val="20"/>
          <w:szCs w:val="20"/>
          <w:lang w:val="fr-CA"/>
        </w:rPr>
        <w:t xml:space="preserve"> (Qc) (Civile) (Autorisation)</w:t>
      </w:r>
      <w:r w:rsidRPr="00C50A5C">
        <w:rPr>
          <w:sz w:val="20"/>
          <w:szCs w:val="20"/>
          <w:lang w:val="fr-CA"/>
        </w:rPr>
        <w:t xml:space="preserve"> (3</w:t>
      </w:r>
      <w:r>
        <w:rPr>
          <w:sz w:val="20"/>
          <w:szCs w:val="20"/>
          <w:lang w:val="fr-CA"/>
        </w:rPr>
        <w:t>4238</w:t>
      </w:r>
      <w:r w:rsidRPr="00C50A5C">
        <w:rPr>
          <w:sz w:val="20"/>
          <w:szCs w:val="20"/>
          <w:lang w:val="fr-CA"/>
        </w:rPr>
        <w:t>)</w:t>
      </w:r>
    </w:p>
    <w:p w:rsidR="009E414D" w:rsidRPr="00C50A5C" w:rsidRDefault="009E414D" w:rsidP="009E414D">
      <w:pPr>
        <w:widowControl w:val="0"/>
        <w:jc w:val="both"/>
        <w:rPr>
          <w:sz w:val="20"/>
          <w:szCs w:val="20"/>
          <w:lang w:val="fr-CA"/>
        </w:rPr>
      </w:pPr>
    </w:p>
    <w:p w:rsidR="009E414D" w:rsidRPr="00C50A5C" w:rsidRDefault="009E414D" w:rsidP="009E414D">
      <w:pPr>
        <w:pStyle w:val="ListParagraph"/>
        <w:widowControl w:val="0"/>
        <w:numPr>
          <w:ilvl w:val="0"/>
          <w:numId w:val="1"/>
        </w:numPr>
        <w:ind w:hanging="720"/>
        <w:jc w:val="both"/>
        <w:rPr>
          <w:sz w:val="20"/>
          <w:szCs w:val="20"/>
          <w:lang w:val="fr-CA"/>
        </w:rPr>
      </w:pPr>
      <w:r w:rsidRPr="00CE4956">
        <w:rPr>
          <w:i/>
          <w:sz w:val="20"/>
          <w:szCs w:val="20"/>
          <w:lang w:val="fr-CA"/>
        </w:rPr>
        <w:t>D.L. c. P.M.</w:t>
      </w:r>
      <w:r w:rsidRPr="005E2A40">
        <w:rPr>
          <w:sz w:val="20"/>
          <w:szCs w:val="20"/>
          <w:lang w:val="fr-CA"/>
        </w:rPr>
        <w:t xml:space="preserve"> (Qc) (Civile) (Autorisation)</w:t>
      </w:r>
      <w:r w:rsidRPr="00C50A5C">
        <w:rPr>
          <w:sz w:val="20"/>
          <w:szCs w:val="20"/>
          <w:lang w:val="fr-CA"/>
        </w:rPr>
        <w:t xml:space="preserve"> (34</w:t>
      </w:r>
      <w:r>
        <w:rPr>
          <w:sz w:val="20"/>
          <w:szCs w:val="20"/>
          <w:lang w:val="fr-CA"/>
        </w:rPr>
        <w:t>474</w:t>
      </w:r>
      <w:r w:rsidRPr="00C50A5C">
        <w:rPr>
          <w:sz w:val="20"/>
          <w:szCs w:val="20"/>
          <w:lang w:val="fr-CA"/>
        </w:rPr>
        <w:t>)</w:t>
      </w:r>
    </w:p>
    <w:p w:rsidR="009E414D" w:rsidRPr="00C50A5C" w:rsidRDefault="009E414D" w:rsidP="009E414D">
      <w:pPr>
        <w:widowControl w:val="0"/>
        <w:jc w:val="both"/>
        <w:rPr>
          <w:sz w:val="20"/>
          <w:szCs w:val="20"/>
          <w:lang w:val="fr-CA"/>
        </w:rPr>
      </w:pPr>
    </w:p>
    <w:p w:rsidR="009E414D" w:rsidRPr="00CE4956" w:rsidRDefault="009E414D" w:rsidP="009E414D">
      <w:pPr>
        <w:pStyle w:val="ListParagraph"/>
        <w:widowControl w:val="0"/>
        <w:numPr>
          <w:ilvl w:val="0"/>
          <w:numId w:val="1"/>
        </w:numPr>
        <w:ind w:hanging="720"/>
        <w:jc w:val="both"/>
        <w:rPr>
          <w:sz w:val="20"/>
          <w:szCs w:val="20"/>
        </w:rPr>
      </w:pPr>
      <w:r w:rsidRPr="00CE4956">
        <w:rPr>
          <w:i/>
          <w:sz w:val="20"/>
          <w:szCs w:val="20"/>
        </w:rPr>
        <w:t>Eric Ndima v. Winnipeg Housing Rehabilitation Corporation et al.</w:t>
      </w:r>
      <w:r w:rsidRPr="005E2A40">
        <w:rPr>
          <w:sz w:val="20"/>
          <w:szCs w:val="20"/>
        </w:rPr>
        <w:t xml:space="preserve"> (Man.) (Civil) (By Leave)</w:t>
      </w:r>
      <w:r w:rsidRPr="00CE4956">
        <w:rPr>
          <w:sz w:val="20"/>
          <w:szCs w:val="20"/>
        </w:rPr>
        <w:t xml:space="preserve"> (34382)</w:t>
      </w:r>
    </w:p>
    <w:p w:rsidR="009E414D" w:rsidRPr="00CE4956" w:rsidRDefault="009E414D" w:rsidP="009E414D">
      <w:pPr>
        <w:widowControl w:val="0"/>
        <w:jc w:val="both"/>
        <w:rPr>
          <w:sz w:val="20"/>
          <w:szCs w:val="20"/>
        </w:rPr>
      </w:pPr>
    </w:p>
    <w:p w:rsidR="009E414D" w:rsidRPr="00C50A5C" w:rsidRDefault="009E414D" w:rsidP="009E414D">
      <w:pPr>
        <w:pStyle w:val="ListParagraph"/>
        <w:widowControl w:val="0"/>
        <w:numPr>
          <w:ilvl w:val="0"/>
          <w:numId w:val="1"/>
        </w:numPr>
        <w:ind w:hanging="720"/>
        <w:jc w:val="both"/>
        <w:rPr>
          <w:sz w:val="20"/>
          <w:szCs w:val="20"/>
          <w:lang w:val="fr-CA"/>
        </w:rPr>
      </w:pPr>
      <w:r w:rsidRPr="00CE4956">
        <w:rPr>
          <w:i/>
          <w:sz w:val="20"/>
          <w:szCs w:val="20"/>
        </w:rPr>
        <w:t>The Oblates of Mary Immaculate et al. v. John T. Clark and Clarks et al.</w:t>
      </w:r>
      <w:r w:rsidRPr="005E2A40">
        <w:rPr>
          <w:sz w:val="20"/>
          <w:szCs w:val="20"/>
        </w:rPr>
        <w:t xml:space="preserve"> (Ont.) (Civil) (By Leave)</w:t>
      </w:r>
      <w:r w:rsidRPr="00C50A5C">
        <w:rPr>
          <w:sz w:val="20"/>
          <w:szCs w:val="20"/>
          <w:lang w:val="fr-CA"/>
        </w:rPr>
        <w:t xml:space="preserve"> (3</w:t>
      </w:r>
      <w:r>
        <w:rPr>
          <w:sz w:val="20"/>
          <w:szCs w:val="20"/>
          <w:lang w:val="fr-CA"/>
        </w:rPr>
        <w:t>4378</w:t>
      </w:r>
      <w:r w:rsidRPr="00C50A5C">
        <w:rPr>
          <w:sz w:val="20"/>
          <w:szCs w:val="20"/>
          <w:lang w:val="fr-CA"/>
        </w:rPr>
        <w:t>)</w:t>
      </w:r>
    </w:p>
    <w:p w:rsidR="009E414D" w:rsidRDefault="009E414D" w:rsidP="009E414D">
      <w:pPr>
        <w:widowControl w:val="0"/>
        <w:rPr>
          <w:sz w:val="20"/>
          <w:szCs w:val="20"/>
          <w:lang w:val="fr-CA"/>
        </w:rPr>
      </w:pPr>
    </w:p>
    <w:p w:rsidR="002E2327" w:rsidRDefault="00FD0CB6" w:rsidP="002E2327">
      <w:pPr>
        <w:widowControl w:val="0"/>
        <w:rPr>
          <w:sz w:val="20"/>
          <w:szCs w:val="20"/>
        </w:rPr>
      </w:pPr>
      <w:r w:rsidRPr="00FD0CB6">
        <w:rPr>
          <w:sz w:val="20"/>
          <w:szCs w:val="20"/>
        </w:rPr>
        <w:pict>
          <v:rect id="_x0000_i1037" style="width:2in;height:1pt" o:hrpct="0" o:hralign="center" o:hrstd="t" o:hrnoshade="t" o:hr="t" fillcolor="black [3213]" stroked="f"/>
        </w:pict>
      </w:r>
    </w:p>
    <w:p w:rsidR="00A77AE8" w:rsidRDefault="00A77AE8" w:rsidP="002E2327">
      <w:pPr>
        <w:widowControl w:val="0"/>
        <w:rPr>
          <w:sz w:val="20"/>
          <w:szCs w:val="20"/>
        </w:rPr>
      </w:pPr>
    </w:p>
    <w:p w:rsidR="00A77AE8" w:rsidRDefault="00A77AE8" w:rsidP="002E2327">
      <w:pPr>
        <w:widowControl w:val="0"/>
        <w:rPr>
          <w:sz w:val="20"/>
          <w:szCs w:val="20"/>
        </w:rPr>
      </w:pPr>
    </w:p>
    <w:p w:rsidR="00A77AE8" w:rsidRPr="00C50A5C" w:rsidRDefault="00A77AE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4163E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A77AE8" w:rsidRPr="00C50A5C" w:rsidRDefault="00A77AE8" w:rsidP="00A77AE8">
      <w:pPr>
        <w:rPr>
          <w:b/>
          <w:sz w:val="20"/>
          <w:szCs w:val="20"/>
        </w:rPr>
      </w:pPr>
      <w:r>
        <w:rPr>
          <w:b/>
          <w:sz w:val="20"/>
          <w:szCs w:val="20"/>
        </w:rPr>
        <w:t>NOVEMBER 3, 2011</w:t>
      </w:r>
      <w:r w:rsidRPr="00C50A5C">
        <w:rPr>
          <w:b/>
          <w:sz w:val="20"/>
          <w:szCs w:val="20"/>
        </w:rPr>
        <w:t xml:space="preserve"> / LE </w:t>
      </w:r>
      <w:r>
        <w:rPr>
          <w:b/>
          <w:sz w:val="20"/>
          <w:szCs w:val="20"/>
        </w:rPr>
        <w:t>3 NOVEMBRE</w:t>
      </w:r>
      <w:r w:rsidRPr="00C50A5C">
        <w:rPr>
          <w:b/>
          <w:sz w:val="20"/>
          <w:szCs w:val="20"/>
        </w:rPr>
        <w:t xml:space="preserve"> 201</w:t>
      </w:r>
      <w:r>
        <w:rPr>
          <w:b/>
          <w:sz w:val="20"/>
          <w:szCs w:val="20"/>
        </w:rPr>
        <w:t>1</w:t>
      </w:r>
    </w:p>
    <w:p w:rsidR="00A77AE8" w:rsidRDefault="00A77AE8" w:rsidP="00A77AE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7AE8" w:rsidRPr="00E276E1" w:rsidTr="004163EF">
        <w:trPr>
          <w:cantSplit/>
        </w:trPr>
        <w:tc>
          <w:tcPr>
            <w:tcW w:w="1458" w:type="dxa"/>
          </w:tcPr>
          <w:p w:rsidR="00A77AE8" w:rsidRPr="00167D60" w:rsidRDefault="00A77AE8" w:rsidP="004163EF">
            <w:pPr>
              <w:rPr>
                <w:sz w:val="20"/>
                <w:szCs w:val="20"/>
              </w:rPr>
            </w:pPr>
            <w:r w:rsidRPr="00167D60">
              <w:rPr>
                <w:rStyle w:val="SCCFileNumberChar"/>
                <w:sz w:val="20"/>
                <w:szCs w:val="20"/>
              </w:rPr>
              <w:t>34242</w:t>
            </w:r>
          </w:p>
          <w:p w:rsidR="00A77AE8" w:rsidRPr="00167D60" w:rsidRDefault="00A77AE8" w:rsidP="004163EF">
            <w:pPr>
              <w:rPr>
                <w:b/>
                <w:sz w:val="20"/>
                <w:szCs w:val="20"/>
                <w:lang w:val="fr-CA"/>
              </w:rPr>
            </w:pPr>
          </w:p>
        </w:tc>
        <w:tc>
          <w:tcPr>
            <w:tcW w:w="8118" w:type="dxa"/>
          </w:tcPr>
          <w:p w:rsidR="00A77AE8" w:rsidRPr="00E276E1" w:rsidRDefault="00A77AE8" w:rsidP="004163EF">
            <w:pPr>
              <w:jc w:val="both"/>
              <w:rPr>
                <w:sz w:val="20"/>
                <w:szCs w:val="20"/>
                <w:lang w:val="fr-CA"/>
              </w:rPr>
            </w:pPr>
            <w:r w:rsidRPr="00167D60">
              <w:rPr>
                <w:rStyle w:val="SCCLsocChar"/>
                <w:sz w:val="20"/>
                <w:szCs w:val="20"/>
              </w:rPr>
              <w:t>Toyota Canada Inc., Peace Country Toyota Inc. dba Peace Country Toyota, Sunrise Service Abbotsford Ltd. dba Sunrise Toyota, Terrace Motors Ltd. dba Terrace Motors Toyota, Peace Arch Motors Ltd. dba Peace Arch Toyota, Key Lease Canada Ltd. dba Northern Toyota and Glacier Toyota, Renwick Ventures Inc. dba Nelson Toyota, 89419 B.C. Ltd. dba Vernon Toyota, Downtown Centre Motors Ltd. dba Downtown Toyota Centre, Kelowna Toyota Ltd., Echo Toyota Ltd. dba Echo Toyota, Openroad Auto Group Ltd. dba Openroad Toyota - Richmond and Openroad Toyota - Port Moody, Jim Pattison Industries Ltd. dba Jim Pattison Toyota - Northshore, Jim Pattison Toyota - Surrey, Metro Lexus Toyota - Victoria and Metro Toyota - Duncan, Strathcona Motors (2003) Ltd. dba Strathcona Toyota, Granville Toyota Partnership dba Granville Toyota Penticton, Toyota Leisureland Inc. dba Penticton Toyota, Rice Automotive Investments Ltd. dba Courtenay Toyota, Regency Auto Enterprises Inc. dba Regency Toyota (Burnaby), Regency Auto Investments Inc. dba Regency Toyota (Vancouver), Westminster Toyota Ltd. dba Westminster Toyota, West Coast Import Vehicles Ltd. dba West Coast Toyota, Heartland Motors Ltd. dba Heartland Toyota, 414067 B.C. Ltd. dba Langley Toyotatown, Eaves Motor Sales Ltd. dba Nanaimo Toyota, Smart Cars Company Inc. dba Hilltop Toyota, Craig Kalawsky Automotive Holdings Ltd. dba Castlegar Toyota, 627198 B.C. Ltd. dba Quesnel Toyota, Rainbow Auto Centre Ltd. dba Valley Toyota, 646371 B.C. Ltd. dba Sun Country Toyota and Parson's Autos Inc. dba Alpine Toyota v. Michael Steele, Susan Schlombs, Shawn Allan Munro and Gary Weishaar</w:t>
            </w:r>
            <w:r w:rsidRPr="00167D60">
              <w:rPr>
                <w:sz w:val="20"/>
                <w:szCs w:val="20"/>
                <w:lang w:val="fr-CA"/>
              </w:rPr>
              <w:t xml:space="preserve"> (B.C.) </w:t>
            </w:r>
            <w:r w:rsidRPr="00E276E1">
              <w:rPr>
                <w:sz w:val="20"/>
                <w:szCs w:val="20"/>
                <w:lang w:val="fr-CA"/>
              </w:rPr>
              <w:t>(Civil) (By Leave)</w:t>
            </w:r>
          </w:p>
          <w:p w:rsidR="00A77AE8" w:rsidRPr="00E276E1" w:rsidRDefault="00A77AE8" w:rsidP="004163EF">
            <w:pPr>
              <w:rPr>
                <w:sz w:val="20"/>
                <w:szCs w:val="20"/>
                <w:lang w:val="fr-CA"/>
              </w:rPr>
            </w:pPr>
          </w:p>
        </w:tc>
      </w:tr>
      <w:tr w:rsidR="00A77AE8" w:rsidRPr="00167D60" w:rsidTr="004163EF">
        <w:trPr>
          <w:cantSplit/>
        </w:trPr>
        <w:tc>
          <w:tcPr>
            <w:tcW w:w="1458" w:type="dxa"/>
          </w:tcPr>
          <w:p w:rsidR="00A77AE8" w:rsidRPr="00167D60" w:rsidRDefault="00A77AE8" w:rsidP="004163EF">
            <w:pPr>
              <w:rPr>
                <w:sz w:val="20"/>
                <w:szCs w:val="20"/>
              </w:rPr>
            </w:pPr>
            <w:r w:rsidRPr="00167D60">
              <w:rPr>
                <w:sz w:val="20"/>
                <w:szCs w:val="20"/>
              </w:rPr>
              <w:t>Coram :</w:t>
            </w:r>
          </w:p>
        </w:tc>
        <w:tc>
          <w:tcPr>
            <w:tcW w:w="8118" w:type="dxa"/>
          </w:tcPr>
          <w:p w:rsidR="00A77AE8" w:rsidRPr="00167D60" w:rsidRDefault="00A77AE8" w:rsidP="004163EF">
            <w:pPr>
              <w:rPr>
                <w:sz w:val="20"/>
                <w:szCs w:val="20"/>
              </w:rPr>
            </w:pPr>
            <w:r w:rsidRPr="00167D60">
              <w:rPr>
                <w:rStyle w:val="SCCCoramChar"/>
                <w:sz w:val="20"/>
                <w:szCs w:val="20"/>
                <w:lang w:val="en-CA"/>
              </w:rPr>
              <w:t>LeBel, Fish and Cromwell JJ.</w:t>
            </w:r>
          </w:p>
          <w:p w:rsidR="00A77AE8" w:rsidRPr="00167D60" w:rsidRDefault="00A77AE8" w:rsidP="004163EF">
            <w:pPr>
              <w:rPr>
                <w:sz w:val="20"/>
                <w:szCs w:val="20"/>
                <w:u w:val="single"/>
              </w:rPr>
            </w:pPr>
          </w:p>
        </w:tc>
      </w:tr>
      <w:tr w:rsidR="00A77AE8" w:rsidRPr="004163EF" w:rsidTr="004163EF">
        <w:trPr>
          <w:cantSplit/>
        </w:trPr>
        <w:tc>
          <w:tcPr>
            <w:tcW w:w="9576" w:type="dxa"/>
            <w:gridSpan w:val="2"/>
          </w:tcPr>
          <w:p w:rsidR="00A77AE8" w:rsidRPr="00167D60" w:rsidRDefault="00A77AE8" w:rsidP="004163EF">
            <w:pPr>
              <w:pStyle w:val="SCCShortJudgment"/>
              <w:rPr>
                <w:szCs w:val="20"/>
              </w:rPr>
            </w:pPr>
            <w:r w:rsidRPr="00167D60">
              <w:rPr>
                <w:szCs w:val="20"/>
              </w:rPr>
              <w:t>The application for leave to appeal from the judgment of the Court of Appeal for British Columbia (Vancouver), Number CA036431, 2011 BCCA 98, dated March 7, 2011, is dismissed with costs.</w:t>
            </w:r>
          </w:p>
          <w:p w:rsidR="00A77AE8" w:rsidRPr="00167D60" w:rsidRDefault="00A77AE8" w:rsidP="004163EF">
            <w:pPr>
              <w:pStyle w:val="SCCShortJudgment"/>
              <w:ind w:firstLine="0"/>
              <w:rPr>
                <w:szCs w:val="20"/>
              </w:rPr>
            </w:pPr>
          </w:p>
          <w:p w:rsidR="00A77AE8" w:rsidRPr="00167D60" w:rsidRDefault="00A77AE8" w:rsidP="004163EF">
            <w:pPr>
              <w:pStyle w:val="SCCShortJudgment"/>
              <w:rPr>
                <w:szCs w:val="20"/>
                <w:lang w:val="fr-CA"/>
              </w:rPr>
            </w:pPr>
            <w:r w:rsidRPr="00167D60">
              <w:rPr>
                <w:szCs w:val="20"/>
                <w:lang w:val="fr-CA"/>
              </w:rPr>
              <w:t>La demande d’autorisation d’appel de l’arrêt de la Cour d’appel de la Colombie-Britannique (Vancouver), numéro CA036431, 2011 BCCA 98, daté du 7 mars 2011, est rejetée avec dépens.</w:t>
            </w:r>
          </w:p>
        </w:tc>
      </w:tr>
    </w:tbl>
    <w:p w:rsidR="00A77AE8" w:rsidRPr="00167D60" w:rsidRDefault="00A77AE8" w:rsidP="00A77AE8">
      <w:pPr>
        <w:rPr>
          <w:sz w:val="20"/>
          <w:szCs w:val="20"/>
          <w:lang w:val="fr-CA"/>
        </w:rPr>
      </w:pPr>
    </w:p>
    <w:p w:rsidR="00A77AE8" w:rsidRDefault="00A77AE8" w:rsidP="00A77AE8">
      <w:pPr>
        <w:rPr>
          <w:sz w:val="20"/>
          <w:szCs w:val="20"/>
        </w:rPr>
      </w:pPr>
      <w:r>
        <w:rPr>
          <w:sz w:val="20"/>
          <w:szCs w:val="20"/>
          <w:u w:val="single"/>
        </w:rPr>
        <w:t>CASE SUMMARY</w:t>
      </w:r>
    </w:p>
    <w:p w:rsidR="00A77AE8" w:rsidRDefault="00A77AE8" w:rsidP="00A77AE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Civil procedure — Class actions — Certification — Common issues — Causation — Damages — Proof of loss on a class</w:t>
            </w:r>
            <w:r w:rsidRPr="00A344E0">
              <w:rPr>
                <w:rFonts w:eastAsia="Calibri"/>
                <w:sz w:val="20"/>
              </w:rPr>
              <w:noBreakHyphen/>
              <w:t xml:space="preserve">wide basis — Whether the appellate court decision in this case or the decision in </w:t>
            </w:r>
            <w:r w:rsidRPr="00A344E0">
              <w:rPr>
                <w:rFonts w:eastAsia="Calibri"/>
                <w:i/>
                <w:sz w:val="20"/>
              </w:rPr>
              <w:t>Harmegnies v. Toyota Canada Inc. et al</w:t>
            </w:r>
            <w:r w:rsidRPr="00A344E0">
              <w:rPr>
                <w:rFonts w:eastAsia="Calibri"/>
                <w:sz w:val="20"/>
              </w:rPr>
              <w:t xml:space="preserve">., 2008 QCCA 380 sets out the correct approach to causation in a class action certification application </w:t>
            </w:r>
            <w:r w:rsidRPr="00A344E0">
              <w:rPr>
                <w:rFonts w:eastAsia="Calibri"/>
                <w:sz w:val="20"/>
              </w:rPr>
              <w:noBreakHyphen/>
              <w:t xml:space="preserve"> In a class action, does the plea of waiver of tort make it unnecessary to prove causation on an individual basis — Can the aggregate damage provisions of class action legislation be employed to prove loss on a class</w:t>
            </w:r>
            <w:r w:rsidRPr="00A344E0">
              <w:rPr>
                <w:rFonts w:eastAsia="Calibri"/>
                <w:sz w:val="20"/>
              </w:rPr>
              <w:noBreakHyphen/>
              <w:t>wide basis where the evidence is that causation can be established only through individual assessments.</w:t>
            </w:r>
          </w:p>
        </w:tc>
      </w:tr>
      <w:tr w:rsidR="00A77AE8" w:rsidRPr="00A344E0" w:rsidTr="004163EF">
        <w:tc>
          <w:tcPr>
            <w:tcW w:w="5000" w:type="pct"/>
            <w:gridSpan w:val="3"/>
          </w:tcPr>
          <w:p w:rsidR="00A77AE8" w:rsidRPr="00A344E0" w:rsidRDefault="00A77AE8" w:rsidP="004163EF">
            <w:pPr>
              <w:jc w:val="both"/>
              <w:rPr>
                <w:rFonts w:eastAsia="Calibri"/>
                <w:sz w:val="20"/>
              </w:rPr>
            </w:pPr>
          </w:p>
        </w:tc>
      </w:tr>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 xml:space="preserve">The respondents are plaintiffs seeking to certify under the </w:t>
            </w:r>
            <w:r w:rsidRPr="00A344E0">
              <w:rPr>
                <w:rFonts w:eastAsia="Calibri"/>
                <w:i/>
                <w:sz w:val="20"/>
              </w:rPr>
              <w:t>Class Proceedings Act</w:t>
            </w:r>
            <w:r w:rsidRPr="00A344E0">
              <w:rPr>
                <w:rFonts w:eastAsia="Calibri"/>
                <w:sz w:val="20"/>
              </w:rPr>
              <w:t>, R.S.B.C. 1996, c. 50 (the “</w:t>
            </w:r>
            <w:r w:rsidRPr="00A344E0">
              <w:rPr>
                <w:rFonts w:eastAsia="Calibri"/>
                <w:i/>
                <w:sz w:val="20"/>
              </w:rPr>
              <w:t>Act</w:t>
            </w:r>
            <w:r w:rsidRPr="00A344E0">
              <w:rPr>
                <w:rFonts w:eastAsia="Calibri"/>
                <w:sz w:val="20"/>
              </w:rPr>
              <w:t>”) an action in damages brought against Toyota Canada Inc. and various Toyota dealers in British Columbia (collectively “Toyota”) who participated in a program involving a sales process and pricing mechanism for the sale and lease of Toyota vehicles (the “Access Program”) between 2002 and 2004.  The respondents allege that the Access Program was misleading and anti</w:t>
            </w:r>
            <w:r w:rsidRPr="00A344E0">
              <w:rPr>
                <w:rFonts w:eastAsia="Calibri"/>
                <w:sz w:val="20"/>
              </w:rPr>
              <w:noBreakHyphen/>
              <w:t xml:space="preserve">competitive in that the applicants refused to negotiate from the Access price, with some dealers indicating that to do so could expose them to penalties by Toyota.  The respondents claim they suffered damages from an inability to negotiate freely, and allege causes of action in conspiracy, breaches of ss. 52 and 61 of the </w:t>
            </w:r>
            <w:r w:rsidRPr="00A344E0">
              <w:rPr>
                <w:rFonts w:eastAsia="Calibri"/>
                <w:i/>
                <w:sz w:val="20"/>
              </w:rPr>
              <w:t>Competition Act</w:t>
            </w:r>
            <w:r w:rsidRPr="00A344E0">
              <w:rPr>
                <w:rFonts w:eastAsia="Calibri"/>
                <w:sz w:val="20"/>
              </w:rPr>
              <w:t>, R.S.C. 1985, c. C</w:t>
            </w:r>
            <w:r w:rsidRPr="00A344E0">
              <w:rPr>
                <w:rFonts w:eastAsia="Calibri"/>
                <w:sz w:val="20"/>
              </w:rPr>
              <w:noBreakHyphen/>
              <w:t>34, the assertion of a constructive trust, and breach of a consent prohibition order.  Toyota defended the certification application on the basis that the plaintiffs would be unable to establish liability and loss on a class</w:t>
            </w:r>
            <w:r w:rsidRPr="00A344E0">
              <w:rPr>
                <w:rFonts w:eastAsia="Calibri"/>
                <w:sz w:val="20"/>
              </w:rPr>
              <w:noBreakHyphen/>
              <w:t>wide basis.</w:t>
            </w:r>
          </w:p>
          <w:p w:rsidR="00A77AE8" w:rsidRPr="00A344E0" w:rsidRDefault="00A77AE8" w:rsidP="004163EF">
            <w:pPr>
              <w:jc w:val="both"/>
              <w:rPr>
                <w:rFonts w:eastAsia="Calibri"/>
                <w:sz w:val="20"/>
              </w:rPr>
            </w:pPr>
          </w:p>
          <w:p w:rsidR="00A77AE8" w:rsidRPr="00A344E0" w:rsidRDefault="00A77AE8" w:rsidP="004163EF">
            <w:pPr>
              <w:jc w:val="both"/>
              <w:rPr>
                <w:rFonts w:eastAsia="Calibri"/>
                <w:sz w:val="20"/>
              </w:rPr>
            </w:pPr>
            <w:r w:rsidRPr="00A344E0">
              <w:rPr>
                <w:rFonts w:eastAsia="Calibri"/>
                <w:sz w:val="20"/>
              </w:rPr>
              <w:t>The Supreme Court of British Columbia dismissed the application for certification.  The Court of Appeal for British Columbia allowed the appeal, quashed the lower court decision and granted the application for certification.</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lastRenderedPageBreak/>
              <w:t>August 6, 2008</w:t>
            </w:r>
          </w:p>
          <w:p w:rsidR="00A77AE8" w:rsidRPr="00A344E0" w:rsidRDefault="00A77AE8" w:rsidP="004163EF">
            <w:pPr>
              <w:jc w:val="both"/>
              <w:rPr>
                <w:rFonts w:eastAsia="Calibri"/>
                <w:sz w:val="20"/>
              </w:rPr>
            </w:pPr>
            <w:r w:rsidRPr="00A344E0">
              <w:rPr>
                <w:rFonts w:eastAsia="Calibri"/>
                <w:sz w:val="20"/>
              </w:rPr>
              <w:t>Supreme Court of British Columbia</w:t>
            </w:r>
          </w:p>
          <w:p w:rsidR="00A77AE8" w:rsidRPr="00A344E0" w:rsidRDefault="00A77AE8" w:rsidP="004163EF">
            <w:pPr>
              <w:jc w:val="both"/>
              <w:rPr>
                <w:rFonts w:eastAsia="Calibri"/>
                <w:sz w:val="20"/>
              </w:rPr>
            </w:pPr>
            <w:r w:rsidRPr="00A344E0">
              <w:rPr>
                <w:rFonts w:eastAsia="Calibri"/>
                <w:sz w:val="20"/>
              </w:rPr>
              <w:t>(Ehrcke J.)</w:t>
            </w:r>
          </w:p>
          <w:p w:rsidR="00A77AE8" w:rsidRPr="00A344E0" w:rsidRDefault="00A77AE8" w:rsidP="004163EF">
            <w:pPr>
              <w:jc w:val="both"/>
              <w:rPr>
                <w:rFonts w:eastAsia="Calibri"/>
                <w:sz w:val="20"/>
              </w:rPr>
            </w:pPr>
            <w:r w:rsidRPr="00A344E0">
              <w:rPr>
                <w:rFonts w:eastAsia="Calibri"/>
                <w:sz w:val="20"/>
              </w:rPr>
              <w:t>2008 BCSC 1063</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Application for certification as a class action dismissed</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March 7, 2011</w:t>
            </w:r>
          </w:p>
          <w:p w:rsidR="00A77AE8" w:rsidRPr="00A344E0" w:rsidRDefault="00A77AE8" w:rsidP="004163EF">
            <w:pPr>
              <w:jc w:val="both"/>
              <w:rPr>
                <w:rFonts w:eastAsia="Calibri"/>
                <w:sz w:val="20"/>
              </w:rPr>
            </w:pPr>
            <w:r w:rsidRPr="00A344E0">
              <w:rPr>
                <w:rFonts w:eastAsia="Calibri"/>
                <w:sz w:val="20"/>
              </w:rPr>
              <w:t>Court of Appeal for British Columbia (Vancouver)</w:t>
            </w:r>
          </w:p>
          <w:p w:rsidR="00A77AE8" w:rsidRPr="00A344E0" w:rsidRDefault="00A77AE8" w:rsidP="004163EF">
            <w:pPr>
              <w:jc w:val="both"/>
              <w:rPr>
                <w:rFonts w:eastAsia="Calibri"/>
                <w:sz w:val="20"/>
              </w:rPr>
            </w:pPr>
            <w:r w:rsidRPr="00A344E0">
              <w:rPr>
                <w:rFonts w:eastAsia="Calibri"/>
                <w:sz w:val="20"/>
              </w:rPr>
              <w:t>(Rowles, Groberman and Hinkson JJ.A.)</w:t>
            </w:r>
          </w:p>
          <w:p w:rsidR="00A77AE8" w:rsidRPr="00A344E0" w:rsidRDefault="00A77AE8" w:rsidP="004163EF">
            <w:pPr>
              <w:jc w:val="both"/>
              <w:rPr>
                <w:rFonts w:eastAsia="Calibri"/>
                <w:sz w:val="20"/>
              </w:rPr>
            </w:pPr>
            <w:r w:rsidRPr="00A344E0">
              <w:rPr>
                <w:rFonts w:eastAsia="Calibri"/>
                <w:sz w:val="20"/>
              </w:rPr>
              <w:t>2011 BCCA 98; CA036431</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Appeal allowed, order refusing certification set aside and application to certify the action as a class proceeding granted</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May 5, 2011</w:t>
            </w:r>
          </w:p>
          <w:p w:rsidR="00A77AE8" w:rsidRPr="00A344E0" w:rsidRDefault="00A77AE8" w:rsidP="004163EF">
            <w:pPr>
              <w:jc w:val="both"/>
              <w:rPr>
                <w:rFonts w:eastAsia="Calibri"/>
                <w:sz w:val="20"/>
              </w:rPr>
            </w:pPr>
            <w:r w:rsidRPr="00A344E0">
              <w:rPr>
                <w:rFonts w:eastAsia="Calibri"/>
                <w:sz w:val="20"/>
              </w:rPr>
              <w:t>Supreme Court of Canada</w:t>
            </w: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Application for leave to appeal filed</w:t>
            </w:r>
          </w:p>
          <w:p w:rsidR="00A77AE8" w:rsidRPr="00A344E0" w:rsidRDefault="00A77AE8" w:rsidP="004163EF">
            <w:pPr>
              <w:jc w:val="both"/>
              <w:rPr>
                <w:rFonts w:eastAsia="Calibri"/>
                <w:sz w:val="20"/>
              </w:rPr>
            </w:pP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40" style="width:2in;height:1pt" o:hrpct="0" o:hralign="center" o:hrstd="t" o:hrnoshade="t" o:hr="t" fillcolor="black [3213]" stroked="f"/>
        </w:pict>
      </w:r>
    </w:p>
    <w:p w:rsidR="00A77AE8" w:rsidRDefault="00A77AE8" w:rsidP="00A77AE8">
      <w:pPr>
        <w:rPr>
          <w:sz w:val="20"/>
          <w:szCs w:val="20"/>
        </w:rPr>
      </w:pPr>
    </w:p>
    <w:p w:rsidR="00A77AE8" w:rsidRPr="001A6485" w:rsidRDefault="00A77AE8" w:rsidP="00A77AE8">
      <w:pPr>
        <w:rPr>
          <w:sz w:val="20"/>
          <w:szCs w:val="20"/>
          <w:u w:val="single"/>
        </w:rPr>
      </w:pPr>
      <w:r>
        <w:rPr>
          <w:sz w:val="20"/>
          <w:szCs w:val="20"/>
          <w:u w:val="single"/>
        </w:rPr>
        <w:t>RÉSUMÉ DE L’AFFAIRE</w:t>
      </w:r>
    </w:p>
    <w:p w:rsidR="00A77AE8" w:rsidRDefault="00A77AE8" w:rsidP="00A77AE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Procédure civile — Recours collectifs — Certification — Questions communes — Lien de causalité — Dommages</w:t>
            </w:r>
            <w:r w:rsidRPr="00A344E0">
              <w:rPr>
                <w:rFonts w:eastAsia="Calibri"/>
                <w:sz w:val="20"/>
                <w:lang w:val="fr-CA"/>
              </w:rPr>
              <w:noBreakHyphen/>
              <w:t>intérêts — Preuve du préjudice pour l’ensemble du groupe — Est</w:t>
            </w:r>
            <w:r w:rsidRPr="00A344E0">
              <w:rPr>
                <w:rFonts w:eastAsia="Calibri"/>
                <w:sz w:val="20"/>
                <w:lang w:val="fr-CA"/>
              </w:rPr>
              <w:noBreakHyphen/>
              <w:t xml:space="preserve">ce l’arrêt de la cour d’appel en l’espèce ou l’arrêt </w:t>
            </w:r>
            <w:r w:rsidRPr="00A344E0">
              <w:rPr>
                <w:rFonts w:eastAsia="Calibri"/>
                <w:i/>
                <w:sz w:val="20"/>
                <w:lang w:val="fr-CA"/>
              </w:rPr>
              <w:t>Harmegnies c. Toyota Canada inc. et al</w:t>
            </w:r>
            <w:r w:rsidRPr="00A344E0">
              <w:rPr>
                <w:rFonts w:eastAsia="Calibri"/>
                <w:sz w:val="20"/>
                <w:lang w:val="fr-CA"/>
              </w:rPr>
              <w:t>., 2008 QCCA 380 qui énonce la bonne façon d’aborder le lien de causalité dans une demande de certification du recours collectif? — Dans un recours collectif, le plaidoyer de renonciation à un recours délictuel a</w:t>
            </w:r>
            <w:r w:rsidRPr="00A344E0">
              <w:rPr>
                <w:rFonts w:eastAsia="Calibri"/>
                <w:sz w:val="20"/>
                <w:lang w:val="fr-CA"/>
              </w:rPr>
              <w:noBreakHyphen/>
              <w:t>t</w:t>
            </w:r>
            <w:r w:rsidRPr="00A344E0">
              <w:rPr>
                <w:rFonts w:eastAsia="Calibri"/>
                <w:sz w:val="20"/>
                <w:lang w:val="fr-CA"/>
              </w:rPr>
              <w:noBreakHyphen/>
              <w:t>il pour effet de rendre inutile la preuve du lien de causalité dans chaque cas? — Les dispositions de la loi sur les recours collectifs en matière de dommages</w:t>
            </w:r>
            <w:r w:rsidRPr="00A344E0">
              <w:rPr>
                <w:rFonts w:eastAsia="Calibri"/>
                <w:sz w:val="20"/>
                <w:lang w:val="fr-CA"/>
              </w:rPr>
              <w:noBreakHyphen/>
              <w:t>intérêts globaux peuvent</w:t>
            </w:r>
            <w:r w:rsidRPr="00A344E0">
              <w:rPr>
                <w:rFonts w:eastAsia="Calibri"/>
                <w:sz w:val="20"/>
                <w:lang w:val="fr-CA"/>
              </w:rPr>
              <w:noBreakHyphen/>
              <w:t>elles être invoquées pour prouver le préjudice de l’ensemble du groupe lorsque la preuve est telle que le lien de causalité ne peut être établi que par une appréciation au cas par cas?</w:t>
            </w:r>
          </w:p>
        </w:tc>
      </w:tr>
      <w:tr w:rsidR="00A77AE8" w:rsidRPr="004163EF" w:rsidTr="004163EF">
        <w:tc>
          <w:tcPr>
            <w:tcW w:w="5000" w:type="pct"/>
            <w:gridSpan w:val="3"/>
          </w:tcPr>
          <w:p w:rsidR="00A77AE8" w:rsidRPr="00A344E0" w:rsidRDefault="00A77AE8" w:rsidP="004163EF">
            <w:pPr>
              <w:jc w:val="both"/>
              <w:rPr>
                <w:rFonts w:eastAsia="Calibri"/>
                <w:sz w:val="20"/>
                <w:lang w:val="fr-CA"/>
              </w:rPr>
            </w:pPr>
          </w:p>
        </w:tc>
      </w:tr>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 xml:space="preserve">Les intimés, demandeurs en première instance, demandent la certification, sous le régime de la </w:t>
            </w:r>
            <w:r w:rsidRPr="00A344E0">
              <w:rPr>
                <w:rFonts w:eastAsia="Calibri"/>
                <w:i/>
                <w:sz w:val="20"/>
                <w:lang w:val="fr-CA"/>
              </w:rPr>
              <w:t>Class Proceedings Act</w:t>
            </w:r>
            <w:r w:rsidRPr="00A344E0">
              <w:rPr>
                <w:rFonts w:eastAsia="Calibri"/>
                <w:sz w:val="20"/>
                <w:lang w:val="fr-CA"/>
              </w:rPr>
              <w:t>, R.S.B.C. 1996, ch. 50 (la « </w:t>
            </w:r>
            <w:r w:rsidRPr="00A344E0">
              <w:rPr>
                <w:rFonts w:eastAsia="Calibri"/>
                <w:i/>
                <w:sz w:val="20"/>
                <w:lang w:val="fr-CA"/>
              </w:rPr>
              <w:t>Loi</w:t>
            </w:r>
            <w:r w:rsidRPr="00A344E0">
              <w:rPr>
                <w:rFonts w:eastAsia="Calibri"/>
                <w:sz w:val="20"/>
                <w:lang w:val="fr-CA"/>
              </w:rPr>
              <w:t> »), d’une action en dommages</w:t>
            </w:r>
            <w:r w:rsidRPr="00A344E0">
              <w:rPr>
                <w:rFonts w:eastAsia="Calibri"/>
                <w:sz w:val="20"/>
                <w:lang w:val="fr-CA"/>
              </w:rPr>
              <w:noBreakHyphen/>
              <w:t>intérêts intentée contre Toyota Canada Inc. et divers concessionnaires Toyota en Colombie</w:t>
            </w:r>
            <w:r w:rsidRPr="00A344E0">
              <w:rPr>
                <w:rFonts w:eastAsia="Calibri"/>
                <w:sz w:val="20"/>
                <w:lang w:val="fr-CA"/>
              </w:rPr>
              <w:noBreakHyphen/>
              <w:t>Britannique (collectivement « Toyota ») qui ont participé à un programme qui comportait une méthode de vente et un mécanisme de détermination des prix de vente et de location de véhicules Toyota (le « Programme Accès ») entre le 2002 et 2004.  Les intimés allèguent que le Programme Accès était trompeur et anticoncurrentiel en ce sens que les demandeurs refusaient de négocier autre chose que le Prix Accès et que certains concessionnaires auraient dit que de telles négociations les exposaient à des pénalités imposées par Toyota.  Les intimés allèguent avoir subi un préjudice en raison de l’incapacité de négocier librement et allèguent les causes d’action de complot, de violations des art. 52 et 61 de la</w:t>
            </w:r>
            <w:r w:rsidRPr="00A344E0">
              <w:rPr>
                <w:rFonts w:eastAsia="Calibri"/>
                <w:i/>
                <w:sz w:val="20"/>
                <w:lang w:val="fr-CA"/>
              </w:rPr>
              <w:t xml:space="preserve"> Loi sur la concurrence</w:t>
            </w:r>
            <w:r w:rsidRPr="00A344E0">
              <w:rPr>
                <w:rFonts w:eastAsia="Calibri"/>
                <w:sz w:val="20"/>
                <w:lang w:val="fr-CA"/>
              </w:rPr>
              <w:t>, L.R.C. 1985, ch. C</w:t>
            </w:r>
            <w:r w:rsidRPr="00A344E0">
              <w:rPr>
                <w:rFonts w:eastAsia="Calibri"/>
                <w:sz w:val="20"/>
                <w:lang w:val="fr-CA"/>
              </w:rPr>
              <w:noBreakHyphen/>
              <w:t>34, l’assertion d’une fiducie constructoire et la violation d’une ordonnance d’interdiction sur consentement.  Toyota a présenté une défense contre la demande de certification, alléguant que les demandeurs seraient incapables d’établir la responsabilité et le préjudice pour l’ensemble du groupe.</w:t>
            </w:r>
          </w:p>
          <w:p w:rsidR="00A77AE8" w:rsidRPr="00A344E0" w:rsidRDefault="00A77AE8" w:rsidP="004163EF">
            <w:pPr>
              <w:jc w:val="both"/>
              <w:rPr>
                <w:rFonts w:eastAsia="Calibri"/>
                <w:sz w:val="20"/>
                <w:lang w:val="fr-CA"/>
              </w:rPr>
            </w:pPr>
          </w:p>
          <w:p w:rsidR="00A77AE8" w:rsidRPr="00A344E0" w:rsidRDefault="00A77AE8" w:rsidP="004163EF">
            <w:pPr>
              <w:jc w:val="both"/>
              <w:rPr>
                <w:rFonts w:eastAsia="Calibri"/>
                <w:sz w:val="20"/>
                <w:lang w:val="fr-CA"/>
              </w:rPr>
            </w:pPr>
            <w:r w:rsidRPr="00A344E0">
              <w:rPr>
                <w:rFonts w:eastAsia="Calibri"/>
                <w:sz w:val="20"/>
                <w:lang w:val="fr-CA"/>
              </w:rPr>
              <w:t>La Cour suprême de la Colombie</w:t>
            </w:r>
            <w:r w:rsidRPr="00A344E0">
              <w:rPr>
                <w:rFonts w:eastAsia="Calibri"/>
                <w:sz w:val="20"/>
                <w:lang w:val="fr-CA"/>
              </w:rPr>
              <w:noBreakHyphen/>
              <w:t>Britannique a rejeté la demande de certification.  La Cour d’appel de la Colombie</w:t>
            </w:r>
            <w:r w:rsidRPr="00A344E0">
              <w:rPr>
                <w:rFonts w:eastAsia="Calibri"/>
                <w:sz w:val="20"/>
                <w:lang w:val="fr-CA"/>
              </w:rPr>
              <w:noBreakHyphen/>
              <w:t>Britannique a accueilli l’appel, annulé la décision de la juridiction inférieure et accueilli la demande de certification.</w:t>
            </w:r>
          </w:p>
          <w:p w:rsidR="00A77AE8" w:rsidRPr="00A344E0" w:rsidRDefault="00A77AE8" w:rsidP="004163EF">
            <w:pPr>
              <w:jc w:val="both"/>
              <w:rPr>
                <w:rFonts w:eastAsia="Calibri"/>
                <w:sz w:val="20"/>
                <w:lang w:val="fr-CA"/>
              </w:rPr>
            </w:pPr>
          </w:p>
        </w:tc>
      </w:tr>
      <w:tr w:rsidR="00A77AE8" w:rsidRPr="004163EF" w:rsidTr="004163EF">
        <w:trPr>
          <w:cantSplit/>
        </w:trPr>
        <w:tc>
          <w:tcPr>
            <w:tcW w:w="2427" w:type="pct"/>
          </w:tcPr>
          <w:p w:rsidR="00A77AE8" w:rsidRPr="00A344E0" w:rsidRDefault="00A77AE8" w:rsidP="004163EF">
            <w:pPr>
              <w:jc w:val="both"/>
              <w:rPr>
                <w:rFonts w:eastAsia="Calibri"/>
                <w:sz w:val="20"/>
                <w:lang w:val="fr-CA"/>
              </w:rPr>
            </w:pPr>
            <w:r w:rsidRPr="00A344E0">
              <w:rPr>
                <w:rFonts w:eastAsia="Calibri"/>
                <w:sz w:val="20"/>
                <w:lang w:val="fr-CA"/>
              </w:rPr>
              <w:lastRenderedPageBreak/>
              <w:t>6 août 2008</w:t>
            </w:r>
          </w:p>
          <w:p w:rsidR="00A77AE8" w:rsidRPr="00A344E0" w:rsidRDefault="00A77AE8" w:rsidP="004163EF">
            <w:pPr>
              <w:jc w:val="both"/>
              <w:rPr>
                <w:rFonts w:eastAsia="Calibri"/>
                <w:sz w:val="20"/>
                <w:lang w:val="fr-CA"/>
              </w:rPr>
            </w:pPr>
            <w:r w:rsidRPr="00A344E0">
              <w:rPr>
                <w:rFonts w:eastAsia="Calibri"/>
                <w:sz w:val="20"/>
                <w:lang w:val="fr-CA"/>
              </w:rPr>
              <w:t>Cour suprême de la Colombie</w:t>
            </w:r>
            <w:r w:rsidRPr="00A344E0">
              <w:rPr>
                <w:rFonts w:eastAsia="Calibri"/>
                <w:sz w:val="20"/>
                <w:lang w:val="fr-CA"/>
              </w:rPr>
              <w:noBreakHyphen/>
              <w:t xml:space="preserve">Britannique </w:t>
            </w:r>
          </w:p>
          <w:p w:rsidR="00A77AE8" w:rsidRPr="00A344E0" w:rsidRDefault="00A77AE8" w:rsidP="004163EF">
            <w:pPr>
              <w:jc w:val="both"/>
              <w:rPr>
                <w:rFonts w:eastAsia="Calibri"/>
                <w:sz w:val="20"/>
                <w:lang w:val="fr-CA"/>
              </w:rPr>
            </w:pPr>
            <w:r w:rsidRPr="00A344E0">
              <w:rPr>
                <w:rFonts w:eastAsia="Calibri"/>
                <w:sz w:val="20"/>
                <w:lang w:val="fr-CA"/>
              </w:rPr>
              <w:t>(Juge Ehrcke)</w:t>
            </w:r>
          </w:p>
          <w:p w:rsidR="00A77AE8" w:rsidRPr="00A344E0" w:rsidRDefault="00A77AE8" w:rsidP="004163EF">
            <w:pPr>
              <w:jc w:val="both"/>
              <w:rPr>
                <w:rFonts w:eastAsia="Calibri"/>
                <w:sz w:val="20"/>
                <w:lang w:val="fr-CA"/>
              </w:rPr>
            </w:pPr>
            <w:r w:rsidRPr="00A344E0">
              <w:rPr>
                <w:rFonts w:eastAsia="Calibri"/>
                <w:sz w:val="20"/>
                <w:lang w:val="fr-CA"/>
              </w:rPr>
              <w:t>2008 BCSC 1063</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Demande de certification du recours collectif, rejetée</w:t>
            </w:r>
          </w:p>
          <w:p w:rsidR="00A77AE8" w:rsidRPr="00A344E0" w:rsidRDefault="00A77AE8" w:rsidP="004163EF">
            <w:pPr>
              <w:jc w:val="both"/>
              <w:rPr>
                <w:rFonts w:eastAsia="Calibri"/>
                <w:sz w:val="20"/>
                <w:lang w:val="fr-CA"/>
              </w:rPr>
            </w:pPr>
          </w:p>
        </w:tc>
      </w:tr>
      <w:tr w:rsidR="00A77AE8" w:rsidRPr="004163EF" w:rsidTr="004163EF">
        <w:trPr>
          <w:cantSplit/>
        </w:trPr>
        <w:tc>
          <w:tcPr>
            <w:tcW w:w="2427" w:type="pct"/>
          </w:tcPr>
          <w:p w:rsidR="00A77AE8" w:rsidRPr="00A344E0" w:rsidRDefault="00A77AE8" w:rsidP="004163EF">
            <w:pPr>
              <w:jc w:val="both"/>
              <w:rPr>
                <w:rFonts w:eastAsia="Calibri"/>
                <w:sz w:val="20"/>
                <w:lang w:val="fr-CA"/>
              </w:rPr>
            </w:pPr>
            <w:r w:rsidRPr="00A344E0">
              <w:rPr>
                <w:rFonts w:eastAsia="Calibri"/>
                <w:sz w:val="20"/>
                <w:lang w:val="fr-CA"/>
              </w:rPr>
              <w:t>7 mars 2011</w:t>
            </w:r>
          </w:p>
          <w:p w:rsidR="00A77AE8" w:rsidRPr="00A344E0" w:rsidRDefault="00A77AE8" w:rsidP="004163EF">
            <w:pPr>
              <w:jc w:val="both"/>
              <w:rPr>
                <w:rFonts w:eastAsia="Calibri"/>
                <w:sz w:val="20"/>
                <w:lang w:val="fr-CA"/>
              </w:rPr>
            </w:pPr>
            <w:r w:rsidRPr="00A344E0">
              <w:rPr>
                <w:rFonts w:eastAsia="Calibri"/>
                <w:sz w:val="20"/>
                <w:lang w:val="fr-CA"/>
              </w:rPr>
              <w:t>Cour d’appel de la Colombie</w:t>
            </w:r>
            <w:r w:rsidRPr="00A344E0">
              <w:rPr>
                <w:rFonts w:eastAsia="Calibri"/>
                <w:sz w:val="20"/>
                <w:lang w:val="fr-CA"/>
              </w:rPr>
              <w:noBreakHyphen/>
              <w:t>Britannique (Vancouver)</w:t>
            </w:r>
          </w:p>
          <w:p w:rsidR="00A77AE8" w:rsidRPr="00A344E0" w:rsidRDefault="00A77AE8" w:rsidP="004163EF">
            <w:pPr>
              <w:jc w:val="both"/>
              <w:rPr>
                <w:rFonts w:eastAsia="Calibri"/>
                <w:sz w:val="20"/>
                <w:lang w:val="fr-CA"/>
              </w:rPr>
            </w:pPr>
            <w:r w:rsidRPr="00A344E0">
              <w:rPr>
                <w:rFonts w:eastAsia="Calibri"/>
                <w:sz w:val="20"/>
                <w:lang w:val="fr-CA"/>
              </w:rPr>
              <w:t>(Juges Rowles, Groberman et Hinkson)</w:t>
            </w:r>
          </w:p>
          <w:p w:rsidR="00A77AE8" w:rsidRPr="00A344E0" w:rsidRDefault="00A77AE8" w:rsidP="004163EF">
            <w:pPr>
              <w:jc w:val="both"/>
              <w:rPr>
                <w:rFonts w:eastAsia="Calibri"/>
                <w:sz w:val="20"/>
                <w:lang w:val="fr-CA"/>
              </w:rPr>
            </w:pPr>
            <w:r w:rsidRPr="00A344E0">
              <w:rPr>
                <w:rFonts w:eastAsia="Calibri"/>
                <w:sz w:val="20"/>
                <w:lang w:val="fr-CA"/>
              </w:rPr>
              <w:t>2011 BCCA 98; CA036431</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Appel accueilli, ordonnance refusant la certification annulée et demande de certification de l’action comme recours collectif, accueillie</w:t>
            </w:r>
          </w:p>
          <w:p w:rsidR="00A77AE8" w:rsidRPr="00A344E0" w:rsidRDefault="00A77AE8" w:rsidP="004163EF">
            <w:pPr>
              <w:jc w:val="both"/>
              <w:rPr>
                <w:rFonts w:eastAsia="Calibri"/>
                <w:sz w:val="20"/>
                <w:lang w:val="fr-CA"/>
              </w:rPr>
            </w:pPr>
          </w:p>
        </w:tc>
      </w:tr>
      <w:tr w:rsidR="00A77AE8" w:rsidRPr="00A344E0" w:rsidTr="004163EF">
        <w:trPr>
          <w:cantSplit/>
        </w:trPr>
        <w:tc>
          <w:tcPr>
            <w:tcW w:w="2427" w:type="pct"/>
          </w:tcPr>
          <w:p w:rsidR="00A77AE8" w:rsidRPr="00A344E0" w:rsidRDefault="00A77AE8" w:rsidP="004163EF">
            <w:pPr>
              <w:jc w:val="both"/>
              <w:rPr>
                <w:rFonts w:eastAsia="Calibri"/>
                <w:sz w:val="20"/>
                <w:lang w:val="fr-CA"/>
              </w:rPr>
            </w:pPr>
            <w:r w:rsidRPr="00A344E0">
              <w:rPr>
                <w:rFonts w:eastAsia="Calibri"/>
                <w:sz w:val="20"/>
                <w:lang w:val="fr-CA"/>
              </w:rPr>
              <w:t>5 mai 2011</w:t>
            </w:r>
          </w:p>
          <w:p w:rsidR="00A77AE8" w:rsidRPr="00A344E0" w:rsidRDefault="00A77AE8" w:rsidP="004163EF">
            <w:pPr>
              <w:jc w:val="both"/>
              <w:rPr>
                <w:rFonts w:eastAsia="Calibri"/>
                <w:sz w:val="20"/>
                <w:lang w:val="fr-CA"/>
              </w:rPr>
            </w:pPr>
            <w:r w:rsidRPr="00A344E0">
              <w:rPr>
                <w:rFonts w:eastAsia="Calibri"/>
                <w:sz w:val="20"/>
                <w:lang w:val="fr-CA"/>
              </w:rPr>
              <w:t>Cour suprême du Canada</w:t>
            </w: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Demande d’autorisation d’appel, déposée</w:t>
            </w:r>
          </w:p>
          <w:p w:rsidR="00A77AE8" w:rsidRPr="00A344E0" w:rsidRDefault="00A77AE8" w:rsidP="004163EF">
            <w:pPr>
              <w:jc w:val="both"/>
              <w:rPr>
                <w:rFonts w:eastAsia="Calibri"/>
                <w:sz w:val="20"/>
                <w:lang w:val="fr-CA"/>
              </w:rPr>
            </w:pP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41" style="width:2in;height:1pt" o:hrpct="0" o:hralign="center" o:hrstd="t" o:hrnoshade="t" o:hr="t" fillcolor="black [3213]" stroked="f"/>
        </w:pict>
      </w:r>
    </w:p>
    <w:p w:rsidR="00A77AE8" w:rsidRDefault="00A77AE8" w:rsidP="00A77AE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Style w:val="SCCFileNumberChar"/>
                <w:rFonts w:cs="Times New Roman"/>
                <w:sz w:val="20"/>
                <w:szCs w:val="20"/>
              </w:rPr>
              <w:t>34246</w:t>
            </w:r>
          </w:p>
          <w:p w:rsidR="00A77AE8" w:rsidRPr="00D13261" w:rsidRDefault="00A77AE8" w:rsidP="004163EF">
            <w:pPr>
              <w:rPr>
                <w:rFonts w:cs="Times New Roman"/>
                <w:b/>
                <w:sz w:val="20"/>
                <w:szCs w:val="20"/>
                <w:lang w:val="fr-CA"/>
              </w:rPr>
            </w:pPr>
          </w:p>
        </w:tc>
        <w:tc>
          <w:tcPr>
            <w:tcW w:w="8118" w:type="dxa"/>
          </w:tcPr>
          <w:p w:rsidR="00A77AE8" w:rsidRPr="00D13261" w:rsidRDefault="00A77AE8" w:rsidP="004163EF">
            <w:pPr>
              <w:jc w:val="both"/>
              <w:rPr>
                <w:rFonts w:cs="Times New Roman"/>
                <w:sz w:val="20"/>
                <w:szCs w:val="20"/>
              </w:rPr>
            </w:pPr>
            <w:r w:rsidRPr="00D13261">
              <w:rPr>
                <w:rStyle w:val="SCCLsocChar"/>
                <w:rFonts w:cs="Times New Roman"/>
                <w:sz w:val="20"/>
                <w:szCs w:val="20"/>
                <w:lang w:val="en-CA"/>
              </w:rPr>
              <w:t>Peter Martin</w:t>
            </w:r>
            <w:r>
              <w:rPr>
                <w:rStyle w:val="SCCLsocChar"/>
                <w:rFonts w:cs="Times New Roman"/>
                <w:sz w:val="20"/>
                <w:szCs w:val="20"/>
                <w:lang w:val="en-CA"/>
              </w:rPr>
              <w:t xml:space="preserve"> and</w:t>
            </w:r>
            <w:r w:rsidRPr="00D13261">
              <w:rPr>
                <w:rStyle w:val="SCCLsocChar"/>
                <w:rFonts w:cs="Times New Roman"/>
                <w:sz w:val="20"/>
                <w:szCs w:val="20"/>
                <w:lang w:val="en-CA"/>
              </w:rPr>
              <w:t xml:space="preserve"> Meah Martin v. Leo Lavigne</w:t>
            </w:r>
            <w:r>
              <w:rPr>
                <w:rStyle w:val="SCCLsocChar"/>
                <w:rFonts w:cs="Times New Roman"/>
                <w:sz w:val="20"/>
                <w:szCs w:val="20"/>
                <w:lang w:val="en-CA"/>
              </w:rPr>
              <w:t xml:space="preserve"> and</w:t>
            </w:r>
            <w:r w:rsidRPr="00D13261">
              <w:rPr>
                <w:rStyle w:val="SCCLsocChar"/>
                <w:rFonts w:cs="Times New Roman"/>
                <w:sz w:val="20"/>
                <w:szCs w:val="20"/>
                <w:lang w:val="en-CA"/>
              </w:rPr>
              <w:t xml:space="preserve"> Andrew Neufeld</w:t>
            </w:r>
            <w:r w:rsidRPr="00D13261">
              <w:rPr>
                <w:rFonts w:cs="Times New Roman"/>
                <w:sz w:val="20"/>
                <w:szCs w:val="20"/>
              </w:rPr>
              <w:t xml:space="preserve"> (B.C.) (Civil) (By Leave)</w:t>
            </w:r>
          </w:p>
          <w:p w:rsidR="00A77AE8" w:rsidRPr="00D13261" w:rsidRDefault="00A77AE8" w:rsidP="004163EF">
            <w:pPr>
              <w:rPr>
                <w:rFonts w:cs="Times New Roman"/>
                <w:sz w:val="20"/>
                <w:szCs w:val="20"/>
              </w:rPr>
            </w:pPr>
          </w:p>
        </w:tc>
      </w:tr>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Fonts w:cs="Times New Roman"/>
                <w:sz w:val="20"/>
                <w:szCs w:val="20"/>
              </w:rPr>
              <w:t>Coram :</w:t>
            </w:r>
          </w:p>
        </w:tc>
        <w:tc>
          <w:tcPr>
            <w:tcW w:w="8118" w:type="dxa"/>
          </w:tcPr>
          <w:p w:rsidR="00A77AE8" w:rsidRPr="00D13261" w:rsidRDefault="00A77AE8" w:rsidP="004163EF">
            <w:pPr>
              <w:rPr>
                <w:rFonts w:cs="Times New Roman"/>
                <w:sz w:val="20"/>
                <w:szCs w:val="20"/>
              </w:rPr>
            </w:pPr>
            <w:r w:rsidRPr="00D13261">
              <w:rPr>
                <w:rStyle w:val="SCCCoramChar"/>
                <w:rFonts w:cs="Times New Roman"/>
                <w:sz w:val="20"/>
                <w:szCs w:val="20"/>
                <w:lang w:val="en-CA"/>
              </w:rPr>
              <w:t>Binnie, Abella and Rothstein JJ.</w:t>
            </w:r>
          </w:p>
          <w:p w:rsidR="00A77AE8" w:rsidRPr="00D13261" w:rsidRDefault="00A77AE8" w:rsidP="004163EF">
            <w:pPr>
              <w:rPr>
                <w:rFonts w:cs="Times New Roman"/>
                <w:sz w:val="20"/>
                <w:szCs w:val="20"/>
                <w:u w:val="single"/>
              </w:rPr>
            </w:pPr>
          </w:p>
        </w:tc>
      </w:tr>
      <w:tr w:rsidR="00A77AE8" w:rsidRPr="004163EF" w:rsidTr="004163EF">
        <w:trPr>
          <w:cantSplit/>
        </w:trPr>
        <w:tc>
          <w:tcPr>
            <w:tcW w:w="9576" w:type="dxa"/>
            <w:gridSpan w:val="2"/>
          </w:tcPr>
          <w:p w:rsidR="00A77AE8" w:rsidRPr="00D13261" w:rsidRDefault="00A77AE8" w:rsidP="004163EF">
            <w:pPr>
              <w:pStyle w:val="SCCShortJudgment"/>
              <w:rPr>
                <w:rFonts w:cs="Times New Roman"/>
                <w:szCs w:val="20"/>
              </w:rPr>
            </w:pPr>
            <w:r w:rsidRPr="00D13261">
              <w:rPr>
                <w:rFonts w:cs="Times New Roman"/>
                <w:szCs w:val="20"/>
              </w:rPr>
              <w:t>The application for leave to appeal from the judgment of the Court of Appeal for British Columbia (Vancouver), Number CA038433, 2011 BCCA 104, dated March 8, 2011, is dismissed with costs.</w:t>
            </w:r>
          </w:p>
          <w:p w:rsidR="00A77AE8" w:rsidRPr="00D13261" w:rsidRDefault="00A77AE8" w:rsidP="004163EF">
            <w:pPr>
              <w:pStyle w:val="SCCShortJudgment"/>
              <w:ind w:firstLine="0"/>
              <w:rPr>
                <w:rFonts w:cs="Times New Roman"/>
                <w:szCs w:val="20"/>
              </w:rPr>
            </w:pPr>
          </w:p>
          <w:p w:rsidR="00A77AE8" w:rsidRPr="00D13261" w:rsidRDefault="00A77AE8" w:rsidP="004163EF">
            <w:pPr>
              <w:pStyle w:val="SCCShortJudgment"/>
              <w:rPr>
                <w:rFonts w:cs="Times New Roman"/>
                <w:szCs w:val="20"/>
                <w:lang w:val="fr-CA"/>
              </w:rPr>
            </w:pPr>
            <w:r w:rsidRPr="00D13261">
              <w:rPr>
                <w:rFonts w:cs="Times New Roman"/>
                <w:szCs w:val="20"/>
                <w:lang w:val="fr-CA"/>
              </w:rPr>
              <w:t>La demande d’autorisation d’appel de l’arrêt de la Cour d’appel de la Colombie-Britannique (Vancouver), numéro CA038433, 2011 BCCA 104, daté du 8 mars 2011, est rejetée avec dépens.</w:t>
            </w:r>
          </w:p>
        </w:tc>
      </w:tr>
    </w:tbl>
    <w:p w:rsidR="00A77AE8" w:rsidRPr="00167D60" w:rsidRDefault="00A77AE8" w:rsidP="00A77AE8">
      <w:pPr>
        <w:rPr>
          <w:sz w:val="20"/>
          <w:szCs w:val="20"/>
          <w:lang w:val="fr-CA"/>
        </w:rPr>
      </w:pPr>
    </w:p>
    <w:p w:rsidR="00A77AE8" w:rsidRDefault="00A77AE8" w:rsidP="00A77AE8">
      <w:pPr>
        <w:rPr>
          <w:sz w:val="20"/>
          <w:szCs w:val="20"/>
        </w:rPr>
      </w:pPr>
      <w:r>
        <w:rPr>
          <w:sz w:val="20"/>
          <w:szCs w:val="20"/>
          <w:u w:val="single"/>
        </w:rPr>
        <w:t>CASE SUMMARY</w:t>
      </w:r>
    </w:p>
    <w:p w:rsidR="00A77AE8" w:rsidRDefault="00A77AE8" w:rsidP="00A77AE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 xml:space="preserve">Torts — Nuisance — Defamation — Defence of qualified privilege — Should a strata council member who fails to comply with the statutory requirements of the governing statute in dealing with strata business be entitled to benefit from the </w:t>
            </w:r>
            <w:r w:rsidRPr="00A344E0">
              <w:rPr>
                <w:rFonts w:eastAsia="Calibri"/>
                <w:i/>
                <w:sz w:val="20"/>
              </w:rPr>
              <w:t>common law</w:t>
            </w:r>
            <w:r w:rsidRPr="00A344E0">
              <w:rPr>
                <w:rFonts w:eastAsia="Calibri"/>
                <w:sz w:val="20"/>
              </w:rPr>
              <w:t xml:space="preserve"> defence of qualified privilege? — Should the law of nuisance recognize malicious intent as a factor that is relevant to determining the reasonableness of a person’s interference with another’s use and enjoyment of their property?</w:t>
            </w:r>
          </w:p>
        </w:tc>
      </w:tr>
      <w:tr w:rsidR="00A77AE8" w:rsidRPr="00A344E0" w:rsidTr="004163EF">
        <w:tc>
          <w:tcPr>
            <w:tcW w:w="5000" w:type="pct"/>
            <w:gridSpan w:val="3"/>
          </w:tcPr>
          <w:p w:rsidR="00A77AE8" w:rsidRPr="00A344E0" w:rsidRDefault="00A77AE8" w:rsidP="004163EF">
            <w:pPr>
              <w:jc w:val="both"/>
              <w:rPr>
                <w:rFonts w:eastAsia="Calibri"/>
                <w:sz w:val="20"/>
              </w:rPr>
            </w:pPr>
          </w:p>
        </w:tc>
      </w:tr>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The applicants owed a ground floor residential strata unit.  The respondents were members of the strata council.  The applicants had made complaints about the strata council’s financial mismanagement.  After these complaints, the applicants alleged that the respondent Mr. Leo Lavigne walked past their window on a public walkway several times over the course of one year and stared at them in an intimidating manner.  The applicants alleged that this conduct constituted nuisance.  After they complained to strata council about Lavigne’s behaviour, the council president, Mr. Andrew Neufeld, after a meeting to discuss the issue, distributed a newsletter to all strata owners informing them about the dispute with the applicants and the necessity of filing a police complaint against them.  The applicants alleged that the headline constituted defamation.  Each of the respondents denied the claims and Mr. Neufeld asserted the alternative defence of qualified privilege to the claim in defamation</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August 17, 2010</w:t>
            </w:r>
          </w:p>
          <w:p w:rsidR="00A77AE8" w:rsidRPr="00A344E0" w:rsidRDefault="00A77AE8" w:rsidP="004163EF">
            <w:pPr>
              <w:jc w:val="both"/>
              <w:rPr>
                <w:rFonts w:eastAsia="Calibri"/>
                <w:sz w:val="20"/>
              </w:rPr>
            </w:pPr>
            <w:r w:rsidRPr="00A344E0">
              <w:rPr>
                <w:rFonts w:eastAsia="Calibri"/>
                <w:sz w:val="20"/>
              </w:rPr>
              <w:t>Supreme Court of British Columbia</w:t>
            </w:r>
          </w:p>
          <w:p w:rsidR="00A77AE8" w:rsidRPr="00A344E0" w:rsidRDefault="00A77AE8" w:rsidP="004163EF">
            <w:pPr>
              <w:jc w:val="both"/>
              <w:rPr>
                <w:rFonts w:eastAsia="Calibri"/>
                <w:sz w:val="20"/>
              </w:rPr>
            </w:pPr>
            <w:r w:rsidRPr="00A344E0">
              <w:rPr>
                <w:rFonts w:eastAsia="Calibri"/>
                <w:sz w:val="20"/>
              </w:rPr>
              <w:t>(Burnyeat J.)</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Action for damages for nuisance and defamation dismissed</w:t>
            </w:r>
          </w:p>
          <w:p w:rsidR="00A77AE8" w:rsidRPr="00A344E0" w:rsidRDefault="00A77AE8" w:rsidP="004163EF">
            <w:pPr>
              <w:jc w:val="both"/>
              <w:rPr>
                <w:rFonts w:eastAsia="Calibri"/>
                <w:sz w:val="20"/>
              </w:rPr>
            </w:pPr>
          </w:p>
          <w:p w:rsidR="00A77AE8" w:rsidRPr="00A344E0" w:rsidRDefault="00A77AE8" w:rsidP="004163EF">
            <w:pPr>
              <w:jc w:val="both"/>
              <w:rPr>
                <w:rFonts w:eastAsia="Calibri"/>
                <w:sz w:val="20"/>
              </w:rPr>
            </w:pPr>
          </w:p>
        </w:tc>
      </w:tr>
      <w:tr w:rsidR="00A77AE8" w:rsidRPr="00A344E0" w:rsidTr="004163EF">
        <w:trPr>
          <w:cantSplit/>
        </w:trPr>
        <w:tc>
          <w:tcPr>
            <w:tcW w:w="2427" w:type="pct"/>
          </w:tcPr>
          <w:p w:rsidR="00A77AE8" w:rsidRPr="00A344E0" w:rsidRDefault="00A77AE8" w:rsidP="004163EF">
            <w:pPr>
              <w:jc w:val="both"/>
              <w:rPr>
                <w:rFonts w:eastAsia="Calibri"/>
                <w:sz w:val="20"/>
              </w:rPr>
            </w:pPr>
            <w:r w:rsidRPr="00A344E0">
              <w:rPr>
                <w:rFonts w:eastAsia="Calibri"/>
                <w:sz w:val="20"/>
              </w:rPr>
              <w:lastRenderedPageBreak/>
              <w:t>March 8, 2011</w:t>
            </w:r>
          </w:p>
          <w:p w:rsidR="00A77AE8" w:rsidRPr="00A344E0" w:rsidRDefault="00A77AE8" w:rsidP="004163EF">
            <w:pPr>
              <w:jc w:val="both"/>
              <w:rPr>
                <w:rFonts w:eastAsia="Calibri"/>
                <w:sz w:val="20"/>
              </w:rPr>
            </w:pPr>
            <w:r w:rsidRPr="00A344E0">
              <w:rPr>
                <w:rFonts w:eastAsia="Calibri"/>
                <w:sz w:val="20"/>
              </w:rPr>
              <w:t>Court of Appeal for British Columbia (Vancouver)</w:t>
            </w:r>
          </w:p>
          <w:p w:rsidR="00A77AE8" w:rsidRPr="00A344E0" w:rsidRDefault="00A77AE8" w:rsidP="004163EF">
            <w:pPr>
              <w:jc w:val="both"/>
              <w:rPr>
                <w:rFonts w:eastAsia="Calibri"/>
                <w:sz w:val="20"/>
              </w:rPr>
            </w:pPr>
            <w:r w:rsidRPr="00A344E0">
              <w:rPr>
                <w:rFonts w:eastAsia="Calibri"/>
                <w:sz w:val="20"/>
              </w:rPr>
              <w:t>(Huddart, Low and Smith JJ.A.)</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Appeal dismissed</w:t>
            </w:r>
          </w:p>
          <w:p w:rsidR="00A77AE8" w:rsidRPr="00A344E0" w:rsidRDefault="00A77AE8" w:rsidP="004163EF">
            <w:pPr>
              <w:jc w:val="both"/>
              <w:rPr>
                <w:rFonts w:eastAsia="Calibri"/>
                <w:sz w:val="20"/>
              </w:rPr>
            </w:pPr>
          </w:p>
          <w:p w:rsidR="00A77AE8" w:rsidRPr="00A344E0" w:rsidRDefault="00A77AE8" w:rsidP="004163EF">
            <w:pPr>
              <w:jc w:val="both"/>
              <w:rPr>
                <w:rFonts w:eastAsia="Calibri"/>
                <w:sz w:val="20"/>
              </w:rPr>
            </w:pPr>
          </w:p>
        </w:tc>
      </w:tr>
      <w:tr w:rsidR="00A77AE8" w:rsidRPr="00A344E0" w:rsidTr="004163EF">
        <w:trPr>
          <w:cantSplit/>
        </w:trPr>
        <w:tc>
          <w:tcPr>
            <w:tcW w:w="2427" w:type="pct"/>
          </w:tcPr>
          <w:p w:rsidR="00A77AE8" w:rsidRPr="00A344E0" w:rsidRDefault="00A77AE8" w:rsidP="004163EF">
            <w:pPr>
              <w:jc w:val="both"/>
              <w:rPr>
                <w:rFonts w:eastAsia="Calibri"/>
                <w:sz w:val="20"/>
              </w:rPr>
            </w:pPr>
            <w:r w:rsidRPr="00A344E0">
              <w:rPr>
                <w:rFonts w:eastAsia="Calibri"/>
                <w:sz w:val="20"/>
              </w:rPr>
              <w:t>May 9, 2011</w:t>
            </w:r>
          </w:p>
          <w:p w:rsidR="00A77AE8" w:rsidRPr="00A344E0" w:rsidRDefault="00A77AE8" w:rsidP="004163EF">
            <w:pPr>
              <w:jc w:val="both"/>
              <w:rPr>
                <w:rFonts w:eastAsia="Calibri"/>
                <w:sz w:val="20"/>
              </w:rPr>
            </w:pPr>
            <w:r w:rsidRPr="00A344E0">
              <w:rPr>
                <w:rFonts w:eastAsia="Calibri"/>
                <w:sz w:val="20"/>
              </w:rPr>
              <w:t>Supreme Court of Canada</w:t>
            </w: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Application for leave to appeal filed</w:t>
            </w:r>
          </w:p>
          <w:p w:rsidR="00A77AE8" w:rsidRPr="00A344E0" w:rsidRDefault="00A77AE8" w:rsidP="004163EF">
            <w:pPr>
              <w:jc w:val="both"/>
              <w:rPr>
                <w:rFonts w:eastAsia="Calibri"/>
                <w:sz w:val="20"/>
              </w:rPr>
            </w:pP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42" style="width:2in;height:1pt" o:hrpct="0" o:hralign="center" o:hrstd="t" o:hrnoshade="t" o:hr="t" fillcolor="black [3213]" stroked="f"/>
        </w:pict>
      </w:r>
    </w:p>
    <w:p w:rsidR="00A77AE8" w:rsidRDefault="00A77AE8" w:rsidP="00A77AE8">
      <w:pPr>
        <w:rPr>
          <w:sz w:val="20"/>
          <w:szCs w:val="20"/>
        </w:rPr>
      </w:pPr>
    </w:p>
    <w:p w:rsidR="00A77AE8" w:rsidRPr="001A6485" w:rsidRDefault="00A77AE8" w:rsidP="00A77AE8">
      <w:pPr>
        <w:rPr>
          <w:sz w:val="20"/>
          <w:szCs w:val="20"/>
          <w:u w:val="single"/>
        </w:rPr>
      </w:pPr>
      <w:r>
        <w:rPr>
          <w:sz w:val="20"/>
          <w:szCs w:val="20"/>
          <w:u w:val="single"/>
        </w:rPr>
        <w:t>RÉSUMÉ DE L’AFFAIRE</w:t>
      </w:r>
    </w:p>
    <w:p w:rsidR="00A77AE8" w:rsidRDefault="00A77AE8" w:rsidP="00A77AE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Responsabilité délictuelle — Nuisance — Diffamation — Défense d'immunité relative — Le membre d'un syndicat de copropriétaires qui ne respecte pas les exigences de la loi habilitante lorsqu'il traite une affaire liée à la copropriété devrait</w:t>
            </w:r>
            <w:r w:rsidRPr="00A344E0">
              <w:rPr>
                <w:rFonts w:eastAsia="Calibri"/>
                <w:sz w:val="20"/>
                <w:lang w:val="fr-CA"/>
              </w:rPr>
              <w:noBreakHyphen/>
              <w:t>il avoir le droit de bénéficier de la défense d'immunité relative prévue par la common law? — Le droit de la nuisance devrait</w:t>
            </w:r>
            <w:r w:rsidRPr="00A344E0">
              <w:rPr>
                <w:rFonts w:eastAsia="Calibri"/>
                <w:sz w:val="20"/>
                <w:lang w:val="fr-CA"/>
              </w:rPr>
              <w:noBreakHyphen/>
              <w:t>il reconnaître la malveillance comme facteur pertinent pour déterminer la raisonnabilité des troubles de jouissance du bien d'autrui?</w:t>
            </w:r>
          </w:p>
        </w:tc>
      </w:tr>
      <w:tr w:rsidR="00A77AE8" w:rsidRPr="004163EF" w:rsidTr="004163EF">
        <w:tc>
          <w:tcPr>
            <w:tcW w:w="5000" w:type="pct"/>
            <w:gridSpan w:val="3"/>
          </w:tcPr>
          <w:p w:rsidR="00A77AE8" w:rsidRPr="00A344E0" w:rsidRDefault="00A77AE8" w:rsidP="004163EF">
            <w:pPr>
              <w:jc w:val="both"/>
              <w:rPr>
                <w:rFonts w:eastAsia="Calibri"/>
                <w:sz w:val="20"/>
                <w:lang w:val="fr-CA"/>
              </w:rPr>
            </w:pPr>
          </w:p>
        </w:tc>
      </w:tr>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Les demandeurs étaient propriétaires d'une unité de copropriété résidentielle située au rez</w:t>
            </w:r>
            <w:r w:rsidRPr="00A344E0">
              <w:rPr>
                <w:rFonts w:eastAsia="Calibri"/>
                <w:sz w:val="20"/>
                <w:lang w:val="fr-CA"/>
              </w:rPr>
              <w:noBreakHyphen/>
              <w:t>de</w:t>
            </w:r>
            <w:r w:rsidRPr="00A344E0">
              <w:rPr>
                <w:rFonts w:eastAsia="Calibri"/>
                <w:sz w:val="20"/>
                <w:lang w:val="fr-CA"/>
              </w:rPr>
              <w:noBreakHyphen/>
              <w:t>chaussée.  Les demandeurs avaient porté des plaintes de mauvaise gestion financière contre le syndicat des copropriétaires.  Les demandeurs ont allégué qu'à la suite de ces plaintes, l'intimé M. Leo Lavigne était passé à pied dans une allée publique devant leur fenêtre à plusieurs reprises pendant l'année et qu'il les avait dévisagés de façon intimidante.  Les demandeurs ont allégué que ce comportement constituait une nuisance.  Après qu'ils eurent porté plainte au syndicat des copropriétaires au sujet du comportement de M. Lavigne, le président du syndicat, M. Andrew Neufeld, après une réunion pour discuter la question, a distribué un bulletin à tous les copropriétaires les informant du différend avec les demandeurs et de la nécessité de porter plainte à la police contre eux.  Les demandeurs ont allégué que le titre du bulletin constituait de la diffamation.  Chacun des intimés a nié les allégations et M. Neufeld a fait valoir la défense subsidiaire d'immunité relative contre la demande en diffamation.</w:t>
            </w:r>
          </w:p>
          <w:p w:rsidR="00A77AE8" w:rsidRPr="00A344E0" w:rsidRDefault="00A77AE8" w:rsidP="004163EF">
            <w:pPr>
              <w:jc w:val="both"/>
              <w:rPr>
                <w:rFonts w:eastAsia="Calibri"/>
                <w:sz w:val="20"/>
                <w:lang w:val="fr-CA"/>
              </w:rPr>
            </w:pPr>
          </w:p>
        </w:tc>
      </w:tr>
      <w:tr w:rsidR="00A77AE8" w:rsidRPr="004163EF"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17 août 2010</w:t>
            </w:r>
          </w:p>
          <w:p w:rsidR="00A77AE8" w:rsidRPr="00A344E0" w:rsidRDefault="00A77AE8" w:rsidP="004163EF">
            <w:pPr>
              <w:jc w:val="both"/>
              <w:rPr>
                <w:rFonts w:eastAsia="Calibri"/>
                <w:sz w:val="20"/>
                <w:lang w:val="fr-CA"/>
              </w:rPr>
            </w:pPr>
            <w:r w:rsidRPr="00A344E0">
              <w:rPr>
                <w:rFonts w:eastAsia="Calibri"/>
                <w:sz w:val="20"/>
                <w:lang w:val="fr-CA"/>
              </w:rPr>
              <w:t>Cour suprême de la Colombie</w:t>
            </w:r>
            <w:r w:rsidRPr="00A344E0">
              <w:rPr>
                <w:rFonts w:eastAsia="Calibri"/>
                <w:sz w:val="20"/>
                <w:lang w:val="fr-CA"/>
              </w:rPr>
              <w:noBreakHyphen/>
              <w:t xml:space="preserve">Britannique </w:t>
            </w:r>
          </w:p>
          <w:p w:rsidR="00A77AE8" w:rsidRPr="00A344E0" w:rsidRDefault="00A77AE8" w:rsidP="004163EF">
            <w:pPr>
              <w:jc w:val="both"/>
              <w:rPr>
                <w:rFonts w:eastAsia="Calibri"/>
                <w:sz w:val="20"/>
                <w:lang w:val="fr-CA"/>
              </w:rPr>
            </w:pPr>
            <w:r w:rsidRPr="00A344E0">
              <w:rPr>
                <w:rFonts w:eastAsia="Calibri"/>
                <w:sz w:val="20"/>
                <w:lang w:val="fr-CA"/>
              </w:rPr>
              <w:t>(Juge Burnyeat)</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Action en dommages</w:t>
            </w:r>
            <w:r w:rsidRPr="00A344E0">
              <w:rPr>
                <w:rFonts w:eastAsia="Calibri"/>
                <w:sz w:val="20"/>
                <w:lang w:val="fr-CA"/>
              </w:rPr>
              <w:noBreakHyphen/>
              <w:t>intérêts pour nuisance et diffamation, rejetée</w:t>
            </w:r>
          </w:p>
          <w:p w:rsidR="00A77AE8" w:rsidRPr="00A344E0" w:rsidRDefault="00A77AE8" w:rsidP="004163EF">
            <w:pPr>
              <w:jc w:val="both"/>
              <w:rPr>
                <w:rFonts w:eastAsia="Calibri"/>
                <w:sz w:val="20"/>
                <w:lang w:val="fr-CA"/>
              </w:rPr>
            </w:pPr>
          </w:p>
          <w:p w:rsidR="00A77AE8" w:rsidRPr="00A344E0" w:rsidRDefault="00A77AE8" w:rsidP="004163EF">
            <w:pPr>
              <w:jc w:val="both"/>
              <w:rPr>
                <w:rFonts w:eastAsia="Calibri"/>
                <w:sz w:val="20"/>
                <w:lang w:val="fr-CA"/>
              </w:rPr>
            </w:pPr>
          </w:p>
        </w:tc>
      </w:tr>
      <w:tr w:rsidR="00A77AE8" w:rsidRPr="00A344E0"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8 mars 2011</w:t>
            </w:r>
          </w:p>
          <w:p w:rsidR="00A77AE8" w:rsidRPr="00A344E0" w:rsidRDefault="00A77AE8" w:rsidP="004163EF">
            <w:pPr>
              <w:jc w:val="both"/>
              <w:rPr>
                <w:rFonts w:eastAsia="Calibri"/>
                <w:sz w:val="20"/>
                <w:lang w:val="fr-CA"/>
              </w:rPr>
            </w:pPr>
            <w:r w:rsidRPr="00A344E0">
              <w:rPr>
                <w:rFonts w:eastAsia="Calibri"/>
                <w:sz w:val="20"/>
                <w:lang w:val="fr-CA"/>
              </w:rPr>
              <w:t>Cour d'appel de la Colombie</w:t>
            </w:r>
            <w:r w:rsidRPr="00A344E0">
              <w:rPr>
                <w:rFonts w:eastAsia="Calibri"/>
                <w:sz w:val="20"/>
                <w:lang w:val="fr-CA"/>
              </w:rPr>
              <w:noBreakHyphen/>
              <w:t>Britannique (Vancouver)</w:t>
            </w:r>
          </w:p>
          <w:p w:rsidR="00A77AE8" w:rsidRPr="00A344E0" w:rsidRDefault="00A77AE8" w:rsidP="004163EF">
            <w:pPr>
              <w:jc w:val="both"/>
              <w:rPr>
                <w:rFonts w:eastAsia="Calibri"/>
                <w:sz w:val="20"/>
              </w:rPr>
            </w:pPr>
            <w:r w:rsidRPr="00A344E0">
              <w:rPr>
                <w:rFonts w:eastAsia="Calibri"/>
                <w:sz w:val="20"/>
              </w:rPr>
              <w:t>(Juges Huddart, Low et Smith)</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Appel rejeté</w:t>
            </w:r>
          </w:p>
          <w:p w:rsidR="00A77AE8" w:rsidRPr="00A344E0" w:rsidRDefault="00A77AE8" w:rsidP="004163EF">
            <w:pPr>
              <w:jc w:val="both"/>
              <w:rPr>
                <w:rFonts w:eastAsia="Calibri"/>
                <w:sz w:val="20"/>
                <w:lang w:val="fr-CA"/>
              </w:rPr>
            </w:pPr>
          </w:p>
          <w:p w:rsidR="00A77AE8" w:rsidRPr="00A344E0" w:rsidRDefault="00A77AE8" w:rsidP="004163EF">
            <w:pPr>
              <w:jc w:val="both"/>
              <w:rPr>
                <w:rFonts w:eastAsia="Calibri"/>
                <w:sz w:val="20"/>
                <w:lang w:val="fr-CA"/>
              </w:rPr>
            </w:pPr>
          </w:p>
        </w:tc>
      </w:tr>
      <w:tr w:rsidR="00A77AE8" w:rsidRPr="00A344E0"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9 mai 2011</w:t>
            </w:r>
          </w:p>
          <w:p w:rsidR="00A77AE8" w:rsidRPr="00A344E0" w:rsidRDefault="00A77AE8" w:rsidP="004163EF">
            <w:pPr>
              <w:jc w:val="both"/>
              <w:rPr>
                <w:rFonts w:eastAsia="Calibri"/>
                <w:sz w:val="20"/>
                <w:lang w:val="fr-CA"/>
              </w:rPr>
            </w:pPr>
            <w:r w:rsidRPr="00A344E0">
              <w:rPr>
                <w:rFonts w:eastAsia="Calibri"/>
                <w:sz w:val="20"/>
                <w:lang w:val="fr-CA"/>
              </w:rPr>
              <w:t>Cour suprême du Canada</w:t>
            </w: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Demande d'autorisation d'appel, déposée</w:t>
            </w:r>
          </w:p>
          <w:p w:rsidR="00A77AE8" w:rsidRPr="00A344E0" w:rsidRDefault="00A77AE8" w:rsidP="004163EF">
            <w:pPr>
              <w:jc w:val="both"/>
              <w:rPr>
                <w:rFonts w:eastAsia="Calibri"/>
                <w:sz w:val="20"/>
                <w:lang w:val="fr-CA"/>
              </w:rPr>
            </w:pP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43" style="width:2in;height:1pt" o:hrpct="0" o:hralign="center" o:hrstd="t" o:hrnoshade="t" o:hr="t" fillcolor="black [3213]" stroked="f"/>
        </w:pict>
      </w:r>
    </w:p>
    <w:p w:rsidR="00A77AE8" w:rsidRDefault="00A77AE8" w:rsidP="00A77AE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Style w:val="SCCFileNumberChar"/>
                <w:rFonts w:cs="Times New Roman"/>
                <w:sz w:val="20"/>
                <w:szCs w:val="20"/>
              </w:rPr>
              <w:t>34274</w:t>
            </w:r>
          </w:p>
          <w:p w:rsidR="00A77AE8" w:rsidRPr="00D13261" w:rsidRDefault="00A77AE8" w:rsidP="004163EF">
            <w:pPr>
              <w:rPr>
                <w:rFonts w:cs="Times New Roman"/>
                <w:b/>
                <w:sz w:val="20"/>
                <w:szCs w:val="20"/>
                <w:lang w:val="fr-CA"/>
              </w:rPr>
            </w:pPr>
          </w:p>
        </w:tc>
        <w:tc>
          <w:tcPr>
            <w:tcW w:w="8118" w:type="dxa"/>
          </w:tcPr>
          <w:p w:rsidR="00A77AE8" w:rsidRPr="00D13261" w:rsidRDefault="00A77AE8" w:rsidP="004163EF">
            <w:pPr>
              <w:rPr>
                <w:rFonts w:cs="Times New Roman"/>
                <w:sz w:val="20"/>
                <w:szCs w:val="20"/>
              </w:rPr>
            </w:pPr>
            <w:r w:rsidRPr="00D13261">
              <w:rPr>
                <w:rStyle w:val="SCCLsocChar"/>
                <w:rFonts w:cs="Times New Roman"/>
                <w:sz w:val="20"/>
                <w:szCs w:val="20"/>
                <w:lang w:val="en-CA"/>
              </w:rPr>
              <w:t>David Mark Black v. Her Majesty the Queen</w:t>
            </w:r>
            <w:r w:rsidRPr="00D13261">
              <w:rPr>
                <w:rFonts w:cs="Times New Roman"/>
                <w:sz w:val="20"/>
                <w:szCs w:val="20"/>
              </w:rPr>
              <w:t xml:space="preserve"> (N.B.) (Criminal) (By Leave)</w:t>
            </w:r>
          </w:p>
          <w:p w:rsidR="00A77AE8" w:rsidRPr="00D13261" w:rsidRDefault="00A77AE8" w:rsidP="004163EF">
            <w:pPr>
              <w:rPr>
                <w:rFonts w:cs="Times New Roman"/>
                <w:sz w:val="20"/>
                <w:szCs w:val="20"/>
              </w:rPr>
            </w:pPr>
          </w:p>
        </w:tc>
      </w:tr>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Fonts w:cs="Times New Roman"/>
                <w:sz w:val="20"/>
                <w:szCs w:val="20"/>
              </w:rPr>
              <w:t>Coram :</w:t>
            </w:r>
          </w:p>
        </w:tc>
        <w:tc>
          <w:tcPr>
            <w:tcW w:w="8118" w:type="dxa"/>
          </w:tcPr>
          <w:p w:rsidR="00A77AE8" w:rsidRPr="00D13261" w:rsidRDefault="00A77AE8" w:rsidP="004163EF">
            <w:pPr>
              <w:rPr>
                <w:rFonts w:cs="Times New Roman"/>
                <w:sz w:val="20"/>
                <w:szCs w:val="20"/>
              </w:rPr>
            </w:pPr>
            <w:r w:rsidRPr="00D13261">
              <w:rPr>
                <w:rStyle w:val="SCCCoramChar"/>
                <w:rFonts w:cs="Times New Roman"/>
                <w:sz w:val="20"/>
                <w:szCs w:val="20"/>
                <w:lang w:val="en-CA"/>
              </w:rPr>
              <w:t>LeBel, Fish and Cromwell JJ.</w:t>
            </w:r>
          </w:p>
          <w:p w:rsidR="00A77AE8" w:rsidRPr="00D13261" w:rsidRDefault="00A77AE8" w:rsidP="004163EF">
            <w:pPr>
              <w:rPr>
                <w:rFonts w:cs="Times New Roman"/>
                <w:sz w:val="20"/>
                <w:szCs w:val="20"/>
                <w:u w:val="single"/>
              </w:rPr>
            </w:pPr>
          </w:p>
        </w:tc>
      </w:tr>
      <w:tr w:rsidR="00A77AE8" w:rsidRPr="004163EF" w:rsidTr="004163EF">
        <w:trPr>
          <w:cantSplit/>
        </w:trPr>
        <w:tc>
          <w:tcPr>
            <w:tcW w:w="9576" w:type="dxa"/>
            <w:gridSpan w:val="2"/>
          </w:tcPr>
          <w:p w:rsidR="00A77AE8" w:rsidRPr="00D13261" w:rsidRDefault="00A77AE8" w:rsidP="004163EF">
            <w:pPr>
              <w:pStyle w:val="SCCShortJudgment"/>
              <w:rPr>
                <w:rFonts w:cs="Times New Roman"/>
                <w:szCs w:val="20"/>
              </w:rPr>
            </w:pPr>
            <w:r w:rsidRPr="00D13261">
              <w:rPr>
                <w:rFonts w:cs="Times New Roman"/>
                <w:szCs w:val="20"/>
              </w:rPr>
              <w:lastRenderedPageBreak/>
              <w:t>The motion for an extension of time to serve and file the application for leave to appeal is granted. The application for leave to appeal from the judgment of the Court of Appeal of New Brunswick, Number 166-10-CA, 2011 NBCA 18, dated March 10, 2011, is dismissed without costs.</w:t>
            </w:r>
          </w:p>
          <w:p w:rsidR="00A77AE8" w:rsidRPr="00D13261" w:rsidRDefault="00A77AE8" w:rsidP="004163EF">
            <w:pPr>
              <w:pStyle w:val="SCCShortJudgment"/>
              <w:ind w:firstLine="0"/>
              <w:rPr>
                <w:rFonts w:cs="Times New Roman"/>
                <w:szCs w:val="20"/>
              </w:rPr>
            </w:pPr>
          </w:p>
          <w:p w:rsidR="00A77AE8" w:rsidRPr="00D13261" w:rsidRDefault="00A77AE8" w:rsidP="004163EF">
            <w:pPr>
              <w:pStyle w:val="SCCShortJudgment"/>
              <w:rPr>
                <w:rFonts w:cs="Times New Roman"/>
                <w:szCs w:val="20"/>
                <w:lang w:val="fr-CA"/>
              </w:rPr>
            </w:pPr>
            <w:r w:rsidRPr="00D13261">
              <w:rPr>
                <w:rFonts w:cs="Times New Roman"/>
                <w:szCs w:val="20"/>
                <w:lang w:val="fr-CA"/>
              </w:rPr>
              <w:t>La requête en prorogation du délai de signification et de dépôt de la demande d’autorisation d’appel est accordée. La demande d’autorisation d’appel de l’arrêt de la Cour d’appel du Nouveau-Brunswick, numéro 166-10-CA, 2011 NBCA 18, daté du 10 mars 2011, est rejetée sans dépens.</w:t>
            </w:r>
          </w:p>
        </w:tc>
      </w:tr>
    </w:tbl>
    <w:p w:rsidR="00A77AE8" w:rsidRPr="00167D60" w:rsidRDefault="00A77AE8" w:rsidP="00A77AE8">
      <w:pPr>
        <w:rPr>
          <w:sz w:val="20"/>
          <w:szCs w:val="20"/>
          <w:lang w:val="fr-CA"/>
        </w:rPr>
      </w:pPr>
    </w:p>
    <w:p w:rsidR="00A77AE8" w:rsidRDefault="00A77AE8" w:rsidP="00A77AE8">
      <w:pPr>
        <w:rPr>
          <w:sz w:val="20"/>
          <w:szCs w:val="20"/>
        </w:rPr>
      </w:pPr>
      <w:r>
        <w:rPr>
          <w:sz w:val="20"/>
          <w:szCs w:val="20"/>
          <w:u w:val="single"/>
        </w:rPr>
        <w:t>CASE SUMMARY</w:t>
      </w:r>
    </w:p>
    <w:p w:rsidR="00A77AE8" w:rsidRDefault="00A77AE8" w:rsidP="00A77AE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i/>
                <w:sz w:val="20"/>
              </w:rPr>
              <w:t>Charter of Rights</w:t>
            </w:r>
            <w:r w:rsidRPr="00A344E0">
              <w:rPr>
                <w:rFonts w:eastAsia="Calibri"/>
                <w:sz w:val="20"/>
              </w:rPr>
              <w:t xml:space="preserve"> — Criminal law — Appeals — Prerogative writs — </w:t>
            </w:r>
            <w:r w:rsidRPr="00A344E0">
              <w:rPr>
                <w:rFonts w:eastAsia="Calibri"/>
                <w:i/>
                <w:sz w:val="20"/>
              </w:rPr>
              <w:t>Certiorari</w:t>
            </w:r>
            <w:r w:rsidRPr="00A344E0">
              <w:rPr>
                <w:rFonts w:eastAsia="Calibri"/>
                <w:sz w:val="20"/>
              </w:rPr>
              <w:t xml:space="preserve"> — Application to have a conviction quashed on the ground that the trial judge had no jurisdiction  — Whether the Court of Appeal erred that no conviction or order shall be removed by </w:t>
            </w:r>
            <w:r w:rsidRPr="00A344E0">
              <w:rPr>
                <w:rFonts w:eastAsia="Calibri"/>
                <w:i/>
                <w:sz w:val="20"/>
              </w:rPr>
              <w:t>certiorari</w:t>
            </w:r>
            <w:r w:rsidRPr="00A344E0">
              <w:rPr>
                <w:rFonts w:eastAsia="Calibri"/>
                <w:sz w:val="20"/>
              </w:rPr>
              <w:t xml:space="preserve"> where an appeal was taken — Whether the Court of Appeal erred that the applicant had no recourse to the Court of Appeal because his application was not a proceeding by way of </w:t>
            </w:r>
            <w:r w:rsidRPr="00A344E0">
              <w:rPr>
                <w:rFonts w:eastAsia="Calibri"/>
                <w:i/>
                <w:sz w:val="20"/>
              </w:rPr>
              <w:t>certiorari</w:t>
            </w:r>
            <w:r w:rsidRPr="00A344E0">
              <w:rPr>
                <w:rFonts w:eastAsia="Calibri"/>
                <w:sz w:val="20"/>
              </w:rPr>
              <w:t xml:space="preserve"> — </w:t>
            </w:r>
            <w:r w:rsidRPr="00A344E0">
              <w:rPr>
                <w:rFonts w:eastAsia="Calibri"/>
                <w:i/>
                <w:iCs/>
                <w:sz w:val="20"/>
              </w:rPr>
              <w:t>Canadian Charter of Rights and Freedoms</w:t>
            </w:r>
            <w:r w:rsidRPr="00A344E0">
              <w:rPr>
                <w:rFonts w:eastAsia="Calibri"/>
                <w:iCs/>
                <w:sz w:val="20"/>
              </w:rPr>
              <w:t xml:space="preserve">, ss. 7, 9, 11(d), 12 and 15 — </w:t>
            </w:r>
            <w:r w:rsidRPr="00A344E0">
              <w:rPr>
                <w:rFonts w:eastAsia="Calibri"/>
                <w:i/>
                <w:iCs/>
                <w:sz w:val="20"/>
              </w:rPr>
              <w:t>Criminal Code</w:t>
            </w:r>
            <w:r w:rsidRPr="00A344E0">
              <w:rPr>
                <w:rFonts w:eastAsia="Calibri"/>
                <w:iCs/>
                <w:sz w:val="20"/>
              </w:rPr>
              <w:t xml:space="preserve">, </w:t>
            </w:r>
            <w:r w:rsidRPr="00A344E0">
              <w:rPr>
                <w:rFonts w:eastAsia="Calibri"/>
                <w:sz w:val="20"/>
              </w:rPr>
              <w:t>R.S.C. 1985, c. C</w:t>
            </w:r>
            <w:r w:rsidRPr="00A344E0">
              <w:rPr>
                <w:rFonts w:eastAsia="Calibri"/>
                <w:sz w:val="20"/>
              </w:rPr>
              <w:noBreakHyphen/>
              <w:t>46, ss. 774, 776 and 784.</w:t>
            </w:r>
          </w:p>
          <w:p w:rsidR="00A77AE8" w:rsidRPr="00A344E0" w:rsidRDefault="00A77AE8" w:rsidP="004163EF">
            <w:pPr>
              <w:jc w:val="both"/>
              <w:rPr>
                <w:rFonts w:eastAsia="Calibri"/>
                <w:sz w:val="20"/>
              </w:rPr>
            </w:pPr>
          </w:p>
        </w:tc>
      </w:tr>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 xml:space="preserve">The applicant Mr. Black was convicted in the Provincial Court of New Brunswick of conspiracy to produce marijuana, conspiracy to traffic marijuana and three firearms offences.  His appeal against conviction was dismissed, as was his application for leave to appeal to this Court.  Mr. Black subsequently applied to the Court of Queen’s Bench for </w:t>
            </w:r>
            <w:r w:rsidRPr="00A344E0">
              <w:rPr>
                <w:rFonts w:eastAsia="Calibri"/>
                <w:i/>
                <w:sz w:val="20"/>
              </w:rPr>
              <w:t>certiorari</w:t>
            </w:r>
            <w:r w:rsidRPr="00A344E0">
              <w:rPr>
                <w:rFonts w:eastAsia="Calibri"/>
                <w:sz w:val="20"/>
              </w:rPr>
              <w:t xml:space="preserve"> to have his conviction quashed on the ground that the Provincial Court had lost jurisdiction to try him.</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November 30, 2010</w:t>
            </w:r>
          </w:p>
          <w:p w:rsidR="00A77AE8" w:rsidRPr="00A344E0" w:rsidRDefault="00A77AE8" w:rsidP="004163EF">
            <w:pPr>
              <w:jc w:val="both"/>
              <w:rPr>
                <w:rFonts w:eastAsia="Calibri"/>
                <w:sz w:val="20"/>
              </w:rPr>
            </w:pPr>
            <w:r w:rsidRPr="00A344E0">
              <w:rPr>
                <w:rFonts w:eastAsia="Calibri"/>
                <w:sz w:val="20"/>
              </w:rPr>
              <w:t>Court of Queen’s Bench of New Brunswick</w:t>
            </w:r>
          </w:p>
          <w:p w:rsidR="00A77AE8" w:rsidRPr="00A344E0" w:rsidRDefault="00A77AE8" w:rsidP="004163EF">
            <w:pPr>
              <w:jc w:val="both"/>
              <w:rPr>
                <w:rFonts w:eastAsia="Calibri"/>
                <w:sz w:val="20"/>
              </w:rPr>
            </w:pPr>
            <w:r w:rsidRPr="00A344E0">
              <w:rPr>
                <w:rFonts w:eastAsia="Calibri"/>
                <w:sz w:val="20"/>
              </w:rPr>
              <w:t>(Ouellette J.)</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 xml:space="preserve">Application for an order of </w:t>
            </w:r>
            <w:r w:rsidRPr="00A344E0">
              <w:rPr>
                <w:rFonts w:eastAsia="Calibri"/>
                <w:i/>
                <w:sz w:val="20"/>
              </w:rPr>
              <w:t>certiorari</w:t>
            </w:r>
            <w:r w:rsidRPr="00A344E0">
              <w:rPr>
                <w:rFonts w:eastAsia="Calibri"/>
                <w:sz w:val="20"/>
              </w:rPr>
              <w:t xml:space="preserve"> dismissed</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March 10, 2011</w:t>
            </w:r>
          </w:p>
          <w:p w:rsidR="00A77AE8" w:rsidRPr="00A344E0" w:rsidRDefault="00A77AE8" w:rsidP="004163EF">
            <w:pPr>
              <w:jc w:val="both"/>
              <w:rPr>
                <w:rFonts w:eastAsia="Calibri"/>
                <w:sz w:val="20"/>
              </w:rPr>
            </w:pPr>
            <w:r w:rsidRPr="00A344E0">
              <w:rPr>
                <w:rFonts w:eastAsia="Calibri"/>
                <w:sz w:val="20"/>
              </w:rPr>
              <w:t>Court of Appeal of New Brunswick</w:t>
            </w:r>
          </w:p>
          <w:p w:rsidR="00A77AE8" w:rsidRPr="00A344E0" w:rsidRDefault="00A77AE8" w:rsidP="004163EF">
            <w:pPr>
              <w:jc w:val="both"/>
              <w:rPr>
                <w:rFonts w:eastAsia="Calibri"/>
                <w:sz w:val="20"/>
              </w:rPr>
            </w:pPr>
            <w:r w:rsidRPr="00A344E0">
              <w:rPr>
                <w:rFonts w:eastAsia="Calibri"/>
                <w:sz w:val="20"/>
              </w:rPr>
              <w:t>(Drapeau, Richard and Bell JJ.A.)</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Motion of the Attorney General allowed and notice of appeal quashed</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May 11, 2011</w:t>
            </w:r>
          </w:p>
          <w:p w:rsidR="00A77AE8" w:rsidRPr="00A344E0" w:rsidRDefault="00A77AE8" w:rsidP="004163EF">
            <w:pPr>
              <w:jc w:val="both"/>
              <w:rPr>
                <w:rFonts w:eastAsia="Calibri"/>
                <w:sz w:val="20"/>
              </w:rPr>
            </w:pPr>
            <w:r w:rsidRPr="00A344E0">
              <w:rPr>
                <w:rFonts w:eastAsia="Calibri"/>
                <w:sz w:val="20"/>
              </w:rPr>
              <w:t>Supreme Court of Canada</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Application for leave to appeal filed</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August 8, 2011</w:t>
            </w:r>
          </w:p>
          <w:p w:rsidR="00A77AE8" w:rsidRPr="00A344E0" w:rsidRDefault="00A77AE8" w:rsidP="004163EF">
            <w:pPr>
              <w:jc w:val="both"/>
              <w:rPr>
                <w:rFonts w:eastAsia="Calibri"/>
                <w:sz w:val="20"/>
              </w:rPr>
            </w:pPr>
            <w:r w:rsidRPr="00A344E0">
              <w:rPr>
                <w:rFonts w:eastAsia="Calibri"/>
                <w:sz w:val="20"/>
              </w:rPr>
              <w:t xml:space="preserve">Supreme Court of Canada </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Motion to extend time to file and serve leave application filed</w:t>
            </w: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44" style="width:2in;height:1pt" o:hrpct="0" o:hralign="center" o:hrstd="t" o:hrnoshade="t" o:hr="t" fillcolor="black [3213]" stroked="f"/>
        </w:pict>
      </w:r>
    </w:p>
    <w:p w:rsidR="00A77AE8" w:rsidRDefault="00A77AE8" w:rsidP="00A77AE8">
      <w:pPr>
        <w:rPr>
          <w:sz w:val="20"/>
          <w:szCs w:val="20"/>
        </w:rPr>
      </w:pPr>
    </w:p>
    <w:p w:rsidR="00A77AE8" w:rsidRPr="001A6485" w:rsidRDefault="00A77AE8" w:rsidP="00A77AE8">
      <w:pPr>
        <w:rPr>
          <w:sz w:val="20"/>
          <w:szCs w:val="20"/>
          <w:u w:val="single"/>
        </w:rPr>
      </w:pPr>
      <w:r>
        <w:rPr>
          <w:sz w:val="20"/>
          <w:szCs w:val="20"/>
          <w:u w:val="single"/>
        </w:rPr>
        <w:t>RÉSUMÉ DE L’AFFAIRE</w:t>
      </w:r>
    </w:p>
    <w:p w:rsidR="00A77AE8" w:rsidRDefault="00A77AE8" w:rsidP="00A77AE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77AE8" w:rsidRPr="00A344E0" w:rsidTr="004163EF">
        <w:tc>
          <w:tcPr>
            <w:tcW w:w="5000" w:type="pct"/>
            <w:gridSpan w:val="3"/>
          </w:tcPr>
          <w:p w:rsidR="00A77AE8" w:rsidRPr="00A344E0" w:rsidRDefault="00A77AE8" w:rsidP="004163EF">
            <w:pPr>
              <w:jc w:val="both"/>
              <w:rPr>
                <w:rFonts w:eastAsia="Calibri"/>
                <w:sz w:val="20"/>
                <w:lang w:val="fr-CA"/>
              </w:rPr>
            </w:pPr>
            <w:r w:rsidRPr="00A344E0">
              <w:rPr>
                <w:rFonts w:eastAsia="Calibri"/>
                <w:i/>
                <w:sz w:val="20"/>
                <w:lang w:val="fr-CA"/>
              </w:rPr>
              <w:t xml:space="preserve">Charte des droits </w:t>
            </w:r>
            <w:r w:rsidRPr="00A344E0">
              <w:rPr>
                <w:rFonts w:eastAsia="Calibri"/>
                <w:sz w:val="20"/>
                <w:lang w:val="fr-CA"/>
              </w:rPr>
              <w:t xml:space="preserve">— Droit criminel — Appels — Brefs de prérogative — </w:t>
            </w:r>
            <w:r w:rsidRPr="00A344E0">
              <w:rPr>
                <w:rFonts w:eastAsia="Calibri"/>
                <w:i/>
                <w:sz w:val="20"/>
                <w:lang w:val="fr-CA"/>
              </w:rPr>
              <w:t>Certiorari</w:t>
            </w:r>
            <w:r w:rsidRPr="00A344E0">
              <w:rPr>
                <w:rFonts w:eastAsia="Calibri"/>
                <w:sz w:val="20"/>
                <w:lang w:val="fr-CA"/>
              </w:rPr>
              <w:t xml:space="preserve"> — Demande d’annulation d’une déclaration de culpabilité pour le motif que le juge du procès n’avait pas compétence — La Cour d’appel a</w:t>
            </w:r>
            <w:r w:rsidRPr="00A344E0">
              <w:rPr>
                <w:rFonts w:eastAsia="Calibri"/>
                <w:sz w:val="20"/>
                <w:lang w:val="fr-CA"/>
              </w:rPr>
              <w:noBreakHyphen/>
              <w:t>t</w:t>
            </w:r>
            <w:r w:rsidRPr="00A344E0">
              <w:rPr>
                <w:rFonts w:eastAsia="Calibri"/>
                <w:sz w:val="20"/>
                <w:lang w:val="fr-CA"/>
              </w:rPr>
              <w:noBreakHyphen/>
              <w:t xml:space="preserve">elle eu tort de conclure qu’une déclaration de culpabilité ou une ordonnance ne pouvait être annulée par </w:t>
            </w:r>
            <w:r w:rsidRPr="00A344E0">
              <w:rPr>
                <w:rFonts w:eastAsia="Calibri"/>
                <w:i/>
                <w:sz w:val="20"/>
                <w:lang w:val="fr-CA"/>
              </w:rPr>
              <w:t>certiorari</w:t>
            </w:r>
            <w:r w:rsidRPr="00A344E0">
              <w:rPr>
                <w:rFonts w:eastAsia="Calibri"/>
                <w:sz w:val="20"/>
                <w:lang w:val="fr-CA"/>
              </w:rPr>
              <w:t xml:space="preserve"> lorsqu’un appel a été interjeté? — La Cour d’appel a</w:t>
            </w:r>
            <w:r w:rsidRPr="00A344E0">
              <w:rPr>
                <w:rFonts w:eastAsia="Calibri"/>
                <w:sz w:val="20"/>
                <w:lang w:val="fr-CA"/>
              </w:rPr>
              <w:noBreakHyphen/>
              <w:t>t</w:t>
            </w:r>
            <w:r w:rsidRPr="00A344E0">
              <w:rPr>
                <w:rFonts w:eastAsia="Calibri"/>
                <w:sz w:val="20"/>
                <w:lang w:val="fr-CA"/>
              </w:rPr>
              <w:noBreakHyphen/>
              <w:t xml:space="preserve">elle eu tort de conclure que le demandeur n’avait aucun recours à la Cour d’appel parce que sa demande n’avait pas été introduite par voie de </w:t>
            </w:r>
            <w:r w:rsidRPr="00A344E0">
              <w:rPr>
                <w:rFonts w:eastAsia="Calibri"/>
                <w:i/>
                <w:sz w:val="20"/>
                <w:lang w:val="fr-CA"/>
              </w:rPr>
              <w:t>certiorari</w:t>
            </w:r>
            <w:r w:rsidRPr="00A344E0">
              <w:rPr>
                <w:rFonts w:eastAsia="Calibri"/>
                <w:sz w:val="20"/>
                <w:lang w:val="fr-CA"/>
              </w:rPr>
              <w:t>? —</w:t>
            </w:r>
            <w:r w:rsidRPr="00A344E0">
              <w:rPr>
                <w:rFonts w:eastAsia="Calibri"/>
                <w:i/>
                <w:iCs/>
                <w:sz w:val="20"/>
                <w:lang w:val="fr-CA"/>
              </w:rPr>
              <w:t xml:space="preserve"> Charte canadienne des droits et libertés</w:t>
            </w:r>
            <w:r w:rsidRPr="00A344E0">
              <w:rPr>
                <w:rFonts w:eastAsia="Calibri"/>
                <w:iCs/>
                <w:sz w:val="20"/>
                <w:lang w:val="fr-CA"/>
              </w:rPr>
              <w:t>, art. 7, 9, 11d), 12 et 15 —</w:t>
            </w:r>
            <w:r w:rsidRPr="00A344E0">
              <w:rPr>
                <w:rFonts w:eastAsia="Calibri"/>
                <w:i/>
                <w:iCs/>
                <w:sz w:val="20"/>
                <w:lang w:val="fr-CA"/>
              </w:rPr>
              <w:t xml:space="preserve"> Code criminel</w:t>
            </w:r>
            <w:r w:rsidRPr="00A344E0">
              <w:rPr>
                <w:rFonts w:eastAsia="Calibri"/>
                <w:iCs/>
                <w:sz w:val="20"/>
                <w:lang w:val="fr-CA"/>
              </w:rPr>
              <w:t xml:space="preserve">, </w:t>
            </w:r>
            <w:r w:rsidRPr="00A344E0">
              <w:rPr>
                <w:rFonts w:eastAsia="Calibri"/>
                <w:sz w:val="20"/>
                <w:lang w:val="fr-CA"/>
              </w:rPr>
              <w:t>L.R.C. 1985, ch. C</w:t>
            </w:r>
            <w:r w:rsidRPr="00A344E0">
              <w:rPr>
                <w:rFonts w:eastAsia="Calibri"/>
                <w:sz w:val="20"/>
                <w:lang w:val="fr-CA"/>
              </w:rPr>
              <w:noBreakHyphen/>
              <w:t>46, art. 774, 776 et 784.</w:t>
            </w:r>
          </w:p>
          <w:p w:rsidR="00A77AE8" w:rsidRPr="00A344E0" w:rsidRDefault="00A77AE8" w:rsidP="004163EF">
            <w:pPr>
              <w:jc w:val="both"/>
              <w:rPr>
                <w:rFonts w:eastAsia="Calibri"/>
                <w:sz w:val="20"/>
                <w:lang w:val="fr-CA"/>
              </w:rPr>
            </w:pPr>
          </w:p>
        </w:tc>
      </w:tr>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Le demandeur M. Black a été déclaré coupable en Cour provinciale du Nouveau</w:t>
            </w:r>
            <w:r w:rsidRPr="00A344E0">
              <w:rPr>
                <w:rFonts w:eastAsia="Calibri"/>
                <w:sz w:val="20"/>
                <w:lang w:val="fr-CA"/>
              </w:rPr>
              <w:noBreakHyphen/>
              <w:t xml:space="preserve">Brunswick de complot en vue de produire de la marijuana, de complot en vue de faire le trafic de la marijuana et de trois infractions relatives aux armes </w:t>
            </w:r>
            <w:r w:rsidRPr="00A344E0">
              <w:rPr>
                <w:rFonts w:eastAsia="Calibri"/>
                <w:sz w:val="20"/>
                <w:lang w:val="fr-CA"/>
              </w:rPr>
              <w:lastRenderedPageBreak/>
              <w:t xml:space="preserve">à feu. Son appel de la déclaration de culpabilité a été rejeté, tout comme sa demande d’autorisation d’appel à cette Cour.  Par la suite, M. Black a présenté une demande de </w:t>
            </w:r>
            <w:r w:rsidRPr="00A344E0">
              <w:rPr>
                <w:rFonts w:eastAsia="Calibri"/>
                <w:i/>
                <w:sz w:val="20"/>
                <w:lang w:val="fr-CA"/>
              </w:rPr>
              <w:t>certiorari</w:t>
            </w:r>
            <w:r w:rsidRPr="00A344E0">
              <w:rPr>
                <w:rFonts w:eastAsia="Calibri"/>
                <w:sz w:val="20"/>
                <w:lang w:val="fr-CA"/>
              </w:rPr>
              <w:t xml:space="preserve"> à la Cour du Banc de la Reine afin que sa déclaration de culpabilité soit annulée pour le motif que la Cour provinciale avait perdu la compétence de le juger.</w:t>
            </w:r>
          </w:p>
          <w:p w:rsidR="00A77AE8" w:rsidRPr="00A344E0" w:rsidRDefault="00A77AE8" w:rsidP="004163EF">
            <w:pPr>
              <w:jc w:val="both"/>
              <w:rPr>
                <w:rFonts w:eastAsia="Calibri"/>
                <w:sz w:val="20"/>
                <w:lang w:val="fr-CA"/>
              </w:rPr>
            </w:pPr>
          </w:p>
        </w:tc>
      </w:tr>
      <w:tr w:rsidR="00A77AE8" w:rsidRPr="00A344E0"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lastRenderedPageBreak/>
              <w:t>30 novembre 2010</w:t>
            </w:r>
          </w:p>
          <w:p w:rsidR="00A77AE8" w:rsidRPr="00A344E0" w:rsidRDefault="00A77AE8" w:rsidP="004163EF">
            <w:pPr>
              <w:jc w:val="both"/>
              <w:rPr>
                <w:rFonts w:eastAsia="Calibri"/>
                <w:sz w:val="20"/>
                <w:lang w:val="fr-CA"/>
              </w:rPr>
            </w:pPr>
            <w:r w:rsidRPr="00A344E0">
              <w:rPr>
                <w:rFonts w:eastAsia="Calibri"/>
                <w:sz w:val="20"/>
                <w:lang w:val="fr-CA"/>
              </w:rPr>
              <w:t>Cour du Banc de la Reine du Nouveau</w:t>
            </w:r>
            <w:r w:rsidRPr="00A344E0">
              <w:rPr>
                <w:rFonts w:eastAsia="Calibri"/>
                <w:sz w:val="20"/>
                <w:lang w:val="fr-CA"/>
              </w:rPr>
              <w:noBreakHyphen/>
              <w:t xml:space="preserve">Brunswick </w:t>
            </w:r>
          </w:p>
          <w:p w:rsidR="00A77AE8" w:rsidRPr="00A344E0" w:rsidRDefault="00A77AE8" w:rsidP="004163EF">
            <w:pPr>
              <w:jc w:val="both"/>
              <w:rPr>
                <w:rFonts w:eastAsia="Calibri"/>
                <w:sz w:val="20"/>
                <w:lang w:val="fr-CA"/>
              </w:rPr>
            </w:pPr>
            <w:r w:rsidRPr="00A344E0">
              <w:rPr>
                <w:rFonts w:eastAsia="Calibri"/>
                <w:sz w:val="20"/>
                <w:lang w:val="fr-CA"/>
              </w:rPr>
              <w:t>(Juge Ouellette)</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 xml:space="preserve">Demande d’ordonnance de </w:t>
            </w:r>
            <w:r w:rsidRPr="00A344E0">
              <w:rPr>
                <w:rFonts w:eastAsia="Calibri"/>
                <w:i/>
                <w:sz w:val="20"/>
                <w:lang w:val="fr-CA"/>
              </w:rPr>
              <w:t>certiorari</w:t>
            </w:r>
            <w:r w:rsidRPr="00A344E0">
              <w:rPr>
                <w:rFonts w:eastAsia="Calibri"/>
                <w:sz w:val="20"/>
                <w:lang w:val="fr-CA"/>
              </w:rPr>
              <w:t>, rejetée</w:t>
            </w:r>
          </w:p>
          <w:p w:rsidR="00A77AE8" w:rsidRPr="00A344E0" w:rsidRDefault="00A77AE8" w:rsidP="004163EF">
            <w:pPr>
              <w:jc w:val="both"/>
              <w:rPr>
                <w:rFonts w:eastAsia="Calibri"/>
                <w:sz w:val="20"/>
                <w:lang w:val="fr-CA"/>
              </w:rPr>
            </w:pPr>
          </w:p>
        </w:tc>
      </w:tr>
      <w:tr w:rsidR="00A77AE8" w:rsidRPr="004163EF"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10 mars 2011</w:t>
            </w:r>
          </w:p>
          <w:p w:rsidR="00A77AE8" w:rsidRPr="00A344E0" w:rsidRDefault="00A77AE8" w:rsidP="004163EF">
            <w:pPr>
              <w:jc w:val="both"/>
              <w:rPr>
                <w:rFonts w:eastAsia="Calibri"/>
                <w:sz w:val="20"/>
                <w:lang w:val="fr-CA"/>
              </w:rPr>
            </w:pPr>
            <w:r w:rsidRPr="00A344E0">
              <w:rPr>
                <w:rFonts w:eastAsia="Calibri"/>
                <w:sz w:val="20"/>
                <w:lang w:val="fr-CA"/>
              </w:rPr>
              <w:t>Cour d’appel du Nouveau</w:t>
            </w:r>
            <w:r w:rsidRPr="00A344E0">
              <w:rPr>
                <w:rFonts w:eastAsia="Calibri"/>
                <w:sz w:val="20"/>
                <w:lang w:val="fr-CA"/>
              </w:rPr>
              <w:noBreakHyphen/>
              <w:t xml:space="preserve">Brunswick </w:t>
            </w:r>
          </w:p>
          <w:p w:rsidR="00A77AE8" w:rsidRPr="00A344E0" w:rsidRDefault="00A77AE8" w:rsidP="004163EF">
            <w:pPr>
              <w:jc w:val="both"/>
              <w:rPr>
                <w:rFonts w:eastAsia="Calibri"/>
                <w:sz w:val="20"/>
                <w:lang w:val="fr-CA"/>
              </w:rPr>
            </w:pPr>
            <w:r w:rsidRPr="00A344E0">
              <w:rPr>
                <w:rFonts w:eastAsia="Calibri"/>
                <w:sz w:val="20"/>
                <w:lang w:val="fr-CA"/>
              </w:rPr>
              <w:t>(Juges Drapeau, Richard et Bell)</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Motion du procureur général, accueillie et avis d’appel, annulé</w:t>
            </w:r>
          </w:p>
          <w:p w:rsidR="00A77AE8" w:rsidRPr="00A344E0" w:rsidRDefault="00A77AE8" w:rsidP="004163EF">
            <w:pPr>
              <w:jc w:val="both"/>
              <w:rPr>
                <w:rFonts w:eastAsia="Calibri"/>
                <w:sz w:val="20"/>
                <w:lang w:val="fr-CA"/>
              </w:rPr>
            </w:pPr>
          </w:p>
        </w:tc>
      </w:tr>
      <w:tr w:rsidR="00A77AE8" w:rsidRPr="00A344E0"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11 mai 2011</w:t>
            </w:r>
          </w:p>
          <w:p w:rsidR="00A77AE8" w:rsidRPr="00A344E0" w:rsidRDefault="00A77AE8" w:rsidP="004163EF">
            <w:pPr>
              <w:jc w:val="both"/>
              <w:rPr>
                <w:rFonts w:eastAsia="Calibri"/>
                <w:sz w:val="20"/>
                <w:lang w:val="fr-CA"/>
              </w:rPr>
            </w:pPr>
            <w:r w:rsidRPr="00A344E0">
              <w:rPr>
                <w:rFonts w:eastAsia="Calibri"/>
                <w:sz w:val="20"/>
                <w:lang w:val="fr-CA"/>
              </w:rPr>
              <w:t>Cour suprême du Canada</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Demande d’autorisation d’appel, déposée</w:t>
            </w:r>
          </w:p>
          <w:p w:rsidR="00A77AE8" w:rsidRPr="00A344E0" w:rsidRDefault="00A77AE8" w:rsidP="004163EF">
            <w:pPr>
              <w:jc w:val="both"/>
              <w:rPr>
                <w:rFonts w:eastAsia="Calibri"/>
                <w:sz w:val="20"/>
                <w:lang w:val="fr-CA"/>
              </w:rPr>
            </w:pPr>
          </w:p>
        </w:tc>
      </w:tr>
      <w:tr w:rsidR="00A77AE8" w:rsidRPr="004163EF"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8 août 2011</w:t>
            </w:r>
          </w:p>
          <w:p w:rsidR="00A77AE8" w:rsidRPr="00A344E0" w:rsidRDefault="00A77AE8" w:rsidP="004163EF">
            <w:pPr>
              <w:jc w:val="both"/>
              <w:rPr>
                <w:rFonts w:eastAsia="Calibri"/>
                <w:sz w:val="20"/>
                <w:lang w:val="fr-CA"/>
              </w:rPr>
            </w:pPr>
            <w:r w:rsidRPr="00A344E0">
              <w:rPr>
                <w:rFonts w:eastAsia="Calibri"/>
                <w:sz w:val="20"/>
                <w:lang w:val="fr-CA"/>
              </w:rPr>
              <w:t xml:space="preserve">Cour suprême du Canada </w:t>
            </w: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 xml:space="preserve">Requête en prorogation du délai de dépôt et de signification de la demande d’autorisation, déposée </w:t>
            </w:r>
          </w:p>
        </w:tc>
      </w:tr>
    </w:tbl>
    <w:p w:rsidR="00A77AE8" w:rsidRPr="00275C9F" w:rsidRDefault="00A77AE8" w:rsidP="00A77AE8">
      <w:pPr>
        <w:rPr>
          <w:sz w:val="20"/>
          <w:szCs w:val="20"/>
          <w:lang w:val="fr-CA"/>
        </w:rPr>
      </w:pPr>
    </w:p>
    <w:p w:rsidR="00A77AE8" w:rsidRDefault="00FD0CB6" w:rsidP="00A77AE8">
      <w:pPr>
        <w:rPr>
          <w:sz w:val="20"/>
          <w:szCs w:val="20"/>
          <w:lang w:val="fr-CA"/>
        </w:rPr>
      </w:pPr>
      <w:r w:rsidRPr="00FD0CB6">
        <w:rPr>
          <w:sz w:val="20"/>
          <w:szCs w:val="20"/>
          <w:lang w:val="fr-CA"/>
        </w:rPr>
        <w:pict>
          <v:rect id="_x0000_i1045" style="width:2in;height:1pt" o:hrpct="0" o:hralign="center" o:hrstd="t" o:hrnoshade="t" o:hr="t" fillcolor="black [3213]" stroked="f"/>
        </w:pict>
      </w:r>
    </w:p>
    <w:p w:rsidR="00A77AE8" w:rsidRDefault="00A77AE8" w:rsidP="00A77AE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Style w:val="SCCFileNumberChar"/>
                <w:rFonts w:cs="Times New Roman"/>
                <w:sz w:val="20"/>
                <w:szCs w:val="20"/>
              </w:rPr>
              <w:t>34311</w:t>
            </w:r>
          </w:p>
          <w:p w:rsidR="00A77AE8" w:rsidRPr="00D13261" w:rsidRDefault="00A77AE8" w:rsidP="004163EF">
            <w:pPr>
              <w:rPr>
                <w:rFonts w:cs="Times New Roman"/>
                <w:b/>
                <w:sz w:val="20"/>
                <w:szCs w:val="20"/>
                <w:lang w:val="fr-CA"/>
              </w:rPr>
            </w:pPr>
          </w:p>
        </w:tc>
        <w:tc>
          <w:tcPr>
            <w:tcW w:w="8118" w:type="dxa"/>
          </w:tcPr>
          <w:p w:rsidR="00A77AE8" w:rsidRPr="00D13261" w:rsidRDefault="00A77AE8" w:rsidP="004163EF">
            <w:pPr>
              <w:rPr>
                <w:rFonts w:cs="Times New Roman"/>
                <w:sz w:val="20"/>
                <w:szCs w:val="20"/>
              </w:rPr>
            </w:pPr>
            <w:r w:rsidRPr="00D13261">
              <w:rPr>
                <w:rStyle w:val="SCCLsocChar"/>
                <w:rFonts w:cs="Times New Roman"/>
                <w:sz w:val="20"/>
                <w:szCs w:val="20"/>
                <w:lang w:val="en-CA"/>
              </w:rPr>
              <w:t>C.B. Powell Ltd. v. President of the Canada Border Services Agency</w:t>
            </w:r>
            <w:r w:rsidRPr="00D13261">
              <w:rPr>
                <w:rFonts w:cs="Times New Roman"/>
                <w:sz w:val="20"/>
                <w:szCs w:val="20"/>
              </w:rPr>
              <w:t xml:space="preserve"> (F</w:t>
            </w:r>
            <w:r>
              <w:rPr>
                <w:rFonts w:cs="Times New Roman"/>
                <w:sz w:val="20"/>
                <w:szCs w:val="20"/>
              </w:rPr>
              <w:t>.</w:t>
            </w:r>
            <w:r w:rsidRPr="00D13261">
              <w:rPr>
                <w:rFonts w:cs="Times New Roman"/>
                <w:sz w:val="20"/>
                <w:szCs w:val="20"/>
              </w:rPr>
              <w:t>C</w:t>
            </w:r>
            <w:r>
              <w:rPr>
                <w:rFonts w:cs="Times New Roman"/>
                <w:sz w:val="20"/>
                <w:szCs w:val="20"/>
              </w:rPr>
              <w:t>.</w:t>
            </w:r>
            <w:r w:rsidRPr="00D13261">
              <w:rPr>
                <w:rFonts w:cs="Times New Roman"/>
                <w:sz w:val="20"/>
                <w:szCs w:val="20"/>
              </w:rPr>
              <w:t>) (Civil) (By Leave)</w:t>
            </w:r>
          </w:p>
          <w:p w:rsidR="00A77AE8" w:rsidRPr="00D13261" w:rsidRDefault="00A77AE8" w:rsidP="004163EF">
            <w:pPr>
              <w:rPr>
                <w:rFonts w:cs="Times New Roman"/>
                <w:sz w:val="20"/>
                <w:szCs w:val="20"/>
              </w:rPr>
            </w:pPr>
          </w:p>
        </w:tc>
      </w:tr>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Fonts w:cs="Times New Roman"/>
                <w:sz w:val="20"/>
                <w:szCs w:val="20"/>
              </w:rPr>
              <w:t>Coram :</w:t>
            </w:r>
          </w:p>
        </w:tc>
        <w:tc>
          <w:tcPr>
            <w:tcW w:w="8118" w:type="dxa"/>
          </w:tcPr>
          <w:p w:rsidR="00A77AE8" w:rsidRPr="00D13261" w:rsidRDefault="00A77AE8" w:rsidP="004163EF">
            <w:pPr>
              <w:rPr>
                <w:rFonts w:cs="Times New Roman"/>
                <w:sz w:val="20"/>
                <w:szCs w:val="20"/>
              </w:rPr>
            </w:pPr>
            <w:r w:rsidRPr="00D13261">
              <w:rPr>
                <w:rStyle w:val="SCCCoramChar"/>
                <w:rFonts w:cs="Times New Roman"/>
                <w:sz w:val="20"/>
                <w:szCs w:val="20"/>
                <w:lang w:val="en-CA"/>
              </w:rPr>
              <w:t>Binnie, Abella and Rothstein JJ.</w:t>
            </w:r>
          </w:p>
          <w:p w:rsidR="00A77AE8" w:rsidRPr="00D13261" w:rsidRDefault="00A77AE8" w:rsidP="004163EF">
            <w:pPr>
              <w:rPr>
                <w:rFonts w:cs="Times New Roman"/>
                <w:sz w:val="20"/>
                <w:szCs w:val="20"/>
                <w:u w:val="single"/>
              </w:rPr>
            </w:pPr>
          </w:p>
        </w:tc>
      </w:tr>
      <w:tr w:rsidR="00A77AE8" w:rsidRPr="004163EF" w:rsidTr="004163EF">
        <w:trPr>
          <w:cantSplit/>
        </w:trPr>
        <w:tc>
          <w:tcPr>
            <w:tcW w:w="9576" w:type="dxa"/>
            <w:gridSpan w:val="2"/>
          </w:tcPr>
          <w:p w:rsidR="00A77AE8" w:rsidRPr="00D13261" w:rsidRDefault="00A77AE8" w:rsidP="004163EF">
            <w:pPr>
              <w:pStyle w:val="SCCShortJudgment"/>
              <w:rPr>
                <w:rFonts w:cs="Times New Roman"/>
                <w:szCs w:val="20"/>
              </w:rPr>
            </w:pPr>
            <w:r w:rsidRPr="00D13261">
              <w:rPr>
                <w:rFonts w:cs="Times New Roman"/>
                <w:szCs w:val="20"/>
              </w:rPr>
              <w:t>The application for leave to appeal from the judgment of the Federal Court of Appeal, Number A-314-10, 2011 FCA 137, dated April 15, 201, is dismissed with costs.</w:t>
            </w:r>
          </w:p>
          <w:p w:rsidR="00A77AE8" w:rsidRPr="00D13261" w:rsidRDefault="00A77AE8" w:rsidP="004163EF">
            <w:pPr>
              <w:pStyle w:val="SCCShortJudgment"/>
              <w:ind w:firstLine="0"/>
              <w:rPr>
                <w:rFonts w:cs="Times New Roman"/>
                <w:szCs w:val="20"/>
              </w:rPr>
            </w:pPr>
          </w:p>
          <w:p w:rsidR="00A77AE8" w:rsidRPr="00D13261" w:rsidRDefault="00A77AE8" w:rsidP="004163EF">
            <w:pPr>
              <w:pStyle w:val="SCCShortJudgment"/>
              <w:rPr>
                <w:rFonts w:cs="Times New Roman"/>
                <w:szCs w:val="20"/>
                <w:lang w:val="fr-CA"/>
              </w:rPr>
            </w:pPr>
            <w:r w:rsidRPr="00D13261">
              <w:rPr>
                <w:rFonts w:cs="Times New Roman"/>
                <w:szCs w:val="20"/>
                <w:lang w:val="fr-CA"/>
              </w:rPr>
              <w:t>La demande d’autorisation d’appel de l’arrêt de la Cour d’appel fédérale, numéro A-314-10, 2011 CAF 137, daté du 15 avril 2011, est rejetée avec dépens.</w:t>
            </w:r>
          </w:p>
        </w:tc>
      </w:tr>
    </w:tbl>
    <w:p w:rsidR="00A77AE8" w:rsidRPr="006170CE" w:rsidRDefault="00A77AE8" w:rsidP="00A77AE8">
      <w:pPr>
        <w:rPr>
          <w:sz w:val="20"/>
          <w:szCs w:val="20"/>
          <w:lang w:val="fr-CA"/>
        </w:rPr>
      </w:pPr>
    </w:p>
    <w:p w:rsidR="00A77AE8" w:rsidRDefault="00A77AE8" w:rsidP="00A77AE8">
      <w:pPr>
        <w:rPr>
          <w:sz w:val="20"/>
          <w:szCs w:val="20"/>
        </w:rPr>
      </w:pPr>
      <w:r>
        <w:rPr>
          <w:sz w:val="20"/>
          <w:szCs w:val="20"/>
          <w:u w:val="single"/>
        </w:rPr>
        <w:t>CASE SUMMARY</w:t>
      </w:r>
    </w:p>
    <w:p w:rsidR="00A77AE8" w:rsidRDefault="00A77AE8" w:rsidP="00A77AE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 xml:space="preserve">Administrative law — Appeals — Customs and excise — Importer seeking re-determination of the origin / tariff treatment of imported goods with the Canada Border Services Agency (CBSA) — Canadian International Trade Tribunal declining to hear the appeal on the ground that there was no re-determination or implied re-determination of the origin by the CBSA — Whether the Federal Court of Appeal erred in concluding that the Tribunal’s statutory interpretation and application to the facts were reasonable — </w:t>
            </w:r>
            <w:r w:rsidRPr="00A344E0">
              <w:rPr>
                <w:rFonts w:eastAsia="Calibri"/>
                <w:i/>
                <w:sz w:val="20"/>
              </w:rPr>
              <w:t>Customs Act</w:t>
            </w:r>
            <w:r w:rsidRPr="00A344E0">
              <w:rPr>
                <w:rFonts w:eastAsia="Calibri"/>
                <w:sz w:val="20"/>
              </w:rPr>
              <w:t>, R.S. C. 1985, c. 1 (2</w:t>
            </w:r>
            <w:r w:rsidRPr="00A344E0">
              <w:rPr>
                <w:rFonts w:eastAsia="Calibri"/>
                <w:sz w:val="20"/>
                <w:vertAlign w:val="superscript"/>
              </w:rPr>
              <w:t>nd</w:t>
            </w:r>
            <w:r w:rsidRPr="00A344E0">
              <w:rPr>
                <w:rFonts w:eastAsia="Calibri"/>
                <w:sz w:val="20"/>
              </w:rPr>
              <w:t xml:space="preserve"> Supp.), ss. 59, 60 and 67. </w:t>
            </w:r>
          </w:p>
          <w:p w:rsidR="00A77AE8" w:rsidRPr="00A344E0" w:rsidRDefault="00A77AE8" w:rsidP="004163EF">
            <w:pPr>
              <w:jc w:val="both"/>
              <w:rPr>
                <w:rFonts w:eastAsia="Calibri"/>
                <w:sz w:val="20"/>
              </w:rPr>
            </w:pPr>
          </w:p>
        </w:tc>
      </w:tr>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 xml:space="preserve">The applicant C.B. Powell Ltd. imported jars of bacon bits from the United States.  Powell sought to appeal duties that were charged on the imported goods, alleging that it had made a mistake on a customs declaration regarding their origin, and that the goods should have been duty-free.  Powell unsuccessfully pursued administrative remedies available under the </w:t>
            </w:r>
            <w:r w:rsidRPr="00A344E0">
              <w:rPr>
                <w:rFonts w:eastAsia="Calibri"/>
                <w:i/>
                <w:sz w:val="20"/>
              </w:rPr>
              <w:t>Customs Act</w:t>
            </w:r>
            <w:r w:rsidRPr="00A344E0">
              <w:rPr>
                <w:rFonts w:eastAsia="Calibri"/>
                <w:sz w:val="20"/>
              </w:rPr>
              <w:t xml:space="preserve">, first with the Canada Border Services Agency, and further appealing to the Canadian International Trade Tribunal. </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August 11, 2010</w:t>
            </w:r>
          </w:p>
          <w:p w:rsidR="00A77AE8" w:rsidRPr="00A344E0" w:rsidRDefault="00A77AE8" w:rsidP="004163EF">
            <w:pPr>
              <w:jc w:val="both"/>
              <w:rPr>
                <w:rFonts w:eastAsia="Calibri"/>
                <w:sz w:val="20"/>
              </w:rPr>
            </w:pPr>
            <w:r w:rsidRPr="00A344E0">
              <w:rPr>
                <w:rFonts w:eastAsia="Calibri"/>
                <w:sz w:val="20"/>
              </w:rPr>
              <w:t>Canadian International Trade Tribunal</w:t>
            </w:r>
          </w:p>
          <w:p w:rsidR="00A77AE8" w:rsidRPr="00A344E0" w:rsidRDefault="00A77AE8" w:rsidP="004163EF">
            <w:pPr>
              <w:jc w:val="both"/>
              <w:rPr>
                <w:rFonts w:eastAsia="Calibri"/>
                <w:sz w:val="20"/>
              </w:rPr>
            </w:pPr>
            <w:r w:rsidRPr="00A344E0">
              <w:rPr>
                <w:rFonts w:eastAsia="Calibri"/>
                <w:sz w:val="20"/>
              </w:rPr>
              <w:t xml:space="preserve">(Pasquale Michaele Saroli, Presiding Member) </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Appeal dismissed</w:t>
            </w:r>
          </w:p>
          <w:p w:rsidR="00A77AE8" w:rsidRPr="00A344E0" w:rsidRDefault="00A77AE8" w:rsidP="004163EF">
            <w:pPr>
              <w:jc w:val="both"/>
              <w:rPr>
                <w:rFonts w:eastAsia="Calibri"/>
                <w:sz w:val="20"/>
              </w:rPr>
            </w:pPr>
          </w:p>
        </w:tc>
      </w:tr>
      <w:tr w:rsidR="00A77AE8" w:rsidRPr="00A344E0" w:rsidTr="004163EF">
        <w:trPr>
          <w:cantSplit/>
        </w:trPr>
        <w:tc>
          <w:tcPr>
            <w:tcW w:w="2427" w:type="pct"/>
          </w:tcPr>
          <w:p w:rsidR="00A77AE8" w:rsidRPr="00A344E0" w:rsidRDefault="00A77AE8" w:rsidP="004163EF">
            <w:pPr>
              <w:jc w:val="both"/>
              <w:rPr>
                <w:rFonts w:eastAsia="Calibri"/>
                <w:sz w:val="20"/>
              </w:rPr>
            </w:pPr>
            <w:r w:rsidRPr="00A344E0">
              <w:rPr>
                <w:rFonts w:eastAsia="Calibri"/>
                <w:sz w:val="20"/>
              </w:rPr>
              <w:lastRenderedPageBreak/>
              <w:t>April 15, 2011</w:t>
            </w:r>
          </w:p>
          <w:p w:rsidR="00A77AE8" w:rsidRPr="00A344E0" w:rsidRDefault="00A77AE8" w:rsidP="004163EF">
            <w:pPr>
              <w:jc w:val="both"/>
              <w:rPr>
                <w:rFonts w:eastAsia="Calibri"/>
                <w:sz w:val="20"/>
              </w:rPr>
            </w:pPr>
            <w:r w:rsidRPr="00A344E0">
              <w:rPr>
                <w:rFonts w:eastAsia="Calibri"/>
                <w:sz w:val="20"/>
              </w:rPr>
              <w:t>Federal Court of Appeal</w:t>
            </w:r>
          </w:p>
          <w:p w:rsidR="00A77AE8" w:rsidRPr="00A344E0" w:rsidRDefault="00A77AE8" w:rsidP="004163EF">
            <w:pPr>
              <w:jc w:val="both"/>
              <w:rPr>
                <w:rFonts w:eastAsia="Calibri"/>
                <w:sz w:val="20"/>
              </w:rPr>
            </w:pPr>
            <w:r w:rsidRPr="00A344E0">
              <w:rPr>
                <w:rFonts w:eastAsia="Calibri"/>
                <w:sz w:val="20"/>
              </w:rPr>
              <w:t>(Evans, Dawson and Stratas JJ.A.)</w:t>
            </w:r>
          </w:p>
          <w:p w:rsidR="00A77AE8" w:rsidRPr="00A344E0" w:rsidRDefault="00A77AE8" w:rsidP="004163EF">
            <w:pPr>
              <w:jc w:val="both"/>
              <w:rPr>
                <w:rFonts w:eastAsia="Calibri"/>
                <w:sz w:val="20"/>
              </w:rPr>
            </w:pPr>
            <w:r w:rsidRPr="00A344E0">
              <w:rPr>
                <w:rFonts w:eastAsia="Calibri"/>
                <w:sz w:val="20"/>
              </w:rPr>
              <w:t>2011 FCA 137</w:t>
            </w:r>
          </w:p>
          <w:p w:rsidR="00A77AE8" w:rsidRPr="00A344E0" w:rsidRDefault="00A77AE8" w:rsidP="004163EF">
            <w:pPr>
              <w:jc w:val="both"/>
              <w:rPr>
                <w:rFonts w:eastAsia="Calibri"/>
                <w:sz w:val="20"/>
              </w:rPr>
            </w:pPr>
            <w:r w:rsidRPr="00A344E0">
              <w:rPr>
                <w:rFonts w:eastAsia="Calibri"/>
                <w:sz w:val="20"/>
              </w:rPr>
              <w:t>A-314-10</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Appeal dismissed with costs</w:t>
            </w:r>
          </w:p>
          <w:p w:rsidR="00A77AE8" w:rsidRPr="00A344E0" w:rsidRDefault="00A77AE8" w:rsidP="004163EF">
            <w:pPr>
              <w:jc w:val="both"/>
              <w:rPr>
                <w:rFonts w:eastAsia="Calibri"/>
                <w:sz w:val="20"/>
              </w:rPr>
            </w:pPr>
          </w:p>
        </w:tc>
      </w:tr>
      <w:tr w:rsidR="00A77AE8" w:rsidRPr="00A344E0" w:rsidTr="004163EF">
        <w:trPr>
          <w:cantSplit/>
        </w:trPr>
        <w:tc>
          <w:tcPr>
            <w:tcW w:w="2427" w:type="pct"/>
          </w:tcPr>
          <w:p w:rsidR="00A77AE8" w:rsidRPr="00A344E0" w:rsidRDefault="00A77AE8" w:rsidP="004163EF">
            <w:pPr>
              <w:jc w:val="both"/>
              <w:rPr>
                <w:rFonts w:eastAsia="Calibri"/>
                <w:sz w:val="20"/>
              </w:rPr>
            </w:pPr>
            <w:r w:rsidRPr="00A344E0">
              <w:rPr>
                <w:rFonts w:eastAsia="Calibri"/>
                <w:sz w:val="20"/>
              </w:rPr>
              <w:t>June 14, 2011</w:t>
            </w:r>
          </w:p>
          <w:p w:rsidR="00A77AE8" w:rsidRPr="00A344E0" w:rsidRDefault="00A77AE8" w:rsidP="004163EF">
            <w:pPr>
              <w:jc w:val="both"/>
              <w:rPr>
                <w:rFonts w:eastAsia="Calibri"/>
                <w:sz w:val="20"/>
              </w:rPr>
            </w:pPr>
            <w:r w:rsidRPr="00A344E0">
              <w:rPr>
                <w:rFonts w:eastAsia="Calibri"/>
                <w:sz w:val="20"/>
              </w:rPr>
              <w:t>Supreme Court of Canada</w:t>
            </w: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Application for leave to appeal filed</w:t>
            </w:r>
          </w:p>
          <w:p w:rsidR="00A77AE8" w:rsidRPr="00A344E0" w:rsidRDefault="00A77AE8" w:rsidP="004163EF">
            <w:pPr>
              <w:jc w:val="both"/>
              <w:rPr>
                <w:rFonts w:eastAsia="Calibri"/>
                <w:sz w:val="20"/>
              </w:rPr>
            </w:pP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46" style="width:2in;height:1pt" o:hrpct="0" o:hralign="center" o:hrstd="t" o:hrnoshade="t" o:hr="t" fillcolor="black [3213]" stroked="f"/>
        </w:pict>
      </w:r>
    </w:p>
    <w:p w:rsidR="00A77AE8" w:rsidRDefault="00A77AE8" w:rsidP="00A77AE8">
      <w:pPr>
        <w:rPr>
          <w:sz w:val="20"/>
          <w:szCs w:val="20"/>
        </w:rPr>
      </w:pPr>
    </w:p>
    <w:p w:rsidR="00A77AE8" w:rsidRPr="001A6485" w:rsidRDefault="00A77AE8" w:rsidP="00A77AE8">
      <w:pPr>
        <w:rPr>
          <w:sz w:val="20"/>
          <w:szCs w:val="20"/>
          <w:u w:val="single"/>
        </w:rPr>
      </w:pPr>
      <w:r>
        <w:rPr>
          <w:sz w:val="20"/>
          <w:szCs w:val="20"/>
          <w:u w:val="single"/>
        </w:rPr>
        <w:t>RÉSUMÉ DE L’AFFAIRE</w:t>
      </w:r>
    </w:p>
    <w:p w:rsidR="00A77AE8" w:rsidRDefault="00A77AE8" w:rsidP="00A77AE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Droit administratif — Appels — Douanes et accise — Un importateur demande le réexamen de l'origine de marchandises importées et de leur traitement tarifaire par l'Agence des services frontaliers du Canada (ASFC) — Le Tribunal canadien du commerce extérieur a refusé d'entendre l'appel au motif qu'il n'y avait eu aucun réexamen réel ou implicite de l'origine par l’ASFC — La Cour d'appel fédérale a</w:t>
            </w:r>
            <w:r w:rsidRPr="00A344E0">
              <w:rPr>
                <w:rFonts w:eastAsia="Calibri"/>
                <w:sz w:val="20"/>
                <w:lang w:val="fr-CA"/>
              </w:rPr>
              <w:noBreakHyphen/>
              <w:t>t</w:t>
            </w:r>
            <w:r w:rsidRPr="00A344E0">
              <w:rPr>
                <w:rFonts w:eastAsia="Calibri"/>
                <w:sz w:val="20"/>
                <w:lang w:val="fr-CA"/>
              </w:rPr>
              <w:noBreakHyphen/>
              <w:t>elle eu tort de conclure que l'interprétation de la loi et son application aux faits par le Tribunal étaient raisonnables? —</w:t>
            </w:r>
            <w:r w:rsidRPr="00A344E0">
              <w:rPr>
                <w:rFonts w:eastAsia="Calibri"/>
                <w:i/>
                <w:sz w:val="20"/>
                <w:lang w:val="fr-CA"/>
              </w:rPr>
              <w:t xml:space="preserve"> Loi sur les douanes</w:t>
            </w:r>
            <w:r w:rsidRPr="00A344E0">
              <w:rPr>
                <w:rFonts w:eastAsia="Calibri"/>
                <w:sz w:val="20"/>
                <w:lang w:val="fr-CA"/>
              </w:rPr>
              <w:t>, L.R.C. 1985, ch. 1 (2</w:t>
            </w:r>
            <w:r w:rsidRPr="00A344E0">
              <w:rPr>
                <w:rFonts w:eastAsia="Calibri"/>
                <w:sz w:val="20"/>
                <w:vertAlign w:val="superscript"/>
                <w:lang w:val="fr-CA"/>
              </w:rPr>
              <w:t>e</w:t>
            </w:r>
            <w:r w:rsidRPr="00A344E0">
              <w:rPr>
                <w:rFonts w:eastAsia="Calibri"/>
                <w:sz w:val="20"/>
                <w:lang w:val="fr-CA"/>
              </w:rPr>
              <w:t xml:space="preserve"> suppl.), art. 59, 60 et 67. </w:t>
            </w:r>
          </w:p>
          <w:p w:rsidR="00A77AE8" w:rsidRPr="00A344E0" w:rsidRDefault="00A77AE8" w:rsidP="004163EF">
            <w:pPr>
              <w:jc w:val="both"/>
              <w:rPr>
                <w:rFonts w:eastAsia="Calibri"/>
                <w:sz w:val="20"/>
                <w:lang w:val="fr-CA"/>
              </w:rPr>
            </w:pPr>
          </w:p>
        </w:tc>
      </w:tr>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La demanderesse C.B. Powell Ltd. a importé des bocaux de miettes de bacon des États</w:t>
            </w:r>
            <w:r w:rsidRPr="00A344E0">
              <w:rPr>
                <w:rFonts w:eastAsia="Calibri"/>
                <w:sz w:val="20"/>
                <w:lang w:val="fr-CA"/>
              </w:rPr>
              <w:noBreakHyphen/>
              <w:t>Unis. Powell a interjeté appel de la décision d’imposer des droits sur les marchandises importées, alléguant avoir commis une erreur dans la déclaration de douane relativement à leur origine et que les marchandises auraient dû être en franchise de droits.  Powell a intenté sans succès les recours administratifs dont elle pouvait se prévaloir aux termes de la</w:t>
            </w:r>
            <w:r w:rsidRPr="00A344E0">
              <w:rPr>
                <w:rFonts w:eastAsia="Calibri"/>
                <w:i/>
                <w:sz w:val="20"/>
                <w:lang w:val="fr-CA"/>
              </w:rPr>
              <w:t xml:space="preserve"> Loi sur les douanes</w:t>
            </w:r>
            <w:r w:rsidRPr="00A344E0">
              <w:rPr>
                <w:rFonts w:eastAsia="Calibri"/>
                <w:sz w:val="20"/>
                <w:lang w:val="fr-CA"/>
              </w:rPr>
              <w:t xml:space="preserve">, d'abord à l'Agence des services frontaliers du Canada, puis en appel au Tribunal canadien du commerce extérieur. </w:t>
            </w:r>
          </w:p>
          <w:p w:rsidR="00A77AE8" w:rsidRPr="00A344E0" w:rsidRDefault="00A77AE8" w:rsidP="004163EF">
            <w:pPr>
              <w:jc w:val="both"/>
              <w:rPr>
                <w:rFonts w:eastAsia="Calibri"/>
                <w:sz w:val="20"/>
                <w:lang w:val="fr-CA"/>
              </w:rPr>
            </w:pPr>
          </w:p>
        </w:tc>
      </w:tr>
      <w:tr w:rsidR="00A77AE8" w:rsidRPr="00A344E0"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11 août 2010</w:t>
            </w:r>
          </w:p>
          <w:p w:rsidR="00A77AE8" w:rsidRPr="00A344E0" w:rsidRDefault="00A77AE8" w:rsidP="004163EF">
            <w:pPr>
              <w:jc w:val="both"/>
              <w:rPr>
                <w:rFonts w:eastAsia="Calibri"/>
                <w:sz w:val="20"/>
                <w:lang w:val="fr-CA"/>
              </w:rPr>
            </w:pPr>
            <w:r w:rsidRPr="00A344E0">
              <w:rPr>
                <w:rFonts w:eastAsia="Calibri"/>
                <w:sz w:val="20"/>
                <w:lang w:val="fr-CA"/>
              </w:rPr>
              <w:t xml:space="preserve">Tribunal canadien du commerce extérieur </w:t>
            </w:r>
          </w:p>
          <w:p w:rsidR="00A77AE8" w:rsidRPr="00A344E0" w:rsidRDefault="00A77AE8" w:rsidP="004163EF">
            <w:pPr>
              <w:jc w:val="both"/>
              <w:rPr>
                <w:rFonts w:eastAsia="Calibri"/>
                <w:sz w:val="20"/>
                <w:lang w:val="fr-CA"/>
              </w:rPr>
            </w:pPr>
            <w:r w:rsidRPr="00A344E0">
              <w:rPr>
                <w:rFonts w:eastAsia="Calibri"/>
                <w:sz w:val="20"/>
                <w:lang w:val="fr-CA"/>
              </w:rPr>
              <w:t xml:space="preserve">(Président Pasquale Michaele Saroli) </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Appel rejeté</w:t>
            </w:r>
          </w:p>
          <w:p w:rsidR="00A77AE8" w:rsidRPr="00A344E0" w:rsidRDefault="00A77AE8" w:rsidP="004163EF">
            <w:pPr>
              <w:jc w:val="both"/>
              <w:rPr>
                <w:rFonts w:eastAsia="Calibri"/>
                <w:sz w:val="20"/>
                <w:lang w:val="fr-CA"/>
              </w:rPr>
            </w:pPr>
          </w:p>
        </w:tc>
      </w:tr>
      <w:tr w:rsidR="00A77AE8" w:rsidRPr="00A344E0"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15 avril 2011</w:t>
            </w:r>
          </w:p>
          <w:p w:rsidR="00A77AE8" w:rsidRPr="00A344E0" w:rsidRDefault="00A77AE8" w:rsidP="004163EF">
            <w:pPr>
              <w:jc w:val="both"/>
              <w:rPr>
                <w:rFonts w:eastAsia="Calibri"/>
                <w:sz w:val="20"/>
                <w:lang w:val="fr-CA"/>
              </w:rPr>
            </w:pPr>
            <w:r w:rsidRPr="00A344E0">
              <w:rPr>
                <w:rFonts w:eastAsia="Calibri"/>
                <w:sz w:val="20"/>
                <w:lang w:val="fr-CA"/>
              </w:rPr>
              <w:t xml:space="preserve">Cour d'appel fédérale </w:t>
            </w:r>
          </w:p>
          <w:p w:rsidR="00A77AE8" w:rsidRPr="00A344E0" w:rsidRDefault="00A77AE8" w:rsidP="004163EF">
            <w:pPr>
              <w:jc w:val="both"/>
              <w:rPr>
                <w:rFonts w:eastAsia="Calibri"/>
                <w:sz w:val="20"/>
                <w:lang w:val="fr-CA"/>
              </w:rPr>
            </w:pPr>
            <w:r w:rsidRPr="00A344E0">
              <w:rPr>
                <w:rFonts w:eastAsia="Calibri"/>
                <w:sz w:val="20"/>
                <w:lang w:val="fr-CA"/>
              </w:rPr>
              <w:t>(Juges Evans, Dawson et Stratas)</w:t>
            </w:r>
          </w:p>
          <w:p w:rsidR="00A77AE8" w:rsidRPr="00A344E0" w:rsidRDefault="00A77AE8" w:rsidP="004163EF">
            <w:pPr>
              <w:jc w:val="both"/>
              <w:rPr>
                <w:rFonts w:eastAsia="Calibri"/>
                <w:sz w:val="20"/>
                <w:lang w:val="fr-CA"/>
              </w:rPr>
            </w:pPr>
            <w:r w:rsidRPr="00A344E0">
              <w:rPr>
                <w:rFonts w:eastAsia="Calibri"/>
                <w:sz w:val="20"/>
                <w:lang w:val="fr-CA"/>
              </w:rPr>
              <w:t>2011 FCA 137</w:t>
            </w:r>
          </w:p>
          <w:p w:rsidR="00A77AE8" w:rsidRPr="00A344E0" w:rsidRDefault="00A77AE8" w:rsidP="004163EF">
            <w:pPr>
              <w:jc w:val="both"/>
              <w:rPr>
                <w:rFonts w:eastAsia="Calibri"/>
                <w:sz w:val="20"/>
                <w:lang w:val="fr-CA"/>
              </w:rPr>
            </w:pPr>
            <w:r w:rsidRPr="00A344E0">
              <w:rPr>
                <w:rFonts w:eastAsia="Calibri"/>
                <w:sz w:val="20"/>
                <w:lang w:val="fr-CA"/>
              </w:rPr>
              <w:t>A</w:t>
            </w:r>
            <w:r w:rsidRPr="00A344E0">
              <w:rPr>
                <w:rFonts w:eastAsia="Calibri"/>
                <w:sz w:val="20"/>
                <w:lang w:val="fr-CA"/>
              </w:rPr>
              <w:noBreakHyphen/>
              <w:t>314</w:t>
            </w:r>
            <w:r w:rsidRPr="00A344E0">
              <w:rPr>
                <w:rFonts w:eastAsia="Calibri"/>
                <w:sz w:val="20"/>
                <w:lang w:val="fr-CA"/>
              </w:rPr>
              <w:noBreakHyphen/>
              <w:t>10</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Appel rejeté avec dépens</w:t>
            </w:r>
          </w:p>
          <w:p w:rsidR="00A77AE8" w:rsidRPr="00A344E0" w:rsidRDefault="00A77AE8" w:rsidP="004163EF">
            <w:pPr>
              <w:jc w:val="both"/>
              <w:rPr>
                <w:rFonts w:eastAsia="Calibri"/>
                <w:sz w:val="20"/>
                <w:lang w:val="fr-CA"/>
              </w:rPr>
            </w:pPr>
          </w:p>
        </w:tc>
      </w:tr>
      <w:tr w:rsidR="00A77AE8" w:rsidRPr="00A344E0"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14 juin 2011</w:t>
            </w:r>
          </w:p>
          <w:p w:rsidR="00A77AE8" w:rsidRPr="00A344E0" w:rsidRDefault="00A77AE8" w:rsidP="004163EF">
            <w:pPr>
              <w:jc w:val="both"/>
              <w:rPr>
                <w:rFonts w:eastAsia="Calibri"/>
                <w:sz w:val="20"/>
                <w:lang w:val="fr-CA"/>
              </w:rPr>
            </w:pPr>
            <w:r w:rsidRPr="00A344E0">
              <w:rPr>
                <w:rFonts w:eastAsia="Calibri"/>
                <w:sz w:val="20"/>
                <w:lang w:val="fr-CA"/>
              </w:rPr>
              <w:t>Cour suprême du Canada</w:t>
            </w: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Demande d'autorisation d'appel, déposée</w:t>
            </w:r>
          </w:p>
          <w:p w:rsidR="00A77AE8" w:rsidRPr="00A344E0" w:rsidRDefault="00A77AE8" w:rsidP="004163EF">
            <w:pPr>
              <w:jc w:val="both"/>
              <w:rPr>
                <w:rFonts w:eastAsia="Calibri"/>
                <w:sz w:val="20"/>
                <w:lang w:val="fr-CA"/>
              </w:rPr>
            </w:pP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47" style="width:2in;height:1pt" o:hrpct="0" o:hralign="center" o:hrstd="t" o:hrnoshade="t" o:hr="t" fillcolor="black [3213]" stroked="f"/>
        </w:pict>
      </w:r>
    </w:p>
    <w:p w:rsidR="00A77AE8" w:rsidRDefault="00A77AE8" w:rsidP="00A77AE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Style w:val="SCCFileNumberChar"/>
                <w:rFonts w:cs="Times New Roman"/>
                <w:sz w:val="20"/>
                <w:szCs w:val="20"/>
              </w:rPr>
              <w:t>34330</w:t>
            </w:r>
          </w:p>
          <w:p w:rsidR="00A77AE8" w:rsidRPr="00D13261" w:rsidRDefault="00A77AE8" w:rsidP="004163EF">
            <w:pPr>
              <w:rPr>
                <w:rFonts w:cs="Times New Roman"/>
                <w:b/>
                <w:sz w:val="20"/>
                <w:szCs w:val="20"/>
                <w:lang w:val="fr-CA"/>
              </w:rPr>
            </w:pPr>
          </w:p>
        </w:tc>
        <w:tc>
          <w:tcPr>
            <w:tcW w:w="8118" w:type="dxa"/>
          </w:tcPr>
          <w:p w:rsidR="00A77AE8" w:rsidRPr="00D13261" w:rsidRDefault="00A77AE8" w:rsidP="004163EF">
            <w:pPr>
              <w:jc w:val="both"/>
              <w:rPr>
                <w:rFonts w:cs="Times New Roman"/>
                <w:sz w:val="20"/>
                <w:szCs w:val="20"/>
              </w:rPr>
            </w:pPr>
            <w:r w:rsidRPr="00D13261">
              <w:rPr>
                <w:rStyle w:val="SCCLsocChar"/>
                <w:rFonts w:cs="Times New Roman"/>
                <w:sz w:val="20"/>
                <w:szCs w:val="20"/>
                <w:lang w:val="en-CA"/>
              </w:rPr>
              <w:t>Mohammad Zubair Sheikh</w:t>
            </w:r>
            <w:r>
              <w:rPr>
                <w:rStyle w:val="SCCLsocChar"/>
                <w:rFonts w:cs="Times New Roman"/>
                <w:sz w:val="20"/>
                <w:szCs w:val="20"/>
                <w:lang w:val="en-CA"/>
              </w:rPr>
              <w:t xml:space="preserve"> and</w:t>
            </w:r>
            <w:r w:rsidRPr="00D13261">
              <w:rPr>
                <w:rStyle w:val="SCCLsocChar"/>
                <w:rFonts w:cs="Times New Roman"/>
                <w:sz w:val="20"/>
                <w:szCs w:val="20"/>
                <w:lang w:val="en-CA"/>
              </w:rPr>
              <w:t xml:space="preserve"> Nadia Farida Sheikh v. Her Majesty the Queen</w:t>
            </w:r>
            <w:r w:rsidRPr="00D13261">
              <w:rPr>
                <w:rFonts w:cs="Times New Roman"/>
                <w:sz w:val="20"/>
                <w:szCs w:val="20"/>
              </w:rPr>
              <w:t xml:space="preserve"> (Ont.) (Civil) (By Leave)</w:t>
            </w:r>
          </w:p>
          <w:p w:rsidR="00A77AE8" w:rsidRPr="00D13261" w:rsidRDefault="00A77AE8" w:rsidP="004163EF">
            <w:pPr>
              <w:jc w:val="both"/>
              <w:rPr>
                <w:rFonts w:cs="Times New Roman"/>
                <w:sz w:val="20"/>
                <w:szCs w:val="20"/>
              </w:rPr>
            </w:pPr>
          </w:p>
        </w:tc>
      </w:tr>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Fonts w:cs="Times New Roman"/>
                <w:sz w:val="20"/>
                <w:szCs w:val="20"/>
              </w:rPr>
              <w:t>Coram :</w:t>
            </w:r>
          </w:p>
        </w:tc>
        <w:tc>
          <w:tcPr>
            <w:tcW w:w="8118" w:type="dxa"/>
          </w:tcPr>
          <w:p w:rsidR="00A77AE8" w:rsidRPr="00D13261" w:rsidRDefault="00A77AE8" w:rsidP="004163EF">
            <w:pPr>
              <w:rPr>
                <w:rFonts w:cs="Times New Roman"/>
                <w:sz w:val="20"/>
                <w:szCs w:val="20"/>
              </w:rPr>
            </w:pPr>
            <w:r w:rsidRPr="00D13261">
              <w:rPr>
                <w:rStyle w:val="SCCCoramChar"/>
                <w:rFonts w:cs="Times New Roman"/>
                <w:sz w:val="20"/>
                <w:szCs w:val="20"/>
                <w:lang w:val="en-CA"/>
              </w:rPr>
              <w:t>Binnie, Abella and Rothstein JJ.</w:t>
            </w:r>
          </w:p>
          <w:p w:rsidR="00A77AE8" w:rsidRPr="00D13261" w:rsidRDefault="00A77AE8" w:rsidP="004163EF">
            <w:pPr>
              <w:rPr>
                <w:rFonts w:cs="Times New Roman"/>
                <w:sz w:val="20"/>
                <w:szCs w:val="20"/>
                <w:u w:val="single"/>
              </w:rPr>
            </w:pPr>
          </w:p>
        </w:tc>
      </w:tr>
      <w:tr w:rsidR="00A77AE8" w:rsidRPr="004163EF" w:rsidTr="004163EF">
        <w:trPr>
          <w:cantSplit/>
        </w:trPr>
        <w:tc>
          <w:tcPr>
            <w:tcW w:w="9576" w:type="dxa"/>
            <w:gridSpan w:val="2"/>
          </w:tcPr>
          <w:p w:rsidR="00A77AE8" w:rsidRPr="00D13261" w:rsidRDefault="00A77AE8" w:rsidP="004163EF">
            <w:pPr>
              <w:pStyle w:val="SCCShortJudgment"/>
              <w:rPr>
                <w:rFonts w:cs="Times New Roman"/>
                <w:szCs w:val="20"/>
              </w:rPr>
            </w:pPr>
            <w:r w:rsidRPr="00D13261">
              <w:rPr>
                <w:rFonts w:cs="Times New Roman"/>
                <w:szCs w:val="20"/>
              </w:rPr>
              <w:lastRenderedPageBreak/>
              <w:t>The application for leave to appeal from the judgment of the Court of Appeal for Ontario, Number M39746, dated April 27, 2011, is dismissed without costs.</w:t>
            </w:r>
          </w:p>
          <w:p w:rsidR="00A77AE8" w:rsidRPr="00D13261" w:rsidRDefault="00A77AE8" w:rsidP="004163EF">
            <w:pPr>
              <w:pStyle w:val="SCCShortJudgment"/>
              <w:ind w:firstLine="0"/>
              <w:rPr>
                <w:rFonts w:cs="Times New Roman"/>
                <w:szCs w:val="20"/>
              </w:rPr>
            </w:pPr>
          </w:p>
          <w:p w:rsidR="00A77AE8" w:rsidRPr="00D13261" w:rsidRDefault="00A77AE8" w:rsidP="004163EF">
            <w:pPr>
              <w:pStyle w:val="SCCShortJudgment"/>
              <w:rPr>
                <w:rFonts w:cs="Times New Roman"/>
                <w:szCs w:val="20"/>
                <w:lang w:val="fr-CA"/>
              </w:rPr>
            </w:pPr>
            <w:r w:rsidRPr="00D13261">
              <w:rPr>
                <w:rFonts w:cs="Times New Roman"/>
                <w:szCs w:val="20"/>
                <w:lang w:val="fr-CA"/>
              </w:rPr>
              <w:t xml:space="preserve">La demande d’autorisation d’appel de l’arrêt de la Cour d’appel de l’Ontario, numéro M39746, daté du 27 avril 2011, est rejetée sans dépens. </w:t>
            </w:r>
          </w:p>
        </w:tc>
      </w:tr>
    </w:tbl>
    <w:p w:rsidR="00A77AE8" w:rsidRPr="00E30F2D" w:rsidRDefault="00A77AE8" w:rsidP="00A77AE8">
      <w:pPr>
        <w:rPr>
          <w:sz w:val="20"/>
          <w:szCs w:val="20"/>
          <w:lang w:val="fr-CA"/>
        </w:rPr>
      </w:pPr>
    </w:p>
    <w:p w:rsidR="00A77AE8" w:rsidRDefault="00A77AE8" w:rsidP="00A77AE8">
      <w:pPr>
        <w:rPr>
          <w:sz w:val="20"/>
          <w:szCs w:val="20"/>
        </w:rPr>
      </w:pPr>
      <w:r>
        <w:rPr>
          <w:sz w:val="20"/>
          <w:szCs w:val="20"/>
          <w:u w:val="single"/>
        </w:rPr>
        <w:t>CASE SUMMARY</w:t>
      </w:r>
    </w:p>
    <w:p w:rsidR="00A77AE8" w:rsidRDefault="00A77AE8" w:rsidP="00A77AE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 xml:space="preserve">Appeals ― Applicants convicted of fire code violations under the </w:t>
            </w:r>
            <w:r w:rsidRPr="00A344E0">
              <w:rPr>
                <w:rFonts w:eastAsia="Calibri"/>
                <w:i/>
                <w:sz w:val="20"/>
              </w:rPr>
              <w:t>Fire Protection and Prevention Act, 1997</w:t>
            </w:r>
            <w:r w:rsidRPr="00A344E0">
              <w:rPr>
                <w:rFonts w:eastAsia="Calibri"/>
                <w:sz w:val="20"/>
              </w:rPr>
              <w:t>, S.O. 1997, c. 4 and penalties imposed ― Application for leave to appeal decision to Ontario Court of Appeal dismissed ― Whether the lower courts erred in their decisions.</w:t>
            </w:r>
          </w:p>
          <w:p w:rsidR="00A77AE8" w:rsidRPr="00A344E0" w:rsidRDefault="00A77AE8" w:rsidP="004163EF">
            <w:pPr>
              <w:jc w:val="both"/>
              <w:rPr>
                <w:rFonts w:eastAsia="Calibri"/>
                <w:sz w:val="20"/>
              </w:rPr>
            </w:pPr>
          </w:p>
        </w:tc>
      </w:tr>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 xml:space="preserve">The applicants were charged with fire code violations in relation to rental property under the </w:t>
            </w:r>
            <w:r w:rsidRPr="00A344E0">
              <w:rPr>
                <w:rFonts w:eastAsia="Calibri"/>
                <w:i/>
                <w:sz w:val="20"/>
              </w:rPr>
              <w:t>Fire Protection and Prevention Act, 1997</w:t>
            </w:r>
            <w:r w:rsidRPr="00A344E0">
              <w:rPr>
                <w:rFonts w:eastAsia="Calibri"/>
                <w:sz w:val="20"/>
              </w:rPr>
              <w:t>, S.O. 1997, c. 4.  They were convicted and fined.  Their appeal was dismissed in the Ontario Court of Justice.  The applicants’ motion for leave to appeal to the Ontario Court of Appeal was also dismissed.</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February 19, 2010</w:t>
            </w:r>
          </w:p>
          <w:p w:rsidR="00A77AE8" w:rsidRPr="00A344E0" w:rsidRDefault="00A77AE8" w:rsidP="004163EF">
            <w:pPr>
              <w:jc w:val="both"/>
              <w:rPr>
                <w:rFonts w:eastAsia="Calibri"/>
                <w:sz w:val="20"/>
              </w:rPr>
            </w:pPr>
            <w:r w:rsidRPr="00A344E0">
              <w:rPr>
                <w:rFonts w:eastAsia="Calibri"/>
                <w:sz w:val="20"/>
              </w:rPr>
              <w:t>Ontario Court of Justice</w:t>
            </w:r>
          </w:p>
          <w:p w:rsidR="00A77AE8" w:rsidRPr="00A344E0" w:rsidRDefault="00A77AE8" w:rsidP="004163EF">
            <w:pPr>
              <w:jc w:val="both"/>
              <w:rPr>
                <w:rFonts w:eastAsia="Calibri"/>
                <w:sz w:val="20"/>
              </w:rPr>
            </w:pPr>
            <w:r w:rsidRPr="00A344E0">
              <w:rPr>
                <w:rFonts w:eastAsia="Calibri"/>
                <w:sz w:val="20"/>
              </w:rPr>
              <w:t>(Justice of the Peace John)</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 xml:space="preserve">Applicants convicted and penalties imposed </w:t>
            </w: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November 3, 2010</w:t>
            </w:r>
          </w:p>
          <w:p w:rsidR="00A77AE8" w:rsidRPr="00A344E0" w:rsidRDefault="00A77AE8" w:rsidP="004163EF">
            <w:pPr>
              <w:jc w:val="both"/>
              <w:rPr>
                <w:rFonts w:eastAsia="Calibri"/>
                <w:sz w:val="20"/>
              </w:rPr>
            </w:pPr>
            <w:r w:rsidRPr="00A344E0">
              <w:rPr>
                <w:rFonts w:eastAsia="Calibri"/>
                <w:sz w:val="20"/>
              </w:rPr>
              <w:t>Ontario Court of Justice</w:t>
            </w:r>
          </w:p>
          <w:p w:rsidR="00A77AE8" w:rsidRPr="00A344E0" w:rsidRDefault="00A77AE8" w:rsidP="004163EF">
            <w:pPr>
              <w:jc w:val="both"/>
              <w:rPr>
                <w:rFonts w:eastAsia="Calibri"/>
                <w:sz w:val="20"/>
              </w:rPr>
            </w:pPr>
            <w:r w:rsidRPr="00A344E0">
              <w:rPr>
                <w:rFonts w:eastAsia="Calibri"/>
                <w:sz w:val="20"/>
              </w:rPr>
              <w:t>(Libman J.)</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Appeal dismissed</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April 27, 2011</w:t>
            </w:r>
          </w:p>
          <w:p w:rsidR="00A77AE8" w:rsidRPr="00A344E0" w:rsidRDefault="00A77AE8" w:rsidP="004163EF">
            <w:pPr>
              <w:jc w:val="both"/>
              <w:rPr>
                <w:rFonts w:eastAsia="Calibri"/>
                <w:sz w:val="20"/>
              </w:rPr>
            </w:pPr>
            <w:r w:rsidRPr="00A344E0">
              <w:rPr>
                <w:rFonts w:eastAsia="Calibri"/>
                <w:sz w:val="20"/>
              </w:rPr>
              <w:t>Court of Appeal for Ontario</w:t>
            </w:r>
          </w:p>
          <w:p w:rsidR="00A77AE8" w:rsidRPr="00A344E0" w:rsidRDefault="00A77AE8" w:rsidP="004163EF">
            <w:pPr>
              <w:jc w:val="both"/>
              <w:rPr>
                <w:rFonts w:eastAsia="Calibri"/>
                <w:sz w:val="20"/>
              </w:rPr>
            </w:pPr>
            <w:r w:rsidRPr="00A344E0">
              <w:rPr>
                <w:rFonts w:eastAsia="Calibri"/>
                <w:sz w:val="20"/>
              </w:rPr>
              <w:t>(Goudge J.A.)</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Application for leave to appeal dismissed</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June 21, 2011</w:t>
            </w:r>
          </w:p>
          <w:p w:rsidR="00A77AE8" w:rsidRPr="00A344E0" w:rsidRDefault="00A77AE8" w:rsidP="004163EF">
            <w:pPr>
              <w:jc w:val="both"/>
              <w:rPr>
                <w:rFonts w:eastAsia="Calibri"/>
                <w:sz w:val="20"/>
              </w:rPr>
            </w:pPr>
            <w:r w:rsidRPr="00A344E0">
              <w:rPr>
                <w:rFonts w:eastAsia="Calibri"/>
                <w:sz w:val="20"/>
              </w:rPr>
              <w:t>Supreme Court of Canada</w:t>
            </w: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Application for leave to appeal filed</w:t>
            </w:r>
          </w:p>
          <w:p w:rsidR="00A77AE8" w:rsidRPr="00A344E0" w:rsidRDefault="00A77AE8" w:rsidP="004163EF">
            <w:pPr>
              <w:jc w:val="both"/>
              <w:rPr>
                <w:rFonts w:eastAsia="Calibri"/>
                <w:sz w:val="20"/>
              </w:rPr>
            </w:pP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48" style="width:2in;height:1pt" o:hrpct="0" o:hralign="center" o:hrstd="t" o:hrnoshade="t" o:hr="t" fillcolor="black [3213]" stroked="f"/>
        </w:pict>
      </w:r>
    </w:p>
    <w:p w:rsidR="00A77AE8" w:rsidRDefault="00A77AE8" w:rsidP="00A77AE8">
      <w:pPr>
        <w:rPr>
          <w:sz w:val="20"/>
          <w:szCs w:val="20"/>
        </w:rPr>
      </w:pPr>
    </w:p>
    <w:p w:rsidR="00A77AE8" w:rsidRPr="001A6485" w:rsidRDefault="00A77AE8" w:rsidP="00A77AE8">
      <w:pPr>
        <w:rPr>
          <w:sz w:val="20"/>
          <w:szCs w:val="20"/>
          <w:u w:val="single"/>
        </w:rPr>
      </w:pPr>
      <w:r>
        <w:rPr>
          <w:sz w:val="20"/>
          <w:szCs w:val="20"/>
          <w:u w:val="single"/>
        </w:rPr>
        <w:t>RÉSUMÉ DE L’AFFAIRE</w:t>
      </w:r>
    </w:p>
    <w:p w:rsidR="00A77AE8" w:rsidRDefault="00A77AE8" w:rsidP="00A77AE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Appels ― Les demandeurs ont été déclarés coupables d’infractions aux règles d’incendie en vertu de la</w:t>
            </w:r>
            <w:r w:rsidRPr="00A344E0">
              <w:rPr>
                <w:rFonts w:eastAsia="Calibri"/>
                <w:i/>
                <w:sz w:val="20"/>
                <w:lang w:val="fr-CA"/>
              </w:rPr>
              <w:t xml:space="preserve"> Loi de 1997 sur la prévention et la protection contre l’incendie</w:t>
            </w:r>
            <w:r w:rsidRPr="00A344E0">
              <w:rPr>
                <w:rFonts w:eastAsia="Calibri"/>
                <w:sz w:val="20"/>
                <w:lang w:val="fr-CA"/>
              </w:rPr>
              <w:t>, L.O. 1997, ch. 4 et des pénalités ont été imposées ― Demande d’autorisation d’appel de la décision à la Cour d’appel de l’Ontario rejetée ― Les tribunaux d’instance inférieure ont</w:t>
            </w:r>
            <w:r w:rsidRPr="00A344E0">
              <w:rPr>
                <w:rFonts w:eastAsia="Calibri"/>
                <w:sz w:val="20"/>
                <w:lang w:val="fr-CA"/>
              </w:rPr>
              <w:noBreakHyphen/>
              <w:t>ils commis des erreurs dans leurs décisions?</w:t>
            </w:r>
          </w:p>
          <w:p w:rsidR="00A77AE8" w:rsidRPr="00A344E0" w:rsidRDefault="00A77AE8" w:rsidP="004163EF">
            <w:pPr>
              <w:jc w:val="both"/>
              <w:rPr>
                <w:rFonts w:eastAsia="Calibri"/>
                <w:sz w:val="20"/>
                <w:lang w:val="fr-CA"/>
              </w:rPr>
            </w:pPr>
          </w:p>
        </w:tc>
      </w:tr>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Les demandeurs ont été déclarés coupables d’infractions aux règles d’incendie en lien avec un immeuble locatif en vertu de la</w:t>
            </w:r>
            <w:r w:rsidRPr="00A344E0">
              <w:rPr>
                <w:rFonts w:eastAsia="Calibri"/>
                <w:i/>
                <w:sz w:val="20"/>
                <w:lang w:val="fr-CA"/>
              </w:rPr>
              <w:t xml:space="preserve"> Loi de 1997 sur la prévention et la protection contre l’incendie</w:t>
            </w:r>
            <w:r w:rsidRPr="00A344E0">
              <w:rPr>
                <w:rFonts w:eastAsia="Calibri"/>
                <w:sz w:val="20"/>
                <w:lang w:val="fr-CA"/>
              </w:rPr>
              <w:t>, L.O. 1997, ch. 4.  Ils ont été déclarés coupables et condamnés à une amende.  Leur appel a été rejeté par la Cour de justice de l’Ontario.  La motion des demandeurs en autorisation d’appel à la Cour d’appel de l’Ontario a également été rejetée.</w:t>
            </w:r>
          </w:p>
          <w:p w:rsidR="00A77AE8" w:rsidRPr="00A344E0" w:rsidRDefault="00A77AE8" w:rsidP="004163EF">
            <w:pPr>
              <w:jc w:val="both"/>
              <w:rPr>
                <w:rFonts w:eastAsia="Calibri"/>
                <w:sz w:val="20"/>
                <w:lang w:val="fr-CA"/>
              </w:rPr>
            </w:pPr>
          </w:p>
        </w:tc>
      </w:tr>
      <w:tr w:rsidR="00A77AE8" w:rsidRPr="004163EF"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19 février 2010</w:t>
            </w:r>
          </w:p>
          <w:p w:rsidR="00A77AE8" w:rsidRPr="00A344E0" w:rsidRDefault="00A77AE8" w:rsidP="004163EF">
            <w:pPr>
              <w:jc w:val="both"/>
              <w:rPr>
                <w:rFonts w:eastAsia="Calibri"/>
                <w:sz w:val="20"/>
                <w:lang w:val="fr-CA"/>
              </w:rPr>
            </w:pPr>
            <w:r w:rsidRPr="00A344E0">
              <w:rPr>
                <w:rFonts w:eastAsia="Calibri"/>
                <w:sz w:val="20"/>
                <w:lang w:val="fr-CA"/>
              </w:rPr>
              <w:t xml:space="preserve">Cour de justice de l’Ontario </w:t>
            </w:r>
          </w:p>
          <w:p w:rsidR="00A77AE8" w:rsidRPr="00A344E0" w:rsidRDefault="00A77AE8" w:rsidP="004163EF">
            <w:pPr>
              <w:jc w:val="both"/>
              <w:rPr>
                <w:rFonts w:eastAsia="Calibri"/>
                <w:sz w:val="20"/>
                <w:lang w:val="fr-CA"/>
              </w:rPr>
            </w:pPr>
            <w:r w:rsidRPr="00A344E0">
              <w:rPr>
                <w:rFonts w:eastAsia="Calibri"/>
                <w:sz w:val="20"/>
                <w:lang w:val="fr-CA"/>
              </w:rPr>
              <w:t>(Juge de paix John)</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Demandeurs déclarés coupables et pénalités imposées</w:t>
            </w:r>
          </w:p>
        </w:tc>
      </w:tr>
      <w:tr w:rsidR="00A77AE8" w:rsidRPr="00A344E0" w:rsidTr="004163EF">
        <w:trPr>
          <w:cantSplit/>
        </w:trPr>
        <w:tc>
          <w:tcPr>
            <w:tcW w:w="2427" w:type="pct"/>
          </w:tcPr>
          <w:p w:rsidR="00A77AE8" w:rsidRPr="00A344E0" w:rsidRDefault="00A77AE8" w:rsidP="004163EF">
            <w:pPr>
              <w:jc w:val="both"/>
              <w:rPr>
                <w:rFonts w:eastAsia="Calibri"/>
                <w:sz w:val="20"/>
                <w:lang w:val="fr-CA"/>
              </w:rPr>
            </w:pPr>
            <w:r w:rsidRPr="00A344E0">
              <w:rPr>
                <w:rFonts w:eastAsia="Calibri"/>
                <w:sz w:val="20"/>
                <w:lang w:val="fr-CA"/>
              </w:rPr>
              <w:lastRenderedPageBreak/>
              <w:t>3 novembre 2010</w:t>
            </w:r>
          </w:p>
          <w:p w:rsidR="00A77AE8" w:rsidRPr="00A344E0" w:rsidRDefault="00A77AE8" w:rsidP="004163EF">
            <w:pPr>
              <w:jc w:val="both"/>
              <w:rPr>
                <w:rFonts w:eastAsia="Calibri"/>
                <w:sz w:val="20"/>
                <w:lang w:val="fr-CA"/>
              </w:rPr>
            </w:pPr>
            <w:r w:rsidRPr="00A344E0">
              <w:rPr>
                <w:rFonts w:eastAsia="Calibri"/>
                <w:sz w:val="20"/>
                <w:lang w:val="fr-CA"/>
              </w:rPr>
              <w:t xml:space="preserve">Cour de justice de l’Ontario </w:t>
            </w:r>
          </w:p>
          <w:p w:rsidR="00A77AE8" w:rsidRPr="00A344E0" w:rsidRDefault="00A77AE8" w:rsidP="004163EF">
            <w:pPr>
              <w:jc w:val="both"/>
              <w:rPr>
                <w:rFonts w:eastAsia="Calibri"/>
                <w:sz w:val="20"/>
                <w:lang w:val="fr-CA"/>
              </w:rPr>
            </w:pPr>
            <w:r w:rsidRPr="00A344E0">
              <w:rPr>
                <w:rFonts w:eastAsia="Calibri"/>
                <w:sz w:val="20"/>
                <w:lang w:val="fr-CA"/>
              </w:rPr>
              <w:t>(Juge Libman)</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Appel rejeté</w:t>
            </w:r>
          </w:p>
          <w:p w:rsidR="00A77AE8" w:rsidRPr="00A344E0" w:rsidRDefault="00A77AE8" w:rsidP="004163EF">
            <w:pPr>
              <w:jc w:val="both"/>
              <w:rPr>
                <w:rFonts w:eastAsia="Calibri"/>
                <w:sz w:val="20"/>
                <w:lang w:val="fr-CA"/>
              </w:rPr>
            </w:pPr>
          </w:p>
        </w:tc>
      </w:tr>
      <w:tr w:rsidR="00A77AE8" w:rsidRPr="00A344E0" w:rsidTr="004163EF">
        <w:trPr>
          <w:cantSplit/>
        </w:trPr>
        <w:tc>
          <w:tcPr>
            <w:tcW w:w="2427" w:type="pct"/>
          </w:tcPr>
          <w:p w:rsidR="00A77AE8" w:rsidRPr="00A344E0" w:rsidRDefault="00A77AE8" w:rsidP="004163EF">
            <w:pPr>
              <w:jc w:val="both"/>
              <w:rPr>
                <w:rFonts w:eastAsia="Calibri"/>
                <w:sz w:val="20"/>
                <w:lang w:val="fr-CA"/>
              </w:rPr>
            </w:pPr>
            <w:r w:rsidRPr="00A344E0">
              <w:rPr>
                <w:rFonts w:eastAsia="Calibri"/>
                <w:sz w:val="20"/>
                <w:lang w:val="fr-CA"/>
              </w:rPr>
              <w:t>27 avril 2011</w:t>
            </w:r>
          </w:p>
          <w:p w:rsidR="00A77AE8" w:rsidRPr="00A344E0" w:rsidRDefault="00A77AE8" w:rsidP="004163EF">
            <w:pPr>
              <w:jc w:val="both"/>
              <w:rPr>
                <w:rFonts w:eastAsia="Calibri"/>
                <w:sz w:val="20"/>
                <w:lang w:val="fr-CA"/>
              </w:rPr>
            </w:pPr>
            <w:r w:rsidRPr="00A344E0">
              <w:rPr>
                <w:rFonts w:eastAsia="Calibri"/>
                <w:sz w:val="20"/>
                <w:lang w:val="fr-CA"/>
              </w:rPr>
              <w:t>Cour d’appel de l’Ontario</w:t>
            </w:r>
          </w:p>
          <w:p w:rsidR="00A77AE8" w:rsidRPr="00A344E0" w:rsidRDefault="00A77AE8" w:rsidP="004163EF">
            <w:pPr>
              <w:jc w:val="both"/>
              <w:rPr>
                <w:rFonts w:eastAsia="Calibri"/>
                <w:sz w:val="20"/>
                <w:lang w:val="fr-CA"/>
              </w:rPr>
            </w:pPr>
            <w:r w:rsidRPr="00A344E0">
              <w:rPr>
                <w:rFonts w:eastAsia="Calibri"/>
                <w:sz w:val="20"/>
                <w:lang w:val="fr-CA"/>
              </w:rPr>
              <w:t>(Juge Goudge)</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Demande d’autorisation d’appel, rejetée</w:t>
            </w:r>
          </w:p>
          <w:p w:rsidR="00A77AE8" w:rsidRPr="00A344E0" w:rsidRDefault="00A77AE8" w:rsidP="004163EF">
            <w:pPr>
              <w:jc w:val="both"/>
              <w:rPr>
                <w:rFonts w:eastAsia="Calibri"/>
                <w:sz w:val="20"/>
                <w:lang w:val="fr-CA"/>
              </w:rPr>
            </w:pPr>
          </w:p>
        </w:tc>
      </w:tr>
      <w:tr w:rsidR="00A77AE8" w:rsidRPr="00A344E0" w:rsidTr="004163EF">
        <w:trPr>
          <w:cantSplit/>
        </w:trPr>
        <w:tc>
          <w:tcPr>
            <w:tcW w:w="2427" w:type="pct"/>
          </w:tcPr>
          <w:p w:rsidR="00A77AE8" w:rsidRPr="00A344E0" w:rsidRDefault="00A77AE8" w:rsidP="004163EF">
            <w:pPr>
              <w:jc w:val="both"/>
              <w:rPr>
                <w:rFonts w:eastAsia="Calibri"/>
                <w:sz w:val="20"/>
                <w:lang w:val="fr-CA"/>
              </w:rPr>
            </w:pPr>
            <w:r w:rsidRPr="00A344E0">
              <w:rPr>
                <w:rFonts w:eastAsia="Calibri"/>
                <w:sz w:val="20"/>
                <w:lang w:val="fr-CA"/>
              </w:rPr>
              <w:t>21 juin 2011</w:t>
            </w:r>
          </w:p>
          <w:p w:rsidR="00A77AE8" w:rsidRPr="00A344E0" w:rsidRDefault="00A77AE8" w:rsidP="004163EF">
            <w:pPr>
              <w:jc w:val="both"/>
              <w:rPr>
                <w:rFonts w:eastAsia="Calibri"/>
                <w:sz w:val="20"/>
                <w:lang w:val="fr-CA"/>
              </w:rPr>
            </w:pPr>
            <w:r w:rsidRPr="00A344E0">
              <w:rPr>
                <w:rFonts w:eastAsia="Calibri"/>
                <w:sz w:val="20"/>
                <w:lang w:val="fr-CA"/>
              </w:rPr>
              <w:t>Cour suprême du Canada</w:t>
            </w: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Demande d’autorisation d’appel, déposée</w:t>
            </w:r>
          </w:p>
          <w:p w:rsidR="00A77AE8" w:rsidRPr="00A344E0" w:rsidRDefault="00A77AE8" w:rsidP="004163EF">
            <w:pPr>
              <w:jc w:val="both"/>
              <w:rPr>
                <w:rFonts w:eastAsia="Calibri"/>
                <w:sz w:val="20"/>
                <w:lang w:val="fr-CA"/>
              </w:rPr>
            </w:pP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49" style="width:2in;height:1pt" o:hrpct="0" o:hralign="center" o:hrstd="t" o:hrnoshade="t" o:hr="t" fillcolor="black [3213]" stroked="f"/>
        </w:pict>
      </w:r>
    </w:p>
    <w:p w:rsidR="00A77AE8" w:rsidRDefault="00A77AE8" w:rsidP="00A77AE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Style w:val="SCCFileNumberChar"/>
                <w:rFonts w:cs="Times New Roman"/>
                <w:sz w:val="20"/>
                <w:szCs w:val="20"/>
              </w:rPr>
              <w:t>34336</w:t>
            </w:r>
          </w:p>
          <w:p w:rsidR="00A77AE8" w:rsidRPr="00D13261" w:rsidRDefault="00A77AE8" w:rsidP="004163EF">
            <w:pPr>
              <w:rPr>
                <w:rFonts w:cs="Times New Roman"/>
                <w:b/>
                <w:sz w:val="20"/>
                <w:szCs w:val="20"/>
                <w:lang w:val="fr-CA"/>
              </w:rPr>
            </w:pPr>
          </w:p>
        </w:tc>
        <w:tc>
          <w:tcPr>
            <w:tcW w:w="8118" w:type="dxa"/>
          </w:tcPr>
          <w:p w:rsidR="00A77AE8" w:rsidRPr="00D13261" w:rsidRDefault="00A77AE8" w:rsidP="004163EF">
            <w:pPr>
              <w:rPr>
                <w:rFonts w:cs="Times New Roman"/>
                <w:sz w:val="20"/>
                <w:szCs w:val="20"/>
              </w:rPr>
            </w:pPr>
            <w:r w:rsidRPr="00D13261">
              <w:rPr>
                <w:rStyle w:val="SCCLsocChar"/>
                <w:rFonts w:cs="Times New Roman"/>
                <w:sz w:val="20"/>
                <w:szCs w:val="20"/>
                <w:lang w:val="en-CA"/>
              </w:rPr>
              <w:t>Nell Toussaint v. Minister of Citizenship and Immigration</w:t>
            </w:r>
            <w:r w:rsidRPr="00D13261">
              <w:rPr>
                <w:rFonts w:cs="Times New Roman"/>
                <w:sz w:val="20"/>
                <w:szCs w:val="20"/>
              </w:rPr>
              <w:t xml:space="preserve"> (F</w:t>
            </w:r>
            <w:r>
              <w:rPr>
                <w:rFonts w:cs="Times New Roman"/>
                <w:sz w:val="20"/>
                <w:szCs w:val="20"/>
              </w:rPr>
              <w:t>.</w:t>
            </w:r>
            <w:r w:rsidRPr="00D13261">
              <w:rPr>
                <w:rFonts w:cs="Times New Roman"/>
                <w:sz w:val="20"/>
                <w:szCs w:val="20"/>
              </w:rPr>
              <w:t>C</w:t>
            </w:r>
            <w:r>
              <w:rPr>
                <w:rFonts w:cs="Times New Roman"/>
                <w:sz w:val="20"/>
                <w:szCs w:val="20"/>
              </w:rPr>
              <w:t>.</w:t>
            </w:r>
            <w:r w:rsidRPr="00D13261">
              <w:rPr>
                <w:rFonts w:cs="Times New Roman"/>
                <w:sz w:val="20"/>
                <w:szCs w:val="20"/>
              </w:rPr>
              <w:t>) (Civil) (By Leave)</w:t>
            </w:r>
          </w:p>
          <w:p w:rsidR="00A77AE8" w:rsidRPr="00D13261" w:rsidRDefault="00A77AE8" w:rsidP="004163EF">
            <w:pPr>
              <w:rPr>
                <w:rFonts w:cs="Times New Roman"/>
                <w:sz w:val="20"/>
                <w:szCs w:val="20"/>
              </w:rPr>
            </w:pPr>
          </w:p>
        </w:tc>
      </w:tr>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Fonts w:cs="Times New Roman"/>
                <w:sz w:val="20"/>
                <w:szCs w:val="20"/>
              </w:rPr>
              <w:t>Coram :</w:t>
            </w:r>
          </w:p>
        </w:tc>
        <w:tc>
          <w:tcPr>
            <w:tcW w:w="8118" w:type="dxa"/>
          </w:tcPr>
          <w:p w:rsidR="00A77AE8" w:rsidRPr="00D13261" w:rsidRDefault="00A77AE8" w:rsidP="004163EF">
            <w:pPr>
              <w:rPr>
                <w:rFonts w:cs="Times New Roman"/>
                <w:sz w:val="20"/>
                <w:szCs w:val="20"/>
              </w:rPr>
            </w:pPr>
            <w:r w:rsidRPr="00D13261">
              <w:rPr>
                <w:rStyle w:val="SCCCoramChar"/>
                <w:rFonts w:cs="Times New Roman"/>
                <w:sz w:val="20"/>
                <w:szCs w:val="20"/>
                <w:lang w:val="en-CA"/>
              </w:rPr>
              <w:t>LeBel, Fish and Cromwell JJ.</w:t>
            </w:r>
          </w:p>
          <w:p w:rsidR="00A77AE8" w:rsidRPr="00D13261" w:rsidRDefault="00A77AE8" w:rsidP="004163EF">
            <w:pPr>
              <w:rPr>
                <w:rFonts w:cs="Times New Roman"/>
                <w:sz w:val="20"/>
                <w:szCs w:val="20"/>
                <w:u w:val="single"/>
              </w:rPr>
            </w:pPr>
          </w:p>
        </w:tc>
      </w:tr>
      <w:tr w:rsidR="00A77AE8" w:rsidRPr="004163EF" w:rsidTr="004163EF">
        <w:trPr>
          <w:cantSplit/>
        </w:trPr>
        <w:tc>
          <w:tcPr>
            <w:tcW w:w="9576" w:type="dxa"/>
            <w:gridSpan w:val="2"/>
          </w:tcPr>
          <w:p w:rsidR="00A77AE8" w:rsidRPr="00D13261" w:rsidRDefault="00A77AE8" w:rsidP="004163EF">
            <w:pPr>
              <w:pStyle w:val="SCCShortJudgment"/>
              <w:rPr>
                <w:rFonts w:cs="Times New Roman"/>
                <w:szCs w:val="20"/>
              </w:rPr>
            </w:pPr>
            <w:r w:rsidRPr="00D13261">
              <w:rPr>
                <w:rFonts w:cs="Times New Roman"/>
                <w:szCs w:val="20"/>
              </w:rPr>
              <w:t>The application for leave to appeal from the judgment of the Federal Court of Appeal, Number A-408-09, 2011 FCA 146, dated April 29, 2011, is dismissed without costs.</w:t>
            </w:r>
          </w:p>
          <w:p w:rsidR="00A77AE8" w:rsidRPr="00D13261" w:rsidRDefault="00A77AE8" w:rsidP="004163EF">
            <w:pPr>
              <w:pStyle w:val="SCCShortJudgment"/>
              <w:ind w:firstLine="0"/>
              <w:rPr>
                <w:rFonts w:cs="Times New Roman"/>
                <w:szCs w:val="20"/>
              </w:rPr>
            </w:pPr>
          </w:p>
          <w:p w:rsidR="00A77AE8" w:rsidRPr="00D13261" w:rsidRDefault="00A77AE8" w:rsidP="004163EF">
            <w:pPr>
              <w:pStyle w:val="SCCShortJudgment"/>
              <w:rPr>
                <w:rFonts w:cs="Times New Roman"/>
                <w:szCs w:val="20"/>
                <w:lang w:val="fr-CA"/>
              </w:rPr>
            </w:pPr>
            <w:r w:rsidRPr="00D13261">
              <w:rPr>
                <w:rFonts w:cs="Times New Roman"/>
                <w:szCs w:val="20"/>
                <w:lang w:val="fr-CA"/>
              </w:rPr>
              <w:t xml:space="preserve">La demande d’autorisation d’appel de l’arrêt de la Cour d’appel fédérale, numéro A-408-09, 2011 CAF 146, daté du 29 avril 2011, est rejetée sans dépens. </w:t>
            </w:r>
          </w:p>
        </w:tc>
      </w:tr>
    </w:tbl>
    <w:p w:rsidR="00A77AE8" w:rsidRPr="00AB7E56" w:rsidRDefault="00A77AE8" w:rsidP="00A77AE8">
      <w:pPr>
        <w:rPr>
          <w:sz w:val="20"/>
          <w:szCs w:val="20"/>
          <w:lang w:val="fr-CA"/>
        </w:rPr>
      </w:pPr>
    </w:p>
    <w:p w:rsidR="00A77AE8" w:rsidRDefault="00A77AE8" w:rsidP="00A77AE8">
      <w:pPr>
        <w:rPr>
          <w:sz w:val="20"/>
          <w:szCs w:val="20"/>
        </w:rPr>
      </w:pPr>
      <w:r>
        <w:rPr>
          <w:sz w:val="20"/>
          <w:szCs w:val="20"/>
          <w:u w:val="single"/>
        </w:rPr>
        <w:t>CASE SUMMARY</w:t>
      </w:r>
    </w:p>
    <w:p w:rsidR="00A77AE8" w:rsidRDefault="00A77AE8" w:rsidP="00A77AE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77AE8" w:rsidRPr="00A344E0" w:rsidTr="004163EF">
        <w:tc>
          <w:tcPr>
            <w:tcW w:w="5000" w:type="pct"/>
            <w:gridSpan w:val="3"/>
          </w:tcPr>
          <w:p w:rsidR="00A77AE8" w:rsidRPr="00A344E0" w:rsidRDefault="00A77AE8" w:rsidP="004163EF">
            <w:pPr>
              <w:jc w:val="both"/>
              <w:rPr>
                <w:rFonts w:eastAsia="Calibri"/>
                <w:iCs/>
                <w:sz w:val="20"/>
              </w:rPr>
            </w:pPr>
            <w:r w:rsidRPr="00A344E0">
              <w:rPr>
                <w:rFonts w:eastAsia="Calibri"/>
                <w:i/>
                <w:sz w:val="20"/>
              </w:rPr>
              <w:t xml:space="preserve">Charter of Rights </w:t>
            </w:r>
            <w:r w:rsidRPr="00A344E0">
              <w:rPr>
                <w:rFonts w:eastAsia="Calibri"/>
                <w:sz w:val="20"/>
              </w:rPr>
              <w:t xml:space="preserve">— Immigration — Procedure — Judicial Review — Indigent foreign national applying for permanent resident status in Canada and seeking an exemption from the requirement to pay an application fee on humanitarian and compassionate grounds — Federal Court of Appeal concluding that the Minister was required to consider a foreign national’s request for an exemption — Whether the constitutional issues are moot as a result of the ruling by the Federal Court of Appeal — Whether the Federal Court of Appeal erred in concluding that the failure of the Governor in Council to enact regulations permitting the waiver of fees for indigent foreign nationals who wish to make an in-Canada application for permanent resident status did not infringe their rights under ss. 7 or 15 of the </w:t>
            </w:r>
            <w:r w:rsidRPr="00A344E0">
              <w:rPr>
                <w:rFonts w:eastAsia="Calibri"/>
                <w:i/>
                <w:sz w:val="20"/>
              </w:rPr>
              <w:t>Charter</w:t>
            </w:r>
            <w:r w:rsidRPr="00A344E0">
              <w:rPr>
                <w:rFonts w:eastAsia="Calibri"/>
                <w:sz w:val="20"/>
              </w:rPr>
              <w:t xml:space="preserve">, and the rule of law or the common law constitutional right of access to the courts — Ss. 7 and 15 of the </w:t>
            </w:r>
            <w:r w:rsidRPr="00A344E0">
              <w:rPr>
                <w:rFonts w:eastAsia="Calibri"/>
                <w:i/>
                <w:iCs/>
                <w:sz w:val="20"/>
              </w:rPr>
              <w:t>Canadian Charter of Rights and Freedoms</w:t>
            </w:r>
            <w:r w:rsidRPr="00A344E0">
              <w:rPr>
                <w:rFonts w:eastAsia="Calibri"/>
                <w:iCs/>
                <w:sz w:val="20"/>
              </w:rPr>
              <w:t xml:space="preserve"> — </w:t>
            </w:r>
            <w:r w:rsidRPr="00A344E0">
              <w:rPr>
                <w:rFonts w:eastAsia="Calibri"/>
                <w:sz w:val="20"/>
              </w:rPr>
              <w:t xml:space="preserve">S. 25(1) of the </w:t>
            </w:r>
            <w:r w:rsidRPr="00A344E0">
              <w:rPr>
                <w:rFonts w:eastAsia="Calibri"/>
                <w:i/>
                <w:sz w:val="20"/>
              </w:rPr>
              <w:t>Immigration and Refugee Protection Act</w:t>
            </w:r>
            <w:r w:rsidRPr="00A344E0">
              <w:rPr>
                <w:rFonts w:eastAsia="Calibri"/>
                <w:sz w:val="20"/>
              </w:rPr>
              <w:t xml:space="preserve">, S.C. 2001, c. 27 — Ss. 10(1) and 307 of the </w:t>
            </w:r>
            <w:r w:rsidRPr="00A344E0">
              <w:rPr>
                <w:rFonts w:eastAsia="Calibri"/>
                <w:i/>
                <w:sz w:val="20"/>
              </w:rPr>
              <w:t>Immigration and Refugee Protection Regulations</w:t>
            </w:r>
            <w:r w:rsidRPr="00A344E0">
              <w:rPr>
                <w:rFonts w:eastAsia="Calibri"/>
                <w:sz w:val="20"/>
              </w:rPr>
              <w:t>, SOR/2002-227.</w:t>
            </w:r>
          </w:p>
          <w:p w:rsidR="00A77AE8" w:rsidRPr="00A344E0" w:rsidRDefault="00A77AE8" w:rsidP="004163EF">
            <w:pPr>
              <w:jc w:val="both"/>
              <w:rPr>
                <w:rFonts w:eastAsia="Calibri"/>
                <w:sz w:val="20"/>
              </w:rPr>
            </w:pPr>
          </w:p>
        </w:tc>
      </w:tr>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 xml:space="preserve">The applicant Nell Toussaint came to Canada as a visitor.  Her visitor status expired after 6 months.  Ms. Toussaint applied for a permanent resident status and requested an exemption on humanitarian and compassionate grounds pursuant to s. 25(1) of the </w:t>
            </w:r>
            <w:r w:rsidRPr="00A344E0">
              <w:rPr>
                <w:rFonts w:eastAsia="Calibri"/>
                <w:i/>
                <w:sz w:val="20"/>
              </w:rPr>
              <w:t>Immigration and Refugee Protection Act</w:t>
            </w:r>
            <w:r w:rsidRPr="00A344E0">
              <w:rPr>
                <w:rFonts w:eastAsia="Calibri"/>
                <w:sz w:val="20"/>
              </w:rPr>
              <w:t>. Specifically, she sought an exemption from the requirements to apply for permanent resident status outside of Canada and to pay an application fee of $550 due to her indigent status.  The respondent Minister of Citizenship and Immigration declined to process Ms. Toussaint’s application on the ground that the application must be accompanied by the required fee.  Ms. Toussaint applied for judicial review, requesting that the decision be quashed and seeking a number of other remedies.</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September 4, 2009</w:t>
            </w:r>
          </w:p>
          <w:p w:rsidR="00A77AE8" w:rsidRPr="00A344E0" w:rsidRDefault="00A77AE8" w:rsidP="004163EF">
            <w:pPr>
              <w:jc w:val="both"/>
              <w:rPr>
                <w:rFonts w:eastAsia="Calibri"/>
                <w:sz w:val="20"/>
              </w:rPr>
            </w:pPr>
            <w:r w:rsidRPr="00A344E0">
              <w:rPr>
                <w:rFonts w:eastAsia="Calibri"/>
                <w:sz w:val="20"/>
              </w:rPr>
              <w:t>Federal Court</w:t>
            </w:r>
          </w:p>
          <w:p w:rsidR="00A77AE8" w:rsidRPr="00A344E0" w:rsidRDefault="00A77AE8" w:rsidP="004163EF">
            <w:pPr>
              <w:jc w:val="both"/>
              <w:rPr>
                <w:rFonts w:eastAsia="Calibri"/>
                <w:sz w:val="20"/>
              </w:rPr>
            </w:pPr>
            <w:r w:rsidRPr="00A344E0">
              <w:rPr>
                <w:rFonts w:eastAsia="Calibri"/>
                <w:sz w:val="20"/>
              </w:rPr>
              <w:t>(Snider J.)</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 xml:space="preserve">Application for judicial review dismissed </w:t>
            </w:r>
          </w:p>
        </w:tc>
      </w:tr>
      <w:tr w:rsidR="00A77AE8" w:rsidRPr="00A344E0" w:rsidTr="004163EF">
        <w:trPr>
          <w:cantSplit/>
        </w:trPr>
        <w:tc>
          <w:tcPr>
            <w:tcW w:w="2427" w:type="pct"/>
          </w:tcPr>
          <w:p w:rsidR="00A77AE8" w:rsidRPr="00A344E0" w:rsidRDefault="00A77AE8" w:rsidP="004163EF">
            <w:pPr>
              <w:jc w:val="both"/>
              <w:rPr>
                <w:rFonts w:eastAsia="Calibri"/>
                <w:sz w:val="20"/>
              </w:rPr>
            </w:pPr>
            <w:r w:rsidRPr="00A344E0">
              <w:rPr>
                <w:rFonts w:eastAsia="Calibri"/>
                <w:sz w:val="20"/>
              </w:rPr>
              <w:lastRenderedPageBreak/>
              <w:t>April 29, 2011</w:t>
            </w:r>
          </w:p>
          <w:p w:rsidR="00A77AE8" w:rsidRPr="00A344E0" w:rsidRDefault="00A77AE8" w:rsidP="004163EF">
            <w:pPr>
              <w:jc w:val="both"/>
              <w:rPr>
                <w:rFonts w:eastAsia="Calibri"/>
                <w:sz w:val="20"/>
              </w:rPr>
            </w:pPr>
            <w:r w:rsidRPr="00A344E0">
              <w:rPr>
                <w:rFonts w:eastAsia="Calibri"/>
                <w:sz w:val="20"/>
              </w:rPr>
              <w:t>Federal Court of Appeal</w:t>
            </w:r>
          </w:p>
          <w:p w:rsidR="00A77AE8" w:rsidRPr="00A344E0" w:rsidRDefault="00A77AE8" w:rsidP="004163EF">
            <w:pPr>
              <w:jc w:val="both"/>
              <w:rPr>
                <w:rFonts w:eastAsia="Calibri"/>
                <w:sz w:val="20"/>
              </w:rPr>
            </w:pPr>
            <w:r w:rsidRPr="00A344E0">
              <w:rPr>
                <w:rFonts w:eastAsia="Calibri"/>
                <w:sz w:val="20"/>
              </w:rPr>
              <w:t>(Sharlow, Dawson and Layden-Stevenson JJ.A.)</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Appeal allowed</w:t>
            </w:r>
          </w:p>
        </w:tc>
      </w:tr>
      <w:tr w:rsidR="00A77AE8" w:rsidRPr="00A344E0" w:rsidTr="004163EF">
        <w:trPr>
          <w:cantSplit/>
        </w:trPr>
        <w:tc>
          <w:tcPr>
            <w:tcW w:w="2427" w:type="pct"/>
          </w:tcPr>
          <w:p w:rsidR="00A77AE8" w:rsidRPr="00A344E0" w:rsidRDefault="00A77AE8" w:rsidP="004163EF">
            <w:pPr>
              <w:jc w:val="both"/>
              <w:rPr>
                <w:rFonts w:eastAsia="Calibri"/>
                <w:sz w:val="20"/>
              </w:rPr>
            </w:pPr>
            <w:r w:rsidRPr="00A344E0">
              <w:rPr>
                <w:rFonts w:eastAsia="Calibri"/>
                <w:sz w:val="20"/>
              </w:rPr>
              <w:t>June 28, 2011</w:t>
            </w:r>
          </w:p>
          <w:p w:rsidR="00A77AE8" w:rsidRPr="00A344E0" w:rsidRDefault="00A77AE8" w:rsidP="004163EF">
            <w:pPr>
              <w:jc w:val="both"/>
              <w:rPr>
                <w:rFonts w:eastAsia="Calibri"/>
                <w:sz w:val="20"/>
              </w:rPr>
            </w:pPr>
            <w:r w:rsidRPr="00A344E0">
              <w:rPr>
                <w:rFonts w:eastAsia="Calibri"/>
                <w:sz w:val="20"/>
              </w:rPr>
              <w:t>Supreme Court of Canada</w:t>
            </w: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Application for leave to appeal filed</w:t>
            </w:r>
          </w:p>
          <w:p w:rsidR="00A77AE8" w:rsidRPr="00A344E0" w:rsidRDefault="00A77AE8" w:rsidP="004163EF">
            <w:pPr>
              <w:jc w:val="both"/>
              <w:rPr>
                <w:rFonts w:eastAsia="Calibri"/>
                <w:sz w:val="20"/>
              </w:rPr>
            </w:pP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50" style="width:2in;height:1pt" o:hrpct="0" o:hralign="center" o:hrstd="t" o:hrnoshade="t" o:hr="t" fillcolor="black [3213]" stroked="f"/>
        </w:pict>
      </w:r>
    </w:p>
    <w:p w:rsidR="00A77AE8" w:rsidRDefault="00A77AE8" w:rsidP="00A77AE8">
      <w:pPr>
        <w:rPr>
          <w:sz w:val="20"/>
          <w:szCs w:val="20"/>
        </w:rPr>
      </w:pPr>
    </w:p>
    <w:p w:rsidR="00A77AE8" w:rsidRPr="001A6485" w:rsidRDefault="00A77AE8" w:rsidP="00A77AE8">
      <w:pPr>
        <w:rPr>
          <w:sz w:val="20"/>
          <w:szCs w:val="20"/>
          <w:u w:val="single"/>
        </w:rPr>
      </w:pPr>
      <w:r>
        <w:rPr>
          <w:sz w:val="20"/>
          <w:szCs w:val="20"/>
          <w:u w:val="single"/>
        </w:rPr>
        <w:t>RÉSUMÉ DE L’AFFAIRE</w:t>
      </w:r>
    </w:p>
    <w:p w:rsidR="00A77AE8" w:rsidRDefault="00A77AE8" w:rsidP="00A77AE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77AE8" w:rsidRPr="004163EF" w:rsidTr="004163EF">
        <w:tc>
          <w:tcPr>
            <w:tcW w:w="5000" w:type="pct"/>
            <w:gridSpan w:val="3"/>
          </w:tcPr>
          <w:p w:rsidR="00A77AE8" w:rsidRPr="00A344E0" w:rsidRDefault="00A77AE8" w:rsidP="004163EF">
            <w:pPr>
              <w:jc w:val="both"/>
              <w:rPr>
                <w:rFonts w:eastAsia="Calibri"/>
                <w:iCs/>
                <w:sz w:val="20"/>
                <w:lang w:val="fr-CA"/>
              </w:rPr>
            </w:pPr>
            <w:r w:rsidRPr="00A344E0">
              <w:rPr>
                <w:rFonts w:eastAsia="Calibri"/>
                <w:i/>
                <w:sz w:val="20"/>
                <w:lang w:val="fr-CA"/>
              </w:rPr>
              <w:t xml:space="preserve">Charte des droits </w:t>
            </w:r>
            <w:r w:rsidRPr="00A344E0">
              <w:rPr>
                <w:rFonts w:eastAsia="Calibri"/>
                <w:sz w:val="20"/>
                <w:lang w:val="fr-CA"/>
              </w:rPr>
              <w:t>— Immigration — Procédure — Contrôle judiciaire — Une étrangère vivant dans la pauvreté demande le statut de résident permanent au Canada et une dispense de l’obligation de payer des frais de demande pour des motifs d’ordre humanitaire — La Cour d’appel fédérale a conclu que le ministre était tenu de considérer la demande de dispense d’un étranger — Les questions constitutionnelles sont</w:t>
            </w:r>
            <w:r w:rsidRPr="00A344E0">
              <w:rPr>
                <w:rFonts w:eastAsia="Calibri"/>
                <w:sz w:val="20"/>
                <w:lang w:val="fr-CA"/>
              </w:rPr>
              <w:noBreakHyphen/>
              <w:t>elles théoriques à la suite de la décision de la Cour d’appel fédérale? — La Cour d’appel fédérale a</w:t>
            </w:r>
            <w:r w:rsidRPr="00A344E0">
              <w:rPr>
                <w:rFonts w:eastAsia="Calibri"/>
                <w:sz w:val="20"/>
                <w:lang w:val="fr-CA"/>
              </w:rPr>
              <w:noBreakHyphen/>
              <w:t>t</w:t>
            </w:r>
            <w:r w:rsidRPr="00A344E0">
              <w:rPr>
                <w:rFonts w:eastAsia="Calibri"/>
                <w:sz w:val="20"/>
                <w:lang w:val="fr-CA"/>
              </w:rPr>
              <w:noBreakHyphen/>
              <w:t xml:space="preserve">elle eu tort de conclure que l’omission de la gouverneure en conseil d’adopter un règlement permettant une dispense du paiement des frais pour les étrangers qui vivent dans la pauvreté et souhaitent présenter depuis le Canada une demande de résidence permanente ne contrevenait pas à leurs droits garantis à l’article 7 ou à l’article 15 de la </w:t>
            </w:r>
            <w:r w:rsidRPr="00A344E0">
              <w:rPr>
                <w:rFonts w:eastAsia="Calibri"/>
                <w:i/>
                <w:sz w:val="20"/>
                <w:lang w:val="fr-CA"/>
              </w:rPr>
              <w:t>Charte</w:t>
            </w:r>
            <w:r w:rsidRPr="00A344E0">
              <w:rPr>
                <w:rFonts w:eastAsia="Calibri"/>
                <w:sz w:val="20"/>
                <w:lang w:val="fr-CA"/>
              </w:rPr>
              <w:t xml:space="preserve"> et soit à la primauté du droit, soit au droit constitutionnel d’accès aux tribunaux en common law? — Art. 7 et 15 de la</w:t>
            </w:r>
            <w:r w:rsidRPr="00A344E0">
              <w:rPr>
                <w:rFonts w:eastAsia="Calibri"/>
                <w:i/>
                <w:iCs/>
                <w:sz w:val="20"/>
                <w:lang w:val="fr-CA"/>
              </w:rPr>
              <w:t xml:space="preserve"> Charte canadienne des droits et libertés </w:t>
            </w:r>
            <w:r w:rsidRPr="00A344E0">
              <w:rPr>
                <w:rFonts w:eastAsia="Calibri"/>
                <w:iCs/>
                <w:sz w:val="20"/>
                <w:lang w:val="fr-CA"/>
              </w:rPr>
              <w:t xml:space="preserve">— </w:t>
            </w:r>
            <w:r w:rsidRPr="00A344E0">
              <w:rPr>
                <w:rFonts w:eastAsia="Calibri"/>
                <w:sz w:val="20"/>
                <w:lang w:val="fr-CA"/>
              </w:rPr>
              <w:t>Par. 25(1) de la</w:t>
            </w:r>
            <w:r w:rsidRPr="00A344E0">
              <w:rPr>
                <w:rFonts w:eastAsia="Calibri"/>
                <w:i/>
                <w:sz w:val="20"/>
                <w:lang w:val="fr-CA"/>
              </w:rPr>
              <w:t xml:space="preserve"> Loi sur l’immigration et la protection des réfugiés</w:t>
            </w:r>
            <w:r w:rsidRPr="00A344E0">
              <w:rPr>
                <w:rFonts w:eastAsia="Calibri"/>
                <w:sz w:val="20"/>
                <w:lang w:val="fr-CA"/>
              </w:rPr>
              <w:t>, L.C. 2001, ch. 27 — Art. 10(1) et 307 du</w:t>
            </w:r>
            <w:r w:rsidRPr="00A344E0">
              <w:rPr>
                <w:rFonts w:eastAsia="Calibri"/>
                <w:i/>
                <w:sz w:val="20"/>
                <w:lang w:val="fr-CA"/>
              </w:rPr>
              <w:t xml:space="preserve"> Règlement sur l’immigration et la protection des réfugiés</w:t>
            </w:r>
            <w:r w:rsidRPr="00A344E0">
              <w:rPr>
                <w:rFonts w:eastAsia="Calibri"/>
                <w:sz w:val="20"/>
                <w:lang w:val="fr-CA"/>
              </w:rPr>
              <w:t>, DORS/2002</w:t>
            </w:r>
            <w:r w:rsidRPr="00A344E0">
              <w:rPr>
                <w:rFonts w:eastAsia="Calibri"/>
                <w:sz w:val="20"/>
                <w:lang w:val="fr-CA"/>
              </w:rPr>
              <w:noBreakHyphen/>
              <w:t>227.</w:t>
            </w:r>
          </w:p>
          <w:p w:rsidR="00A77AE8" w:rsidRPr="00A344E0" w:rsidRDefault="00A77AE8" w:rsidP="004163EF">
            <w:pPr>
              <w:jc w:val="both"/>
              <w:rPr>
                <w:rFonts w:eastAsia="Calibri"/>
                <w:sz w:val="20"/>
                <w:lang w:val="fr-CA"/>
              </w:rPr>
            </w:pPr>
          </w:p>
        </w:tc>
      </w:tr>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La demanderesse Nell Toussaint est venue au Canada comme visiteur.  Son statut de visiteur a expiré après six mois.  Madame Toussaint a présenté une demande de statut de résident permanent et une dispense pour des motifs d’ordre humanitaire en application du par. 25(1) de la</w:t>
            </w:r>
            <w:r w:rsidRPr="00A344E0">
              <w:rPr>
                <w:rFonts w:eastAsia="Calibri"/>
                <w:i/>
                <w:sz w:val="20"/>
                <w:lang w:val="fr-CA"/>
              </w:rPr>
              <w:t xml:space="preserve"> Loi sur l’immigration et la protection des réfugiés</w:t>
            </w:r>
            <w:r w:rsidRPr="00A344E0">
              <w:rPr>
                <w:rFonts w:eastAsia="Calibri"/>
                <w:sz w:val="20"/>
                <w:lang w:val="fr-CA"/>
              </w:rPr>
              <w:t>.  Plus particulièrement, elle a sollicité une dispense des obligations de présenter sa demande de statut de résident permanent de l’extérieur du Canada et de payer des frais de demande de 550 $ parce qu’elle vit dans la pauvreté.  Le ministre de la Citoyenneté et de l’Immigration intimé a refusé de traiter la demande de Mme Toussaint au motif que la demande devait être accompagnée des frais exigés.  Madame Toussaint a demandé le contrôle judiciaire, demandant que la décision soit annulée et sollicitant d’autres réparations.</w:t>
            </w:r>
          </w:p>
          <w:p w:rsidR="00A77AE8" w:rsidRPr="00A344E0" w:rsidRDefault="00A77AE8" w:rsidP="004163EF">
            <w:pPr>
              <w:jc w:val="both"/>
              <w:rPr>
                <w:rFonts w:eastAsia="Calibri"/>
                <w:sz w:val="20"/>
                <w:lang w:val="fr-CA"/>
              </w:rPr>
            </w:pPr>
          </w:p>
        </w:tc>
      </w:tr>
      <w:tr w:rsidR="00A77AE8" w:rsidRPr="004163EF"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4 septembre 2009</w:t>
            </w:r>
          </w:p>
          <w:p w:rsidR="00A77AE8" w:rsidRPr="00A344E0" w:rsidRDefault="00A77AE8" w:rsidP="004163EF">
            <w:pPr>
              <w:jc w:val="both"/>
              <w:rPr>
                <w:rFonts w:eastAsia="Calibri"/>
                <w:sz w:val="20"/>
                <w:lang w:val="fr-CA"/>
              </w:rPr>
            </w:pPr>
            <w:r w:rsidRPr="00A344E0">
              <w:rPr>
                <w:rFonts w:eastAsia="Calibri"/>
                <w:sz w:val="20"/>
                <w:lang w:val="fr-CA"/>
              </w:rPr>
              <w:t xml:space="preserve">Cour fédérale </w:t>
            </w:r>
          </w:p>
          <w:p w:rsidR="00A77AE8" w:rsidRPr="00A344E0" w:rsidRDefault="00A77AE8" w:rsidP="004163EF">
            <w:pPr>
              <w:jc w:val="both"/>
              <w:rPr>
                <w:rFonts w:eastAsia="Calibri"/>
                <w:sz w:val="20"/>
                <w:lang w:val="fr-CA"/>
              </w:rPr>
            </w:pPr>
            <w:r w:rsidRPr="00A344E0">
              <w:rPr>
                <w:rFonts w:eastAsia="Calibri"/>
                <w:sz w:val="20"/>
                <w:lang w:val="fr-CA"/>
              </w:rPr>
              <w:t>(Juge Snider)</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Demande de contrôle judiciaire, rejetée</w:t>
            </w:r>
          </w:p>
        </w:tc>
      </w:tr>
      <w:tr w:rsidR="00A77AE8" w:rsidRPr="00A344E0"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29 avril 2011</w:t>
            </w:r>
          </w:p>
          <w:p w:rsidR="00A77AE8" w:rsidRPr="00A344E0" w:rsidRDefault="00A77AE8" w:rsidP="004163EF">
            <w:pPr>
              <w:jc w:val="both"/>
              <w:rPr>
                <w:rFonts w:eastAsia="Calibri"/>
                <w:sz w:val="20"/>
                <w:lang w:val="fr-CA"/>
              </w:rPr>
            </w:pPr>
            <w:r w:rsidRPr="00A344E0">
              <w:rPr>
                <w:rFonts w:eastAsia="Calibri"/>
                <w:sz w:val="20"/>
                <w:lang w:val="fr-CA"/>
              </w:rPr>
              <w:t xml:space="preserve">Cour d’appel fédérale </w:t>
            </w:r>
          </w:p>
          <w:p w:rsidR="00A77AE8" w:rsidRPr="00A344E0" w:rsidRDefault="00A77AE8" w:rsidP="004163EF">
            <w:pPr>
              <w:jc w:val="both"/>
              <w:rPr>
                <w:rFonts w:eastAsia="Calibri"/>
                <w:sz w:val="20"/>
                <w:lang w:val="fr-CA"/>
              </w:rPr>
            </w:pPr>
            <w:r w:rsidRPr="00A344E0">
              <w:rPr>
                <w:rFonts w:eastAsia="Calibri"/>
                <w:sz w:val="20"/>
                <w:lang w:val="fr-CA"/>
              </w:rPr>
              <w:t>(Juges Sharlow, Dawson et Layden</w:t>
            </w:r>
            <w:r w:rsidRPr="00A344E0">
              <w:rPr>
                <w:rFonts w:eastAsia="Calibri"/>
                <w:sz w:val="20"/>
                <w:lang w:val="fr-CA"/>
              </w:rPr>
              <w:noBreakHyphen/>
              <w:t>Stevenson)</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Appel accueilli</w:t>
            </w:r>
          </w:p>
        </w:tc>
      </w:tr>
      <w:tr w:rsidR="00A77AE8" w:rsidRPr="00A344E0"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28 juin 2011</w:t>
            </w:r>
          </w:p>
          <w:p w:rsidR="00A77AE8" w:rsidRPr="00A344E0" w:rsidRDefault="00A77AE8" w:rsidP="004163EF">
            <w:pPr>
              <w:jc w:val="both"/>
              <w:rPr>
                <w:rFonts w:eastAsia="Calibri"/>
                <w:sz w:val="20"/>
                <w:lang w:val="fr-CA"/>
              </w:rPr>
            </w:pPr>
            <w:r w:rsidRPr="00A344E0">
              <w:rPr>
                <w:rFonts w:eastAsia="Calibri"/>
                <w:sz w:val="20"/>
                <w:lang w:val="fr-CA"/>
              </w:rPr>
              <w:t>Cour suprême du Canada</w:t>
            </w:r>
          </w:p>
        </w:tc>
        <w:tc>
          <w:tcPr>
            <w:tcW w:w="243" w:type="pct"/>
          </w:tcPr>
          <w:p w:rsidR="00A77AE8" w:rsidRPr="00A344E0" w:rsidRDefault="00A77AE8" w:rsidP="004163EF">
            <w:pPr>
              <w:jc w:val="both"/>
              <w:rPr>
                <w:rFonts w:eastAsia="Calibri"/>
                <w:sz w:val="20"/>
                <w:lang w:val="fr-CA"/>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Demande d’autorisation d’appel, déposée</w:t>
            </w:r>
          </w:p>
          <w:p w:rsidR="00A77AE8" w:rsidRPr="00A344E0" w:rsidRDefault="00A77AE8" w:rsidP="004163EF">
            <w:pPr>
              <w:jc w:val="both"/>
              <w:rPr>
                <w:rFonts w:eastAsia="Calibri"/>
                <w:sz w:val="20"/>
                <w:lang w:val="fr-CA"/>
              </w:rPr>
            </w:pP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51" style="width:2in;height:1pt" o:hrpct="0" o:hralign="center" o:hrstd="t" o:hrnoshade="t" o:hr="t" fillcolor="black [3213]" stroked="f"/>
        </w:pict>
      </w:r>
    </w:p>
    <w:p w:rsidR="00A77AE8" w:rsidRDefault="00A77AE8" w:rsidP="00A77AE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7AE8" w:rsidRPr="004163EF" w:rsidTr="004163EF">
        <w:trPr>
          <w:cantSplit/>
        </w:trPr>
        <w:tc>
          <w:tcPr>
            <w:tcW w:w="1458" w:type="dxa"/>
          </w:tcPr>
          <w:p w:rsidR="00A77AE8" w:rsidRPr="00D13261" w:rsidRDefault="00A77AE8" w:rsidP="004163EF">
            <w:pPr>
              <w:rPr>
                <w:rFonts w:cs="Times New Roman"/>
                <w:sz w:val="20"/>
                <w:szCs w:val="20"/>
              </w:rPr>
            </w:pPr>
            <w:r w:rsidRPr="00D13261">
              <w:rPr>
                <w:rStyle w:val="SCCFileNumberChar"/>
                <w:rFonts w:cs="Times New Roman"/>
                <w:sz w:val="20"/>
                <w:szCs w:val="20"/>
              </w:rPr>
              <w:t>34338</w:t>
            </w:r>
          </w:p>
          <w:p w:rsidR="00A77AE8" w:rsidRPr="00D13261" w:rsidRDefault="00A77AE8" w:rsidP="004163EF">
            <w:pPr>
              <w:rPr>
                <w:rFonts w:cs="Times New Roman"/>
                <w:b/>
                <w:sz w:val="20"/>
                <w:szCs w:val="20"/>
                <w:lang w:val="fr-CA"/>
              </w:rPr>
            </w:pPr>
          </w:p>
        </w:tc>
        <w:tc>
          <w:tcPr>
            <w:tcW w:w="8118" w:type="dxa"/>
          </w:tcPr>
          <w:p w:rsidR="00A77AE8" w:rsidRPr="00D13261" w:rsidRDefault="00A77AE8" w:rsidP="004163EF">
            <w:pPr>
              <w:rPr>
                <w:rFonts w:cs="Times New Roman"/>
                <w:sz w:val="20"/>
                <w:szCs w:val="20"/>
                <w:lang w:val="fr-CA"/>
              </w:rPr>
            </w:pPr>
            <w:r w:rsidRPr="00D13261">
              <w:rPr>
                <w:rStyle w:val="SCCLsocChar"/>
                <w:rFonts w:cs="Times New Roman"/>
                <w:sz w:val="20"/>
                <w:szCs w:val="20"/>
              </w:rPr>
              <w:t>Camping Granby inc. c. Ville de Granby</w:t>
            </w:r>
            <w:r w:rsidRPr="00D13261">
              <w:rPr>
                <w:rFonts w:cs="Times New Roman"/>
                <w:sz w:val="20"/>
                <w:szCs w:val="20"/>
                <w:lang w:val="fr-CA"/>
              </w:rPr>
              <w:t xml:space="preserve"> (Qc) (Civile) (Autorisation)</w:t>
            </w:r>
          </w:p>
          <w:p w:rsidR="00A77AE8" w:rsidRPr="00D13261" w:rsidRDefault="00A77AE8" w:rsidP="004163EF">
            <w:pPr>
              <w:rPr>
                <w:rFonts w:cs="Times New Roman"/>
                <w:sz w:val="20"/>
                <w:szCs w:val="20"/>
                <w:lang w:val="fr-CA"/>
              </w:rPr>
            </w:pPr>
          </w:p>
        </w:tc>
      </w:tr>
      <w:tr w:rsidR="00A77AE8" w:rsidRPr="004163EF" w:rsidTr="004163EF">
        <w:trPr>
          <w:cantSplit/>
        </w:trPr>
        <w:tc>
          <w:tcPr>
            <w:tcW w:w="1458" w:type="dxa"/>
          </w:tcPr>
          <w:p w:rsidR="00A77AE8" w:rsidRPr="00D13261" w:rsidRDefault="00A77AE8" w:rsidP="004163EF">
            <w:pPr>
              <w:rPr>
                <w:rFonts w:cs="Times New Roman"/>
                <w:sz w:val="20"/>
                <w:szCs w:val="20"/>
              </w:rPr>
            </w:pPr>
            <w:r w:rsidRPr="00D13261">
              <w:rPr>
                <w:rFonts w:cs="Times New Roman"/>
                <w:sz w:val="20"/>
                <w:szCs w:val="20"/>
              </w:rPr>
              <w:t>Coram :</w:t>
            </w:r>
          </w:p>
        </w:tc>
        <w:tc>
          <w:tcPr>
            <w:tcW w:w="8118" w:type="dxa"/>
          </w:tcPr>
          <w:p w:rsidR="00A77AE8" w:rsidRPr="00D13261" w:rsidRDefault="00A77AE8" w:rsidP="004163EF">
            <w:pPr>
              <w:rPr>
                <w:rFonts w:cs="Times New Roman"/>
                <w:sz w:val="20"/>
                <w:szCs w:val="20"/>
                <w:lang w:val="fr-CA"/>
              </w:rPr>
            </w:pPr>
            <w:r w:rsidRPr="00D13261">
              <w:rPr>
                <w:rStyle w:val="SCCCoramChar"/>
                <w:rFonts w:cs="Times New Roman"/>
                <w:sz w:val="20"/>
                <w:szCs w:val="20"/>
              </w:rPr>
              <w:t>Les juges LeBel, Fish et Cromwell</w:t>
            </w:r>
          </w:p>
          <w:p w:rsidR="00A77AE8" w:rsidRPr="00D13261" w:rsidRDefault="00A77AE8" w:rsidP="004163EF">
            <w:pPr>
              <w:rPr>
                <w:rFonts w:cs="Times New Roman"/>
                <w:sz w:val="20"/>
                <w:szCs w:val="20"/>
                <w:u w:val="single"/>
                <w:lang w:val="fr-CA"/>
              </w:rPr>
            </w:pPr>
          </w:p>
        </w:tc>
      </w:tr>
      <w:tr w:rsidR="00A77AE8" w:rsidRPr="00D13261" w:rsidTr="004163EF">
        <w:trPr>
          <w:cantSplit/>
        </w:trPr>
        <w:tc>
          <w:tcPr>
            <w:tcW w:w="9576" w:type="dxa"/>
            <w:gridSpan w:val="2"/>
          </w:tcPr>
          <w:p w:rsidR="00A77AE8" w:rsidRPr="00D13261" w:rsidRDefault="00A77AE8" w:rsidP="004163EF">
            <w:pPr>
              <w:pStyle w:val="SCCShortJudgment"/>
              <w:rPr>
                <w:rFonts w:cs="Times New Roman"/>
                <w:szCs w:val="20"/>
                <w:lang w:val="fr-CA"/>
              </w:rPr>
            </w:pPr>
            <w:r w:rsidRPr="00D13261">
              <w:rPr>
                <w:rFonts w:cs="Times New Roman"/>
                <w:szCs w:val="20"/>
                <w:lang w:val="fr-CA"/>
              </w:rPr>
              <w:lastRenderedPageBreak/>
              <w:t>La demande d’autorisation d’appel de l’arrêt de la Cour d’appel du Québec (Montréal), numéro 500-09-019820-091, 2011 QCCA 819, daté du 3 mai 2011, est rejetée avec dépens.</w:t>
            </w:r>
          </w:p>
          <w:p w:rsidR="00A77AE8" w:rsidRPr="00D13261" w:rsidRDefault="00A77AE8" w:rsidP="004163EF">
            <w:pPr>
              <w:pStyle w:val="SCCShortJudgment"/>
              <w:ind w:firstLine="0"/>
              <w:rPr>
                <w:rFonts w:cs="Times New Roman"/>
                <w:szCs w:val="20"/>
                <w:lang w:val="fr-CA"/>
              </w:rPr>
            </w:pPr>
          </w:p>
          <w:p w:rsidR="00A77AE8" w:rsidRPr="00D13261" w:rsidRDefault="00A77AE8" w:rsidP="004163EF">
            <w:pPr>
              <w:pStyle w:val="SCCShortJudgment"/>
              <w:rPr>
                <w:rFonts w:cs="Times New Roman"/>
                <w:szCs w:val="20"/>
              </w:rPr>
            </w:pPr>
            <w:r w:rsidRPr="00D13261">
              <w:rPr>
                <w:rFonts w:cs="Times New Roman"/>
                <w:szCs w:val="20"/>
              </w:rPr>
              <w:t>The application for leave to appeal from the judgment of the Court of Appeal of Quebec (Montréal), Number 500-09-019820-091, 2011 QCCA 819, dated May 3, 2011, is dismissed with costs.</w:t>
            </w:r>
          </w:p>
        </w:tc>
      </w:tr>
    </w:tbl>
    <w:p w:rsidR="00A77AE8" w:rsidRDefault="00A77AE8" w:rsidP="00A77AE8">
      <w:pPr>
        <w:rPr>
          <w:sz w:val="20"/>
          <w:szCs w:val="20"/>
        </w:rPr>
      </w:pPr>
    </w:p>
    <w:p w:rsidR="00A77AE8" w:rsidRDefault="00A77AE8" w:rsidP="00A77AE8">
      <w:pPr>
        <w:rPr>
          <w:sz w:val="20"/>
          <w:szCs w:val="20"/>
        </w:rPr>
      </w:pPr>
      <w:r>
        <w:rPr>
          <w:sz w:val="20"/>
          <w:szCs w:val="20"/>
          <w:u w:val="single"/>
        </w:rPr>
        <w:t>CASE SUMMARY</w:t>
      </w:r>
    </w:p>
    <w:p w:rsidR="00A77AE8" w:rsidRDefault="00A77AE8" w:rsidP="00A77AE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Municipal law — Prohibitive by</w:t>
            </w:r>
            <w:r w:rsidRPr="00A344E0">
              <w:rPr>
                <w:rFonts w:eastAsia="Calibri"/>
                <w:sz w:val="20"/>
              </w:rPr>
              <w:noBreakHyphen/>
              <w:t>law — By</w:t>
            </w:r>
            <w:r w:rsidRPr="00A344E0">
              <w:rPr>
                <w:rFonts w:eastAsia="Calibri"/>
                <w:sz w:val="20"/>
              </w:rPr>
              <w:noBreakHyphen/>
              <w:t>laws — Interpretation — Use not conforming to zoning and right under by</w:t>
            </w:r>
            <w:r w:rsidRPr="00A344E0">
              <w:rPr>
                <w:rFonts w:eastAsia="Calibri"/>
                <w:sz w:val="20"/>
              </w:rPr>
              <w:noBreakHyphen/>
              <w:t>laws to continue and extend such use — Campground opened before territory annexed to city — Constant development of activity throughout periods when authorization varied under by</w:t>
            </w:r>
            <w:r w:rsidRPr="00A344E0">
              <w:rPr>
                <w:rFonts w:eastAsia="Calibri"/>
                <w:sz w:val="20"/>
              </w:rPr>
              <w:noBreakHyphen/>
              <w:t>laws — New by</w:t>
            </w:r>
            <w:r w:rsidRPr="00A344E0">
              <w:rPr>
                <w:rFonts w:eastAsia="Calibri"/>
                <w:sz w:val="20"/>
              </w:rPr>
              <w:noBreakHyphen/>
              <w:t>law adopted that bolstered activity while creating buffer zone between activity and residential sector — Acquired rights alleged — Whether Court of Appeal erred in concluding that past municipal by</w:t>
            </w:r>
            <w:r w:rsidRPr="00A344E0">
              <w:rPr>
                <w:rFonts w:eastAsia="Calibri"/>
                <w:sz w:val="20"/>
              </w:rPr>
              <w:noBreakHyphen/>
              <w:t>laws not prohibitive.</w:t>
            </w:r>
          </w:p>
        </w:tc>
      </w:tr>
      <w:tr w:rsidR="00A77AE8" w:rsidRPr="00A344E0" w:rsidTr="004163EF">
        <w:tc>
          <w:tcPr>
            <w:tcW w:w="5000" w:type="pct"/>
            <w:gridSpan w:val="3"/>
          </w:tcPr>
          <w:p w:rsidR="00A77AE8" w:rsidRPr="00A344E0" w:rsidRDefault="00A77AE8" w:rsidP="004163EF">
            <w:pPr>
              <w:jc w:val="both"/>
              <w:rPr>
                <w:rFonts w:eastAsia="Calibri"/>
                <w:sz w:val="20"/>
              </w:rPr>
            </w:pPr>
          </w:p>
        </w:tc>
      </w:tr>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The Camping Granby campground had existed since 1969; it was originally in the township of Granby but was annexed to the City of Granby in 1974.  The municipal zoning for the sector varied a great deal over time.  The applicant purchased the land in 1995.  In 2003, the City adopted a new by</w:t>
            </w:r>
            <w:r w:rsidRPr="00A344E0">
              <w:rPr>
                <w:rFonts w:eastAsia="Calibri"/>
                <w:sz w:val="20"/>
              </w:rPr>
              <w:noBreakHyphen/>
              <w:t>law that formalized the campground’s commercial status while creating a residential buffer zone around it.  The company believed instead that it had acquired rights for all of its land and undertook another expansion.</w:t>
            </w:r>
          </w:p>
          <w:p w:rsidR="00A77AE8" w:rsidRPr="00A344E0" w:rsidRDefault="00A77AE8" w:rsidP="004163EF">
            <w:pPr>
              <w:jc w:val="both"/>
              <w:rPr>
                <w:rFonts w:eastAsia="Calibri"/>
                <w:sz w:val="20"/>
              </w:rPr>
            </w:pP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June 2, 2009</w:t>
            </w:r>
          </w:p>
          <w:p w:rsidR="00A77AE8" w:rsidRPr="00A344E0" w:rsidRDefault="00A77AE8" w:rsidP="004163EF">
            <w:pPr>
              <w:jc w:val="both"/>
              <w:rPr>
                <w:rFonts w:eastAsia="Calibri"/>
                <w:sz w:val="20"/>
              </w:rPr>
            </w:pPr>
            <w:r w:rsidRPr="00A344E0">
              <w:rPr>
                <w:rFonts w:eastAsia="Calibri"/>
                <w:sz w:val="20"/>
              </w:rPr>
              <w:t>Quebec Superior Court</w:t>
            </w:r>
          </w:p>
          <w:p w:rsidR="00A77AE8" w:rsidRPr="00A344E0" w:rsidRDefault="00A77AE8" w:rsidP="004163EF">
            <w:pPr>
              <w:jc w:val="both"/>
              <w:rPr>
                <w:rFonts w:eastAsia="Calibri"/>
                <w:sz w:val="20"/>
              </w:rPr>
            </w:pPr>
            <w:r w:rsidRPr="00A344E0">
              <w:rPr>
                <w:rFonts w:eastAsia="Calibri"/>
                <w:sz w:val="20"/>
              </w:rPr>
              <w:t>(Dumas J.)</w:t>
            </w:r>
          </w:p>
          <w:p w:rsidR="00A77AE8" w:rsidRPr="00A344E0" w:rsidRDefault="00A77AE8" w:rsidP="004163EF">
            <w:pPr>
              <w:jc w:val="both"/>
              <w:rPr>
                <w:rFonts w:eastAsia="Calibri"/>
                <w:sz w:val="20"/>
              </w:rPr>
            </w:pPr>
            <w:r w:rsidRPr="00A344E0">
              <w:rPr>
                <w:rFonts w:eastAsia="Calibri"/>
                <w:sz w:val="20"/>
              </w:rPr>
              <w:t>Neutral citation: 2009 QCCS 2427</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Part of applicant’s land declared excluded from its acquired right to use land for campground; applicant ordered to cease such use</w:t>
            </w: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May 3, 2011</w:t>
            </w:r>
          </w:p>
          <w:p w:rsidR="00A77AE8" w:rsidRPr="00A344E0" w:rsidRDefault="00A77AE8" w:rsidP="004163EF">
            <w:pPr>
              <w:jc w:val="both"/>
              <w:rPr>
                <w:rFonts w:eastAsia="Calibri"/>
                <w:sz w:val="20"/>
              </w:rPr>
            </w:pPr>
            <w:r w:rsidRPr="00A344E0">
              <w:rPr>
                <w:rFonts w:eastAsia="Calibri"/>
                <w:sz w:val="20"/>
              </w:rPr>
              <w:t>Quebec Court of Appeal (Montréal)</w:t>
            </w:r>
          </w:p>
          <w:p w:rsidR="00A77AE8" w:rsidRPr="00A344E0" w:rsidRDefault="00A77AE8" w:rsidP="004163EF">
            <w:pPr>
              <w:jc w:val="both"/>
              <w:rPr>
                <w:rFonts w:eastAsia="Calibri"/>
                <w:sz w:val="20"/>
              </w:rPr>
            </w:pPr>
            <w:r w:rsidRPr="00A344E0">
              <w:rPr>
                <w:rFonts w:eastAsia="Calibri"/>
                <w:sz w:val="20"/>
              </w:rPr>
              <w:t>(Chamberland, Léger and Wagner JJ.A.)</w:t>
            </w:r>
          </w:p>
          <w:p w:rsidR="00A77AE8" w:rsidRPr="00A344E0" w:rsidRDefault="00A77AE8" w:rsidP="004163EF">
            <w:pPr>
              <w:jc w:val="both"/>
              <w:rPr>
                <w:rFonts w:eastAsia="Calibri"/>
                <w:sz w:val="20"/>
              </w:rPr>
            </w:pPr>
            <w:r w:rsidRPr="00A344E0">
              <w:rPr>
                <w:rFonts w:eastAsia="Calibri"/>
                <w:sz w:val="20"/>
              </w:rPr>
              <w:t>Neutral citation: 2011 QCCA 819</w:t>
            </w:r>
          </w:p>
          <w:p w:rsidR="00A77AE8" w:rsidRPr="00A344E0" w:rsidRDefault="00A77AE8" w:rsidP="004163EF">
            <w:pPr>
              <w:jc w:val="both"/>
              <w:rPr>
                <w:rFonts w:eastAsia="Calibri"/>
                <w:sz w:val="20"/>
              </w:rPr>
            </w:pP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Appeal dismissed</w:t>
            </w:r>
          </w:p>
        </w:tc>
      </w:tr>
      <w:tr w:rsidR="00A77AE8" w:rsidRPr="00A344E0" w:rsidTr="004163EF">
        <w:tc>
          <w:tcPr>
            <w:tcW w:w="2427" w:type="pct"/>
          </w:tcPr>
          <w:p w:rsidR="00A77AE8" w:rsidRPr="00A344E0" w:rsidRDefault="00A77AE8" w:rsidP="004163EF">
            <w:pPr>
              <w:jc w:val="both"/>
              <w:rPr>
                <w:rFonts w:eastAsia="Calibri"/>
                <w:sz w:val="20"/>
              </w:rPr>
            </w:pPr>
            <w:r w:rsidRPr="00A344E0">
              <w:rPr>
                <w:rFonts w:eastAsia="Calibri"/>
                <w:sz w:val="20"/>
              </w:rPr>
              <w:t>June 30, 2011</w:t>
            </w:r>
          </w:p>
          <w:p w:rsidR="00A77AE8" w:rsidRPr="00A344E0" w:rsidRDefault="00A77AE8" w:rsidP="004163EF">
            <w:pPr>
              <w:jc w:val="both"/>
              <w:rPr>
                <w:rFonts w:eastAsia="Calibri"/>
                <w:sz w:val="20"/>
              </w:rPr>
            </w:pPr>
            <w:r w:rsidRPr="00A344E0">
              <w:rPr>
                <w:rFonts w:eastAsia="Calibri"/>
                <w:sz w:val="20"/>
              </w:rPr>
              <w:t>Supreme Court of Canada</w:t>
            </w:r>
          </w:p>
        </w:tc>
        <w:tc>
          <w:tcPr>
            <w:tcW w:w="243" w:type="pct"/>
          </w:tcPr>
          <w:p w:rsidR="00A77AE8" w:rsidRPr="00A344E0" w:rsidRDefault="00A77AE8" w:rsidP="004163EF">
            <w:pPr>
              <w:jc w:val="both"/>
              <w:rPr>
                <w:rFonts w:eastAsia="Calibri"/>
                <w:sz w:val="20"/>
              </w:rPr>
            </w:pPr>
          </w:p>
        </w:tc>
        <w:tc>
          <w:tcPr>
            <w:tcW w:w="2330" w:type="pct"/>
          </w:tcPr>
          <w:p w:rsidR="00A77AE8" w:rsidRPr="00A344E0" w:rsidRDefault="00A77AE8" w:rsidP="004163EF">
            <w:pPr>
              <w:jc w:val="both"/>
              <w:rPr>
                <w:rFonts w:eastAsia="Calibri"/>
                <w:sz w:val="20"/>
              </w:rPr>
            </w:pPr>
            <w:r w:rsidRPr="00A344E0">
              <w:rPr>
                <w:rFonts w:eastAsia="Calibri"/>
                <w:sz w:val="20"/>
              </w:rPr>
              <w:t>Application for leave to appeal filed</w:t>
            </w:r>
          </w:p>
          <w:p w:rsidR="00A77AE8" w:rsidRPr="00A344E0" w:rsidRDefault="00A77AE8" w:rsidP="004163EF">
            <w:pPr>
              <w:jc w:val="both"/>
              <w:rPr>
                <w:rFonts w:eastAsia="Calibri"/>
                <w:sz w:val="20"/>
              </w:rPr>
            </w:pP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52" style="width:2in;height:1pt" o:hrpct="0" o:hralign="center" o:hrstd="t" o:hrnoshade="t" o:hr="t" fillcolor="black [3213]" stroked="f"/>
        </w:pict>
      </w:r>
    </w:p>
    <w:p w:rsidR="00A77AE8" w:rsidRDefault="00A77AE8" w:rsidP="00A77AE8">
      <w:pPr>
        <w:rPr>
          <w:sz w:val="20"/>
          <w:szCs w:val="20"/>
        </w:rPr>
      </w:pPr>
    </w:p>
    <w:p w:rsidR="00A77AE8" w:rsidRPr="001A6485" w:rsidRDefault="00A77AE8" w:rsidP="00A77AE8">
      <w:pPr>
        <w:rPr>
          <w:sz w:val="20"/>
          <w:szCs w:val="20"/>
          <w:u w:val="single"/>
        </w:rPr>
      </w:pPr>
      <w:r>
        <w:rPr>
          <w:sz w:val="20"/>
          <w:szCs w:val="20"/>
          <w:u w:val="single"/>
        </w:rPr>
        <w:t>RÉSUMÉ DE L’AFFAIRE</w:t>
      </w:r>
    </w:p>
    <w:p w:rsidR="00A77AE8" w:rsidRDefault="00A77AE8" w:rsidP="00A77AE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77AE8" w:rsidRPr="004163EF" w:rsidTr="004163EF">
        <w:tc>
          <w:tcPr>
            <w:tcW w:w="5000" w:type="pct"/>
            <w:gridSpan w:val="3"/>
          </w:tcPr>
          <w:p w:rsidR="00A77AE8" w:rsidRPr="00A344E0" w:rsidRDefault="00A77AE8" w:rsidP="004163EF">
            <w:pPr>
              <w:jc w:val="both"/>
              <w:rPr>
                <w:rFonts w:eastAsia="Calibri"/>
                <w:sz w:val="20"/>
                <w:lang w:val="fr-FR"/>
              </w:rPr>
            </w:pPr>
            <w:r w:rsidRPr="00A344E0">
              <w:rPr>
                <w:rFonts w:eastAsia="Calibri"/>
                <w:sz w:val="20"/>
                <w:lang w:val="fr-CA"/>
              </w:rPr>
              <w:t>Droit municipal — Règlement prohibitif — Réglementation — Interprétation — Usage dérogatoire au zonage et droit réglementaire de poursuivre et d’étendre cet usage — Camping inauguré avant l’annexion du territoire à une ville — Développement constant de l’activité à travers des périodes où l’autorisation réglementaire a varié — Adoption d’une nouveau règlement bonifiant l’activité tout en créant une zone tampon entre celle</w:t>
            </w:r>
            <w:r w:rsidRPr="00A344E0">
              <w:rPr>
                <w:rFonts w:eastAsia="Calibri"/>
                <w:sz w:val="20"/>
                <w:lang w:val="fr-CA"/>
              </w:rPr>
              <w:noBreakHyphen/>
              <w:t xml:space="preserve">ci et le secteur résidentiel </w:t>
            </w:r>
            <w:r w:rsidRPr="00A344E0">
              <w:rPr>
                <w:rFonts w:eastAsia="Calibri"/>
                <w:sz w:val="20"/>
                <w:lang w:val="fr-CA"/>
              </w:rPr>
              <w:noBreakHyphen/>
              <w:t xml:space="preserve"> Allégation de droits acquis — La Cour d’appel a</w:t>
            </w:r>
            <w:r w:rsidRPr="00A344E0">
              <w:rPr>
                <w:rFonts w:eastAsia="Calibri"/>
                <w:sz w:val="20"/>
                <w:lang w:val="fr-CA"/>
              </w:rPr>
              <w:noBreakHyphen/>
              <w:t>t</w:t>
            </w:r>
            <w:r w:rsidRPr="00A344E0">
              <w:rPr>
                <w:rFonts w:eastAsia="Calibri"/>
                <w:sz w:val="20"/>
                <w:lang w:val="fr-CA"/>
              </w:rPr>
              <w:noBreakHyphen/>
              <w:t>elle conclu à tort que les règlements municipaux passés n’étaient pas prohibitifs?</w:t>
            </w:r>
          </w:p>
        </w:tc>
      </w:tr>
      <w:tr w:rsidR="00A77AE8" w:rsidRPr="004163EF" w:rsidTr="004163EF">
        <w:tc>
          <w:tcPr>
            <w:tcW w:w="5000" w:type="pct"/>
            <w:gridSpan w:val="3"/>
          </w:tcPr>
          <w:p w:rsidR="00A77AE8" w:rsidRPr="00A344E0" w:rsidRDefault="00A77AE8" w:rsidP="004163EF">
            <w:pPr>
              <w:jc w:val="both"/>
              <w:rPr>
                <w:rFonts w:eastAsia="Calibri"/>
                <w:sz w:val="20"/>
                <w:lang w:val="fr-CA"/>
              </w:rPr>
            </w:pPr>
          </w:p>
        </w:tc>
      </w:tr>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 xml:space="preserve">Le Camping Granby existe depuis 1969; il faisait alors partie du Canton de Granby et a été annexé en 1974 à la Ville de Granby.  Le zonage municipal a beaucoup varié dans le temps pour ce secteur.  C’est en 1995 que la demanderesse acquiert le terrain.  En 2003, la ville adopte un nouveau règlement qui officialise le statut commercial du camping tout en créant autour de lui une zone tampon résidentielle.  L’entreprise estime plutôt avoir des droits acquis pour l’ensemble de son terrain, qu’elle entreprend d’agrandir à nouveau. </w:t>
            </w:r>
          </w:p>
          <w:p w:rsidR="00A77AE8" w:rsidRPr="00A344E0" w:rsidRDefault="00A77AE8" w:rsidP="004163EF">
            <w:pPr>
              <w:jc w:val="both"/>
              <w:rPr>
                <w:rFonts w:eastAsia="Calibri"/>
                <w:sz w:val="20"/>
                <w:lang w:val="fr-CA"/>
              </w:rPr>
            </w:pPr>
          </w:p>
        </w:tc>
      </w:tr>
      <w:tr w:rsidR="00A77AE8" w:rsidRPr="004163EF"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lastRenderedPageBreak/>
              <w:t>Le 2 juin 2009</w:t>
            </w:r>
          </w:p>
          <w:p w:rsidR="00A77AE8" w:rsidRPr="00A344E0" w:rsidRDefault="00A77AE8" w:rsidP="004163EF">
            <w:pPr>
              <w:jc w:val="both"/>
              <w:rPr>
                <w:rFonts w:eastAsia="Calibri"/>
                <w:sz w:val="20"/>
                <w:lang w:val="fr-CA"/>
              </w:rPr>
            </w:pPr>
            <w:r w:rsidRPr="00A344E0">
              <w:rPr>
                <w:rFonts w:eastAsia="Calibri"/>
                <w:sz w:val="20"/>
                <w:lang w:val="fr-CA"/>
              </w:rPr>
              <w:t>Cour supérieure du Québec</w:t>
            </w:r>
          </w:p>
          <w:p w:rsidR="00A77AE8" w:rsidRPr="00A344E0" w:rsidRDefault="00A77AE8" w:rsidP="004163EF">
            <w:pPr>
              <w:jc w:val="both"/>
              <w:rPr>
                <w:rFonts w:eastAsia="Calibri"/>
                <w:sz w:val="20"/>
                <w:lang w:val="fr-CA"/>
              </w:rPr>
            </w:pPr>
            <w:r w:rsidRPr="00A344E0">
              <w:rPr>
                <w:rFonts w:eastAsia="Calibri"/>
                <w:sz w:val="20"/>
                <w:lang w:val="fr-CA"/>
              </w:rPr>
              <w:t>(Le juge Dumas)</w:t>
            </w:r>
          </w:p>
          <w:p w:rsidR="00A77AE8" w:rsidRPr="00A344E0" w:rsidRDefault="00A77AE8" w:rsidP="004163EF">
            <w:pPr>
              <w:jc w:val="both"/>
              <w:rPr>
                <w:rFonts w:eastAsia="Calibri"/>
                <w:sz w:val="20"/>
                <w:lang w:val="fr-CA"/>
              </w:rPr>
            </w:pPr>
            <w:r w:rsidRPr="00A344E0">
              <w:rPr>
                <w:rFonts w:eastAsia="Calibri"/>
                <w:sz w:val="20"/>
                <w:lang w:val="fr-CA"/>
              </w:rPr>
              <w:t>Référence neutre : 2009 QCCS 2427</w:t>
            </w:r>
          </w:p>
          <w:p w:rsidR="00A77AE8" w:rsidRPr="00A344E0" w:rsidRDefault="00A77AE8" w:rsidP="004163EF">
            <w:pPr>
              <w:jc w:val="both"/>
              <w:rPr>
                <w:rFonts w:eastAsia="Calibri"/>
                <w:sz w:val="20"/>
                <w:lang w:val="fr-CA"/>
              </w:rPr>
            </w:pPr>
          </w:p>
        </w:tc>
        <w:tc>
          <w:tcPr>
            <w:tcW w:w="243" w:type="pct"/>
          </w:tcPr>
          <w:p w:rsidR="00A77AE8" w:rsidRPr="00A344E0" w:rsidRDefault="00A77AE8" w:rsidP="004163EF">
            <w:pPr>
              <w:jc w:val="both"/>
              <w:rPr>
                <w:rFonts w:eastAsia="Calibri"/>
                <w:sz w:val="20"/>
                <w:lang w:val="fr-FR"/>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Déclaration d’exclusion d’une partie du terrain de la demanderesse de ses droits acquis de l’exploiter pour le camping; ordonnance de cesser cette exploitation.</w:t>
            </w:r>
          </w:p>
        </w:tc>
      </w:tr>
      <w:tr w:rsidR="00A77AE8" w:rsidRPr="00A344E0"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Le 3 mai 2011</w:t>
            </w:r>
          </w:p>
          <w:p w:rsidR="00A77AE8" w:rsidRPr="00A344E0" w:rsidRDefault="00A77AE8" w:rsidP="004163EF">
            <w:pPr>
              <w:jc w:val="both"/>
              <w:rPr>
                <w:rFonts w:eastAsia="Calibri"/>
                <w:sz w:val="20"/>
                <w:lang w:val="fr-CA"/>
              </w:rPr>
            </w:pPr>
            <w:r w:rsidRPr="00A344E0">
              <w:rPr>
                <w:rFonts w:eastAsia="Calibri"/>
                <w:sz w:val="20"/>
                <w:lang w:val="fr-CA"/>
              </w:rPr>
              <w:t>Cour d’appel du Québec (Montréal)</w:t>
            </w:r>
          </w:p>
          <w:p w:rsidR="00A77AE8" w:rsidRPr="00A344E0" w:rsidRDefault="00A77AE8" w:rsidP="004163EF">
            <w:pPr>
              <w:jc w:val="both"/>
              <w:rPr>
                <w:rFonts w:eastAsia="Calibri"/>
                <w:sz w:val="20"/>
                <w:lang w:val="fr-CA"/>
              </w:rPr>
            </w:pPr>
            <w:r w:rsidRPr="00A344E0">
              <w:rPr>
                <w:rFonts w:eastAsia="Calibri"/>
                <w:sz w:val="20"/>
                <w:lang w:val="fr-CA"/>
              </w:rPr>
              <w:t>(Les juges Chamberland, Léger et Wagner)</w:t>
            </w:r>
          </w:p>
          <w:p w:rsidR="00A77AE8" w:rsidRPr="00A344E0" w:rsidRDefault="00A77AE8" w:rsidP="004163EF">
            <w:pPr>
              <w:jc w:val="both"/>
              <w:rPr>
                <w:rFonts w:eastAsia="Calibri"/>
                <w:sz w:val="20"/>
                <w:lang w:val="fr-CA"/>
              </w:rPr>
            </w:pPr>
            <w:r w:rsidRPr="00A344E0">
              <w:rPr>
                <w:rFonts w:eastAsia="Calibri"/>
                <w:sz w:val="20"/>
                <w:lang w:val="fr-CA"/>
              </w:rPr>
              <w:t>Référence neutre : 2011 QCCA 819</w:t>
            </w:r>
          </w:p>
          <w:p w:rsidR="00A77AE8" w:rsidRPr="00A344E0" w:rsidRDefault="00A77AE8" w:rsidP="004163EF">
            <w:pPr>
              <w:jc w:val="both"/>
              <w:rPr>
                <w:rFonts w:eastAsia="Calibri"/>
                <w:sz w:val="20"/>
                <w:lang w:val="fr-FR"/>
              </w:rPr>
            </w:pPr>
          </w:p>
        </w:tc>
        <w:tc>
          <w:tcPr>
            <w:tcW w:w="243" w:type="pct"/>
          </w:tcPr>
          <w:p w:rsidR="00A77AE8" w:rsidRPr="00A344E0" w:rsidRDefault="00A77AE8" w:rsidP="004163EF">
            <w:pPr>
              <w:jc w:val="both"/>
              <w:rPr>
                <w:rFonts w:eastAsia="Calibri"/>
                <w:sz w:val="20"/>
                <w:lang w:val="fr-FR"/>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Rejet de l’appel.</w:t>
            </w:r>
          </w:p>
        </w:tc>
      </w:tr>
      <w:tr w:rsidR="00A77AE8" w:rsidRPr="004163EF" w:rsidTr="004163EF">
        <w:tc>
          <w:tcPr>
            <w:tcW w:w="2427" w:type="pct"/>
          </w:tcPr>
          <w:p w:rsidR="00A77AE8" w:rsidRPr="00A344E0" w:rsidRDefault="00A77AE8" w:rsidP="004163EF">
            <w:pPr>
              <w:jc w:val="both"/>
              <w:rPr>
                <w:rFonts w:eastAsia="Calibri"/>
                <w:sz w:val="20"/>
                <w:lang w:val="fr-CA"/>
              </w:rPr>
            </w:pPr>
            <w:r w:rsidRPr="00A344E0">
              <w:rPr>
                <w:rFonts w:eastAsia="Calibri"/>
                <w:sz w:val="20"/>
                <w:lang w:val="fr-CA"/>
              </w:rPr>
              <w:t>Le 30 juin 2011</w:t>
            </w:r>
          </w:p>
          <w:p w:rsidR="00A77AE8" w:rsidRPr="00A344E0" w:rsidRDefault="00A77AE8" w:rsidP="004163EF">
            <w:pPr>
              <w:jc w:val="both"/>
              <w:rPr>
                <w:rFonts w:eastAsia="Calibri"/>
                <w:sz w:val="20"/>
                <w:lang w:val="fr-FR"/>
              </w:rPr>
            </w:pPr>
            <w:r w:rsidRPr="00A344E0">
              <w:rPr>
                <w:rFonts w:eastAsia="Calibri"/>
                <w:sz w:val="20"/>
                <w:lang w:val="fr-CA"/>
              </w:rPr>
              <w:t>Cour suprême du Canada</w:t>
            </w:r>
          </w:p>
        </w:tc>
        <w:tc>
          <w:tcPr>
            <w:tcW w:w="243" w:type="pct"/>
          </w:tcPr>
          <w:p w:rsidR="00A77AE8" w:rsidRPr="00A344E0" w:rsidRDefault="00A77AE8" w:rsidP="004163EF">
            <w:pPr>
              <w:jc w:val="both"/>
              <w:rPr>
                <w:rFonts w:eastAsia="Calibri"/>
                <w:sz w:val="20"/>
                <w:lang w:val="fr-FR"/>
              </w:rPr>
            </w:pPr>
          </w:p>
        </w:tc>
        <w:tc>
          <w:tcPr>
            <w:tcW w:w="2330" w:type="pct"/>
          </w:tcPr>
          <w:p w:rsidR="00A77AE8" w:rsidRPr="00A344E0" w:rsidRDefault="00A77AE8" w:rsidP="004163EF">
            <w:pPr>
              <w:jc w:val="both"/>
              <w:rPr>
                <w:rFonts w:eastAsia="Calibri"/>
                <w:sz w:val="20"/>
                <w:lang w:val="fr-CA"/>
              </w:rPr>
            </w:pPr>
            <w:r w:rsidRPr="00A344E0">
              <w:rPr>
                <w:rFonts w:eastAsia="Calibri"/>
                <w:sz w:val="20"/>
                <w:lang w:val="fr-CA"/>
              </w:rPr>
              <w:t>Dépôt de la demande d’autorisation d’appel.</w:t>
            </w:r>
          </w:p>
          <w:p w:rsidR="00A77AE8" w:rsidRPr="00A344E0" w:rsidRDefault="00A77AE8" w:rsidP="004163EF">
            <w:pPr>
              <w:jc w:val="both"/>
              <w:rPr>
                <w:rFonts w:eastAsia="Calibri"/>
                <w:sz w:val="20"/>
                <w:lang w:val="fr-CA"/>
              </w:rPr>
            </w:pPr>
          </w:p>
        </w:tc>
      </w:tr>
    </w:tbl>
    <w:p w:rsidR="00A77AE8" w:rsidRPr="00553925" w:rsidRDefault="00A77AE8" w:rsidP="00A77AE8">
      <w:pPr>
        <w:rPr>
          <w:sz w:val="20"/>
          <w:szCs w:val="20"/>
          <w:lang w:val="fr-CA"/>
        </w:rPr>
      </w:pPr>
    </w:p>
    <w:p w:rsidR="00A77AE8" w:rsidRDefault="00FD0CB6" w:rsidP="00A77AE8">
      <w:pPr>
        <w:rPr>
          <w:sz w:val="20"/>
          <w:szCs w:val="20"/>
          <w:lang w:val="fr-CA"/>
        </w:rPr>
      </w:pPr>
      <w:r w:rsidRPr="00FD0CB6">
        <w:rPr>
          <w:sz w:val="20"/>
          <w:szCs w:val="20"/>
          <w:lang w:val="fr-CA"/>
        </w:rPr>
        <w:pict>
          <v:rect id="_x0000_i1053" style="width:2in;height:1pt" o:hrpct="0" o:hralign="center" o:hrstd="t" o:hrnoshade="t" o:hr="t" fillcolor="black [3213]" stroked="f"/>
        </w:pict>
      </w:r>
    </w:p>
    <w:p w:rsidR="00A77AE8" w:rsidRDefault="00A77AE8" w:rsidP="00A77AE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Style w:val="SCCFileNumberChar"/>
                <w:rFonts w:cs="Times New Roman"/>
                <w:sz w:val="20"/>
                <w:szCs w:val="20"/>
              </w:rPr>
              <w:t>34357</w:t>
            </w:r>
          </w:p>
          <w:p w:rsidR="00A77AE8" w:rsidRPr="00D13261" w:rsidRDefault="00A77AE8" w:rsidP="004163EF">
            <w:pPr>
              <w:rPr>
                <w:rFonts w:cs="Times New Roman"/>
                <w:b/>
                <w:sz w:val="20"/>
                <w:szCs w:val="20"/>
                <w:lang w:val="fr-CA"/>
              </w:rPr>
            </w:pPr>
          </w:p>
        </w:tc>
        <w:tc>
          <w:tcPr>
            <w:tcW w:w="8118" w:type="dxa"/>
          </w:tcPr>
          <w:p w:rsidR="00A77AE8" w:rsidRPr="00D13261" w:rsidRDefault="00A77AE8" w:rsidP="004163EF">
            <w:pPr>
              <w:jc w:val="both"/>
              <w:rPr>
                <w:rFonts w:cs="Times New Roman"/>
                <w:sz w:val="20"/>
                <w:szCs w:val="20"/>
              </w:rPr>
            </w:pPr>
            <w:r w:rsidRPr="00D13261">
              <w:rPr>
                <w:rStyle w:val="SCCLsocChar"/>
                <w:rFonts w:cs="Times New Roman"/>
                <w:sz w:val="20"/>
                <w:szCs w:val="20"/>
                <w:lang w:val="en-CA"/>
              </w:rPr>
              <w:t>Attorney General of Canada on behalf of the United States of America v. Abdullah Khadr</w:t>
            </w:r>
            <w:r w:rsidRPr="00D13261">
              <w:rPr>
                <w:rFonts w:cs="Times New Roman"/>
                <w:sz w:val="20"/>
                <w:szCs w:val="20"/>
              </w:rPr>
              <w:t xml:space="preserve"> (Ont.) (Criminal) (By Leave)</w:t>
            </w:r>
          </w:p>
          <w:p w:rsidR="00A77AE8" w:rsidRPr="00D13261" w:rsidRDefault="00A77AE8" w:rsidP="004163EF">
            <w:pPr>
              <w:rPr>
                <w:rFonts w:cs="Times New Roman"/>
                <w:sz w:val="20"/>
                <w:szCs w:val="20"/>
              </w:rPr>
            </w:pPr>
          </w:p>
        </w:tc>
      </w:tr>
      <w:tr w:rsidR="00A77AE8" w:rsidRPr="00D13261" w:rsidTr="004163EF">
        <w:trPr>
          <w:cantSplit/>
        </w:trPr>
        <w:tc>
          <w:tcPr>
            <w:tcW w:w="1458" w:type="dxa"/>
          </w:tcPr>
          <w:p w:rsidR="00A77AE8" w:rsidRPr="00D13261" w:rsidRDefault="00A77AE8" w:rsidP="004163EF">
            <w:pPr>
              <w:rPr>
                <w:rFonts w:cs="Times New Roman"/>
                <w:sz w:val="20"/>
                <w:szCs w:val="20"/>
              </w:rPr>
            </w:pPr>
            <w:r w:rsidRPr="00D13261">
              <w:rPr>
                <w:rFonts w:cs="Times New Roman"/>
                <w:sz w:val="20"/>
                <w:szCs w:val="20"/>
              </w:rPr>
              <w:t>Coram :</w:t>
            </w:r>
          </w:p>
        </w:tc>
        <w:tc>
          <w:tcPr>
            <w:tcW w:w="8118" w:type="dxa"/>
          </w:tcPr>
          <w:p w:rsidR="00A77AE8" w:rsidRPr="00D13261" w:rsidRDefault="00A77AE8" w:rsidP="004163EF">
            <w:pPr>
              <w:rPr>
                <w:rFonts w:cs="Times New Roman"/>
                <w:sz w:val="20"/>
                <w:szCs w:val="20"/>
              </w:rPr>
            </w:pPr>
            <w:r w:rsidRPr="00D13261">
              <w:rPr>
                <w:rStyle w:val="SCCCoramChar"/>
                <w:rFonts w:cs="Times New Roman"/>
                <w:sz w:val="20"/>
                <w:szCs w:val="20"/>
                <w:lang w:val="en-CA"/>
              </w:rPr>
              <w:t>Binnie, Deschamps and Rothstein JJ.</w:t>
            </w:r>
          </w:p>
          <w:p w:rsidR="00A77AE8" w:rsidRPr="00D13261" w:rsidRDefault="00A77AE8" w:rsidP="004163EF">
            <w:pPr>
              <w:rPr>
                <w:rFonts w:cs="Times New Roman"/>
                <w:sz w:val="20"/>
                <w:szCs w:val="20"/>
                <w:u w:val="single"/>
              </w:rPr>
            </w:pPr>
          </w:p>
        </w:tc>
      </w:tr>
      <w:tr w:rsidR="00A77AE8" w:rsidRPr="004163EF" w:rsidTr="004163EF">
        <w:trPr>
          <w:cantSplit/>
        </w:trPr>
        <w:tc>
          <w:tcPr>
            <w:tcW w:w="9576" w:type="dxa"/>
            <w:gridSpan w:val="2"/>
          </w:tcPr>
          <w:p w:rsidR="00A77AE8" w:rsidRPr="00D13261" w:rsidRDefault="00A77AE8" w:rsidP="004163EF">
            <w:pPr>
              <w:pStyle w:val="SCCShortJudgment"/>
              <w:rPr>
                <w:rFonts w:cs="Times New Roman"/>
                <w:szCs w:val="20"/>
              </w:rPr>
            </w:pPr>
            <w:r w:rsidRPr="00D13261">
              <w:rPr>
                <w:rFonts w:cs="Times New Roman"/>
                <w:szCs w:val="20"/>
              </w:rPr>
              <w:t>The application for leave to appeal from the judgment of the Court of Appeal for Ontario, Number C52633, 2011 ONCA 358, dated May 6, 2011, is dismissed without costs.</w:t>
            </w:r>
          </w:p>
          <w:p w:rsidR="00A77AE8" w:rsidRPr="00D13261" w:rsidRDefault="00A77AE8" w:rsidP="004163EF">
            <w:pPr>
              <w:pStyle w:val="SCCShortJudgment"/>
              <w:ind w:firstLine="0"/>
              <w:rPr>
                <w:rFonts w:cs="Times New Roman"/>
                <w:szCs w:val="20"/>
              </w:rPr>
            </w:pPr>
          </w:p>
          <w:p w:rsidR="00A77AE8" w:rsidRPr="00D13261" w:rsidRDefault="00A77AE8" w:rsidP="004163EF">
            <w:pPr>
              <w:pStyle w:val="SCCShortJudgment"/>
              <w:rPr>
                <w:rFonts w:cs="Times New Roman"/>
                <w:szCs w:val="20"/>
                <w:lang w:val="fr-CA"/>
              </w:rPr>
            </w:pPr>
            <w:r w:rsidRPr="00D13261">
              <w:rPr>
                <w:rFonts w:cs="Times New Roman"/>
                <w:szCs w:val="20"/>
                <w:lang w:val="fr-CA"/>
              </w:rPr>
              <w:t>La demande d’autorisation d’appel de l’arrêt de la Cour d’appel de l’Ontario, numéro C52633, 2011 ONCA 358, daté du 6 mai 2011, est rejetée sans dépens.</w:t>
            </w:r>
          </w:p>
        </w:tc>
      </w:tr>
    </w:tbl>
    <w:p w:rsidR="00A77AE8" w:rsidRPr="00AB7E56" w:rsidRDefault="00A77AE8" w:rsidP="00A77AE8">
      <w:pPr>
        <w:rPr>
          <w:sz w:val="20"/>
          <w:szCs w:val="20"/>
          <w:lang w:val="fr-CA"/>
        </w:rPr>
      </w:pPr>
    </w:p>
    <w:p w:rsidR="00A77AE8" w:rsidRDefault="00A77AE8" w:rsidP="00A77AE8">
      <w:pPr>
        <w:rPr>
          <w:sz w:val="20"/>
          <w:szCs w:val="20"/>
        </w:rPr>
      </w:pPr>
      <w:r>
        <w:rPr>
          <w:sz w:val="20"/>
          <w:szCs w:val="20"/>
          <w:u w:val="single"/>
        </w:rPr>
        <w:t>CASE SUMMARY</w:t>
      </w:r>
    </w:p>
    <w:p w:rsidR="00A77AE8" w:rsidRDefault="00A77AE8" w:rsidP="00A77AE8">
      <w:pPr>
        <w:rPr>
          <w:sz w:val="20"/>
          <w:szCs w:val="20"/>
        </w:rPr>
      </w:pPr>
    </w:p>
    <w:tbl>
      <w:tblPr>
        <w:tblW w:w="4952" w:type="pct"/>
        <w:tblLayout w:type="fixed"/>
        <w:tblCellMar>
          <w:left w:w="0" w:type="dxa"/>
          <w:bottom w:w="99" w:type="dxa"/>
          <w:right w:w="0" w:type="dxa"/>
        </w:tblCellMar>
        <w:tblLook w:val="04A0"/>
      </w:tblPr>
      <w:tblGrid>
        <w:gridCol w:w="4528"/>
        <w:gridCol w:w="453"/>
        <w:gridCol w:w="4546"/>
      </w:tblGrid>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Extradition — Stay of proceedings — Jurisdiction — Whether the Court of Appeal erred in concluding that the extradition judge acted within his jurisdiction in ordering a stay of proceedings based on extraterritorial actions of the requesting state that bore no connection to the extradition hearing — Whether the Court of Appeal erred in concluding the extradition judge could consider foreign law in assessing the propriety of the requesting state’s extraterritorial actions — Whether the Court of Appeal erred in its application of the residual category of the abuse of process doctrine by failing to balance the interests that would be served by granting a stay and the interests that society has in proceeding with an extradition involving significant terrorist activity.</w:t>
            </w:r>
          </w:p>
        </w:tc>
      </w:tr>
      <w:tr w:rsidR="00A77AE8" w:rsidRPr="00A344E0" w:rsidTr="004163EF">
        <w:tc>
          <w:tcPr>
            <w:tcW w:w="5000" w:type="pct"/>
            <w:gridSpan w:val="3"/>
          </w:tcPr>
          <w:p w:rsidR="00A77AE8" w:rsidRPr="00A344E0" w:rsidRDefault="00A77AE8" w:rsidP="004163EF">
            <w:pPr>
              <w:jc w:val="both"/>
              <w:rPr>
                <w:rFonts w:eastAsia="Calibri"/>
                <w:sz w:val="20"/>
              </w:rPr>
            </w:pPr>
          </w:p>
        </w:tc>
      </w:tr>
      <w:tr w:rsidR="00A77AE8" w:rsidRPr="00A344E0" w:rsidTr="004163EF">
        <w:tc>
          <w:tcPr>
            <w:tcW w:w="5000" w:type="pct"/>
            <w:gridSpan w:val="3"/>
          </w:tcPr>
          <w:p w:rsidR="00A77AE8" w:rsidRPr="00A344E0" w:rsidRDefault="00A77AE8" w:rsidP="004163EF">
            <w:pPr>
              <w:jc w:val="both"/>
              <w:rPr>
                <w:rFonts w:eastAsia="Calibri"/>
                <w:sz w:val="20"/>
              </w:rPr>
            </w:pPr>
            <w:r w:rsidRPr="00A344E0">
              <w:rPr>
                <w:rFonts w:eastAsia="Calibri"/>
                <w:sz w:val="20"/>
              </w:rPr>
              <w:t xml:space="preserve">The United States of America paid the Pakistani intelligence agency, the Inter-Services Intelligence Directorate (the “ISI”), half a million dollars to abduct Abdullah Khadr in Islamabad, Pakistan, in 2004.  Khadr, a Canadian citizen, was suspected of supplying weapons to Al Qaeda forces in Pakistan and Afghanistan.  Following his abduction, Khadr was secretly held in detention for fourteen months.  He was beaten until he cooperated with the ISI, who interrogated him for intelligence purposes.  The ISI refused to deal with the Canadian government but did have contact with a CSIS official.  The American authorities discouraged the CSIS official’s request that Khadr be granted consular access, and the ISI denied access for three months.  The ISI refused to bring Khadr before the Pakistani courts.  After the ISI had exhausted Khadr as a source of anti-terrorism intelligence, it was prepared to release him.  The Americans insisted that the ISI hold Khadr for a further six months in secret detention, to permit the United States to conduct a criminal investigation and start the process for Khadr’s possible rendition to the United States.  When Khadr was finally repatriated to Canada, the United States sought to have him extradited on terrorism charges.  The Superior Court judge conducting the extradition committal hearing concluded that “the sum of the human rights violations suffered by Khadr is both shocking and unjustifiable”.  The judge granted a stay of proceedings on the basis that to permit the proceedings to continue in the face of the requesting state’s misconduct would constitute an abuse of the judicial </w:t>
            </w:r>
            <w:r w:rsidRPr="00A344E0">
              <w:rPr>
                <w:rFonts w:eastAsia="Calibri"/>
                <w:sz w:val="20"/>
              </w:rPr>
              <w:lastRenderedPageBreak/>
              <w:t>process. On behalf of the United States, the Attorney General of Canada appealed the decision to the Ontario Court of Appeal arguing that the extradition judge had no jurisdiction to grant a stay, and that even if he did, the case did not qualify as “the clearest of cases” warranting a stay.  The appeal was dismissed.</w:t>
            </w:r>
          </w:p>
          <w:p w:rsidR="00A77AE8" w:rsidRPr="00A344E0" w:rsidRDefault="00A77AE8" w:rsidP="004163EF">
            <w:pPr>
              <w:jc w:val="both"/>
              <w:rPr>
                <w:rFonts w:eastAsia="Calibri"/>
                <w:sz w:val="20"/>
              </w:rPr>
            </w:pPr>
            <w:r w:rsidRPr="00A344E0">
              <w:rPr>
                <w:rFonts w:eastAsia="Calibri"/>
                <w:sz w:val="20"/>
              </w:rPr>
              <w:t xml:space="preserve"> </w:t>
            </w:r>
          </w:p>
        </w:tc>
      </w:tr>
      <w:tr w:rsidR="00A77AE8" w:rsidRPr="00A344E0" w:rsidTr="004163EF">
        <w:tc>
          <w:tcPr>
            <w:tcW w:w="2376" w:type="pct"/>
          </w:tcPr>
          <w:p w:rsidR="00A77AE8" w:rsidRPr="00A344E0" w:rsidRDefault="00A77AE8" w:rsidP="004163EF">
            <w:pPr>
              <w:jc w:val="both"/>
              <w:rPr>
                <w:rFonts w:eastAsia="Calibri"/>
                <w:sz w:val="20"/>
              </w:rPr>
            </w:pPr>
            <w:r w:rsidRPr="00A344E0">
              <w:rPr>
                <w:rFonts w:eastAsia="Calibri"/>
                <w:sz w:val="20"/>
              </w:rPr>
              <w:lastRenderedPageBreak/>
              <w:t>August 4, 2010</w:t>
            </w:r>
          </w:p>
          <w:p w:rsidR="00A77AE8" w:rsidRPr="00A344E0" w:rsidRDefault="00A77AE8" w:rsidP="004163EF">
            <w:pPr>
              <w:jc w:val="both"/>
              <w:rPr>
                <w:rFonts w:eastAsia="Calibri"/>
                <w:sz w:val="20"/>
              </w:rPr>
            </w:pPr>
            <w:r w:rsidRPr="00A344E0">
              <w:rPr>
                <w:rFonts w:eastAsia="Calibri"/>
                <w:sz w:val="20"/>
              </w:rPr>
              <w:t>Ontario Superior Court of Justice</w:t>
            </w:r>
          </w:p>
          <w:p w:rsidR="00A77AE8" w:rsidRPr="00A344E0" w:rsidRDefault="00A77AE8" w:rsidP="004163EF">
            <w:pPr>
              <w:jc w:val="both"/>
              <w:rPr>
                <w:rFonts w:eastAsia="Calibri"/>
                <w:sz w:val="20"/>
              </w:rPr>
            </w:pPr>
            <w:r w:rsidRPr="00A344E0">
              <w:rPr>
                <w:rFonts w:eastAsia="Calibri"/>
                <w:sz w:val="20"/>
              </w:rPr>
              <w:t xml:space="preserve">(Speyer J.) </w:t>
            </w:r>
          </w:p>
          <w:p w:rsidR="00A77AE8" w:rsidRPr="00A344E0" w:rsidRDefault="00A77AE8" w:rsidP="004163EF">
            <w:pPr>
              <w:jc w:val="both"/>
              <w:rPr>
                <w:rFonts w:eastAsia="Calibri"/>
                <w:sz w:val="20"/>
              </w:rPr>
            </w:pPr>
          </w:p>
        </w:tc>
        <w:tc>
          <w:tcPr>
            <w:tcW w:w="238" w:type="pct"/>
          </w:tcPr>
          <w:p w:rsidR="00A77AE8" w:rsidRPr="00A344E0" w:rsidRDefault="00A77AE8" w:rsidP="004163EF">
            <w:pPr>
              <w:jc w:val="both"/>
              <w:rPr>
                <w:rFonts w:eastAsia="Calibri"/>
                <w:sz w:val="20"/>
              </w:rPr>
            </w:pPr>
          </w:p>
        </w:tc>
        <w:tc>
          <w:tcPr>
            <w:tcW w:w="2386" w:type="pct"/>
          </w:tcPr>
          <w:p w:rsidR="00A77AE8" w:rsidRPr="00A344E0" w:rsidRDefault="00A77AE8" w:rsidP="004163EF">
            <w:pPr>
              <w:jc w:val="both"/>
              <w:rPr>
                <w:rFonts w:eastAsia="Calibri"/>
                <w:sz w:val="20"/>
              </w:rPr>
            </w:pPr>
            <w:r w:rsidRPr="00A344E0">
              <w:rPr>
                <w:rFonts w:eastAsia="Calibri"/>
                <w:sz w:val="20"/>
              </w:rPr>
              <w:t>Stay of extradition proceedings granted</w:t>
            </w:r>
          </w:p>
          <w:p w:rsidR="00A77AE8" w:rsidRPr="00A344E0" w:rsidRDefault="00A77AE8" w:rsidP="004163EF">
            <w:pPr>
              <w:jc w:val="both"/>
              <w:rPr>
                <w:rFonts w:eastAsia="Calibri"/>
                <w:sz w:val="20"/>
              </w:rPr>
            </w:pPr>
          </w:p>
        </w:tc>
      </w:tr>
      <w:tr w:rsidR="00A77AE8" w:rsidRPr="00A344E0" w:rsidTr="004163EF">
        <w:tc>
          <w:tcPr>
            <w:tcW w:w="2376" w:type="pct"/>
          </w:tcPr>
          <w:p w:rsidR="00A77AE8" w:rsidRPr="00A344E0" w:rsidRDefault="00A77AE8" w:rsidP="004163EF">
            <w:pPr>
              <w:jc w:val="both"/>
              <w:rPr>
                <w:rFonts w:eastAsia="Calibri"/>
                <w:sz w:val="20"/>
              </w:rPr>
            </w:pPr>
            <w:r w:rsidRPr="00A344E0">
              <w:rPr>
                <w:rFonts w:eastAsia="Calibri"/>
                <w:sz w:val="20"/>
              </w:rPr>
              <w:t>May 6, 2011</w:t>
            </w:r>
          </w:p>
          <w:p w:rsidR="00A77AE8" w:rsidRPr="00A344E0" w:rsidRDefault="00A77AE8" w:rsidP="004163EF">
            <w:pPr>
              <w:jc w:val="both"/>
              <w:rPr>
                <w:rFonts w:eastAsia="Calibri"/>
                <w:sz w:val="20"/>
              </w:rPr>
            </w:pPr>
            <w:r w:rsidRPr="00A344E0">
              <w:rPr>
                <w:rFonts w:eastAsia="Calibri"/>
                <w:sz w:val="20"/>
              </w:rPr>
              <w:t>Court of Appeal for Ontario</w:t>
            </w:r>
          </w:p>
          <w:p w:rsidR="00A77AE8" w:rsidRPr="00A344E0" w:rsidRDefault="00A77AE8" w:rsidP="004163EF">
            <w:pPr>
              <w:jc w:val="both"/>
              <w:rPr>
                <w:rFonts w:eastAsia="Calibri"/>
                <w:sz w:val="20"/>
              </w:rPr>
            </w:pPr>
            <w:r w:rsidRPr="00A344E0">
              <w:rPr>
                <w:rFonts w:eastAsia="Calibri"/>
                <w:sz w:val="20"/>
              </w:rPr>
              <w:t>(Laskin, Sharpe and Cronk JJ.A.)</w:t>
            </w:r>
          </w:p>
          <w:p w:rsidR="00A77AE8" w:rsidRPr="00A344E0" w:rsidRDefault="00A77AE8" w:rsidP="004163EF">
            <w:pPr>
              <w:jc w:val="both"/>
              <w:rPr>
                <w:rFonts w:eastAsia="Calibri"/>
                <w:sz w:val="20"/>
              </w:rPr>
            </w:pPr>
            <w:r w:rsidRPr="00A344E0">
              <w:rPr>
                <w:rFonts w:eastAsia="Calibri"/>
                <w:sz w:val="20"/>
              </w:rPr>
              <w:t>2011 ONCA 358; C52633</w:t>
            </w:r>
          </w:p>
          <w:p w:rsidR="00A77AE8" w:rsidRPr="00A344E0" w:rsidRDefault="00A77AE8" w:rsidP="004163EF">
            <w:pPr>
              <w:jc w:val="both"/>
              <w:rPr>
                <w:rFonts w:eastAsia="Calibri"/>
                <w:sz w:val="20"/>
              </w:rPr>
            </w:pPr>
          </w:p>
        </w:tc>
        <w:tc>
          <w:tcPr>
            <w:tcW w:w="238" w:type="pct"/>
          </w:tcPr>
          <w:p w:rsidR="00A77AE8" w:rsidRPr="00A344E0" w:rsidRDefault="00A77AE8" w:rsidP="004163EF">
            <w:pPr>
              <w:jc w:val="both"/>
              <w:rPr>
                <w:rFonts w:eastAsia="Calibri"/>
                <w:sz w:val="20"/>
              </w:rPr>
            </w:pPr>
          </w:p>
        </w:tc>
        <w:tc>
          <w:tcPr>
            <w:tcW w:w="2386" w:type="pct"/>
          </w:tcPr>
          <w:p w:rsidR="00A77AE8" w:rsidRPr="00A344E0" w:rsidRDefault="00A77AE8" w:rsidP="004163EF">
            <w:pPr>
              <w:jc w:val="both"/>
              <w:rPr>
                <w:rFonts w:eastAsia="Calibri"/>
                <w:sz w:val="20"/>
              </w:rPr>
            </w:pPr>
            <w:r w:rsidRPr="00A344E0">
              <w:rPr>
                <w:rFonts w:eastAsia="Calibri"/>
                <w:sz w:val="20"/>
              </w:rPr>
              <w:t>Appeal dismissed</w:t>
            </w:r>
          </w:p>
          <w:p w:rsidR="00A77AE8" w:rsidRPr="00A344E0" w:rsidRDefault="00A77AE8" w:rsidP="004163EF">
            <w:pPr>
              <w:jc w:val="both"/>
              <w:rPr>
                <w:rFonts w:eastAsia="Calibri"/>
                <w:sz w:val="20"/>
              </w:rPr>
            </w:pPr>
          </w:p>
        </w:tc>
      </w:tr>
      <w:tr w:rsidR="00A77AE8" w:rsidRPr="00A344E0" w:rsidTr="004163EF">
        <w:tc>
          <w:tcPr>
            <w:tcW w:w="2376" w:type="pct"/>
          </w:tcPr>
          <w:p w:rsidR="00A77AE8" w:rsidRPr="00A344E0" w:rsidRDefault="00A77AE8" w:rsidP="004163EF">
            <w:pPr>
              <w:jc w:val="both"/>
              <w:rPr>
                <w:rFonts w:eastAsia="Calibri"/>
                <w:sz w:val="20"/>
              </w:rPr>
            </w:pPr>
            <w:r w:rsidRPr="00A344E0">
              <w:rPr>
                <w:rFonts w:eastAsia="Calibri"/>
                <w:sz w:val="20"/>
              </w:rPr>
              <w:t>July 29, 2011</w:t>
            </w:r>
          </w:p>
          <w:p w:rsidR="00A77AE8" w:rsidRPr="00A344E0" w:rsidRDefault="00A77AE8" w:rsidP="004163EF">
            <w:pPr>
              <w:jc w:val="both"/>
              <w:rPr>
                <w:rFonts w:eastAsia="Calibri"/>
                <w:sz w:val="20"/>
              </w:rPr>
            </w:pPr>
            <w:r w:rsidRPr="00A344E0">
              <w:rPr>
                <w:rFonts w:eastAsia="Calibri"/>
                <w:sz w:val="20"/>
              </w:rPr>
              <w:t>Supreme Court of Canada</w:t>
            </w:r>
          </w:p>
        </w:tc>
        <w:tc>
          <w:tcPr>
            <w:tcW w:w="238" w:type="pct"/>
          </w:tcPr>
          <w:p w:rsidR="00A77AE8" w:rsidRPr="00A344E0" w:rsidRDefault="00A77AE8" w:rsidP="004163EF">
            <w:pPr>
              <w:jc w:val="both"/>
              <w:rPr>
                <w:rFonts w:eastAsia="Calibri"/>
                <w:sz w:val="20"/>
              </w:rPr>
            </w:pPr>
          </w:p>
        </w:tc>
        <w:tc>
          <w:tcPr>
            <w:tcW w:w="2386" w:type="pct"/>
          </w:tcPr>
          <w:p w:rsidR="00A77AE8" w:rsidRPr="00A344E0" w:rsidRDefault="00A77AE8" w:rsidP="004163EF">
            <w:pPr>
              <w:jc w:val="both"/>
              <w:rPr>
                <w:rFonts w:eastAsia="Calibri"/>
                <w:sz w:val="20"/>
              </w:rPr>
            </w:pPr>
            <w:r w:rsidRPr="00A344E0">
              <w:rPr>
                <w:rFonts w:eastAsia="Calibri"/>
                <w:sz w:val="20"/>
              </w:rPr>
              <w:t>Application for leave to appeal filed</w:t>
            </w:r>
          </w:p>
        </w:tc>
      </w:tr>
    </w:tbl>
    <w:p w:rsidR="00A77AE8" w:rsidRDefault="00A77AE8" w:rsidP="00A77AE8">
      <w:pPr>
        <w:rPr>
          <w:sz w:val="20"/>
          <w:szCs w:val="20"/>
        </w:rPr>
      </w:pPr>
    </w:p>
    <w:p w:rsidR="00A77AE8" w:rsidRDefault="00FD0CB6" w:rsidP="00A77AE8">
      <w:pPr>
        <w:rPr>
          <w:sz w:val="20"/>
          <w:szCs w:val="20"/>
          <w:lang w:val="fr-CA"/>
        </w:rPr>
      </w:pPr>
      <w:r w:rsidRPr="00FD0CB6">
        <w:rPr>
          <w:sz w:val="20"/>
          <w:szCs w:val="20"/>
          <w:lang w:val="fr-CA"/>
        </w:rPr>
        <w:pict>
          <v:rect id="_x0000_i1054" style="width:2in;height:1pt" o:hrpct="0" o:hralign="center" o:hrstd="t" o:hrnoshade="t" o:hr="t" fillcolor="black [3213]" stroked="f"/>
        </w:pict>
      </w:r>
    </w:p>
    <w:p w:rsidR="00A77AE8" w:rsidRDefault="00A77AE8" w:rsidP="00A77AE8">
      <w:pPr>
        <w:rPr>
          <w:sz w:val="20"/>
          <w:szCs w:val="20"/>
        </w:rPr>
      </w:pPr>
    </w:p>
    <w:p w:rsidR="00A77AE8" w:rsidRPr="001A6485" w:rsidRDefault="00A77AE8" w:rsidP="00A77AE8">
      <w:pPr>
        <w:rPr>
          <w:sz w:val="20"/>
          <w:szCs w:val="20"/>
          <w:u w:val="single"/>
        </w:rPr>
      </w:pPr>
      <w:r>
        <w:rPr>
          <w:sz w:val="20"/>
          <w:szCs w:val="20"/>
          <w:u w:val="single"/>
        </w:rPr>
        <w:t>RÉSUMÉ DE L’AFFAIRE</w:t>
      </w:r>
    </w:p>
    <w:p w:rsidR="00A77AE8" w:rsidRDefault="00A77AE8" w:rsidP="00A77AE8">
      <w:pPr>
        <w:rPr>
          <w:sz w:val="20"/>
          <w:szCs w:val="20"/>
        </w:rPr>
      </w:pPr>
    </w:p>
    <w:tbl>
      <w:tblPr>
        <w:tblW w:w="4952" w:type="pct"/>
        <w:tblLayout w:type="fixed"/>
        <w:tblCellMar>
          <w:left w:w="0" w:type="dxa"/>
          <w:bottom w:w="99" w:type="dxa"/>
          <w:right w:w="0" w:type="dxa"/>
        </w:tblCellMar>
        <w:tblLook w:val="00A0"/>
      </w:tblPr>
      <w:tblGrid>
        <w:gridCol w:w="4531"/>
        <w:gridCol w:w="452"/>
        <w:gridCol w:w="4544"/>
      </w:tblGrid>
      <w:tr w:rsidR="00A77AE8" w:rsidRPr="004163EF"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Extradition — Arrêt des procédures — Compétence — La Cour d'appel a</w:t>
            </w:r>
            <w:r w:rsidRPr="00A344E0">
              <w:rPr>
                <w:rFonts w:eastAsia="Calibri"/>
                <w:sz w:val="20"/>
                <w:lang w:val="fr-CA"/>
              </w:rPr>
              <w:noBreakHyphen/>
              <w:t>t</w:t>
            </w:r>
            <w:r w:rsidRPr="00A344E0">
              <w:rPr>
                <w:rFonts w:eastAsia="Calibri"/>
                <w:sz w:val="20"/>
                <w:lang w:val="fr-CA"/>
              </w:rPr>
              <w:noBreakHyphen/>
              <w:t>elle eu tort de conclure que le juge d'extradition avait agi dans les limites de sa compétence en ordonnant un arrêt des procédures fondée sur les actions extraterritoriales de l'État requérant qui n'avaient aucun rapport avec l'audience d'extradition? — La Cour d'appel a</w:t>
            </w:r>
            <w:r w:rsidRPr="00A344E0">
              <w:rPr>
                <w:rFonts w:eastAsia="Calibri"/>
                <w:sz w:val="20"/>
                <w:lang w:val="fr-CA"/>
              </w:rPr>
              <w:noBreakHyphen/>
              <w:t>t</w:t>
            </w:r>
            <w:r w:rsidRPr="00A344E0">
              <w:rPr>
                <w:rFonts w:eastAsia="Calibri"/>
                <w:sz w:val="20"/>
                <w:lang w:val="fr-CA"/>
              </w:rPr>
              <w:noBreakHyphen/>
              <w:t>elle eu tort de conclure que le juge d'extradition pouvait prendre en compte le droit étranger pour évaluer le bien</w:t>
            </w:r>
            <w:r w:rsidRPr="00A344E0">
              <w:rPr>
                <w:rFonts w:eastAsia="Calibri"/>
                <w:sz w:val="20"/>
                <w:lang w:val="fr-CA"/>
              </w:rPr>
              <w:noBreakHyphen/>
              <w:t>fondé des actions extraterritoriales de l'État requérant? — La Cour d'appel a</w:t>
            </w:r>
            <w:r w:rsidRPr="00A344E0">
              <w:rPr>
                <w:rFonts w:eastAsia="Calibri"/>
                <w:sz w:val="20"/>
                <w:lang w:val="fr-CA"/>
              </w:rPr>
              <w:noBreakHyphen/>
              <w:t>t</w:t>
            </w:r>
            <w:r w:rsidRPr="00A344E0">
              <w:rPr>
                <w:rFonts w:eastAsia="Calibri"/>
                <w:sz w:val="20"/>
                <w:lang w:val="fr-CA"/>
              </w:rPr>
              <w:noBreakHyphen/>
              <w:t>elle commis une erreur dans son application de la catégorie résiduelle de la théorie de l'abus de procédure en omettant de soupeser les intérêts qui seraient servis en accordant un arrêt et les intérêts qu’a la société dans la procédure lorsque l'extradition implique une activité terroriste d’importance?</w:t>
            </w:r>
          </w:p>
        </w:tc>
      </w:tr>
      <w:tr w:rsidR="00A77AE8" w:rsidRPr="004163EF" w:rsidTr="004163EF">
        <w:tc>
          <w:tcPr>
            <w:tcW w:w="5000" w:type="pct"/>
            <w:gridSpan w:val="3"/>
          </w:tcPr>
          <w:p w:rsidR="00A77AE8" w:rsidRPr="00A344E0" w:rsidRDefault="00A77AE8" w:rsidP="004163EF">
            <w:pPr>
              <w:jc w:val="both"/>
              <w:rPr>
                <w:rFonts w:eastAsia="Calibri"/>
                <w:sz w:val="20"/>
                <w:lang w:val="fr-CA"/>
              </w:rPr>
            </w:pPr>
          </w:p>
        </w:tc>
      </w:tr>
      <w:tr w:rsidR="00A77AE8" w:rsidRPr="00A344E0" w:rsidTr="004163EF">
        <w:tc>
          <w:tcPr>
            <w:tcW w:w="5000" w:type="pct"/>
            <w:gridSpan w:val="3"/>
          </w:tcPr>
          <w:p w:rsidR="00A77AE8" w:rsidRPr="00A344E0" w:rsidRDefault="00A77AE8" w:rsidP="004163EF">
            <w:pPr>
              <w:jc w:val="both"/>
              <w:rPr>
                <w:rFonts w:eastAsia="Calibri"/>
                <w:sz w:val="20"/>
                <w:lang w:val="fr-CA"/>
              </w:rPr>
            </w:pPr>
            <w:r w:rsidRPr="00A344E0">
              <w:rPr>
                <w:rFonts w:eastAsia="Calibri"/>
                <w:sz w:val="20"/>
                <w:lang w:val="fr-CA"/>
              </w:rPr>
              <w:t>Les États</w:t>
            </w:r>
            <w:r w:rsidRPr="00A344E0">
              <w:rPr>
                <w:rFonts w:eastAsia="Calibri"/>
                <w:sz w:val="20"/>
                <w:lang w:val="fr-CA"/>
              </w:rPr>
              <w:noBreakHyphen/>
              <w:t>Unis d'Amérique ont payé à l'organisme de renseignement pakistanais, l’Inter</w:t>
            </w:r>
            <w:r w:rsidRPr="00A344E0">
              <w:rPr>
                <w:rFonts w:eastAsia="Calibri"/>
                <w:sz w:val="20"/>
                <w:lang w:val="fr-CA"/>
              </w:rPr>
              <w:noBreakHyphen/>
              <w:t>Services Intelligence Directorate (l’ « ISI »), un demi</w:t>
            </w:r>
            <w:r w:rsidRPr="00A344E0">
              <w:rPr>
                <w:rFonts w:eastAsia="Calibri"/>
                <w:sz w:val="20"/>
                <w:lang w:val="fr-CA"/>
              </w:rPr>
              <w:noBreakHyphen/>
              <w:t>million de dollars pour enlever Abdullah Khadr à Islamabad, Pakistan, en 2004.  Monsieur Khadr, un citoyen canadien, était soupçonné d'avoir fourni des armes à des forces d’al Qaida au Pakistan et en Afghanistan.  À la suite de son enlèvement, M. Khadr a été détenu secrètement pendant 14 mois. Il a été battu jusqu'à ce qu'il collabore avec l’ISI qui l’a interrogé à des fins de renseignement.  L’ISI a refusé de traiter avec le gouvernement canadien, mais il a eu des contacts avec un fonctionnaire du SCRS. Les autorités américaines ont déconseillé d’accepter la demande du fonctionnaire du SCRS pour que M. Khadr ait des entretiens avec les autorités consulaires et l’ISI a refusé l'accès pendant trois mois.  L’ISI a refusé d'amener M. Khadr devenant les tribunaux pakistanais.  Après que l’ISI a épuisé M. Khadr comme source de renseignements contre le terrorisme, il était prêt à le libérer.  Les Américains ont insisté pour que l’ISI garde M. Khadr en détention secrète pendant encore six mois pour permettre aux États</w:t>
            </w:r>
            <w:r w:rsidRPr="00A344E0">
              <w:rPr>
                <w:rFonts w:eastAsia="Calibri"/>
                <w:sz w:val="20"/>
                <w:lang w:val="fr-CA"/>
              </w:rPr>
              <w:noBreakHyphen/>
              <w:t>Unis d'effectuer une enquête criminelle et d'entamer le processus pour l'extradition éventuelle de M. Khadr aux États</w:t>
            </w:r>
            <w:r w:rsidRPr="00A344E0">
              <w:rPr>
                <w:rFonts w:eastAsia="Calibri"/>
                <w:sz w:val="20"/>
                <w:lang w:val="fr-CA"/>
              </w:rPr>
              <w:noBreakHyphen/>
              <w:t>Unis.  Lorsque que M. Khadr a finalement été rapatrié au Canada, les États</w:t>
            </w:r>
            <w:r w:rsidRPr="00A344E0">
              <w:rPr>
                <w:rFonts w:eastAsia="Calibri"/>
                <w:sz w:val="20"/>
                <w:lang w:val="fr-CA"/>
              </w:rPr>
              <w:noBreakHyphen/>
              <w:t>Unis ont demandé son extradition relativement à des accusations de terrorisme.  Le juge de la Cour supérieure qui a présidé l'audience d'incarcération en vue de l'extradition a conclu que [</w:t>
            </w:r>
            <w:r w:rsidRPr="00A344E0">
              <w:rPr>
                <w:rFonts w:eastAsia="Calibri"/>
                <w:smallCaps/>
                <w:sz w:val="20"/>
                <w:lang w:val="fr-CA"/>
              </w:rPr>
              <w:t>traduction</w:t>
            </w:r>
            <w:r w:rsidRPr="00A344E0">
              <w:rPr>
                <w:rFonts w:eastAsia="Calibri"/>
                <w:sz w:val="20"/>
                <w:lang w:val="fr-CA"/>
              </w:rPr>
              <w:t>] « la somme des violations aux droits de la personne qu'a subies M. Khadr est à la fois choquante et injustifiable ».  Le juge a accordé un arrêt des procédures, puisqu’à son avis, permettre aux procédures de continuer au regard de l'inconduite de l'État requérant constituerait un abus du processus judiciaire.  Au nom des États</w:t>
            </w:r>
            <w:r w:rsidRPr="00A344E0">
              <w:rPr>
                <w:rFonts w:eastAsia="Calibri"/>
                <w:sz w:val="20"/>
                <w:lang w:val="fr-CA"/>
              </w:rPr>
              <w:noBreakHyphen/>
              <w:t>Unis, le procureur général du Canada a interjeté appel à la Cour d'appel de l’Ontario, plaidant que le juge d'extradition n'avait pas compétence pour accorder un arrêt et que même s'il l'avait, il ne s'agissait pas en l’espèce d'un « cas le plus clair » justifiant un arrêt des procédures.  L'appel a été rejeté.</w:t>
            </w:r>
          </w:p>
          <w:p w:rsidR="00A77AE8" w:rsidRPr="00A344E0" w:rsidRDefault="00A77AE8" w:rsidP="004163EF">
            <w:pPr>
              <w:jc w:val="both"/>
              <w:rPr>
                <w:rFonts w:eastAsia="Calibri"/>
                <w:sz w:val="20"/>
                <w:lang w:val="fr-CA"/>
              </w:rPr>
            </w:pPr>
          </w:p>
        </w:tc>
      </w:tr>
      <w:tr w:rsidR="00A77AE8" w:rsidRPr="00A344E0" w:rsidTr="004163EF">
        <w:trPr>
          <w:cantSplit/>
        </w:trPr>
        <w:tc>
          <w:tcPr>
            <w:tcW w:w="2378" w:type="pct"/>
          </w:tcPr>
          <w:p w:rsidR="00A77AE8" w:rsidRPr="00A344E0" w:rsidRDefault="00A77AE8" w:rsidP="004163EF">
            <w:pPr>
              <w:jc w:val="both"/>
              <w:rPr>
                <w:rFonts w:eastAsia="Calibri"/>
                <w:sz w:val="20"/>
                <w:lang w:val="fr-CA"/>
              </w:rPr>
            </w:pPr>
            <w:r w:rsidRPr="00A344E0">
              <w:rPr>
                <w:rFonts w:eastAsia="Calibri"/>
                <w:sz w:val="20"/>
                <w:lang w:val="fr-CA"/>
              </w:rPr>
              <w:lastRenderedPageBreak/>
              <w:t>4 août 2010</w:t>
            </w:r>
          </w:p>
          <w:p w:rsidR="00A77AE8" w:rsidRPr="00A344E0" w:rsidRDefault="00A77AE8" w:rsidP="004163EF">
            <w:pPr>
              <w:jc w:val="both"/>
              <w:rPr>
                <w:rFonts w:eastAsia="Calibri"/>
                <w:sz w:val="20"/>
                <w:lang w:val="fr-CA"/>
              </w:rPr>
            </w:pPr>
            <w:r w:rsidRPr="00A344E0">
              <w:rPr>
                <w:rFonts w:eastAsia="Calibri"/>
                <w:sz w:val="20"/>
                <w:lang w:val="fr-CA"/>
              </w:rPr>
              <w:t xml:space="preserve">Cour supérieure de justice de l'Ontario </w:t>
            </w:r>
          </w:p>
          <w:p w:rsidR="00A77AE8" w:rsidRPr="00A344E0" w:rsidRDefault="00A77AE8" w:rsidP="004163EF">
            <w:pPr>
              <w:jc w:val="both"/>
              <w:rPr>
                <w:rFonts w:eastAsia="Calibri"/>
                <w:sz w:val="20"/>
                <w:lang w:val="fr-CA"/>
              </w:rPr>
            </w:pPr>
            <w:r w:rsidRPr="00A344E0">
              <w:rPr>
                <w:rFonts w:eastAsia="Calibri"/>
                <w:sz w:val="20"/>
                <w:lang w:val="fr-CA"/>
              </w:rPr>
              <w:t xml:space="preserve">(Juge Speyer) </w:t>
            </w:r>
          </w:p>
          <w:p w:rsidR="00A77AE8" w:rsidRPr="00A344E0" w:rsidRDefault="00A77AE8" w:rsidP="004163EF">
            <w:pPr>
              <w:jc w:val="both"/>
              <w:rPr>
                <w:rFonts w:eastAsia="Calibri"/>
                <w:sz w:val="20"/>
                <w:lang w:val="fr-CA"/>
              </w:rPr>
            </w:pPr>
          </w:p>
        </w:tc>
        <w:tc>
          <w:tcPr>
            <w:tcW w:w="237" w:type="pct"/>
          </w:tcPr>
          <w:p w:rsidR="00A77AE8" w:rsidRPr="00A344E0" w:rsidRDefault="00A77AE8" w:rsidP="004163EF">
            <w:pPr>
              <w:jc w:val="both"/>
              <w:rPr>
                <w:rFonts w:eastAsia="Calibri"/>
                <w:sz w:val="20"/>
                <w:lang w:val="fr-CA"/>
              </w:rPr>
            </w:pPr>
          </w:p>
        </w:tc>
        <w:tc>
          <w:tcPr>
            <w:tcW w:w="2385" w:type="pct"/>
          </w:tcPr>
          <w:p w:rsidR="00A77AE8" w:rsidRPr="00A344E0" w:rsidRDefault="00A77AE8" w:rsidP="004163EF">
            <w:pPr>
              <w:jc w:val="both"/>
              <w:rPr>
                <w:rFonts w:eastAsia="Calibri"/>
                <w:sz w:val="20"/>
                <w:lang w:val="fr-CA"/>
              </w:rPr>
            </w:pPr>
            <w:r w:rsidRPr="00A344E0">
              <w:rPr>
                <w:rFonts w:eastAsia="Calibri"/>
                <w:sz w:val="20"/>
                <w:lang w:val="fr-CA"/>
              </w:rPr>
              <w:t>Arrêt des procédures d'extradition, accordé</w:t>
            </w:r>
          </w:p>
          <w:p w:rsidR="00A77AE8" w:rsidRPr="00A344E0" w:rsidRDefault="00A77AE8" w:rsidP="004163EF">
            <w:pPr>
              <w:jc w:val="both"/>
              <w:rPr>
                <w:rFonts w:eastAsia="Calibri"/>
                <w:sz w:val="20"/>
                <w:lang w:val="fr-CA"/>
              </w:rPr>
            </w:pPr>
          </w:p>
        </w:tc>
      </w:tr>
      <w:tr w:rsidR="00A77AE8" w:rsidRPr="00A344E0" w:rsidTr="004163EF">
        <w:trPr>
          <w:cantSplit/>
        </w:trPr>
        <w:tc>
          <w:tcPr>
            <w:tcW w:w="2378" w:type="pct"/>
          </w:tcPr>
          <w:p w:rsidR="00A77AE8" w:rsidRPr="00A344E0" w:rsidRDefault="00A77AE8" w:rsidP="004163EF">
            <w:pPr>
              <w:jc w:val="both"/>
              <w:rPr>
                <w:rFonts w:eastAsia="Calibri"/>
                <w:sz w:val="20"/>
                <w:lang w:val="fr-CA"/>
              </w:rPr>
            </w:pPr>
            <w:r w:rsidRPr="00A344E0">
              <w:rPr>
                <w:rFonts w:eastAsia="Calibri"/>
                <w:sz w:val="20"/>
                <w:lang w:val="fr-CA"/>
              </w:rPr>
              <w:t>6 mai 2011</w:t>
            </w:r>
          </w:p>
          <w:p w:rsidR="00A77AE8" w:rsidRPr="00A344E0" w:rsidRDefault="00A77AE8" w:rsidP="004163EF">
            <w:pPr>
              <w:jc w:val="both"/>
              <w:rPr>
                <w:rFonts w:eastAsia="Calibri"/>
                <w:sz w:val="20"/>
                <w:lang w:val="fr-CA"/>
              </w:rPr>
            </w:pPr>
            <w:r w:rsidRPr="00A344E0">
              <w:rPr>
                <w:rFonts w:eastAsia="Calibri"/>
                <w:sz w:val="20"/>
                <w:lang w:val="fr-CA"/>
              </w:rPr>
              <w:t xml:space="preserve">Cour d'appel de l'Ontario </w:t>
            </w:r>
          </w:p>
          <w:p w:rsidR="00A77AE8" w:rsidRPr="00A344E0" w:rsidRDefault="00A77AE8" w:rsidP="004163EF">
            <w:pPr>
              <w:jc w:val="both"/>
              <w:rPr>
                <w:rFonts w:eastAsia="Calibri"/>
                <w:sz w:val="20"/>
                <w:lang w:val="fr-CA"/>
              </w:rPr>
            </w:pPr>
            <w:r w:rsidRPr="00A344E0">
              <w:rPr>
                <w:rFonts w:eastAsia="Calibri"/>
                <w:sz w:val="20"/>
                <w:lang w:val="fr-CA"/>
              </w:rPr>
              <w:t>(Juges Laskin, Sharpe et Cronk)</w:t>
            </w:r>
          </w:p>
          <w:p w:rsidR="00A77AE8" w:rsidRPr="00A344E0" w:rsidRDefault="00A77AE8" w:rsidP="004163EF">
            <w:pPr>
              <w:jc w:val="both"/>
              <w:rPr>
                <w:rFonts w:eastAsia="Calibri"/>
                <w:sz w:val="20"/>
                <w:lang w:val="fr-CA"/>
              </w:rPr>
            </w:pPr>
            <w:r w:rsidRPr="00A344E0">
              <w:rPr>
                <w:rFonts w:eastAsia="Calibri"/>
                <w:sz w:val="20"/>
                <w:lang w:val="fr-CA"/>
              </w:rPr>
              <w:t>2011 ONCA 358; C52633</w:t>
            </w:r>
          </w:p>
          <w:p w:rsidR="00A77AE8" w:rsidRPr="00A344E0" w:rsidRDefault="00A77AE8" w:rsidP="004163EF">
            <w:pPr>
              <w:jc w:val="both"/>
              <w:rPr>
                <w:rFonts w:eastAsia="Calibri"/>
                <w:sz w:val="20"/>
                <w:lang w:val="fr-CA"/>
              </w:rPr>
            </w:pPr>
          </w:p>
        </w:tc>
        <w:tc>
          <w:tcPr>
            <w:tcW w:w="237" w:type="pct"/>
          </w:tcPr>
          <w:p w:rsidR="00A77AE8" w:rsidRPr="00A344E0" w:rsidRDefault="00A77AE8" w:rsidP="004163EF">
            <w:pPr>
              <w:jc w:val="both"/>
              <w:rPr>
                <w:rFonts w:eastAsia="Calibri"/>
                <w:sz w:val="20"/>
                <w:lang w:val="fr-CA"/>
              </w:rPr>
            </w:pPr>
          </w:p>
        </w:tc>
        <w:tc>
          <w:tcPr>
            <w:tcW w:w="2385" w:type="pct"/>
          </w:tcPr>
          <w:p w:rsidR="00A77AE8" w:rsidRPr="00A344E0" w:rsidRDefault="00A77AE8" w:rsidP="004163EF">
            <w:pPr>
              <w:jc w:val="both"/>
              <w:rPr>
                <w:rFonts w:eastAsia="Calibri"/>
                <w:sz w:val="20"/>
                <w:lang w:val="fr-CA"/>
              </w:rPr>
            </w:pPr>
            <w:r w:rsidRPr="00A344E0">
              <w:rPr>
                <w:rFonts w:eastAsia="Calibri"/>
                <w:sz w:val="20"/>
                <w:lang w:val="fr-CA"/>
              </w:rPr>
              <w:t>Appel rejeté</w:t>
            </w:r>
          </w:p>
          <w:p w:rsidR="00A77AE8" w:rsidRPr="00A344E0" w:rsidRDefault="00A77AE8" w:rsidP="004163EF">
            <w:pPr>
              <w:jc w:val="both"/>
              <w:rPr>
                <w:rFonts w:eastAsia="Calibri"/>
                <w:sz w:val="20"/>
                <w:lang w:val="fr-CA"/>
              </w:rPr>
            </w:pPr>
          </w:p>
        </w:tc>
      </w:tr>
      <w:tr w:rsidR="00A77AE8" w:rsidRPr="00A344E0" w:rsidTr="004163EF">
        <w:trPr>
          <w:cantSplit/>
        </w:trPr>
        <w:tc>
          <w:tcPr>
            <w:tcW w:w="2378" w:type="pct"/>
          </w:tcPr>
          <w:p w:rsidR="00A77AE8" w:rsidRPr="00A344E0" w:rsidRDefault="00A77AE8" w:rsidP="004163EF">
            <w:pPr>
              <w:jc w:val="both"/>
              <w:rPr>
                <w:rFonts w:eastAsia="Calibri"/>
                <w:sz w:val="20"/>
                <w:lang w:val="fr-CA"/>
              </w:rPr>
            </w:pPr>
            <w:r w:rsidRPr="00A344E0">
              <w:rPr>
                <w:rFonts w:eastAsia="Calibri"/>
                <w:sz w:val="20"/>
                <w:lang w:val="fr-CA"/>
              </w:rPr>
              <w:t>29 juillet 2011</w:t>
            </w:r>
          </w:p>
          <w:p w:rsidR="00A77AE8" w:rsidRPr="00A344E0" w:rsidRDefault="00A77AE8" w:rsidP="004163EF">
            <w:pPr>
              <w:jc w:val="both"/>
              <w:rPr>
                <w:rFonts w:eastAsia="Calibri"/>
                <w:sz w:val="20"/>
                <w:lang w:val="fr-CA"/>
              </w:rPr>
            </w:pPr>
            <w:r w:rsidRPr="00A344E0">
              <w:rPr>
                <w:rFonts w:eastAsia="Calibri"/>
                <w:sz w:val="20"/>
                <w:lang w:val="fr-CA"/>
              </w:rPr>
              <w:t>Cour suprême du Canada</w:t>
            </w:r>
          </w:p>
        </w:tc>
        <w:tc>
          <w:tcPr>
            <w:tcW w:w="237" w:type="pct"/>
          </w:tcPr>
          <w:p w:rsidR="00A77AE8" w:rsidRPr="00A344E0" w:rsidRDefault="00A77AE8" w:rsidP="004163EF">
            <w:pPr>
              <w:jc w:val="both"/>
              <w:rPr>
                <w:rFonts w:eastAsia="Calibri"/>
                <w:sz w:val="20"/>
                <w:lang w:val="fr-CA"/>
              </w:rPr>
            </w:pPr>
          </w:p>
        </w:tc>
        <w:tc>
          <w:tcPr>
            <w:tcW w:w="2385" w:type="pct"/>
          </w:tcPr>
          <w:p w:rsidR="00A77AE8" w:rsidRPr="00A344E0" w:rsidRDefault="00A77AE8" w:rsidP="004163EF">
            <w:pPr>
              <w:jc w:val="both"/>
              <w:rPr>
                <w:rFonts w:eastAsia="Calibri"/>
                <w:sz w:val="20"/>
                <w:lang w:val="fr-CA"/>
              </w:rPr>
            </w:pPr>
            <w:r w:rsidRPr="00A344E0">
              <w:rPr>
                <w:rFonts w:eastAsia="Calibri"/>
                <w:sz w:val="20"/>
                <w:lang w:val="fr-CA"/>
              </w:rPr>
              <w:t>Demande d'autorisation d'appel, déposée</w:t>
            </w:r>
          </w:p>
        </w:tc>
      </w:tr>
    </w:tbl>
    <w:p w:rsidR="00A77AE8" w:rsidRDefault="00A77AE8" w:rsidP="00A77AE8">
      <w:pPr>
        <w:rPr>
          <w:sz w:val="20"/>
          <w:szCs w:val="20"/>
        </w:rPr>
      </w:pPr>
    </w:p>
    <w:p w:rsidR="00A77AE8" w:rsidRPr="00C50A5C" w:rsidRDefault="00FD0CB6" w:rsidP="00A77AE8">
      <w:pPr>
        <w:rPr>
          <w:sz w:val="20"/>
          <w:szCs w:val="20"/>
          <w:lang w:val="fr-CA"/>
        </w:rPr>
      </w:pPr>
      <w:r w:rsidRPr="00FD0CB6">
        <w:rPr>
          <w:sz w:val="20"/>
          <w:szCs w:val="20"/>
          <w:lang w:val="fr-CA"/>
        </w:rPr>
        <w:pict>
          <v:rect id="_x0000_i1055" style="width:2in;height:1pt" o:hrpct="0" o:hralign="center" o:hrstd="t" o:hrnoshade="t" o:hr="t" fillcolor="black [3213]" stroked="f"/>
        </w:pict>
      </w:r>
    </w:p>
    <w:p w:rsidR="00D61B24" w:rsidRDefault="00D61B24" w:rsidP="008D292F">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206680" w:rsidRPr="008A1FD8" w:rsidRDefault="00206680" w:rsidP="00206680">
      <w:pPr>
        <w:tabs>
          <w:tab w:val="left" w:pos="-1440"/>
          <w:tab w:val="left" w:pos="-720"/>
        </w:tabs>
        <w:jc w:val="both"/>
        <w:rPr>
          <w:rFonts w:cs="Times New Roman"/>
          <w:sz w:val="20"/>
          <w:szCs w:val="20"/>
          <w:lang w:val="fr-CA"/>
        </w:rPr>
      </w:pPr>
      <w:r w:rsidRPr="008A1FD8">
        <w:rPr>
          <w:rFonts w:cs="Times New Roman"/>
          <w:sz w:val="20"/>
          <w:szCs w:val="20"/>
          <w:lang w:val="fr-CA"/>
        </w:rPr>
        <w:t>24.10.2011</w:t>
      </w:r>
    </w:p>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206680" w:rsidP="00206680">
      <w:pPr>
        <w:tabs>
          <w:tab w:val="left" w:pos="-1440"/>
          <w:tab w:val="left" w:pos="-720"/>
        </w:tabs>
        <w:jc w:val="both"/>
        <w:rPr>
          <w:rFonts w:cs="Times New Roman"/>
          <w:sz w:val="20"/>
          <w:szCs w:val="20"/>
          <w:lang w:val="fr-CA"/>
        </w:rPr>
      </w:pPr>
      <w:r w:rsidRPr="008A1FD8">
        <w:rPr>
          <w:rFonts w:cs="Times New Roman"/>
          <w:sz w:val="20"/>
          <w:szCs w:val="20"/>
          <w:lang w:val="fr-CA"/>
        </w:rPr>
        <w:t>Before / Devant :   CROMWELL J. / LE JUGE CROMWELL</w:t>
      </w:r>
    </w:p>
    <w:p w:rsidR="00206680" w:rsidRPr="008A1FD8" w:rsidRDefault="00206680" w:rsidP="002066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06680" w:rsidRPr="004163EF" w:rsidTr="004163EF">
        <w:tc>
          <w:tcPr>
            <w:tcW w:w="4338" w:type="dxa"/>
          </w:tcPr>
          <w:p w:rsidR="00206680" w:rsidRPr="008A1FD8" w:rsidRDefault="00FD0CB6" w:rsidP="004163EF">
            <w:pPr>
              <w:tabs>
                <w:tab w:val="left" w:pos="-1440"/>
                <w:tab w:val="left" w:pos="-720"/>
              </w:tabs>
              <w:jc w:val="both"/>
              <w:rPr>
                <w:rFonts w:cs="Times New Roman"/>
                <w:b/>
                <w:sz w:val="20"/>
                <w:szCs w:val="20"/>
              </w:rPr>
            </w:pPr>
            <w:r w:rsidRPr="008A1FD8">
              <w:rPr>
                <w:rFonts w:cs="Times New Roman"/>
                <w:b/>
                <w:sz w:val="20"/>
                <w:szCs w:val="20"/>
              </w:rPr>
              <w:fldChar w:fldCharType="begin"/>
            </w:r>
            <w:r w:rsidR="00206680" w:rsidRPr="008A1FD8">
              <w:rPr>
                <w:rFonts w:cs="Times New Roman"/>
                <w:b/>
                <w:sz w:val="20"/>
                <w:szCs w:val="20"/>
              </w:rPr>
              <w:instrText xml:space="preserve"> SEQ CHAPTER \h \r 1</w:instrText>
            </w:r>
            <w:r w:rsidRPr="008A1FD8">
              <w:rPr>
                <w:rFonts w:cs="Times New Roman"/>
                <w:b/>
                <w:sz w:val="20"/>
                <w:szCs w:val="20"/>
              </w:rPr>
              <w:fldChar w:fldCharType="end"/>
            </w:r>
            <w:r w:rsidRPr="008A1FD8">
              <w:rPr>
                <w:rFonts w:cs="Times New Roman"/>
                <w:b/>
                <w:sz w:val="20"/>
                <w:szCs w:val="20"/>
              </w:rPr>
              <w:fldChar w:fldCharType="begin"/>
            </w:r>
            <w:r w:rsidR="00206680" w:rsidRPr="008A1FD8">
              <w:rPr>
                <w:rFonts w:cs="Times New Roman"/>
                <w:b/>
                <w:sz w:val="20"/>
                <w:szCs w:val="20"/>
              </w:rPr>
              <w:instrText xml:space="preserve"> SEQ CHAPTER \h \r 1</w:instrText>
            </w:r>
            <w:r w:rsidRPr="008A1FD8">
              <w:rPr>
                <w:rFonts w:cs="Times New Roman"/>
                <w:b/>
                <w:sz w:val="20"/>
                <w:szCs w:val="20"/>
              </w:rPr>
              <w:fldChar w:fldCharType="end"/>
            </w:r>
            <w:r w:rsidR="00206680" w:rsidRPr="008A1FD8">
              <w:rPr>
                <w:rFonts w:cs="Times New Roman"/>
                <w:b/>
                <w:sz w:val="20"/>
                <w:szCs w:val="20"/>
              </w:rPr>
              <w:t>Motion to adduce new evidence</w:t>
            </w:r>
            <w:r w:rsidR="00206680" w:rsidRPr="008A1FD8">
              <w:rPr>
                <w:rFonts w:cs="Times New Roman"/>
                <w:b/>
                <w:bCs/>
                <w:sz w:val="20"/>
                <w:szCs w:val="20"/>
              </w:rPr>
              <w:t xml:space="preserve"> and </w:t>
            </w:r>
            <w:r w:rsidRPr="008A1FD8">
              <w:rPr>
                <w:rFonts w:cs="Times New Roman"/>
                <w:sz w:val="20"/>
                <w:szCs w:val="20"/>
              </w:rPr>
              <w:fldChar w:fldCharType="begin"/>
            </w:r>
            <w:r w:rsidR="00206680" w:rsidRPr="008A1FD8">
              <w:rPr>
                <w:rFonts w:cs="Times New Roman"/>
                <w:sz w:val="20"/>
                <w:szCs w:val="20"/>
              </w:rPr>
              <w:instrText xml:space="preserve"> SEQ CHAPTER \h \r 1</w:instrText>
            </w:r>
            <w:r w:rsidRPr="008A1FD8">
              <w:rPr>
                <w:rFonts w:cs="Times New Roman"/>
                <w:sz w:val="20"/>
                <w:szCs w:val="20"/>
              </w:rPr>
              <w:fldChar w:fldCharType="end"/>
            </w:r>
            <w:r w:rsidR="00206680" w:rsidRPr="008A1FD8">
              <w:rPr>
                <w:rFonts w:cs="Times New Roman"/>
                <w:b/>
                <w:bCs/>
                <w:sz w:val="20"/>
                <w:szCs w:val="20"/>
              </w:rPr>
              <w:t xml:space="preserve">to extend the time to file the appellant’s record, factum and book of authorities </w:t>
            </w:r>
          </w:p>
        </w:tc>
        <w:tc>
          <w:tcPr>
            <w:tcW w:w="1170" w:type="dxa"/>
          </w:tcPr>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tc>
        <w:tc>
          <w:tcPr>
            <w:tcW w:w="4327" w:type="dxa"/>
          </w:tcPr>
          <w:p w:rsidR="00206680" w:rsidRPr="005C2727" w:rsidRDefault="005C2727" w:rsidP="004163EF">
            <w:pPr>
              <w:tabs>
                <w:tab w:val="left" w:pos="-1440"/>
                <w:tab w:val="left" w:pos="-720"/>
              </w:tabs>
              <w:jc w:val="both"/>
              <w:rPr>
                <w:rFonts w:cs="Times New Roman"/>
                <w:sz w:val="20"/>
                <w:szCs w:val="20"/>
                <w:lang w:val="fr-CA"/>
              </w:rPr>
            </w:pPr>
            <w:r w:rsidRPr="005C2727">
              <w:rPr>
                <w:b/>
                <w:bCs/>
                <w:sz w:val="20"/>
                <w:szCs w:val="20"/>
                <w:lang w:val="fr-CA"/>
              </w:rPr>
              <w:t xml:space="preserve">Requête en vue de présenter une nouvelle preuve et en </w:t>
            </w:r>
            <w:r w:rsidR="00FD0CB6" w:rsidRPr="005C2727">
              <w:rPr>
                <w:sz w:val="20"/>
                <w:szCs w:val="20"/>
              </w:rPr>
              <w:fldChar w:fldCharType="begin"/>
            </w:r>
            <w:r w:rsidRPr="005C2727">
              <w:rPr>
                <w:sz w:val="20"/>
                <w:szCs w:val="20"/>
                <w:lang w:val="fr-CA"/>
              </w:rPr>
              <w:instrText xml:space="preserve"> SEQ CHAPTER \h \r 1</w:instrText>
            </w:r>
            <w:r w:rsidR="00FD0CB6" w:rsidRPr="005C2727">
              <w:rPr>
                <w:sz w:val="20"/>
                <w:szCs w:val="20"/>
              </w:rPr>
              <w:fldChar w:fldCharType="end"/>
            </w:r>
            <w:r w:rsidRPr="005C2727">
              <w:rPr>
                <w:b/>
                <w:bCs/>
                <w:sz w:val="20"/>
                <w:szCs w:val="20"/>
                <w:lang w:val="fr-CA"/>
              </w:rPr>
              <w:t>prorogation du délai de dépôt des dossier, mémoire et recueil de sources de l’appelant</w:t>
            </w:r>
            <w:r w:rsidRPr="005C2727">
              <w:rPr>
                <w:rFonts w:cs="Times New Roman"/>
                <w:sz w:val="20"/>
                <w:szCs w:val="20"/>
                <w:lang w:val="fr-CA"/>
              </w:rPr>
              <w:t xml:space="preserve"> </w:t>
            </w:r>
            <w:r w:rsidR="00FD0CB6" w:rsidRPr="005C2727">
              <w:rPr>
                <w:rFonts w:cs="Times New Roman"/>
                <w:sz w:val="20"/>
                <w:szCs w:val="20"/>
              </w:rPr>
              <w:fldChar w:fldCharType="begin"/>
            </w:r>
            <w:r w:rsidR="00206680" w:rsidRPr="005C2727">
              <w:rPr>
                <w:rFonts w:cs="Times New Roman"/>
                <w:sz w:val="20"/>
                <w:szCs w:val="20"/>
                <w:lang w:val="fr-CA"/>
              </w:rPr>
              <w:instrText xml:space="preserve"> SEQ CHAPTER \h \r 1</w:instrText>
            </w:r>
            <w:r w:rsidR="00FD0CB6" w:rsidRPr="005C2727">
              <w:rPr>
                <w:rFonts w:cs="Times New Roman"/>
                <w:sz w:val="20"/>
                <w:szCs w:val="20"/>
              </w:rPr>
              <w:fldChar w:fldCharType="end"/>
            </w:r>
            <w:r w:rsidR="00FD0CB6" w:rsidRPr="005C2727">
              <w:rPr>
                <w:rFonts w:cs="Times New Roman"/>
                <w:sz w:val="20"/>
                <w:szCs w:val="20"/>
              </w:rPr>
              <w:fldChar w:fldCharType="begin"/>
            </w:r>
            <w:r w:rsidR="00206680" w:rsidRPr="005C2727">
              <w:rPr>
                <w:rFonts w:cs="Times New Roman"/>
                <w:sz w:val="20"/>
                <w:szCs w:val="20"/>
                <w:lang w:val="fr-CA"/>
              </w:rPr>
              <w:instrText xml:space="preserve"> SEQ CHAPTER \h \r 1</w:instrText>
            </w:r>
            <w:r w:rsidR="00FD0CB6" w:rsidRPr="005C2727">
              <w:rPr>
                <w:rFonts w:cs="Times New Roman"/>
                <w:sz w:val="20"/>
                <w:szCs w:val="20"/>
              </w:rPr>
              <w:fldChar w:fldCharType="end"/>
            </w:r>
            <w:r w:rsidR="00FD0CB6" w:rsidRPr="005C2727">
              <w:rPr>
                <w:rFonts w:cs="Times New Roman"/>
                <w:sz w:val="20"/>
                <w:szCs w:val="20"/>
              </w:rPr>
              <w:fldChar w:fldCharType="begin"/>
            </w:r>
            <w:r w:rsidR="00206680" w:rsidRPr="005C2727">
              <w:rPr>
                <w:rFonts w:cs="Times New Roman"/>
                <w:sz w:val="20"/>
                <w:szCs w:val="20"/>
                <w:lang w:val="fr-CA"/>
              </w:rPr>
              <w:instrText xml:space="preserve"> SEQ CHAPTER \h \r 1</w:instrText>
            </w:r>
            <w:r w:rsidR="00FD0CB6" w:rsidRPr="005C2727">
              <w:rPr>
                <w:rFonts w:cs="Times New Roman"/>
                <w:sz w:val="20"/>
                <w:szCs w:val="20"/>
              </w:rPr>
              <w:fldChar w:fldCharType="end"/>
            </w:r>
          </w:p>
        </w:tc>
      </w:tr>
      <w:tr w:rsidR="00206680" w:rsidRPr="008A1FD8" w:rsidTr="004163EF">
        <w:tc>
          <w:tcPr>
            <w:tcW w:w="4338" w:type="dxa"/>
          </w:tcPr>
          <w:p w:rsidR="00206680" w:rsidRPr="008A1FD8" w:rsidRDefault="00206680" w:rsidP="004163EF">
            <w:pPr>
              <w:tabs>
                <w:tab w:val="left" w:pos="-1440"/>
                <w:tab w:val="left" w:pos="-720"/>
              </w:tabs>
              <w:jc w:val="both"/>
              <w:rPr>
                <w:rFonts w:cs="Times New Roman"/>
                <w:sz w:val="20"/>
                <w:szCs w:val="20"/>
              </w:rPr>
            </w:pPr>
            <w:r w:rsidRPr="008A1FD8">
              <w:rPr>
                <w:rFonts w:cs="Times New Roman"/>
                <w:sz w:val="20"/>
                <w:szCs w:val="20"/>
              </w:rPr>
              <w:t>Adrian John Walle</w:t>
            </w: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r w:rsidRPr="008A1FD8">
              <w:rPr>
                <w:rFonts w:cs="Times New Roman"/>
                <w:sz w:val="20"/>
                <w:szCs w:val="20"/>
              </w:rPr>
              <w:tab/>
              <w:t>v. (34080)</w:t>
            </w: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r w:rsidRPr="008A1FD8">
              <w:rPr>
                <w:rFonts w:cs="Times New Roman"/>
                <w:sz w:val="20"/>
                <w:szCs w:val="20"/>
              </w:rPr>
              <w:t>Her Majesty the Queen (Crim.) (Alta.)</w:t>
            </w:r>
          </w:p>
        </w:tc>
        <w:tc>
          <w:tcPr>
            <w:tcW w:w="1170" w:type="dxa"/>
          </w:tcPr>
          <w:p w:rsidR="00206680" w:rsidRPr="008A1FD8" w:rsidRDefault="00206680" w:rsidP="004163EF">
            <w:pPr>
              <w:tabs>
                <w:tab w:val="left" w:pos="-1440"/>
                <w:tab w:val="left" w:pos="-720"/>
              </w:tabs>
              <w:jc w:val="both"/>
              <w:rPr>
                <w:rFonts w:cs="Times New Roman"/>
                <w:sz w:val="20"/>
                <w:szCs w:val="20"/>
              </w:rPr>
            </w:pPr>
          </w:p>
        </w:tc>
        <w:tc>
          <w:tcPr>
            <w:tcW w:w="4327" w:type="dxa"/>
          </w:tcPr>
          <w:p w:rsidR="00206680" w:rsidRPr="008A1FD8" w:rsidRDefault="00206680" w:rsidP="004163EF">
            <w:pPr>
              <w:tabs>
                <w:tab w:val="left" w:pos="-1440"/>
                <w:tab w:val="left" w:pos="-720"/>
              </w:tabs>
              <w:jc w:val="both"/>
              <w:rPr>
                <w:rFonts w:cs="Times New Roman"/>
                <w:sz w:val="20"/>
                <w:szCs w:val="20"/>
              </w:rPr>
            </w:pPr>
          </w:p>
        </w:tc>
      </w:tr>
    </w:tbl>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tabs>
          <w:tab w:val="left" w:pos="-1440"/>
          <w:tab w:val="left" w:pos="-720"/>
        </w:tabs>
        <w:jc w:val="both"/>
        <w:rPr>
          <w:rFonts w:cs="Times New Roman"/>
          <w:b/>
          <w:sz w:val="20"/>
          <w:szCs w:val="20"/>
          <w:lang w:val="fr-CA"/>
        </w:rPr>
      </w:pPr>
      <w:r w:rsidRPr="008A1FD8">
        <w:rPr>
          <w:rFonts w:cs="Times New Roman"/>
          <w:b/>
          <w:sz w:val="20"/>
          <w:szCs w:val="20"/>
          <w:lang w:val="fr-CA"/>
        </w:rPr>
        <w:t>GRANTED IN PART / ACCORDÉE EN PARTIE</w:t>
      </w:r>
    </w:p>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206680" w:rsidP="00206680">
      <w:pPr>
        <w:jc w:val="both"/>
        <w:rPr>
          <w:rFonts w:cs="Times New Roman"/>
          <w:sz w:val="20"/>
          <w:szCs w:val="20"/>
        </w:rPr>
      </w:pPr>
      <w:r w:rsidRPr="008A1FD8">
        <w:rPr>
          <w:rFonts w:cs="Times New Roman"/>
          <w:b/>
          <w:bCs/>
          <w:sz w:val="20"/>
          <w:szCs w:val="20"/>
        </w:rPr>
        <w:t xml:space="preserve">UPON APPLICATION </w:t>
      </w:r>
      <w:r w:rsidRPr="008A1FD8">
        <w:rPr>
          <w:rFonts w:cs="Times New Roman"/>
          <w:sz w:val="20"/>
          <w:szCs w:val="20"/>
        </w:rPr>
        <w:t>by the appellant for an order granting leave to adduce fresh evidence namely the affidavit, with exhibits, of Heather Dawn Schille, sworn September 8, 2011, and for an order extending the time of 60 days for filing its record, factum and book of authorities;</w:t>
      </w:r>
    </w:p>
    <w:p w:rsidR="00206680" w:rsidRPr="008A1FD8" w:rsidRDefault="00206680" w:rsidP="00206680">
      <w:pPr>
        <w:jc w:val="both"/>
        <w:rPr>
          <w:rFonts w:cs="Times New Roman"/>
          <w:sz w:val="20"/>
          <w:szCs w:val="20"/>
        </w:rPr>
      </w:pPr>
    </w:p>
    <w:p w:rsidR="00206680" w:rsidRPr="008A1FD8" w:rsidRDefault="00206680" w:rsidP="00206680">
      <w:pPr>
        <w:spacing w:line="233" w:lineRule="auto"/>
        <w:jc w:val="both"/>
        <w:rPr>
          <w:rFonts w:cs="Times New Roman"/>
          <w:b/>
          <w:bCs/>
          <w:sz w:val="20"/>
          <w:szCs w:val="20"/>
        </w:rPr>
      </w:pPr>
      <w:r w:rsidRPr="008A1FD8">
        <w:rPr>
          <w:rFonts w:cs="Times New Roman"/>
          <w:b/>
          <w:sz w:val="20"/>
          <w:szCs w:val="20"/>
        </w:rPr>
        <w:t>AND</w:t>
      </w:r>
      <w:r w:rsidRPr="008A1FD8">
        <w:rPr>
          <w:rFonts w:cs="Times New Roman"/>
          <w:sz w:val="20"/>
          <w:szCs w:val="20"/>
        </w:rPr>
        <w:t xml:space="preserve"> </w:t>
      </w:r>
      <w:r w:rsidRPr="008A1FD8">
        <w:rPr>
          <w:rFonts w:cs="Times New Roman"/>
          <w:b/>
          <w:bCs/>
          <w:sz w:val="20"/>
          <w:szCs w:val="20"/>
        </w:rPr>
        <w:t xml:space="preserve">UPON CROSS-APPLICATION </w:t>
      </w:r>
      <w:r w:rsidRPr="008A1FD8">
        <w:rPr>
          <w:rFonts w:cs="Times New Roman"/>
          <w:bCs/>
          <w:sz w:val="20"/>
          <w:szCs w:val="20"/>
        </w:rPr>
        <w:t xml:space="preserve">by </w:t>
      </w:r>
      <w:r w:rsidRPr="008A1FD8">
        <w:rPr>
          <w:rFonts w:cs="Times New Roman"/>
          <w:sz w:val="20"/>
          <w:szCs w:val="20"/>
        </w:rPr>
        <w:t>the respondent for an order to adduce fresh evidence namely the affidavit, with exhibits, of Rebecca Suzanne Kendall, sworn September 20, 2011;</w:t>
      </w:r>
    </w:p>
    <w:p w:rsidR="00206680" w:rsidRPr="008A1FD8" w:rsidRDefault="00206680" w:rsidP="00206680">
      <w:pPr>
        <w:spacing w:line="233" w:lineRule="auto"/>
        <w:rPr>
          <w:rFonts w:cs="Times New Roman"/>
          <w:sz w:val="20"/>
          <w:szCs w:val="20"/>
        </w:rPr>
      </w:pPr>
    </w:p>
    <w:p w:rsidR="00206680" w:rsidRPr="008A1FD8" w:rsidRDefault="00206680" w:rsidP="00206680">
      <w:pPr>
        <w:spacing w:line="233" w:lineRule="auto"/>
        <w:jc w:val="both"/>
        <w:rPr>
          <w:rFonts w:cs="Times New Roman"/>
          <w:sz w:val="20"/>
          <w:szCs w:val="20"/>
        </w:rPr>
      </w:pPr>
      <w:r w:rsidRPr="008A1FD8">
        <w:rPr>
          <w:rFonts w:cs="Times New Roman"/>
          <w:b/>
          <w:bCs/>
          <w:sz w:val="20"/>
          <w:szCs w:val="20"/>
        </w:rPr>
        <w:t>AND THE MATERIAL FILED</w:t>
      </w:r>
      <w:r w:rsidRPr="008A1FD8">
        <w:rPr>
          <w:rFonts w:cs="Times New Roman"/>
          <w:sz w:val="20"/>
          <w:szCs w:val="20"/>
        </w:rPr>
        <w:t xml:space="preserve"> having been read;</w:t>
      </w:r>
    </w:p>
    <w:p w:rsidR="00206680" w:rsidRPr="008A1FD8" w:rsidRDefault="00206680" w:rsidP="00206680">
      <w:pPr>
        <w:spacing w:line="233" w:lineRule="auto"/>
        <w:rPr>
          <w:rFonts w:cs="Times New Roman"/>
          <w:sz w:val="20"/>
          <w:szCs w:val="20"/>
        </w:rPr>
      </w:pPr>
    </w:p>
    <w:p w:rsidR="00206680" w:rsidRPr="008A1FD8" w:rsidRDefault="00206680" w:rsidP="00206680">
      <w:pPr>
        <w:spacing w:line="233" w:lineRule="auto"/>
        <w:rPr>
          <w:rFonts w:cs="Times New Roman"/>
          <w:sz w:val="20"/>
          <w:szCs w:val="20"/>
        </w:rPr>
      </w:pPr>
      <w:r w:rsidRPr="008A1FD8">
        <w:rPr>
          <w:rFonts w:cs="Times New Roman"/>
          <w:b/>
          <w:bCs/>
          <w:sz w:val="20"/>
          <w:szCs w:val="20"/>
        </w:rPr>
        <w:t>IT IS HEREBY ORDERED THAT:</w:t>
      </w:r>
    </w:p>
    <w:p w:rsidR="00206680" w:rsidRPr="008A1FD8" w:rsidRDefault="00206680" w:rsidP="00206680">
      <w:pPr>
        <w:spacing w:line="233" w:lineRule="auto"/>
        <w:rPr>
          <w:rFonts w:cs="Times New Roman"/>
          <w:sz w:val="20"/>
          <w:szCs w:val="20"/>
        </w:rPr>
      </w:pPr>
    </w:p>
    <w:p w:rsidR="00206680" w:rsidRPr="008A1FD8" w:rsidRDefault="00206680" w:rsidP="00206680">
      <w:pPr>
        <w:spacing w:line="233" w:lineRule="auto"/>
        <w:jc w:val="both"/>
        <w:rPr>
          <w:rFonts w:cs="Times New Roman"/>
          <w:sz w:val="20"/>
          <w:szCs w:val="20"/>
        </w:rPr>
      </w:pPr>
      <w:r w:rsidRPr="008A1FD8">
        <w:rPr>
          <w:rFonts w:cs="Times New Roman"/>
          <w:sz w:val="20"/>
          <w:szCs w:val="20"/>
        </w:rPr>
        <w:t>1) The motion and cross-motion to adduce fresh evidence are referred to the panel of the Court hearing the appeal and may be argued at the commencement of the hearing. If so argued, the time required for the argument of these motions will be deducted from the time allotted to the appellant and respondent for the presentation of their submissions on the appeal.</w:t>
      </w:r>
    </w:p>
    <w:p w:rsidR="00206680" w:rsidRPr="008A1FD8" w:rsidRDefault="00206680" w:rsidP="00206680">
      <w:pPr>
        <w:spacing w:line="233" w:lineRule="auto"/>
        <w:rPr>
          <w:rFonts w:cs="Times New Roman"/>
          <w:sz w:val="20"/>
          <w:szCs w:val="20"/>
        </w:rPr>
      </w:pPr>
    </w:p>
    <w:p w:rsidR="00206680" w:rsidRPr="008A1FD8" w:rsidRDefault="00206680" w:rsidP="00206680">
      <w:pPr>
        <w:tabs>
          <w:tab w:val="left" w:pos="-1440"/>
          <w:tab w:val="left" w:pos="-720"/>
        </w:tabs>
        <w:jc w:val="both"/>
        <w:rPr>
          <w:rFonts w:cs="Times New Roman"/>
          <w:sz w:val="20"/>
          <w:szCs w:val="20"/>
        </w:rPr>
      </w:pPr>
      <w:r w:rsidRPr="008A1FD8">
        <w:rPr>
          <w:rFonts w:cs="Times New Roman"/>
          <w:sz w:val="20"/>
          <w:szCs w:val="20"/>
        </w:rPr>
        <w:t>2) The appellant is granted an extension of time to file its record, factum and book of authorities to January 9, 2012.</w:t>
      </w: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jc w:val="both"/>
        <w:rPr>
          <w:rFonts w:cs="Times New Roman"/>
          <w:sz w:val="20"/>
          <w:szCs w:val="20"/>
          <w:lang w:val="fr-CA"/>
        </w:rPr>
      </w:pPr>
      <w:r w:rsidRPr="008A1FD8">
        <w:rPr>
          <w:rFonts w:cs="Times New Roman"/>
          <w:b/>
          <w:bCs/>
          <w:sz w:val="20"/>
          <w:szCs w:val="20"/>
          <w:lang w:val="fr-CA"/>
        </w:rPr>
        <w:t xml:space="preserve">À LA SUITE DE LA DEMANDE </w:t>
      </w:r>
      <w:r w:rsidRPr="008A1FD8">
        <w:rPr>
          <w:rFonts w:cs="Times New Roman"/>
          <w:bCs/>
          <w:sz w:val="20"/>
          <w:szCs w:val="20"/>
          <w:lang w:val="fr-CA"/>
        </w:rPr>
        <w:t xml:space="preserve">présentée par l’appelante en vue de déposer de nouveaux éléments de preuve, soit l’affidavit signé par </w:t>
      </w:r>
      <w:r w:rsidRPr="008A1FD8">
        <w:rPr>
          <w:rFonts w:cs="Times New Roman"/>
          <w:sz w:val="20"/>
          <w:szCs w:val="20"/>
          <w:lang w:val="fr-CA"/>
        </w:rPr>
        <w:t>Heather Dawn Schille</w:t>
      </w:r>
      <w:r w:rsidRPr="008A1FD8">
        <w:rPr>
          <w:rFonts w:cs="Times New Roman"/>
          <w:bCs/>
          <w:sz w:val="20"/>
          <w:szCs w:val="20"/>
          <w:lang w:val="fr-CA"/>
        </w:rPr>
        <w:t xml:space="preserve"> le 8 septembre 2011 et les pièces qui y sont jointes, et en vue d’obtenir une prorogation de délai de 60 jours pour déposer ses dossier, mémoire et recueil de sources</w:t>
      </w:r>
      <w:r w:rsidRPr="008A1FD8">
        <w:rPr>
          <w:rFonts w:cs="Times New Roman"/>
          <w:sz w:val="20"/>
          <w:szCs w:val="20"/>
          <w:lang w:val="fr-CA"/>
        </w:rPr>
        <w:t>;</w:t>
      </w:r>
    </w:p>
    <w:p w:rsidR="00206680" w:rsidRPr="008A1FD8" w:rsidRDefault="00206680" w:rsidP="00206680">
      <w:pPr>
        <w:jc w:val="both"/>
        <w:rPr>
          <w:rFonts w:cs="Times New Roman"/>
          <w:sz w:val="20"/>
          <w:szCs w:val="20"/>
          <w:lang w:val="fr-CA"/>
        </w:rPr>
      </w:pPr>
    </w:p>
    <w:p w:rsidR="00206680" w:rsidRPr="008A1FD8" w:rsidRDefault="00206680" w:rsidP="00206680">
      <w:pPr>
        <w:spacing w:line="233" w:lineRule="auto"/>
        <w:jc w:val="both"/>
        <w:rPr>
          <w:rFonts w:cs="Times New Roman"/>
          <w:b/>
          <w:bCs/>
          <w:sz w:val="20"/>
          <w:szCs w:val="20"/>
          <w:lang w:val="fr-CA"/>
        </w:rPr>
      </w:pPr>
      <w:r w:rsidRPr="008A1FD8">
        <w:rPr>
          <w:rFonts w:cs="Times New Roman"/>
          <w:b/>
          <w:sz w:val="20"/>
          <w:szCs w:val="20"/>
          <w:lang w:val="fr-CA"/>
        </w:rPr>
        <w:t xml:space="preserve">ET À LA SUITE DE LA DEMANDE INCIDENTE </w:t>
      </w:r>
      <w:r w:rsidRPr="008A1FD8">
        <w:rPr>
          <w:rFonts w:cs="Times New Roman"/>
          <w:sz w:val="20"/>
          <w:szCs w:val="20"/>
          <w:lang w:val="fr-CA"/>
        </w:rPr>
        <w:t>présentée par l’intimée en vue de présenter de nouveaux éléments de preuve, soit l’affidavit signé par Rebecca Suzanne Kendall</w:t>
      </w:r>
      <w:r w:rsidRPr="008A1FD8">
        <w:rPr>
          <w:rFonts w:cs="Times New Roman"/>
          <w:bCs/>
          <w:sz w:val="20"/>
          <w:szCs w:val="20"/>
          <w:lang w:val="fr-CA"/>
        </w:rPr>
        <w:t xml:space="preserve"> le 20 septembre 2011 et les pièces qui y sont jointes;</w:t>
      </w:r>
    </w:p>
    <w:p w:rsidR="00206680" w:rsidRPr="008A1FD8" w:rsidRDefault="00206680" w:rsidP="00206680">
      <w:pPr>
        <w:spacing w:line="233" w:lineRule="auto"/>
        <w:rPr>
          <w:rFonts w:cs="Times New Roman"/>
          <w:sz w:val="20"/>
          <w:szCs w:val="20"/>
          <w:lang w:val="fr-CA"/>
        </w:rPr>
      </w:pPr>
    </w:p>
    <w:p w:rsidR="00206680" w:rsidRPr="008A1FD8" w:rsidRDefault="00206680" w:rsidP="00206680">
      <w:pPr>
        <w:spacing w:line="233" w:lineRule="auto"/>
        <w:jc w:val="both"/>
        <w:rPr>
          <w:rFonts w:cs="Times New Roman"/>
          <w:sz w:val="20"/>
          <w:szCs w:val="20"/>
          <w:lang w:val="fr-CA"/>
        </w:rPr>
      </w:pPr>
      <w:r w:rsidRPr="008A1FD8">
        <w:rPr>
          <w:rFonts w:cs="Times New Roman"/>
          <w:b/>
          <w:bCs/>
          <w:sz w:val="20"/>
          <w:szCs w:val="20"/>
          <w:lang w:val="fr-CA"/>
        </w:rPr>
        <w:t xml:space="preserve">ET APRÈS EXAMEN </w:t>
      </w:r>
      <w:r w:rsidRPr="008A1FD8">
        <w:rPr>
          <w:rFonts w:cs="Times New Roman"/>
          <w:bCs/>
          <w:sz w:val="20"/>
          <w:szCs w:val="20"/>
          <w:lang w:val="fr-CA"/>
        </w:rPr>
        <w:t xml:space="preserve">des documents déposés, </w:t>
      </w:r>
    </w:p>
    <w:p w:rsidR="00206680" w:rsidRPr="008A1FD8" w:rsidRDefault="00206680" w:rsidP="00206680">
      <w:pPr>
        <w:spacing w:line="233" w:lineRule="auto"/>
        <w:rPr>
          <w:rFonts w:cs="Times New Roman"/>
          <w:sz w:val="20"/>
          <w:szCs w:val="20"/>
          <w:lang w:val="fr-CA"/>
        </w:rPr>
      </w:pPr>
    </w:p>
    <w:p w:rsidR="00206680" w:rsidRPr="008A1FD8" w:rsidRDefault="00206680" w:rsidP="00206680">
      <w:pPr>
        <w:spacing w:line="233" w:lineRule="auto"/>
        <w:rPr>
          <w:rFonts w:cs="Times New Roman"/>
          <w:sz w:val="20"/>
          <w:szCs w:val="20"/>
          <w:lang w:val="fr-CA"/>
        </w:rPr>
      </w:pPr>
      <w:r w:rsidRPr="008A1FD8">
        <w:rPr>
          <w:rFonts w:cs="Times New Roman"/>
          <w:b/>
          <w:bCs/>
          <w:sz w:val="20"/>
          <w:szCs w:val="20"/>
          <w:lang w:val="fr-CA"/>
        </w:rPr>
        <w:t xml:space="preserve">IL EST ORDONNÉ CE QUI SUIT : </w:t>
      </w:r>
    </w:p>
    <w:p w:rsidR="00206680" w:rsidRPr="008A1FD8" w:rsidRDefault="00206680" w:rsidP="00206680">
      <w:pPr>
        <w:spacing w:line="233" w:lineRule="auto"/>
        <w:rPr>
          <w:rFonts w:cs="Times New Roman"/>
          <w:sz w:val="20"/>
          <w:szCs w:val="20"/>
          <w:lang w:val="fr-CA"/>
        </w:rPr>
      </w:pPr>
    </w:p>
    <w:p w:rsidR="00206680" w:rsidRPr="008A1FD8" w:rsidRDefault="00206680" w:rsidP="00206680">
      <w:pPr>
        <w:spacing w:line="233" w:lineRule="auto"/>
        <w:jc w:val="both"/>
        <w:rPr>
          <w:rFonts w:cs="Times New Roman"/>
          <w:sz w:val="20"/>
          <w:szCs w:val="20"/>
          <w:lang w:val="fr-CA"/>
        </w:rPr>
      </w:pPr>
      <w:r w:rsidRPr="008A1FD8">
        <w:rPr>
          <w:rFonts w:cs="Times New Roman"/>
          <w:sz w:val="20"/>
          <w:szCs w:val="20"/>
          <w:lang w:val="fr-CA"/>
        </w:rPr>
        <w:t xml:space="preserve">1) La requête et la requête incidente en vue de présenter de nouveaux éléments de preuve sont renvoyées à la formation de la Cour qui entendra l’appel et pourront être plaidées au début de l’audience.  Le cas échéant, le temps consacré à la plaidoirie sur ces requêtes sera déduit du temps alloué à l’appelant et à l’intimée pour la présentation de leur plaidoirie orale sur l’appel. </w:t>
      </w:r>
    </w:p>
    <w:p w:rsidR="00206680" w:rsidRPr="008A1FD8" w:rsidRDefault="00206680" w:rsidP="00206680">
      <w:pPr>
        <w:rPr>
          <w:rFonts w:cs="Times New Roman"/>
          <w:sz w:val="20"/>
          <w:szCs w:val="20"/>
          <w:lang w:val="fr-CA"/>
        </w:rPr>
      </w:pPr>
      <w:r w:rsidRPr="008A1FD8">
        <w:rPr>
          <w:rFonts w:cs="Times New Roman"/>
          <w:sz w:val="20"/>
          <w:szCs w:val="20"/>
          <w:lang w:val="fr-CA"/>
        </w:rPr>
        <w:br w:type="page"/>
      </w:r>
    </w:p>
    <w:p w:rsidR="00206680" w:rsidRPr="008A1FD8" w:rsidRDefault="00206680" w:rsidP="00206680">
      <w:pPr>
        <w:spacing w:line="233" w:lineRule="auto"/>
        <w:jc w:val="both"/>
        <w:rPr>
          <w:rFonts w:cs="Times New Roman"/>
          <w:sz w:val="20"/>
          <w:szCs w:val="20"/>
          <w:lang w:val="fr-CA"/>
        </w:rPr>
      </w:pPr>
      <w:r w:rsidRPr="008A1FD8">
        <w:rPr>
          <w:rFonts w:cs="Times New Roman"/>
          <w:sz w:val="20"/>
          <w:szCs w:val="20"/>
          <w:lang w:val="fr-CA"/>
        </w:rPr>
        <w:lastRenderedPageBreak/>
        <w:t xml:space="preserve">2) Le délai imparti à l’appelant pour déposer ses dossier, mémoire et recueil de sources est prorogé jusqu’au 9 janvier 2012. </w:t>
      </w:r>
    </w:p>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FD0CB6" w:rsidP="00206680">
      <w:pPr>
        <w:tabs>
          <w:tab w:val="left" w:pos="-1440"/>
          <w:tab w:val="left" w:pos="-720"/>
        </w:tabs>
        <w:jc w:val="both"/>
        <w:rPr>
          <w:rFonts w:cs="Times New Roman"/>
          <w:sz w:val="20"/>
          <w:szCs w:val="20"/>
        </w:rPr>
      </w:pPr>
      <w:r w:rsidRPr="00FD0CB6">
        <w:rPr>
          <w:rFonts w:cs="Times New Roman"/>
          <w:sz w:val="20"/>
          <w:szCs w:val="20"/>
          <w:lang w:val="fr-CA"/>
        </w:rPr>
        <w:pict>
          <v:rect id="_x0000_i1058" style="width:2in;height:1pt" o:hrpct="0" o:hralign="center" o:hrstd="t" o:hrnoshade="t" o:hr="t" fillcolor="black [3213]" stroked="f"/>
        </w:pict>
      </w:r>
    </w:p>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206680" w:rsidP="00206680">
      <w:pPr>
        <w:tabs>
          <w:tab w:val="left" w:pos="-1440"/>
          <w:tab w:val="left" w:pos="-720"/>
        </w:tabs>
        <w:jc w:val="both"/>
        <w:rPr>
          <w:rFonts w:cs="Times New Roman"/>
          <w:sz w:val="20"/>
          <w:szCs w:val="20"/>
        </w:rPr>
      </w:pPr>
      <w:r w:rsidRPr="008A1FD8">
        <w:rPr>
          <w:rFonts w:cs="Times New Roman"/>
          <w:sz w:val="20"/>
          <w:szCs w:val="20"/>
        </w:rPr>
        <w:t>25.10.2011</w:t>
      </w: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jc w:val="both"/>
        <w:rPr>
          <w:rFonts w:cs="Times New Roman"/>
          <w:sz w:val="20"/>
          <w:szCs w:val="20"/>
          <w:lang w:val="fr-CA"/>
        </w:rPr>
      </w:pPr>
      <w:r w:rsidRPr="008A1FD8">
        <w:rPr>
          <w:rFonts w:cs="Times New Roman"/>
          <w:sz w:val="20"/>
          <w:szCs w:val="20"/>
          <w:lang w:val="fr-CA"/>
        </w:rPr>
        <w:t>Before / Devant:   CROMWELL J. / LE JUGE CROMWELL</w:t>
      </w:r>
    </w:p>
    <w:p w:rsidR="00206680" w:rsidRPr="008A1FD8" w:rsidRDefault="00206680" w:rsidP="00206680">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06680" w:rsidRPr="008A1FD8" w:rsidTr="004163EF">
        <w:tc>
          <w:tcPr>
            <w:tcW w:w="4338" w:type="dxa"/>
            <w:gridSpan w:val="2"/>
          </w:tcPr>
          <w:p w:rsidR="00206680" w:rsidRPr="008A1FD8" w:rsidRDefault="00206680" w:rsidP="004163EF">
            <w:pPr>
              <w:rPr>
                <w:rFonts w:cs="Times New Roman"/>
                <w:b/>
                <w:sz w:val="20"/>
                <w:szCs w:val="20"/>
              </w:rPr>
            </w:pPr>
            <w:r w:rsidRPr="008A1FD8">
              <w:rPr>
                <w:rFonts w:cs="Times New Roman"/>
                <w:b/>
                <w:sz w:val="20"/>
                <w:szCs w:val="20"/>
              </w:rPr>
              <w:t>Motions for leave to intervene</w:t>
            </w:r>
            <w:r w:rsidRPr="008A1FD8">
              <w:rPr>
                <w:rFonts w:cs="Times New Roman"/>
                <w:sz w:val="20"/>
                <w:szCs w:val="20"/>
              </w:rPr>
              <w:t xml:space="preserve"> </w:t>
            </w:r>
            <w:r w:rsidR="00FD0CB6" w:rsidRPr="008A1FD8">
              <w:rPr>
                <w:rFonts w:cs="Times New Roman"/>
                <w:sz w:val="20"/>
                <w:szCs w:val="20"/>
              </w:rPr>
              <w:fldChar w:fldCharType="begin"/>
            </w:r>
            <w:r w:rsidRPr="008A1FD8">
              <w:rPr>
                <w:rFonts w:cs="Times New Roman"/>
                <w:sz w:val="20"/>
                <w:szCs w:val="20"/>
              </w:rPr>
              <w:instrText xml:space="preserve"> SEQ CHAPTER \h \r 1</w:instrText>
            </w:r>
            <w:r w:rsidR="00FD0CB6" w:rsidRPr="008A1FD8">
              <w:rPr>
                <w:rFonts w:cs="Times New Roman"/>
                <w:sz w:val="20"/>
                <w:szCs w:val="20"/>
              </w:rPr>
              <w:fldChar w:fldCharType="end"/>
            </w:r>
          </w:p>
        </w:tc>
        <w:tc>
          <w:tcPr>
            <w:tcW w:w="1170" w:type="dxa"/>
          </w:tcPr>
          <w:p w:rsidR="00206680" w:rsidRPr="008A1FD8" w:rsidRDefault="00206680" w:rsidP="004163EF">
            <w:pPr>
              <w:rPr>
                <w:rFonts w:cs="Times New Roman"/>
                <w:sz w:val="20"/>
                <w:szCs w:val="20"/>
              </w:rPr>
            </w:pPr>
          </w:p>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b/>
                <w:sz w:val="20"/>
                <w:szCs w:val="20"/>
              </w:rPr>
            </w:pPr>
            <w:r w:rsidRPr="008A1FD8">
              <w:rPr>
                <w:rFonts w:cs="Times New Roman"/>
                <w:b/>
                <w:bCs/>
                <w:sz w:val="20"/>
                <w:szCs w:val="20"/>
                <w:lang w:val="fr-CA"/>
              </w:rPr>
              <w:t>Requêtes en autorisation d’intervenir</w:t>
            </w:r>
            <w:r w:rsidRPr="008A1FD8">
              <w:rPr>
                <w:rFonts w:cs="Times New Roman"/>
                <w:sz w:val="20"/>
                <w:szCs w:val="20"/>
              </w:rPr>
              <w:t xml:space="preserve"> </w:t>
            </w:r>
            <w:r w:rsidR="00FD0CB6" w:rsidRPr="008A1FD8">
              <w:rPr>
                <w:rFonts w:cs="Times New Roman"/>
                <w:sz w:val="20"/>
                <w:szCs w:val="20"/>
              </w:rPr>
              <w:fldChar w:fldCharType="begin"/>
            </w:r>
            <w:r w:rsidRPr="008A1FD8">
              <w:rPr>
                <w:rFonts w:cs="Times New Roman"/>
                <w:sz w:val="20"/>
                <w:szCs w:val="20"/>
              </w:rPr>
              <w:instrText xml:space="preserve"> SEQ CHAPTER \h \r 1</w:instrText>
            </w:r>
            <w:r w:rsidR="00FD0CB6" w:rsidRPr="008A1FD8">
              <w:rPr>
                <w:rFonts w:cs="Times New Roman"/>
                <w:sz w:val="20"/>
                <w:szCs w:val="20"/>
              </w:rPr>
              <w:fldChar w:fldCharType="end"/>
            </w:r>
          </w:p>
        </w:tc>
      </w:tr>
      <w:tr w:rsidR="00206680" w:rsidRPr="008A1FD8" w:rsidTr="004163EF">
        <w:tc>
          <w:tcPr>
            <w:tcW w:w="1368" w:type="dxa"/>
          </w:tcPr>
          <w:p w:rsidR="00206680" w:rsidRPr="008A1FD8" w:rsidRDefault="00206680" w:rsidP="004163EF">
            <w:pPr>
              <w:rPr>
                <w:rFonts w:cs="Times New Roman"/>
                <w:sz w:val="20"/>
                <w:szCs w:val="20"/>
              </w:rPr>
            </w:pPr>
            <w:r w:rsidRPr="008A1FD8">
              <w:rPr>
                <w:rFonts w:cs="Times New Roman"/>
                <w:sz w:val="20"/>
                <w:szCs w:val="20"/>
              </w:rPr>
              <w:t>BY / PAR</w:t>
            </w:r>
          </w:p>
        </w:tc>
        <w:tc>
          <w:tcPr>
            <w:tcW w:w="2970" w:type="dxa"/>
          </w:tcPr>
          <w:p w:rsidR="00206680" w:rsidRPr="008A1FD8" w:rsidRDefault="00206680" w:rsidP="004163EF">
            <w:pPr>
              <w:rPr>
                <w:rFonts w:cs="Times New Roman"/>
                <w:sz w:val="20"/>
                <w:szCs w:val="20"/>
              </w:rPr>
            </w:pPr>
            <w:r w:rsidRPr="008A1FD8">
              <w:rPr>
                <w:rFonts w:cs="Times New Roman"/>
                <w:sz w:val="20"/>
                <w:szCs w:val="20"/>
              </w:rPr>
              <w:t>Attorney General of Ontario;</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rPr>
                <w:rFonts w:cs="Times New Roman"/>
                <w:sz w:val="20"/>
                <w:szCs w:val="20"/>
              </w:rPr>
            </w:pPr>
            <w:r w:rsidRPr="008A1FD8">
              <w:rPr>
                <w:rFonts w:cs="Times New Roman"/>
                <w:sz w:val="20"/>
                <w:szCs w:val="20"/>
              </w:rPr>
              <w:t>Canadian HIV/AIDS Legal Network;</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rPr>
                <w:rFonts w:cs="Times New Roman"/>
                <w:sz w:val="20"/>
                <w:szCs w:val="20"/>
              </w:rPr>
            </w:pPr>
            <w:r w:rsidRPr="008A1FD8">
              <w:rPr>
                <w:rFonts w:cs="Times New Roman"/>
                <w:sz w:val="20"/>
                <w:szCs w:val="20"/>
              </w:rPr>
              <w:t>HIV &amp; AIDS Legal Clinic Ontario;</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4163EF"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rPr>
                <w:rFonts w:cs="Times New Roman"/>
                <w:sz w:val="20"/>
                <w:szCs w:val="20"/>
                <w:lang w:val="fr-CA"/>
              </w:rPr>
            </w:pPr>
            <w:r w:rsidRPr="008A1FD8">
              <w:rPr>
                <w:rFonts w:cs="Times New Roman"/>
                <w:sz w:val="20"/>
                <w:szCs w:val="20"/>
                <w:lang w:val="fr-CA"/>
              </w:rPr>
              <w:t>Coalition des organismes communautaires québecois de lutte contre le sida;</w:t>
            </w:r>
          </w:p>
        </w:tc>
        <w:tc>
          <w:tcPr>
            <w:tcW w:w="1170" w:type="dxa"/>
          </w:tcPr>
          <w:p w:rsidR="00206680" w:rsidRPr="008A1FD8" w:rsidRDefault="00206680" w:rsidP="004163EF">
            <w:pPr>
              <w:rPr>
                <w:rFonts w:cs="Times New Roman"/>
                <w:sz w:val="20"/>
                <w:szCs w:val="20"/>
                <w:lang w:val="fr-CA"/>
              </w:rPr>
            </w:pPr>
          </w:p>
        </w:tc>
        <w:tc>
          <w:tcPr>
            <w:tcW w:w="4327" w:type="dxa"/>
          </w:tcPr>
          <w:p w:rsidR="00206680" w:rsidRPr="008A1FD8" w:rsidRDefault="00206680" w:rsidP="004163EF">
            <w:pPr>
              <w:rPr>
                <w:rFonts w:cs="Times New Roman"/>
                <w:sz w:val="20"/>
                <w:szCs w:val="20"/>
                <w:lang w:val="fr-CA"/>
              </w:rPr>
            </w:pPr>
          </w:p>
        </w:tc>
      </w:tr>
      <w:tr w:rsidR="00206680" w:rsidRPr="008A1FD8" w:rsidTr="004163EF">
        <w:tc>
          <w:tcPr>
            <w:tcW w:w="1368" w:type="dxa"/>
          </w:tcPr>
          <w:p w:rsidR="00206680" w:rsidRPr="008A1FD8" w:rsidRDefault="00206680" w:rsidP="004163EF">
            <w:pPr>
              <w:rPr>
                <w:rFonts w:cs="Times New Roman"/>
                <w:sz w:val="20"/>
                <w:szCs w:val="20"/>
                <w:lang w:val="fr-CA"/>
              </w:rPr>
            </w:pPr>
          </w:p>
        </w:tc>
        <w:tc>
          <w:tcPr>
            <w:tcW w:w="2970" w:type="dxa"/>
          </w:tcPr>
          <w:p w:rsidR="00206680" w:rsidRPr="008A1FD8" w:rsidRDefault="00206680" w:rsidP="004163EF">
            <w:pPr>
              <w:rPr>
                <w:rFonts w:cs="Times New Roman"/>
                <w:sz w:val="20"/>
                <w:szCs w:val="20"/>
              </w:rPr>
            </w:pPr>
            <w:r w:rsidRPr="008A1FD8">
              <w:rPr>
                <w:rFonts w:cs="Times New Roman"/>
                <w:sz w:val="20"/>
                <w:szCs w:val="20"/>
              </w:rPr>
              <w:t>Positive Living Society of British Columbia;</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rPr>
                <w:rFonts w:cs="Times New Roman"/>
                <w:sz w:val="20"/>
                <w:szCs w:val="20"/>
              </w:rPr>
            </w:pPr>
            <w:r w:rsidRPr="008A1FD8">
              <w:rPr>
                <w:rFonts w:cs="Times New Roman"/>
                <w:sz w:val="20"/>
                <w:szCs w:val="20"/>
              </w:rPr>
              <w:t>Canadian AIDS Society;</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lang w:val="fr-CA"/>
              </w:rPr>
            </w:pPr>
          </w:p>
        </w:tc>
        <w:tc>
          <w:tcPr>
            <w:tcW w:w="2970" w:type="dxa"/>
          </w:tcPr>
          <w:p w:rsidR="00206680" w:rsidRPr="008A1FD8" w:rsidRDefault="00206680" w:rsidP="004163EF">
            <w:pPr>
              <w:rPr>
                <w:rFonts w:cs="Times New Roman"/>
                <w:sz w:val="20"/>
                <w:szCs w:val="20"/>
              </w:rPr>
            </w:pPr>
            <w:r w:rsidRPr="008A1FD8">
              <w:rPr>
                <w:rFonts w:cs="Times New Roman"/>
                <w:sz w:val="20"/>
                <w:szCs w:val="20"/>
              </w:rPr>
              <w:t>Toronto People With AIDS Foundation;</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rPr>
                <w:rFonts w:cs="Times New Roman"/>
                <w:sz w:val="20"/>
                <w:szCs w:val="20"/>
              </w:rPr>
            </w:pPr>
            <w:r w:rsidRPr="008A1FD8">
              <w:rPr>
                <w:rFonts w:cs="Times New Roman"/>
                <w:sz w:val="20"/>
                <w:szCs w:val="20"/>
              </w:rPr>
              <w:t>Black Coalition for AIDS Prevention and Canadian Aboriginal AIDS Network;</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rPr>
                <w:rFonts w:cs="Times New Roman"/>
                <w:sz w:val="20"/>
                <w:szCs w:val="20"/>
              </w:rPr>
            </w:pPr>
            <w:r w:rsidRPr="008A1FD8">
              <w:rPr>
                <w:rFonts w:cs="Times New Roman"/>
                <w:sz w:val="20"/>
                <w:szCs w:val="20"/>
              </w:rPr>
              <w:t>Criminal Lawyers’ Association of Ontario;</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rPr>
                <w:rFonts w:cs="Times New Roman"/>
                <w:sz w:val="20"/>
                <w:szCs w:val="20"/>
              </w:rPr>
            </w:pPr>
            <w:r w:rsidRPr="008A1FD8">
              <w:rPr>
                <w:rFonts w:cs="Times New Roman"/>
                <w:sz w:val="20"/>
                <w:szCs w:val="20"/>
              </w:rPr>
              <w:t>British Columbia Civil Liberties Association</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rPr>
                <w:rFonts w:cs="Times New Roman"/>
                <w:sz w:val="20"/>
                <w:szCs w:val="20"/>
              </w:rPr>
            </w:pP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r w:rsidRPr="008A1FD8">
              <w:rPr>
                <w:rFonts w:cs="Times New Roman"/>
                <w:sz w:val="20"/>
                <w:szCs w:val="20"/>
              </w:rPr>
              <w:t>IN / DANS :</w:t>
            </w:r>
          </w:p>
        </w:tc>
        <w:tc>
          <w:tcPr>
            <w:tcW w:w="2970" w:type="dxa"/>
          </w:tcPr>
          <w:p w:rsidR="00206680" w:rsidRPr="008A1FD8" w:rsidRDefault="00206680" w:rsidP="004163EF">
            <w:pPr>
              <w:rPr>
                <w:rFonts w:cs="Times New Roman"/>
                <w:sz w:val="20"/>
                <w:szCs w:val="20"/>
              </w:rPr>
            </w:pPr>
            <w:r w:rsidRPr="008A1FD8">
              <w:rPr>
                <w:rFonts w:cs="Times New Roman"/>
                <w:sz w:val="20"/>
                <w:szCs w:val="20"/>
              </w:rPr>
              <w:t xml:space="preserve">Her Majesty the Queen </w:t>
            </w:r>
          </w:p>
          <w:p w:rsidR="00206680" w:rsidRPr="008A1FD8" w:rsidRDefault="00206680" w:rsidP="004163EF">
            <w:pPr>
              <w:rPr>
                <w:rFonts w:cs="Times New Roman"/>
                <w:sz w:val="20"/>
                <w:szCs w:val="20"/>
              </w:rPr>
            </w:pP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rPr>
                <w:rFonts w:cs="Times New Roman"/>
                <w:sz w:val="20"/>
                <w:szCs w:val="20"/>
              </w:rPr>
            </w:pPr>
            <w:r w:rsidRPr="008A1FD8">
              <w:rPr>
                <w:rFonts w:cs="Times New Roman"/>
                <w:sz w:val="20"/>
                <w:szCs w:val="20"/>
              </w:rPr>
              <w:tab/>
              <w:t>v. (33976)</w:t>
            </w:r>
          </w:p>
          <w:p w:rsidR="00206680" w:rsidRPr="008A1FD8" w:rsidRDefault="00206680" w:rsidP="004163EF">
            <w:pPr>
              <w:rPr>
                <w:rFonts w:cs="Times New Roman"/>
                <w:sz w:val="20"/>
                <w:szCs w:val="20"/>
              </w:rPr>
            </w:pP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jc w:val="both"/>
              <w:rPr>
                <w:rFonts w:cs="Times New Roman"/>
                <w:sz w:val="20"/>
                <w:szCs w:val="20"/>
              </w:rPr>
            </w:pPr>
            <w:r w:rsidRPr="008A1FD8">
              <w:rPr>
                <w:rFonts w:cs="Times New Roman"/>
                <w:sz w:val="20"/>
                <w:szCs w:val="20"/>
              </w:rPr>
              <w:t>Clato Lual Mabior (Crim.) (Man.)</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jc w:val="both"/>
              <w:rPr>
                <w:rFonts w:cs="Times New Roman"/>
                <w:sz w:val="20"/>
                <w:szCs w:val="20"/>
              </w:rPr>
            </w:pP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jc w:val="both"/>
              <w:rPr>
                <w:rFonts w:cs="Times New Roman"/>
                <w:sz w:val="20"/>
                <w:szCs w:val="20"/>
              </w:rPr>
            </w:pPr>
            <w:r w:rsidRPr="008A1FD8">
              <w:rPr>
                <w:rFonts w:cs="Times New Roman"/>
                <w:sz w:val="20"/>
                <w:szCs w:val="20"/>
              </w:rPr>
              <w:t>- and between -</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jc w:val="both"/>
              <w:rPr>
                <w:rFonts w:cs="Times New Roman"/>
                <w:sz w:val="20"/>
                <w:szCs w:val="20"/>
              </w:rPr>
            </w:pP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rPr>
                <w:rFonts w:cs="Times New Roman"/>
                <w:sz w:val="20"/>
                <w:szCs w:val="20"/>
              </w:rPr>
            </w:pPr>
            <w:r w:rsidRPr="008A1FD8">
              <w:rPr>
                <w:rFonts w:cs="Times New Roman"/>
                <w:sz w:val="20"/>
                <w:szCs w:val="20"/>
              </w:rPr>
              <w:t>Sa Majesté la Reine</w:t>
            </w:r>
          </w:p>
          <w:p w:rsidR="00206680" w:rsidRPr="008A1FD8" w:rsidRDefault="00206680" w:rsidP="004163EF">
            <w:pPr>
              <w:jc w:val="both"/>
              <w:rPr>
                <w:rFonts w:cs="Times New Roman"/>
                <w:sz w:val="20"/>
                <w:szCs w:val="20"/>
              </w:rPr>
            </w:pP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jc w:val="both"/>
              <w:rPr>
                <w:rFonts w:cs="Times New Roman"/>
                <w:sz w:val="20"/>
                <w:szCs w:val="20"/>
              </w:rPr>
            </w:pPr>
            <w:r w:rsidRPr="008A1FD8">
              <w:rPr>
                <w:rFonts w:cs="Times New Roman"/>
                <w:sz w:val="20"/>
                <w:szCs w:val="20"/>
              </w:rPr>
              <w:tab/>
              <w:t>c. (34094)</w:t>
            </w:r>
          </w:p>
          <w:p w:rsidR="00206680" w:rsidRPr="008A1FD8" w:rsidRDefault="00206680" w:rsidP="004163EF">
            <w:pPr>
              <w:jc w:val="both"/>
              <w:rPr>
                <w:rFonts w:cs="Times New Roman"/>
                <w:sz w:val="20"/>
                <w:szCs w:val="20"/>
              </w:rPr>
            </w:pP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r w:rsidR="00206680" w:rsidRPr="008A1FD8" w:rsidTr="004163EF">
        <w:tc>
          <w:tcPr>
            <w:tcW w:w="1368" w:type="dxa"/>
          </w:tcPr>
          <w:p w:rsidR="00206680" w:rsidRPr="008A1FD8" w:rsidRDefault="00206680" w:rsidP="004163EF">
            <w:pPr>
              <w:rPr>
                <w:rFonts w:cs="Times New Roman"/>
                <w:sz w:val="20"/>
                <w:szCs w:val="20"/>
              </w:rPr>
            </w:pPr>
          </w:p>
        </w:tc>
        <w:tc>
          <w:tcPr>
            <w:tcW w:w="2970" w:type="dxa"/>
          </w:tcPr>
          <w:p w:rsidR="00206680" w:rsidRPr="008A1FD8" w:rsidRDefault="00206680" w:rsidP="004163EF">
            <w:pPr>
              <w:jc w:val="both"/>
              <w:rPr>
                <w:rFonts w:cs="Times New Roman"/>
                <w:sz w:val="20"/>
                <w:szCs w:val="20"/>
              </w:rPr>
            </w:pPr>
            <w:r w:rsidRPr="008A1FD8">
              <w:rPr>
                <w:rFonts w:cs="Times New Roman"/>
                <w:sz w:val="20"/>
                <w:szCs w:val="20"/>
              </w:rPr>
              <w:t>D.C. (Crim.) (Qc)</w:t>
            </w:r>
          </w:p>
        </w:tc>
        <w:tc>
          <w:tcPr>
            <w:tcW w:w="1170" w:type="dxa"/>
          </w:tcPr>
          <w:p w:rsidR="00206680" w:rsidRPr="008A1FD8" w:rsidRDefault="00206680" w:rsidP="004163EF">
            <w:pPr>
              <w:rPr>
                <w:rFonts w:cs="Times New Roman"/>
                <w:sz w:val="20"/>
                <w:szCs w:val="20"/>
              </w:rPr>
            </w:pPr>
          </w:p>
        </w:tc>
        <w:tc>
          <w:tcPr>
            <w:tcW w:w="4327" w:type="dxa"/>
          </w:tcPr>
          <w:p w:rsidR="00206680" w:rsidRPr="008A1FD8" w:rsidRDefault="00206680" w:rsidP="004163EF">
            <w:pPr>
              <w:rPr>
                <w:rFonts w:cs="Times New Roman"/>
                <w:sz w:val="20"/>
                <w:szCs w:val="20"/>
              </w:rPr>
            </w:pPr>
          </w:p>
        </w:tc>
      </w:tr>
    </w:tbl>
    <w:p w:rsidR="00206680" w:rsidRPr="008A1FD8" w:rsidRDefault="00206680" w:rsidP="00206680">
      <w:pPr>
        <w:jc w:val="both"/>
        <w:rPr>
          <w:rFonts w:cs="Times New Roman"/>
          <w:sz w:val="20"/>
          <w:szCs w:val="20"/>
        </w:rPr>
      </w:pPr>
    </w:p>
    <w:p w:rsidR="00206680" w:rsidRPr="008A1FD8" w:rsidRDefault="00206680" w:rsidP="00206680">
      <w:pPr>
        <w:tabs>
          <w:tab w:val="left" w:pos="-1440"/>
          <w:tab w:val="left" w:pos="-720"/>
        </w:tabs>
        <w:jc w:val="both"/>
        <w:rPr>
          <w:rFonts w:cs="Times New Roman"/>
          <w:sz w:val="20"/>
          <w:szCs w:val="20"/>
        </w:rPr>
      </w:pPr>
      <w:r w:rsidRPr="008A1FD8">
        <w:rPr>
          <w:rFonts w:cs="Times New Roman"/>
          <w:b/>
          <w:sz w:val="20"/>
          <w:szCs w:val="20"/>
        </w:rPr>
        <w:t>GRANTED / ACCORDÉE</w:t>
      </w:r>
      <w:r w:rsidR="005C2727">
        <w:rPr>
          <w:rFonts w:cs="Times New Roman"/>
          <w:b/>
          <w:sz w:val="20"/>
          <w:szCs w:val="20"/>
        </w:rPr>
        <w:t>S</w:t>
      </w: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spacing w:line="233" w:lineRule="auto"/>
        <w:jc w:val="both"/>
        <w:rPr>
          <w:rFonts w:cs="Times New Roman"/>
          <w:sz w:val="20"/>
          <w:szCs w:val="20"/>
        </w:rPr>
      </w:pPr>
      <w:r w:rsidRPr="008A1FD8">
        <w:rPr>
          <w:rFonts w:cs="Times New Roman"/>
          <w:b/>
          <w:bCs/>
          <w:sz w:val="20"/>
          <w:szCs w:val="20"/>
        </w:rPr>
        <w:t xml:space="preserve">UPON APPLICATION </w:t>
      </w:r>
      <w:r w:rsidRPr="008A1FD8">
        <w:rPr>
          <w:rFonts w:cs="Times New Roman"/>
          <w:sz w:val="20"/>
          <w:szCs w:val="20"/>
        </w:rPr>
        <w:t>by the Attorney General of Ontario for leave to intervene in the appeal of</w:t>
      </w:r>
      <w:r w:rsidRPr="008A1FD8">
        <w:rPr>
          <w:rFonts w:cs="Times New Roman"/>
          <w:sz w:val="20"/>
          <w:szCs w:val="20"/>
          <w:lang w:eastAsia="fr-FR"/>
        </w:rPr>
        <w:t xml:space="preserve"> </w:t>
      </w:r>
      <w:r w:rsidRPr="008A1FD8">
        <w:rPr>
          <w:rFonts w:cs="Times New Roman"/>
          <w:i/>
          <w:sz w:val="20"/>
          <w:szCs w:val="20"/>
          <w:lang w:eastAsia="fr-FR"/>
        </w:rPr>
        <w:t>Her Majesty the Queen v. Clato Lual Mabior</w:t>
      </w:r>
      <w:r w:rsidRPr="008A1FD8">
        <w:rPr>
          <w:rFonts w:cs="Times New Roman"/>
          <w:sz w:val="20"/>
          <w:szCs w:val="20"/>
        </w:rPr>
        <w:t xml:space="preserve"> (33976);</w:t>
      </w:r>
    </w:p>
    <w:p w:rsidR="00206680" w:rsidRPr="008A1FD8" w:rsidRDefault="00206680" w:rsidP="00206680">
      <w:pPr>
        <w:spacing w:line="233" w:lineRule="auto"/>
        <w:jc w:val="both"/>
        <w:rPr>
          <w:rFonts w:cs="Times New Roman"/>
          <w:sz w:val="20"/>
          <w:szCs w:val="20"/>
        </w:rPr>
      </w:pPr>
    </w:p>
    <w:p w:rsidR="00206680" w:rsidRPr="008A1FD8" w:rsidRDefault="00206680" w:rsidP="00206680">
      <w:pPr>
        <w:spacing w:line="211" w:lineRule="auto"/>
        <w:jc w:val="both"/>
        <w:rPr>
          <w:rFonts w:cs="Times New Roman"/>
          <w:i/>
          <w:sz w:val="20"/>
          <w:szCs w:val="20"/>
        </w:rPr>
      </w:pPr>
      <w:r w:rsidRPr="008A1FD8">
        <w:rPr>
          <w:rFonts w:cs="Times New Roman"/>
          <w:b/>
          <w:sz w:val="20"/>
          <w:szCs w:val="20"/>
        </w:rPr>
        <w:t>AND</w:t>
      </w:r>
      <w:r w:rsidRPr="008A1FD8">
        <w:rPr>
          <w:rFonts w:cs="Times New Roman"/>
          <w:sz w:val="20"/>
          <w:szCs w:val="20"/>
        </w:rPr>
        <w:t xml:space="preserve"> </w:t>
      </w:r>
      <w:r w:rsidRPr="008A1FD8">
        <w:rPr>
          <w:rFonts w:cs="Times New Roman"/>
          <w:b/>
          <w:bCs/>
          <w:sz w:val="20"/>
          <w:szCs w:val="20"/>
        </w:rPr>
        <w:t xml:space="preserve">UPON APPLICATION </w:t>
      </w:r>
      <w:r w:rsidRPr="008A1FD8">
        <w:rPr>
          <w:rFonts w:cs="Times New Roman"/>
          <w:sz w:val="20"/>
          <w:szCs w:val="20"/>
        </w:rPr>
        <w:t xml:space="preserve">by the Attorney General of Ontario for leave to intervene in the appeal of </w:t>
      </w:r>
      <w:r w:rsidRPr="008A1FD8">
        <w:rPr>
          <w:rFonts w:cs="Times New Roman"/>
          <w:i/>
          <w:sz w:val="20"/>
          <w:szCs w:val="20"/>
        </w:rPr>
        <w:t xml:space="preserve">Her Majesty the Queen v. D.C. </w:t>
      </w:r>
      <w:r w:rsidRPr="008A1FD8">
        <w:rPr>
          <w:rFonts w:cs="Times New Roman"/>
          <w:sz w:val="20"/>
          <w:szCs w:val="20"/>
        </w:rPr>
        <w:t>(34094);</w:t>
      </w:r>
    </w:p>
    <w:p w:rsidR="00206680" w:rsidRPr="008A1FD8" w:rsidRDefault="00206680" w:rsidP="00206680">
      <w:pPr>
        <w:spacing w:line="233" w:lineRule="auto"/>
        <w:jc w:val="both"/>
        <w:rPr>
          <w:rFonts w:cs="Times New Roman"/>
          <w:sz w:val="20"/>
          <w:szCs w:val="20"/>
        </w:rPr>
      </w:pPr>
    </w:p>
    <w:p w:rsidR="00206680" w:rsidRPr="008A1FD8" w:rsidRDefault="00206680" w:rsidP="00206680">
      <w:pPr>
        <w:spacing w:line="233" w:lineRule="auto"/>
        <w:jc w:val="both"/>
        <w:rPr>
          <w:rFonts w:cs="Times New Roman"/>
          <w:bCs/>
          <w:sz w:val="20"/>
          <w:szCs w:val="20"/>
        </w:rPr>
      </w:pPr>
      <w:r w:rsidRPr="008A1FD8">
        <w:rPr>
          <w:rFonts w:cs="Times New Roman"/>
          <w:b/>
          <w:sz w:val="20"/>
          <w:szCs w:val="20"/>
        </w:rPr>
        <w:t>AND</w:t>
      </w:r>
      <w:r w:rsidRPr="008A1FD8">
        <w:rPr>
          <w:rFonts w:cs="Times New Roman"/>
          <w:sz w:val="20"/>
          <w:szCs w:val="20"/>
        </w:rPr>
        <w:t xml:space="preserve"> </w:t>
      </w:r>
      <w:r w:rsidRPr="008A1FD8">
        <w:rPr>
          <w:rFonts w:cs="Times New Roman"/>
          <w:b/>
          <w:bCs/>
          <w:sz w:val="20"/>
          <w:szCs w:val="20"/>
        </w:rPr>
        <w:t xml:space="preserve">UPON APPLICATIONS </w:t>
      </w:r>
      <w:r w:rsidRPr="008A1FD8">
        <w:rPr>
          <w:rFonts w:cs="Times New Roman"/>
          <w:bCs/>
          <w:sz w:val="20"/>
          <w:szCs w:val="20"/>
        </w:rPr>
        <w:t xml:space="preserve">by </w:t>
      </w:r>
      <w:r w:rsidRPr="008A1FD8">
        <w:rPr>
          <w:rFonts w:cs="Times New Roman"/>
          <w:sz w:val="20"/>
          <w:szCs w:val="20"/>
        </w:rPr>
        <w:t xml:space="preserve">the Canadian HIV/AIDS Legal Network, HIV &amp; AIDS Legal Clinic Ontario, Coalition des organismes communautaires québécois de lutte contre le sida, Positive Living Society of British </w:t>
      </w:r>
      <w:r w:rsidRPr="008A1FD8">
        <w:rPr>
          <w:rFonts w:cs="Times New Roman"/>
          <w:sz w:val="20"/>
          <w:szCs w:val="20"/>
        </w:rPr>
        <w:lastRenderedPageBreak/>
        <w:t xml:space="preserve">Columbia, Canadian AIDS Society, Toronto People With AIDS Foundation, Black Coalition for AIDS Prevention and Canadian Aboriginal AIDS Network, the Criminal Lawyers' Association of Ontario and the British Columbia Civil Liberties Association for leave to intervene in the appeals </w:t>
      </w:r>
      <w:r w:rsidRPr="008A1FD8">
        <w:rPr>
          <w:rFonts w:cs="Times New Roman"/>
          <w:i/>
          <w:sz w:val="20"/>
          <w:szCs w:val="20"/>
          <w:lang w:eastAsia="fr-FR"/>
        </w:rPr>
        <w:t>Her Majesty the Queen v. Clato Lual Mabior</w:t>
      </w:r>
      <w:r w:rsidRPr="008A1FD8">
        <w:rPr>
          <w:rFonts w:cs="Times New Roman"/>
          <w:sz w:val="20"/>
          <w:szCs w:val="20"/>
        </w:rPr>
        <w:t xml:space="preserve"> (33976) and </w:t>
      </w:r>
      <w:r w:rsidRPr="008A1FD8">
        <w:rPr>
          <w:rFonts w:cs="Times New Roman"/>
          <w:i/>
          <w:sz w:val="20"/>
          <w:szCs w:val="20"/>
        </w:rPr>
        <w:t>Her Majesty the Queen v. D.C.</w:t>
      </w:r>
      <w:r w:rsidRPr="008A1FD8">
        <w:rPr>
          <w:rFonts w:cs="Times New Roman"/>
          <w:sz w:val="20"/>
          <w:szCs w:val="20"/>
        </w:rPr>
        <w:t>(34094)</w:t>
      </w:r>
    </w:p>
    <w:p w:rsidR="00206680" w:rsidRPr="008A1FD8" w:rsidRDefault="00206680" w:rsidP="00206680">
      <w:pPr>
        <w:spacing w:line="233" w:lineRule="auto"/>
        <w:jc w:val="both"/>
        <w:rPr>
          <w:rFonts w:cs="Times New Roman"/>
          <w:b/>
          <w:bCs/>
          <w:sz w:val="20"/>
          <w:szCs w:val="20"/>
        </w:rPr>
      </w:pPr>
    </w:p>
    <w:p w:rsidR="00206680" w:rsidRPr="008A1FD8" w:rsidRDefault="00206680" w:rsidP="00206680">
      <w:pPr>
        <w:spacing w:line="233" w:lineRule="auto"/>
        <w:jc w:val="both"/>
        <w:rPr>
          <w:rFonts w:cs="Times New Roman"/>
          <w:sz w:val="20"/>
          <w:szCs w:val="20"/>
        </w:rPr>
      </w:pPr>
      <w:r w:rsidRPr="008A1FD8">
        <w:rPr>
          <w:rFonts w:cs="Times New Roman"/>
          <w:b/>
          <w:bCs/>
          <w:sz w:val="20"/>
          <w:szCs w:val="20"/>
        </w:rPr>
        <w:t>AND THE MATERIAL FILED</w:t>
      </w:r>
      <w:r w:rsidRPr="008A1FD8">
        <w:rPr>
          <w:rFonts w:cs="Times New Roman"/>
          <w:sz w:val="20"/>
          <w:szCs w:val="20"/>
        </w:rPr>
        <w:t xml:space="preserve"> having been read;</w:t>
      </w:r>
    </w:p>
    <w:p w:rsidR="00206680" w:rsidRPr="008A1FD8" w:rsidRDefault="00206680" w:rsidP="00206680">
      <w:pPr>
        <w:spacing w:line="233" w:lineRule="auto"/>
        <w:jc w:val="both"/>
        <w:rPr>
          <w:rFonts w:cs="Times New Roman"/>
          <w:sz w:val="20"/>
          <w:szCs w:val="20"/>
        </w:rPr>
      </w:pPr>
    </w:p>
    <w:p w:rsidR="00206680" w:rsidRPr="008A1FD8" w:rsidRDefault="00206680" w:rsidP="00206680">
      <w:pPr>
        <w:spacing w:line="233" w:lineRule="auto"/>
        <w:jc w:val="both"/>
        <w:rPr>
          <w:rFonts w:cs="Times New Roman"/>
          <w:sz w:val="20"/>
          <w:szCs w:val="20"/>
        </w:rPr>
      </w:pPr>
      <w:r w:rsidRPr="008A1FD8">
        <w:rPr>
          <w:rFonts w:cs="Times New Roman"/>
          <w:b/>
          <w:bCs/>
          <w:sz w:val="20"/>
          <w:szCs w:val="20"/>
        </w:rPr>
        <w:t>IT IS HEREBY ORDERED THAT:</w:t>
      </w:r>
    </w:p>
    <w:p w:rsidR="00206680" w:rsidRPr="008A1FD8" w:rsidRDefault="00206680" w:rsidP="00206680">
      <w:pPr>
        <w:spacing w:line="233" w:lineRule="auto"/>
        <w:jc w:val="both"/>
        <w:rPr>
          <w:rFonts w:cs="Times New Roman"/>
          <w:sz w:val="20"/>
          <w:szCs w:val="20"/>
        </w:rPr>
      </w:pPr>
    </w:p>
    <w:p w:rsidR="00206680" w:rsidRPr="008A1FD8" w:rsidRDefault="00206680" w:rsidP="00206680">
      <w:pPr>
        <w:spacing w:line="233" w:lineRule="auto"/>
        <w:jc w:val="both"/>
        <w:rPr>
          <w:rFonts w:cs="Times New Roman"/>
          <w:sz w:val="20"/>
          <w:szCs w:val="20"/>
        </w:rPr>
      </w:pPr>
      <w:r w:rsidRPr="008A1FD8">
        <w:rPr>
          <w:rFonts w:cs="Times New Roman"/>
          <w:sz w:val="20"/>
          <w:szCs w:val="20"/>
        </w:rPr>
        <w:t>The motions for leave to intervene of the Attorney General of Ontario are granted and the said intervener shall be entitled to serve and file a single factum not to exceed 10 pages in length in the appeals.</w:t>
      </w:r>
    </w:p>
    <w:p w:rsidR="00206680" w:rsidRPr="008A1FD8" w:rsidRDefault="00206680" w:rsidP="00206680">
      <w:pPr>
        <w:spacing w:line="233" w:lineRule="auto"/>
        <w:jc w:val="both"/>
        <w:rPr>
          <w:rFonts w:cs="Times New Roman"/>
          <w:sz w:val="20"/>
          <w:szCs w:val="20"/>
        </w:rPr>
      </w:pPr>
    </w:p>
    <w:p w:rsidR="00206680" w:rsidRPr="008A1FD8" w:rsidRDefault="00206680" w:rsidP="00206680">
      <w:pPr>
        <w:spacing w:line="233" w:lineRule="auto"/>
        <w:jc w:val="both"/>
        <w:rPr>
          <w:rFonts w:cs="Times New Roman"/>
          <w:sz w:val="20"/>
          <w:szCs w:val="20"/>
        </w:rPr>
      </w:pPr>
      <w:r w:rsidRPr="008A1FD8">
        <w:rPr>
          <w:rFonts w:cs="Times New Roman"/>
          <w:sz w:val="20"/>
          <w:szCs w:val="20"/>
        </w:rPr>
        <w:t>The motion for leave to intervene of the Canadian HIV/AIDS Legal Network, HIV &amp; AIDS Legal Clinic Ontario, Coalition des organismes communautaires québécois de lutte contre le sida, Positive Living Society of British Columbia, Canadian AIDS Society, Toronto People With AIDS Foundation, Black Coalition for AIDS Prevention and Canadian Aboriginal AIDS Network is granted and the said interveners shall be entitled to serve and file a single factum not to exceed 10 pages in length in the appeals.</w:t>
      </w:r>
    </w:p>
    <w:p w:rsidR="00206680" w:rsidRPr="008A1FD8" w:rsidRDefault="00206680" w:rsidP="00206680">
      <w:pPr>
        <w:spacing w:line="233" w:lineRule="auto"/>
        <w:jc w:val="both"/>
        <w:rPr>
          <w:rFonts w:cs="Times New Roman"/>
          <w:sz w:val="20"/>
          <w:szCs w:val="20"/>
        </w:rPr>
      </w:pPr>
    </w:p>
    <w:p w:rsidR="00206680" w:rsidRPr="008A1FD8" w:rsidRDefault="00206680" w:rsidP="00206680">
      <w:pPr>
        <w:spacing w:line="233" w:lineRule="auto"/>
        <w:jc w:val="both"/>
        <w:rPr>
          <w:rFonts w:cs="Times New Roman"/>
          <w:sz w:val="20"/>
          <w:szCs w:val="20"/>
        </w:rPr>
      </w:pPr>
      <w:r w:rsidRPr="008A1FD8">
        <w:rPr>
          <w:rFonts w:cs="Times New Roman"/>
          <w:sz w:val="20"/>
          <w:szCs w:val="20"/>
        </w:rPr>
        <w:t xml:space="preserve">The motions for leave to intervene of the Criminal Lawyers' Association of Ontario and the British Columbia Civil Liberties Association are granted and the said interveners shall each be entitled to serve and file a single factum not to exceed 10 pages in length in the appeals. </w:t>
      </w:r>
    </w:p>
    <w:p w:rsidR="00206680" w:rsidRPr="008A1FD8" w:rsidRDefault="00206680" w:rsidP="00206680">
      <w:pPr>
        <w:spacing w:line="233" w:lineRule="auto"/>
        <w:jc w:val="both"/>
        <w:rPr>
          <w:rFonts w:cs="Times New Roman"/>
          <w:sz w:val="20"/>
          <w:szCs w:val="20"/>
        </w:rPr>
      </w:pPr>
    </w:p>
    <w:p w:rsidR="00206680" w:rsidRPr="008A1FD8" w:rsidRDefault="00206680" w:rsidP="00206680">
      <w:pPr>
        <w:spacing w:line="233" w:lineRule="auto"/>
        <w:jc w:val="both"/>
        <w:rPr>
          <w:rFonts w:cs="Times New Roman"/>
          <w:sz w:val="20"/>
          <w:szCs w:val="20"/>
        </w:rPr>
      </w:pPr>
      <w:r w:rsidRPr="008A1FD8">
        <w:rPr>
          <w:rFonts w:cs="Times New Roman"/>
          <w:sz w:val="20"/>
          <w:szCs w:val="20"/>
        </w:rPr>
        <w:t>The requests to present oral argument are deferred to a date following receipt and consideration of the written arguments of the parties and the interveners.</w:t>
      </w:r>
    </w:p>
    <w:p w:rsidR="00206680" w:rsidRPr="008A1FD8" w:rsidRDefault="00206680" w:rsidP="00206680">
      <w:pPr>
        <w:spacing w:line="233" w:lineRule="auto"/>
        <w:jc w:val="both"/>
        <w:rPr>
          <w:rFonts w:cs="Times New Roman"/>
          <w:sz w:val="20"/>
          <w:szCs w:val="20"/>
        </w:rPr>
      </w:pPr>
    </w:p>
    <w:p w:rsidR="00206680" w:rsidRPr="008A1FD8" w:rsidRDefault="00206680" w:rsidP="00206680">
      <w:pPr>
        <w:spacing w:line="233" w:lineRule="auto"/>
        <w:jc w:val="both"/>
        <w:rPr>
          <w:rFonts w:cs="Times New Roman"/>
          <w:sz w:val="20"/>
          <w:szCs w:val="20"/>
        </w:rPr>
      </w:pPr>
      <w:r w:rsidRPr="008A1FD8">
        <w:rPr>
          <w:rFonts w:cs="Times New Roman"/>
          <w:sz w:val="20"/>
          <w:szCs w:val="20"/>
        </w:rPr>
        <w:t>The interveners shall not be entitled to raise new issues or to adduce further evidence or otherwise to supplement the record of the parties.</w:t>
      </w:r>
    </w:p>
    <w:p w:rsidR="00206680" w:rsidRPr="008A1FD8" w:rsidRDefault="00206680" w:rsidP="00206680">
      <w:pPr>
        <w:spacing w:line="233" w:lineRule="auto"/>
        <w:jc w:val="both"/>
        <w:rPr>
          <w:rFonts w:cs="Times New Roman"/>
          <w:sz w:val="20"/>
          <w:szCs w:val="20"/>
        </w:rPr>
      </w:pPr>
    </w:p>
    <w:p w:rsidR="00206680" w:rsidRPr="008A1FD8" w:rsidRDefault="00206680" w:rsidP="00206680">
      <w:pPr>
        <w:spacing w:line="233" w:lineRule="auto"/>
        <w:jc w:val="both"/>
        <w:rPr>
          <w:rFonts w:cs="Times New Roman"/>
          <w:sz w:val="20"/>
          <w:szCs w:val="20"/>
        </w:rPr>
      </w:pPr>
      <w:r w:rsidRPr="008A1FD8">
        <w:rPr>
          <w:rFonts w:cs="Times New Roman"/>
          <w:sz w:val="20"/>
          <w:szCs w:val="20"/>
        </w:rPr>
        <w:t>Pursuant to Rule 59(1)(</w:t>
      </w:r>
      <w:r w:rsidRPr="008A1FD8">
        <w:rPr>
          <w:rFonts w:cs="Times New Roman"/>
          <w:i/>
          <w:iCs/>
          <w:sz w:val="20"/>
          <w:szCs w:val="20"/>
        </w:rPr>
        <w:t>a</w:t>
      </w:r>
      <w:r w:rsidRPr="008A1FD8">
        <w:rPr>
          <w:rFonts w:cs="Times New Roman"/>
          <w:sz w:val="20"/>
          <w:szCs w:val="20"/>
        </w:rPr>
        <w:t xml:space="preserve">) of the </w:t>
      </w:r>
      <w:r w:rsidRPr="008A1FD8">
        <w:rPr>
          <w:rFonts w:cs="Times New Roman"/>
          <w:i/>
          <w:iCs/>
          <w:sz w:val="20"/>
          <w:szCs w:val="20"/>
        </w:rPr>
        <w:t>Rules of the Supreme Court of Canada</w:t>
      </w:r>
      <w:r w:rsidRPr="008A1FD8">
        <w:rPr>
          <w:rFonts w:cs="Times New Roman"/>
          <w:sz w:val="20"/>
          <w:szCs w:val="20"/>
        </w:rPr>
        <w:t>, the interveners shall pay to the appellants and respondents any additional disbursements occasioned to the appellants and respondents by their interventions.</w:t>
      </w:r>
    </w:p>
    <w:p w:rsidR="00206680" w:rsidRPr="008A1FD8" w:rsidRDefault="00206680" w:rsidP="00206680">
      <w:pPr>
        <w:spacing w:line="233" w:lineRule="auto"/>
        <w:jc w:val="both"/>
        <w:rPr>
          <w:rFonts w:cs="Times New Roman"/>
          <w:sz w:val="20"/>
          <w:szCs w:val="20"/>
        </w:rPr>
      </w:pPr>
    </w:p>
    <w:p w:rsidR="00206680" w:rsidRPr="008A1FD8" w:rsidRDefault="00206680" w:rsidP="00206680">
      <w:pPr>
        <w:spacing w:line="233" w:lineRule="auto"/>
        <w:jc w:val="both"/>
        <w:rPr>
          <w:rFonts w:cs="Times New Roman"/>
          <w:sz w:val="20"/>
          <w:szCs w:val="20"/>
        </w:rPr>
      </w:pPr>
    </w:p>
    <w:p w:rsidR="00206680" w:rsidRPr="008A1FD8" w:rsidRDefault="00206680" w:rsidP="00206680">
      <w:pPr>
        <w:spacing w:line="233" w:lineRule="auto"/>
        <w:jc w:val="both"/>
        <w:rPr>
          <w:rFonts w:cs="Times New Roman"/>
          <w:sz w:val="20"/>
          <w:szCs w:val="20"/>
        </w:rPr>
      </w:pPr>
    </w:p>
    <w:p w:rsidR="00206680" w:rsidRPr="008A1FD8" w:rsidRDefault="00FD0CB6" w:rsidP="00206680">
      <w:pPr>
        <w:jc w:val="both"/>
        <w:rPr>
          <w:rFonts w:cs="Times New Roman"/>
          <w:sz w:val="20"/>
          <w:szCs w:val="20"/>
          <w:lang w:val="fr-CA"/>
        </w:rPr>
      </w:pPr>
      <w:r w:rsidRPr="008A1FD8">
        <w:rPr>
          <w:rFonts w:cs="Times New Roman"/>
          <w:sz w:val="20"/>
          <w:szCs w:val="20"/>
        </w:rPr>
        <w:fldChar w:fldCharType="begin"/>
      </w:r>
      <w:r w:rsidR="00206680" w:rsidRPr="008A1FD8">
        <w:rPr>
          <w:rFonts w:cs="Times New Roman"/>
          <w:sz w:val="20"/>
          <w:szCs w:val="20"/>
          <w:lang w:val="fr-FR"/>
        </w:rPr>
        <w:instrText xml:space="preserve"> SEQ CHAPTER \h \r 1</w:instrText>
      </w:r>
      <w:r w:rsidRPr="008A1FD8">
        <w:rPr>
          <w:rFonts w:cs="Times New Roman"/>
          <w:sz w:val="20"/>
          <w:szCs w:val="20"/>
        </w:rPr>
        <w:fldChar w:fldCharType="end"/>
      </w:r>
      <w:r w:rsidR="00206680" w:rsidRPr="008A1FD8">
        <w:rPr>
          <w:rFonts w:cs="Times New Roman"/>
          <w:b/>
          <w:bCs/>
          <w:sz w:val="20"/>
          <w:szCs w:val="20"/>
          <w:lang w:val="fr-CA"/>
        </w:rPr>
        <w:t>À LA SUITE DE LA DEMANDE</w:t>
      </w:r>
      <w:r w:rsidR="00206680" w:rsidRPr="008A1FD8">
        <w:rPr>
          <w:rFonts w:cs="Times New Roman"/>
          <w:sz w:val="20"/>
          <w:szCs w:val="20"/>
          <w:lang w:val="fr-CA"/>
        </w:rPr>
        <w:t xml:space="preserve"> présentée par le Procureur général de l’Ontario en vue d'intervenir dans l'appel</w:t>
      </w:r>
      <w:r w:rsidR="00206680" w:rsidRPr="008A1FD8">
        <w:rPr>
          <w:rFonts w:cs="Times New Roman"/>
          <w:i/>
          <w:iCs/>
          <w:sz w:val="20"/>
          <w:szCs w:val="20"/>
          <w:lang w:val="fr-CA"/>
        </w:rPr>
        <w:t xml:space="preserve"> Sa Majesté la Reine c. Clato Lual Mabior </w:t>
      </w:r>
      <w:r w:rsidR="00206680" w:rsidRPr="008A1FD8">
        <w:rPr>
          <w:rFonts w:cs="Times New Roman"/>
          <w:iCs/>
          <w:sz w:val="20"/>
          <w:szCs w:val="20"/>
          <w:lang w:val="fr-CA"/>
        </w:rPr>
        <w:t>(33976</w:t>
      </w:r>
      <w:r w:rsidR="00206680" w:rsidRPr="008A1FD8">
        <w:rPr>
          <w:rFonts w:cs="Times New Roman"/>
          <w:sz w:val="20"/>
          <w:szCs w:val="20"/>
          <w:lang w:val="fr-CA"/>
        </w:rPr>
        <w:t>);</w:t>
      </w:r>
    </w:p>
    <w:p w:rsidR="00206680" w:rsidRPr="008A1FD8" w:rsidRDefault="00206680" w:rsidP="00206680">
      <w:pPr>
        <w:rPr>
          <w:rFonts w:cs="Times New Roman"/>
          <w:sz w:val="20"/>
          <w:szCs w:val="20"/>
          <w:lang w:val="fr-CA"/>
        </w:rPr>
      </w:pPr>
    </w:p>
    <w:p w:rsidR="00206680" w:rsidRPr="008A1FD8" w:rsidRDefault="00206680" w:rsidP="00206680">
      <w:pPr>
        <w:jc w:val="both"/>
        <w:rPr>
          <w:rFonts w:cs="Times New Roman"/>
          <w:sz w:val="20"/>
          <w:szCs w:val="20"/>
          <w:lang w:val="fr-CA"/>
        </w:rPr>
      </w:pPr>
      <w:r w:rsidRPr="008A1FD8">
        <w:rPr>
          <w:rFonts w:cs="Times New Roman"/>
          <w:b/>
          <w:bCs/>
          <w:sz w:val="20"/>
          <w:szCs w:val="20"/>
          <w:lang w:val="fr-CA"/>
        </w:rPr>
        <w:t>ET À LA SUITE DE LA DEMANDE</w:t>
      </w:r>
      <w:r w:rsidRPr="008A1FD8">
        <w:rPr>
          <w:rFonts w:cs="Times New Roman"/>
          <w:sz w:val="20"/>
          <w:szCs w:val="20"/>
          <w:lang w:val="fr-CA"/>
        </w:rPr>
        <w:t xml:space="preserve"> présentée par le Procureur général de l’Ontario en vue d'intervenir dans l'appel</w:t>
      </w:r>
      <w:r w:rsidRPr="008A1FD8">
        <w:rPr>
          <w:rFonts w:cs="Times New Roman"/>
          <w:i/>
          <w:iCs/>
          <w:sz w:val="20"/>
          <w:szCs w:val="20"/>
          <w:lang w:val="fr-CA"/>
        </w:rPr>
        <w:t xml:space="preserve"> Sa Majesté la Reine c.</w:t>
      </w:r>
      <w:r w:rsidRPr="008A1FD8">
        <w:rPr>
          <w:rFonts w:cs="Times New Roman"/>
          <w:sz w:val="20"/>
          <w:szCs w:val="20"/>
          <w:lang w:val="fr-CA"/>
        </w:rPr>
        <w:t xml:space="preserve"> </w:t>
      </w:r>
      <w:r w:rsidRPr="008A1FD8">
        <w:rPr>
          <w:rFonts w:cs="Times New Roman"/>
          <w:i/>
          <w:iCs/>
          <w:sz w:val="20"/>
          <w:szCs w:val="20"/>
          <w:lang w:val="fr-CA"/>
        </w:rPr>
        <w:t>D.C.</w:t>
      </w:r>
      <w:r w:rsidRPr="008A1FD8">
        <w:rPr>
          <w:rFonts w:cs="Times New Roman"/>
          <w:sz w:val="20"/>
          <w:szCs w:val="20"/>
          <w:lang w:val="fr-CA"/>
        </w:rPr>
        <w:t>(34094);</w:t>
      </w:r>
    </w:p>
    <w:p w:rsidR="00206680" w:rsidRPr="008A1FD8" w:rsidRDefault="00206680" w:rsidP="00206680">
      <w:pPr>
        <w:rPr>
          <w:rFonts w:cs="Times New Roman"/>
          <w:sz w:val="20"/>
          <w:szCs w:val="20"/>
          <w:lang w:val="fr-CA"/>
        </w:rPr>
      </w:pPr>
    </w:p>
    <w:p w:rsidR="00206680" w:rsidRPr="008A1FD8" w:rsidRDefault="00206680" w:rsidP="00206680">
      <w:pPr>
        <w:jc w:val="both"/>
        <w:rPr>
          <w:rFonts w:cs="Times New Roman"/>
          <w:sz w:val="20"/>
          <w:szCs w:val="20"/>
          <w:lang w:val="fr-CA"/>
        </w:rPr>
      </w:pPr>
      <w:r w:rsidRPr="008A1FD8">
        <w:rPr>
          <w:rFonts w:cs="Times New Roman"/>
          <w:b/>
          <w:bCs/>
          <w:sz w:val="20"/>
          <w:szCs w:val="20"/>
          <w:lang w:val="fr-CA"/>
        </w:rPr>
        <w:t>ET À LA SUITE DES DEMANDE</w:t>
      </w:r>
      <w:r w:rsidRPr="008A1FD8">
        <w:rPr>
          <w:rFonts w:cs="Times New Roman"/>
          <w:b/>
          <w:sz w:val="20"/>
          <w:szCs w:val="20"/>
          <w:lang w:val="fr-CA"/>
        </w:rPr>
        <w:t>S</w:t>
      </w:r>
      <w:r w:rsidRPr="008A1FD8">
        <w:rPr>
          <w:rFonts w:cs="Times New Roman"/>
          <w:sz w:val="20"/>
          <w:szCs w:val="20"/>
          <w:lang w:val="fr-CA"/>
        </w:rPr>
        <w:t xml:space="preserve"> présentées par le </w:t>
      </w:r>
      <w:r w:rsidRPr="008A1FD8">
        <w:rPr>
          <w:rFonts w:cs="Times New Roman"/>
          <w:bCs/>
          <w:sz w:val="20"/>
          <w:szCs w:val="20"/>
          <w:lang w:val="fr-FR"/>
        </w:rPr>
        <w:t>Réseau juridique canadien VIH/sida</w:t>
      </w:r>
      <w:r w:rsidRPr="008A1FD8">
        <w:rPr>
          <w:rFonts w:cs="Times New Roman"/>
          <w:sz w:val="20"/>
          <w:szCs w:val="20"/>
          <w:lang w:val="fr-CA"/>
        </w:rPr>
        <w:t xml:space="preserve">, HIV &amp; AIDS Legal Clinic Ontario, Coalition des organismes communautaires québécois de lutte contre le sida, Positive Living Society of British Columbia, Société canadienne du sida, Toronto People With AIDS Foundation, Black Coalition for AIDS Prevention et Canadian Aboriginal AIDS Network, la </w:t>
      </w:r>
      <w:r w:rsidRPr="008A1FD8">
        <w:rPr>
          <w:rFonts w:cs="Times New Roman"/>
          <w:sz w:val="20"/>
          <w:szCs w:val="20"/>
          <w:lang w:val="fr-FR"/>
        </w:rPr>
        <w:t>Criminal Lawyers' Association of Ontario et la British Columbia Civil Liberties Association</w:t>
      </w:r>
      <w:r w:rsidRPr="008A1FD8">
        <w:rPr>
          <w:rFonts w:cs="Times New Roman"/>
          <w:sz w:val="20"/>
          <w:szCs w:val="20"/>
          <w:lang w:val="fr-CA"/>
        </w:rPr>
        <w:t xml:space="preserve"> en vue d'intervenir dans les appels </w:t>
      </w:r>
      <w:r w:rsidRPr="008A1FD8">
        <w:rPr>
          <w:rFonts w:cs="Times New Roman"/>
          <w:i/>
          <w:iCs/>
          <w:sz w:val="20"/>
          <w:szCs w:val="20"/>
          <w:lang w:val="fr-CA"/>
        </w:rPr>
        <w:t xml:space="preserve">Sa Majesté la Reine c. Clato Lual Mabior </w:t>
      </w:r>
      <w:r w:rsidRPr="008A1FD8">
        <w:rPr>
          <w:rFonts w:cs="Times New Roman"/>
          <w:iCs/>
          <w:sz w:val="20"/>
          <w:szCs w:val="20"/>
          <w:lang w:val="fr-CA"/>
        </w:rPr>
        <w:t>(33976</w:t>
      </w:r>
      <w:r w:rsidRPr="008A1FD8">
        <w:rPr>
          <w:rFonts w:cs="Times New Roman"/>
          <w:sz w:val="20"/>
          <w:szCs w:val="20"/>
          <w:lang w:val="fr-CA"/>
        </w:rPr>
        <w:t xml:space="preserve">) et </w:t>
      </w:r>
      <w:r w:rsidRPr="008A1FD8">
        <w:rPr>
          <w:rFonts w:cs="Times New Roman"/>
          <w:i/>
          <w:iCs/>
          <w:sz w:val="20"/>
          <w:szCs w:val="20"/>
          <w:lang w:val="fr-CA"/>
        </w:rPr>
        <w:t>Sa Majesté la Reine c.</w:t>
      </w:r>
      <w:r w:rsidRPr="008A1FD8">
        <w:rPr>
          <w:rFonts w:cs="Times New Roman"/>
          <w:sz w:val="20"/>
          <w:szCs w:val="20"/>
          <w:lang w:val="fr-CA"/>
        </w:rPr>
        <w:t xml:space="preserve"> </w:t>
      </w:r>
      <w:r w:rsidRPr="008A1FD8">
        <w:rPr>
          <w:rFonts w:cs="Times New Roman"/>
          <w:i/>
          <w:iCs/>
          <w:sz w:val="20"/>
          <w:szCs w:val="20"/>
          <w:lang w:val="fr-CA"/>
        </w:rPr>
        <w:t>D.C.</w:t>
      </w:r>
      <w:r w:rsidRPr="008A1FD8">
        <w:rPr>
          <w:rFonts w:cs="Times New Roman"/>
          <w:sz w:val="20"/>
          <w:szCs w:val="20"/>
          <w:lang w:val="fr-CA"/>
        </w:rPr>
        <w:t>(34094);</w:t>
      </w:r>
    </w:p>
    <w:p w:rsidR="00206680" w:rsidRPr="008A1FD8" w:rsidRDefault="00206680" w:rsidP="00206680">
      <w:pPr>
        <w:rPr>
          <w:rFonts w:cs="Times New Roman"/>
          <w:sz w:val="20"/>
          <w:szCs w:val="20"/>
          <w:lang w:val="fr-CA"/>
        </w:rPr>
      </w:pPr>
    </w:p>
    <w:p w:rsidR="00206680" w:rsidRPr="008A1FD8" w:rsidRDefault="00206680" w:rsidP="00206680">
      <w:pPr>
        <w:rPr>
          <w:rFonts w:cs="Times New Roman"/>
          <w:sz w:val="20"/>
          <w:szCs w:val="20"/>
          <w:lang w:val="fr-CA"/>
        </w:rPr>
      </w:pPr>
      <w:r w:rsidRPr="008A1FD8">
        <w:rPr>
          <w:rFonts w:cs="Times New Roman"/>
          <w:b/>
          <w:bCs/>
          <w:sz w:val="20"/>
          <w:szCs w:val="20"/>
          <w:lang w:val="fr-CA"/>
        </w:rPr>
        <w:t>ET APRÈS EXAMEN</w:t>
      </w:r>
      <w:r w:rsidRPr="008A1FD8">
        <w:rPr>
          <w:rFonts w:cs="Times New Roman"/>
          <w:sz w:val="20"/>
          <w:szCs w:val="20"/>
          <w:lang w:val="fr-CA"/>
        </w:rPr>
        <w:t xml:space="preserve"> des documents déposés;</w:t>
      </w:r>
    </w:p>
    <w:p w:rsidR="00206680" w:rsidRPr="008A1FD8" w:rsidRDefault="00206680" w:rsidP="00206680">
      <w:pPr>
        <w:rPr>
          <w:rFonts w:cs="Times New Roman"/>
          <w:sz w:val="20"/>
          <w:szCs w:val="20"/>
          <w:lang w:val="fr-CA"/>
        </w:rPr>
      </w:pPr>
    </w:p>
    <w:p w:rsidR="00206680" w:rsidRPr="008A1FD8" w:rsidRDefault="00206680" w:rsidP="00206680">
      <w:pPr>
        <w:rPr>
          <w:rFonts w:cs="Times New Roman"/>
          <w:sz w:val="20"/>
          <w:szCs w:val="20"/>
          <w:lang w:val="fr-CA"/>
        </w:rPr>
      </w:pPr>
      <w:r w:rsidRPr="008A1FD8">
        <w:rPr>
          <w:rFonts w:cs="Times New Roman"/>
          <w:b/>
          <w:bCs/>
          <w:sz w:val="20"/>
          <w:szCs w:val="20"/>
          <w:lang w:val="fr-CA"/>
        </w:rPr>
        <w:t xml:space="preserve">IL EST ORDONNÉ CE QUI SUIT : </w:t>
      </w:r>
    </w:p>
    <w:p w:rsidR="00206680" w:rsidRPr="008A1FD8" w:rsidRDefault="00206680" w:rsidP="00206680">
      <w:pPr>
        <w:rPr>
          <w:rFonts w:cs="Times New Roman"/>
          <w:sz w:val="20"/>
          <w:szCs w:val="20"/>
          <w:lang w:val="fr-CA"/>
        </w:rPr>
      </w:pPr>
    </w:p>
    <w:p w:rsidR="00206680" w:rsidRPr="008A1FD8" w:rsidRDefault="00206680" w:rsidP="00206680">
      <w:pPr>
        <w:jc w:val="both"/>
        <w:rPr>
          <w:rFonts w:cs="Times New Roman"/>
          <w:sz w:val="20"/>
          <w:szCs w:val="20"/>
          <w:lang w:val="fr-CA"/>
        </w:rPr>
      </w:pPr>
      <w:r w:rsidRPr="008A1FD8">
        <w:rPr>
          <w:rFonts w:cs="Times New Roman"/>
          <w:sz w:val="20"/>
          <w:szCs w:val="20"/>
          <w:lang w:val="fr-CA"/>
        </w:rPr>
        <w:t xml:space="preserve">Les requêtes en autorisation d’intervenir présentées par le Procureur général de l’Ontario sont accueillies. L’intervenant aura le droit de signifier et déposer un seul mémoire d'au plus 10 pages dans les appels. </w:t>
      </w:r>
    </w:p>
    <w:p w:rsidR="00206680" w:rsidRPr="008A1FD8" w:rsidRDefault="00206680" w:rsidP="00206680">
      <w:pPr>
        <w:rPr>
          <w:rFonts w:cs="Times New Roman"/>
          <w:i/>
          <w:iCs/>
          <w:sz w:val="20"/>
          <w:szCs w:val="20"/>
          <w:lang w:val="fr-CA"/>
        </w:rPr>
      </w:pPr>
    </w:p>
    <w:p w:rsidR="00206680" w:rsidRPr="008A1FD8" w:rsidRDefault="00206680" w:rsidP="00206680">
      <w:pPr>
        <w:jc w:val="both"/>
        <w:rPr>
          <w:rFonts w:cs="Times New Roman"/>
          <w:i/>
          <w:iCs/>
          <w:sz w:val="20"/>
          <w:szCs w:val="20"/>
          <w:lang w:val="fr-CA"/>
        </w:rPr>
      </w:pPr>
      <w:r w:rsidRPr="008A1FD8">
        <w:rPr>
          <w:rFonts w:cs="Times New Roman"/>
          <w:sz w:val="20"/>
          <w:szCs w:val="20"/>
          <w:lang w:val="fr-CA"/>
        </w:rPr>
        <w:t xml:space="preserve">La requête en autorisation d'intervenir présentée par le </w:t>
      </w:r>
      <w:r w:rsidRPr="008A1FD8">
        <w:rPr>
          <w:rFonts w:cs="Times New Roman"/>
          <w:bCs/>
          <w:sz w:val="20"/>
          <w:szCs w:val="20"/>
          <w:lang w:val="fr-FR"/>
        </w:rPr>
        <w:t>Réseau juridique canadien VIH/sida</w:t>
      </w:r>
      <w:r w:rsidRPr="008A1FD8">
        <w:rPr>
          <w:rFonts w:cs="Times New Roman"/>
          <w:sz w:val="20"/>
          <w:szCs w:val="20"/>
          <w:lang w:val="fr-CA"/>
        </w:rPr>
        <w:t xml:space="preserve">, HIV &amp; AIDS Legal Clinic Ontario, Coalition des organismes communautaires québécois de lutte contre le sida, Positive Living Society of British Columbia, Société canadienne du sida, Toronto People With AIDS Foundation, Black Coalition for AIDS Prevention, </w:t>
      </w:r>
      <w:r w:rsidRPr="008A1FD8">
        <w:rPr>
          <w:rFonts w:cs="Times New Roman"/>
          <w:sz w:val="20"/>
          <w:szCs w:val="20"/>
          <w:lang w:val="fr-CA"/>
        </w:rPr>
        <w:lastRenderedPageBreak/>
        <w:t>et Canadian Aboriginal AIDS Network est accueillie. Ces intervenants auront le droit de signifier et déposer un seul mémoire d'au plus 10 pages dans les appels.</w:t>
      </w:r>
    </w:p>
    <w:p w:rsidR="00206680" w:rsidRPr="008A1FD8" w:rsidRDefault="00206680" w:rsidP="00206680">
      <w:pPr>
        <w:rPr>
          <w:rFonts w:cs="Times New Roman"/>
          <w:i/>
          <w:iCs/>
          <w:sz w:val="20"/>
          <w:szCs w:val="20"/>
          <w:lang w:val="fr-CA"/>
        </w:rPr>
      </w:pPr>
    </w:p>
    <w:p w:rsidR="00206680" w:rsidRPr="008A1FD8" w:rsidRDefault="00206680" w:rsidP="00206680">
      <w:pPr>
        <w:jc w:val="both"/>
        <w:rPr>
          <w:rFonts w:cs="Times New Roman"/>
          <w:sz w:val="20"/>
          <w:szCs w:val="20"/>
          <w:lang w:val="fr-CA"/>
        </w:rPr>
      </w:pPr>
      <w:r w:rsidRPr="008A1FD8">
        <w:rPr>
          <w:rFonts w:cs="Times New Roman"/>
          <w:sz w:val="20"/>
          <w:szCs w:val="20"/>
          <w:lang w:val="fr-CA"/>
        </w:rPr>
        <w:t xml:space="preserve">Les requêtes en autorisation d'intervenir présentées par la </w:t>
      </w:r>
      <w:r w:rsidRPr="008A1FD8">
        <w:rPr>
          <w:rFonts w:cs="Times New Roman"/>
          <w:sz w:val="20"/>
          <w:szCs w:val="20"/>
          <w:lang w:val="fr-FR"/>
        </w:rPr>
        <w:t>Criminal Lawyers' Association of Ontario et la British Columbia Civil Liberties Association</w:t>
      </w:r>
      <w:r w:rsidRPr="008A1FD8">
        <w:rPr>
          <w:rFonts w:cs="Times New Roman"/>
          <w:sz w:val="20"/>
          <w:szCs w:val="20"/>
          <w:lang w:val="fr-CA"/>
        </w:rPr>
        <w:t xml:space="preserve"> sont accueillies. Ces intervenantes auront le droit de signifier et déposer chacune un seul mémoire d'au plus 10 pages dans les appels.</w:t>
      </w:r>
    </w:p>
    <w:p w:rsidR="00206680" w:rsidRPr="008A1FD8" w:rsidRDefault="00206680" w:rsidP="00206680">
      <w:pPr>
        <w:rPr>
          <w:rFonts w:cs="Times New Roman"/>
          <w:sz w:val="20"/>
          <w:szCs w:val="20"/>
          <w:lang w:val="fr-CA"/>
        </w:rPr>
      </w:pPr>
    </w:p>
    <w:p w:rsidR="00206680" w:rsidRPr="008A1FD8" w:rsidRDefault="00206680" w:rsidP="00206680">
      <w:pPr>
        <w:jc w:val="both"/>
        <w:rPr>
          <w:rFonts w:cs="Times New Roman"/>
          <w:sz w:val="20"/>
          <w:szCs w:val="20"/>
          <w:lang w:val="fr-CA"/>
        </w:rPr>
      </w:pPr>
      <w:r w:rsidRPr="008A1FD8">
        <w:rPr>
          <w:rFonts w:cs="Times New Roman"/>
          <w:sz w:val="20"/>
          <w:szCs w:val="20"/>
          <w:lang w:val="fr-CA"/>
        </w:rPr>
        <w:t>La décision sur les demandes en vue de présenter une plaidoirie orale sera rendue après réception et examen des arguments écrits des parties et des intervenants.</w:t>
      </w:r>
    </w:p>
    <w:p w:rsidR="00206680" w:rsidRPr="008A1FD8" w:rsidRDefault="00206680" w:rsidP="00206680">
      <w:pPr>
        <w:rPr>
          <w:rFonts w:cs="Times New Roman"/>
          <w:sz w:val="20"/>
          <w:szCs w:val="20"/>
          <w:lang w:val="fr-CA"/>
        </w:rPr>
      </w:pPr>
    </w:p>
    <w:p w:rsidR="00206680" w:rsidRPr="008A1FD8" w:rsidRDefault="00206680" w:rsidP="00206680">
      <w:pPr>
        <w:jc w:val="both"/>
        <w:rPr>
          <w:rFonts w:cs="Times New Roman"/>
          <w:sz w:val="20"/>
          <w:szCs w:val="20"/>
          <w:lang w:val="fr-CA"/>
        </w:rPr>
      </w:pPr>
      <w:r w:rsidRPr="008A1FD8">
        <w:rPr>
          <w:rFonts w:cs="Times New Roman"/>
          <w:sz w:val="20"/>
          <w:szCs w:val="20"/>
          <w:lang w:val="fr-CA"/>
        </w:rPr>
        <w:t>Les intervenants n'ont pas le droit de soulever de nouvelles questions, de produire d'autres éléments de preuve ni de compléter de quelque autre façon le dossier des parties.</w:t>
      </w:r>
    </w:p>
    <w:p w:rsidR="00206680" w:rsidRPr="008A1FD8" w:rsidRDefault="00206680" w:rsidP="00206680">
      <w:pPr>
        <w:rPr>
          <w:rFonts w:cs="Times New Roman"/>
          <w:sz w:val="20"/>
          <w:szCs w:val="20"/>
          <w:lang w:val="fr-CA"/>
        </w:rPr>
      </w:pPr>
    </w:p>
    <w:p w:rsidR="00206680" w:rsidRPr="008A1FD8" w:rsidRDefault="00206680" w:rsidP="00206680">
      <w:pPr>
        <w:jc w:val="both"/>
        <w:rPr>
          <w:rFonts w:cs="Times New Roman"/>
          <w:sz w:val="20"/>
          <w:szCs w:val="20"/>
          <w:lang w:val="fr-CA"/>
        </w:rPr>
      </w:pPr>
      <w:r w:rsidRPr="008A1FD8">
        <w:rPr>
          <w:rFonts w:cs="Times New Roman"/>
          <w:sz w:val="20"/>
          <w:szCs w:val="20"/>
          <w:lang w:val="fr-CA"/>
        </w:rPr>
        <w:t>Conformément à l'alinéa 59(1)</w:t>
      </w:r>
      <w:r w:rsidRPr="008A1FD8">
        <w:rPr>
          <w:rFonts w:cs="Times New Roman"/>
          <w:i/>
          <w:iCs/>
          <w:sz w:val="20"/>
          <w:szCs w:val="20"/>
          <w:lang w:val="fr-CA"/>
        </w:rPr>
        <w:t>a</w:t>
      </w:r>
      <w:r w:rsidRPr="008A1FD8">
        <w:rPr>
          <w:rFonts w:cs="Times New Roman"/>
          <w:sz w:val="20"/>
          <w:szCs w:val="20"/>
          <w:lang w:val="fr-CA"/>
        </w:rPr>
        <w:t xml:space="preserve">) des </w:t>
      </w:r>
      <w:r w:rsidRPr="008A1FD8">
        <w:rPr>
          <w:rFonts w:cs="Times New Roman"/>
          <w:i/>
          <w:iCs/>
          <w:sz w:val="20"/>
          <w:szCs w:val="20"/>
          <w:lang w:val="fr-CA"/>
        </w:rPr>
        <w:t>Règles de la Cour suprême du Canada</w:t>
      </w:r>
      <w:r w:rsidRPr="008A1FD8">
        <w:rPr>
          <w:rFonts w:cs="Times New Roman"/>
          <w:sz w:val="20"/>
          <w:szCs w:val="20"/>
          <w:lang w:val="fr-CA"/>
        </w:rPr>
        <w:t>, les intervenants paieront aux appelantes et aux intimés tous débours supplémentaires résultant de leur intervention.</w:t>
      </w:r>
    </w:p>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206680" w:rsidP="00206680">
      <w:pPr>
        <w:tabs>
          <w:tab w:val="left" w:pos="-1440"/>
          <w:tab w:val="left" w:pos="-720"/>
        </w:tabs>
        <w:spacing w:line="-19" w:lineRule="auto"/>
        <w:jc w:val="both"/>
        <w:rPr>
          <w:rFonts w:cs="Times New Roman"/>
          <w:sz w:val="20"/>
          <w:szCs w:val="20"/>
          <w:lang w:val="fr-CA"/>
        </w:rPr>
      </w:pPr>
    </w:p>
    <w:p w:rsidR="00206680" w:rsidRPr="008A1FD8" w:rsidRDefault="00FD0CB6" w:rsidP="00206680">
      <w:pPr>
        <w:tabs>
          <w:tab w:val="left" w:pos="-1440"/>
          <w:tab w:val="left" w:pos="-720"/>
        </w:tabs>
        <w:jc w:val="both"/>
        <w:rPr>
          <w:rFonts w:cs="Times New Roman"/>
          <w:sz w:val="20"/>
          <w:szCs w:val="20"/>
        </w:rPr>
      </w:pPr>
      <w:r w:rsidRPr="00FD0CB6">
        <w:rPr>
          <w:rFonts w:cs="Times New Roman"/>
          <w:sz w:val="20"/>
          <w:szCs w:val="20"/>
          <w:lang w:val="fr-CA"/>
        </w:rPr>
        <w:pict>
          <v:rect id="_x0000_i1059" style="width:2in;height:1pt" o:hrpct="0" o:hralign="center" o:hrstd="t" o:hrnoshade="t" o:hr="t" fillcolor="black [3213]" stroked="f"/>
        </w:pict>
      </w:r>
    </w:p>
    <w:p w:rsidR="00206680" w:rsidRPr="008A1FD8" w:rsidRDefault="00206680" w:rsidP="00206680">
      <w:pPr>
        <w:rPr>
          <w:rFonts w:cs="Times New Roman"/>
          <w:sz w:val="20"/>
          <w:szCs w:val="20"/>
        </w:rPr>
      </w:pPr>
    </w:p>
    <w:p w:rsidR="00206680" w:rsidRPr="008A1FD8" w:rsidRDefault="00206680" w:rsidP="00206680">
      <w:pPr>
        <w:tabs>
          <w:tab w:val="left" w:pos="-1440"/>
          <w:tab w:val="left" w:pos="-720"/>
        </w:tabs>
        <w:jc w:val="both"/>
        <w:rPr>
          <w:rFonts w:cs="Times New Roman"/>
          <w:sz w:val="20"/>
          <w:szCs w:val="20"/>
        </w:rPr>
      </w:pPr>
      <w:r w:rsidRPr="008A1FD8">
        <w:rPr>
          <w:rFonts w:cs="Times New Roman"/>
          <w:sz w:val="20"/>
          <w:szCs w:val="20"/>
        </w:rPr>
        <w:t>25.10.2011</w:t>
      </w: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tabs>
          <w:tab w:val="left" w:pos="-1440"/>
          <w:tab w:val="left" w:pos="-720"/>
        </w:tabs>
        <w:jc w:val="both"/>
        <w:rPr>
          <w:rFonts w:cs="Times New Roman"/>
          <w:sz w:val="20"/>
          <w:szCs w:val="20"/>
        </w:rPr>
      </w:pPr>
      <w:r w:rsidRPr="008A1FD8">
        <w:rPr>
          <w:rFonts w:cs="Times New Roman"/>
          <w:sz w:val="20"/>
          <w:szCs w:val="20"/>
        </w:rPr>
        <w:t xml:space="preserve">Before / Devant :   </w:t>
      </w:r>
      <w:r w:rsidRPr="008A1FD8">
        <w:rPr>
          <w:rFonts w:cs="Times New Roman"/>
          <w:sz w:val="20"/>
          <w:szCs w:val="20"/>
          <w:lang w:val="fr-CA"/>
        </w:rPr>
        <w:t>THE REGISTRAR / LE REGISTRAIRE</w:t>
      </w:r>
    </w:p>
    <w:p w:rsidR="00206680" w:rsidRPr="008A1FD8" w:rsidRDefault="00206680" w:rsidP="00206680">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06680" w:rsidRPr="004163EF" w:rsidTr="004163EF">
        <w:tc>
          <w:tcPr>
            <w:tcW w:w="4338" w:type="dxa"/>
          </w:tcPr>
          <w:p w:rsidR="00206680" w:rsidRPr="008A1FD8" w:rsidRDefault="00FD0CB6" w:rsidP="004163EF">
            <w:pPr>
              <w:tabs>
                <w:tab w:val="left" w:pos="-1440"/>
                <w:tab w:val="left" w:pos="-720"/>
              </w:tabs>
              <w:jc w:val="both"/>
              <w:rPr>
                <w:rFonts w:cs="Times New Roman"/>
                <w:sz w:val="20"/>
                <w:szCs w:val="20"/>
              </w:rPr>
            </w:pPr>
            <w:r w:rsidRPr="008A1FD8">
              <w:rPr>
                <w:rFonts w:cs="Times New Roman"/>
                <w:sz w:val="20"/>
                <w:szCs w:val="20"/>
              </w:rPr>
              <w:fldChar w:fldCharType="begin"/>
            </w:r>
            <w:r w:rsidR="00206680" w:rsidRPr="008A1FD8">
              <w:rPr>
                <w:rFonts w:cs="Times New Roman"/>
                <w:sz w:val="20"/>
                <w:szCs w:val="20"/>
              </w:rPr>
              <w:instrText xml:space="preserve"> SEQ CHAPTER \h \r 1</w:instrText>
            </w:r>
            <w:r w:rsidRPr="008A1FD8">
              <w:rPr>
                <w:rFonts w:cs="Times New Roman"/>
                <w:sz w:val="20"/>
                <w:szCs w:val="20"/>
              </w:rPr>
              <w:fldChar w:fldCharType="end"/>
            </w:r>
            <w:r w:rsidR="00206680" w:rsidRPr="008A1FD8">
              <w:rPr>
                <w:rFonts w:cs="Times New Roman"/>
                <w:b/>
                <w:bCs/>
                <w:sz w:val="20"/>
                <w:szCs w:val="20"/>
              </w:rPr>
              <w:t>Motion to seal</w:t>
            </w:r>
          </w:p>
        </w:tc>
        <w:tc>
          <w:tcPr>
            <w:tcW w:w="1170" w:type="dxa"/>
          </w:tcPr>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tc>
        <w:tc>
          <w:tcPr>
            <w:tcW w:w="4327" w:type="dxa"/>
          </w:tcPr>
          <w:p w:rsidR="00206680" w:rsidRPr="008A1FD8" w:rsidRDefault="00FD0CB6" w:rsidP="004163EF">
            <w:pPr>
              <w:tabs>
                <w:tab w:val="left" w:pos="-1440"/>
                <w:tab w:val="left" w:pos="-720"/>
              </w:tabs>
              <w:jc w:val="both"/>
              <w:rPr>
                <w:rFonts w:cs="Times New Roman"/>
                <w:sz w:val="20"/>
                <w:szCs w:val="20"/>
                <w:lang w:val="fr-CA"/>
              </w:rPr>
            </w:pPr>
            <w:r w:rsidRPr="008A1FD8">
              <w:rPr>
                <w:rFonts w:cs="Times New Roman"/>
                <w:sz w:val="20"/>
                <w:szCs w:val="20"/>
              </w:rPr>
              <w:fldChar w:fldCharType="begin"/>
            </w:r>
            <w:r w:rsidR="00206680" w:rsidRPr="008A1FD8">
              <w:rPr>
                <w:rFonts w:cs="Times New Roman"/>
                <w:sz w:val="20"/>
                <w:szCs w:val="20"/>
                <w:lang w:val="fr-CA"/>
              </w:rPr>
              <w:instrText xml:space="preserve"> SEQ CHAPTER \h \r 1</w:instrText>
            </w:r>
            <w:r w:rsidRPr="008A1FD8">
              <w:rPr>
                <w:rFonts w:cs="Times New Roman"/>
                <w:sz w:val="20"/>
                <w:szCs w:val="20"/>
              </w:rPr>
              <w:fldChar w:fldCharType="end"/>
            </w:r>
            <w:r w:rsidR="00206680" w:rsidRPr="008A1FD8">
              <w:rPr>
                <w:rFonts w:cs="Times New Roman"/>
                <w:b/>
                <w:bCs/>
                <w:sz w:val="20"/>
                <w:szCs w:val="20"/>
                <w:lang w:val="fr-CA"/>
              </w:rPr>
              <w:t>Requête visant la mise sous scellés d'un document</w:t>
            </w:r>
            <w:r w:rsidRPr="008A1FD8">
              <w:rPr>
                <w:rFonts w:cs="Times New Roman"/>
                <w:sz w:val="20"/>
                <w:szCs w:val="20"/>
              </w:rPr>
              <w:fldChar w:fldCharType="begin"/>
            </w:r>
            <w:r w:rsidR="00206680" w:rsidRPr="008A1FD8">
              <w:rPr>
                <w:rFonts w:cs="Times New Roman"/>
                <w:sz w:val="20"/>
                <w:szCs w:val="20"/>
                <w:lang w:val="fr-CA"/>
              </w:rPr>
              <w:instrText xml:space="preserve"> SEQ CHAPTER \h \r 1</w:instrText>
            </w:r>
            <w:r w:rsidRPr="008A1FD8">
              <w:rPr>
                <w:rFonts w:cs="Times New Roman"/>
                <w:sz w:val="20"/>
                <w:szCs w:val="20"/>
              </w:rPr>
              <w:fldChar w:fldCharType="end"/>
            </w:r>
          </w:p>
        </w:tc>
      </w:tr>
      <w:tr w:rsidR="00206680" w:rsidRPr="008A1FD8" w:rsidTr="004163EF">
        <w:tc>
          <w:tcPr>
            <w:tcW w:w="4338" w:type="dxa"/>
          </w:tcPr>
          <w:p w:rsidR="00206680" w:rsidRPr="008A1FD8" w:rsidRDefault="00206680" w:rsidP="004163EF">
            <w:pPr>
              <w:tabs>
                <w:tab w:val="left" w:pos="-1440"/>
                <w:tab w:val="left" w:pos="-720"/>
              </w:tabs>
              <w:jc w:val="both"/>
              <w:rPr>
                <w:rFonts w:cs="Times New Roman"/>
                <w:sz w:val="20"/>
                <w:szCs w:val="20"/>
              </w:rPr>
            </w:pPr>
            <w:r w:rsidRPr="008A1FD8">
              <w:rPr>
                <w:rFonts w:cs="Times New Roman"/>
                <w:sz w:val="20"/>
                <w:szCs w:val="20"/>
              </w:rPr>
              <w:t>Her Majesty the Queen</w:t>
            </w: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r w:rsidRPr="008A1FD8">
              <w:rPr>
                <w:rFonts w:cs="Times New Roman"/>
                <w:sz w:val="20"/>
                <w:szCs w:val="20"/>
              </w:rPr>
              <w:tab/>
              <w:t>v. (33874)</w:t>
            </w: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r w:rsidRPr="008A1FD8">
              <w:rPr>
                <w:rFonts w:cs="Times New Roman"/>
                <w:sz w:val="20"/>
                <w:szCs w:val="20"/>
              </w:rPr>
              <w:t>Glaxosmithkline Inc. (F.C.)</w:t>
            </w:r>
          </w:p>
        </w:tc>
        <w:tc>
          <w:tcPr>
            <w:tcW w:w="1170" w:type="dxa"/>
          </w:tcPr>
          <w:p w:rsidR="00206680" w:rsidRPr="008A1FD8" w:rsidRDefault="00206680" w:rsidP="004163EF">
            <w:pPr>
              <w:tabs>
                <w:tab w:val="left" w:pos="-1440"/>
                <w:tab w:val="left" w:pos="-720"/>
              </w:tabs>
              <w:jc w:val="both"/>
              <w:rPr>
                <w:rFonts w:cs="Times New Roman"/>
                <w:sz w:val="20"/>
                <w:szCs w:val="20"/>
              </w:rPr>
            </w:pPr>
          </w:p>
        </w:tc>
        <w:tc>
          <w:tcPr>
            <w:tcW w:w="4327" w:type="dxa"/>
          </w:tcPr>
          <w:p w:rsidR="00206680" w:rsidRPr="008A1FD8" w:rsidRDefault="00206680" w:rsidP="004163EF">
            <w:pPr>
              <w:tabs>
                <w:tab w:val="left" w:pos="-1440"/>
                <w:tab w:val="left" w:pos="-720"/>
              </w:tabs>
              <w:jc w:val="both"/>
              <w:rPr>
                <w:rFonts w:cs="Times New Roman"/>
                <w:sz w:val="20"/>
                <w:szCs w:val="20"/>
              </w:rPr>
            </w:pPr>
          </w:p>
        </w:tc>
      </w:tr>
    </w:tbl>
    <w:p w:rsidR="00206680" w:rsidRPr="008A1FD8" w:rsidRDefault="00206680" w:rsidP="00206680">
      <w:pPr>
        <w:tabs>
          <w:tab w:val="left" w:pos="-1440"/>
          <w:tab w:val="left" w:pos="-720"/>
        </w:tabs>
        <w:jc w:val="both"/>
        <w:rPr>
          <w:rFonts w:cs="Times New Roman"/>
          <w:b/>
          <w:sz w:val="20"/>
          <w:szCs w:val="20"/>
        </w:rPr>
      </w:pPr>
    </w:p>
    <w:p w:rsidR="00206680" w:rsidRPr="008A1FD8" w:rsidRDefault="00206680" w:rsidP="00206680">
      <w:pPr>
        <w:tabs>
          <w:tab w:val="left" w:pos="-1440"/>
          <w:tab w:val="left" w:pos="-720"/>
        </w:tabs>
        <w:jc w:val="both"/>
        <w:rPr>
          <w:rFonts w:cs="Times New Roman"/>
          <w:sz w:val="20"/>
          <w:szCs w:val="20"/>
        </w:rPr>
      </w:pPr>
      <w:r w:rsidRPr="008A1FD8">
        <w:rPr>
          <w:rFonts w:cs="Times New Roman"/>
          <w:b/>
          <w:sz w:val="20"/>
          <w:szCs w:val="20"/>
        </w:rPr>
        <w:t>GRANTED / ACCORDÉE</w:t>
      </w: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widowControl w:val="0"/>
        <w:jc w:val="both"/>
        <w:rPr>
          <w:rFonts w:cs="Times New Roman"/>
          <w:sz w:val="20"/>
          <w:szCs w:val="20"/>
        </w:rPr>
      </w:pPr>
      <w:r w:rsidRPr="008A1FD8">
        <w:rPr>
          <w:rFonts w:cs="Times New Roman"/>
          <w:b/>
          <w:sz w:val="20"/>
          <w:szCs w:val="20"/>
        </w:rPr>
        <w:t>UPON APPLICATION</w:t>
      </w:r>
      <w:r w:rsidRPr="008A1FD8">
        <w:rPr>
          <w:rFonts w:cs="Times New Roman"/>
          <w:sz w:val="20"/>
          <w:szCs w:val="20"/>
        </w:rPr>
        <w:t xml:space="preserve"> by counsel on behalf of the respondent for an order sealing the unredacted version of the respondent's factum;</w:t>
      </w:r>
    </w:p>
    <w:p w:rsidR="00206680" w:rsidRPr="008A1FD8" w:rsidRDefault="00206680" w:rsidP="00206680">
      <w:pPr>
        <w:widowControl w:val="0"/>
        <w:jc w:val="both"/>
        <w:rPr>
          <w:rFonts w:cs="Times New Roman"/>
          <w:sz w:val="20"/>
          <w:szCs w:val="20"/>
        </w:rPr>
      </w:pPr>
    </w:p>
    <w:p w:rsidR="00206680" w:rsidRPr="008A1FD8" w:rsidRDefault="00206680" w:rsidP="00206680">
      <w:pPr>
        <w:widowControl w:val="0"/>
        <w:jc w:val="both"/>
        <w:rPr>
          <w:rFonts w:cs="Times New Roman"/>
          <w:sz w:val="20"/>
          <w:szCs w:val="20"/>
        </w:rPr>
      </w:pPr>
      <w:r w:rsidRPr="008A1FD8">
        <w:rPr>
          <w:rFonts w:cs="Times New Roman"/>
          <w:b/>
          <w:sz w:val="20"/>
          <w:szCs w:val="20"/>
        </w:rPr>
        <w:t>AND HAVING READ</w:t>
      </w:r>
      <w:r w:rsidRPr="008A1FD8">
        <w:rPr>
          <w:rFonts w:cs="Times New Roman"/>
          <w:sz w:val="20"/>
          <w:szCs w:val="20"/>
        </w:rPr>
        <w:t xml:space="preserve"> the material filed;</w:t>
      </w:r>
    </w:p>
    <w:p w:rsidR="00206680" w:rsidRPr="008A1FD8" w:rsidRDefault="00206680" w:rsidP="00206680">
      <w:pPr>
        <w:widowControl w:val="0"/>
        <w:jc w:val="both"/>
        <w:rPr>
          <w:rFonts w:cs="Times New Roman"/>
          <w:sz w:val="20"/>
          <w:szCs w:val="20"/>
        </w:rPr>
      </w:pPr>
    </w:p>
    <w:p w:rsidR="00206680" w:rsidRPr="008A1FD8" w:rsidRDefault="00206680" w:rsidP="00206680">
      <w:pPr>
        <w:widowControl w:val="0"/>
        <w:jc w:val="both"/>
        <w:rPr>
          <w:rFonts w:cs="Times New Roman"/>
          <w:sz w:val="20"/>
          <w:szCs w:val="20"/>
        </w:rPr>
      </w:pPr>
      <w:r w:rsidRPr="008A1FD8">
        <w:rPr>
          <w:rFonts w:cs="Times New Roman"/>
          <w:b/>
          <w:sz w:val="20"/>
          <w:szCs w:val="20"/>
        </w:rPr>
        <w:t>IT IS HEREBY ORDERED THAT:</w:t>
      </w:r>
    </w:p>
    <w:p w:rsidR="00206680" w:rsidRPr="008A1FD8" w:rsidRDefault="00206680" w:rsidP="00206680">
      <w:pPr>
        <w:widowControl w:val="0"/>
        <w:jc w:val="both"/>
        <w:rPr>
          <w:rFonts w:cs="Times New Roman"/>
          <w:sz w:val="20"/>
          <w:szCs w:val="20"/>
        </w:rPr>
      </w:pPr>
    </w:p>
    <w:p w:rsidR="00206680" w:rsidRPr="008A1FD8" w:rsidRDefault="00206680" w:rsidP="00206680">
      <w:pPr>
        <w:pStyle w:val="ListParagraph"/>
        <w:widowControl w:val="0"/>
        <w:numPr>
          <w:ilvl w:val="0"/>
          <w:numId w:val="2"/>
        </w:numPr>
        <w:jc w:val="both"/>
        <w:rPr>
          <w:rFonts w:cs="Times New Roman"/>
          <w:sz w:val="20"/>
          <w:szCs w:val="20"/>
        </w:rPr>
      </w:pPr>
      <w:r w:rsidRPr="008A1FD8">
        <w:rPr>
          <w:rFonts w:cs="Times New Roman"/>
          <w:sz w:val="20"/>
          <w:szCs w:val="20"/>
        </w:rPr>
        <w:t xml:space="preserve">The motion is granted. </w:t>
      </w:r>
    </w:p>
    <w:p w:rsidR="00206680" w:rsidRPr="008A1FD8" w:rsidRDefault="00206680" w:rsidP="00206680">
      <w:pPr>
        <w:widowControl w:val="0"/>
        <w:jc w:val="both"/>
        <w:rPr>
          <w:rFonts w:cs="Times New Roman"/>
          <w:sz w:val="20"/>
          <w:szCs w:val="20"/>
        </w:rPr>
      </w:pPr>
    </w:p>
    <w:p w:rsidR="00206680" w:rsidRPr="008A1FD8" w:rsidRDefault="00206680" w:rsidP="00206680">
      <w:pPr>
        <w:pStyle w:val="Level1"/>
        <w:numPr>
          <w:ilvl w:val="0"/>
          <w:numId w:val="2"/>
        </w:numPr>
        <w:jc w:val="both"/>
      </w:pPr>
      <w:r w:rsidRPr="008A1FD8">
        <w:t>The sealed</w:t>
      </w:r>
      <w:r w:rsidRPr="008A1FD8">
        <w:rPr>
          <w:lang w:val="en-CA"/>
        </w:rPr>
        <w:t xml:space="preserve"> unredacted version of the respondent's factum</w:t>
      </w:r>
      <w:r w:rsidRPr="008A1FD8">
        <w:t xml:space="preserve"> will only be made available to counsel for the appellant, counsel for the respondent in this Court and the Courts below, Ottawa agents, members of this Court, Court staff and other persons as the parties may, in writing, agree or as this Court may further order.</w:t>
      </w: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widowControl w:val="0"/>
        <w:jc w:val="both"/>
        <w:rPr>
          <w:rFonts w:cs="Times New Roman"/>
          <w:sz w:val="20"/>
          <w:szCs w:val="20"/>
          <w:lang w:val="fr-CA"/>
        </w:rPr>
      </w:pPr>
      <w:r w:rsidRPr="008A1FD8">
        <w:rPr>
          <w:rFonts w:cs="Times New Roman"/>
          <w:b/>
          <w:sz w:val="20"/>
          <w:szCs w:val="20"/>
          <w:lang w:val="fr-CA"/>
        </w:rPr>
        <w:t xml:space="preserve">À LA SUITE DE LA DEMANDE </w:t>
      </w:r>
      <w:r w:rsidRPr="008A1FD8">
        <w:rPr>
          <w:rFonts w:cs="Times New Roman"/>
          <w:sz w:val="20"/>
          <w:szCs w:val="20"/>
          <w:lang w:val="fr-CA"/>
        </w:rPr>
        <w:t>présentée au nom de l’intimée sollicitant la mise sous scellés du mémoire non épuré de l’intimée;</w:t>
      </w:r>
    </w:p>
    <w:p w:rsidR="00206680" w:rsidRPr="008A1FD8" w:rsidRDefault="00206680" w:rsidP="00206680">
      <w:pPr>
        <w:widowControl w:val="0"/>
        <w:jc w:val="both"/>
        <w:rPr>
          <w:rFonts w:cs="Times New Roman"/>
          <w:sz w:val="20"/>
          <w:szCs w:val="20"/>
          <w:lang w:val="fr-CA"/>
        </w:rPr>
      </w:pPr>
    </w:p>
    <w:p w:rsidR="00206680" w:rsidRPr="008A1FD8" w:rsidRDefault="00206680" w:rsidP="00206680">
      <w:pPr>
        <w:widowControl w:val="0"/>
        <w:jc w:val="both"/>
        <w:rPr>
          <w:rFonts w:cs="Times New Roman"/>
          <w:sz w:val="20"/>
          <w:szCs w:val="20"/>
          <w:lang w:val="fr-CA"/>
        </w:rPr>
      </w:pPr>
      <w:r w:rsidRPr="008A1FD8">
        <w:rPr>
          <w:rFonts w:cs="Times New Roman"/>
          <w:b/>
          <w:sz w:val="20"/>
          <w:szCs w:val="20"/>
          <w:lang w:val="fr-CA"/>
        </w:rPr>
        <w:t xml:space="preserve">ET APRÈS EXAMEN </w:t>
      </w:r>
      <w:r w:rsidRPr="008A1FD8">
        <w:rPr>
          <w:rFonts w:cs="Times New Roman"/>
          <w:sz w:val="20"/>
          <w:szCs w:val="20"/>
          <w:lang w:val="fr-CA"/>
        </w:rPr>
        <w:t xml:space="preserve">des documents déposés; </w:t>
      </w:r>
    </w:p>
    <w:p w:rsidR="00206680" w:rsidRPr="008A1FD8" w:rsidRDefault="00206680" w:rsidP="00206680">
      <w:pPr>
        <w:widowControl w:val="0"/>
        <w:jc w:val="both"/>
        <w:rPr>
          <w:rFonts w:cs="Times New Roman"/>
          <w:sz w:val="20"/>
          <w:szCs w:val="20"/>
          <w:lang w:val="fr-CA"/>
        </w:rPr>
      </w:pPr>
    </w:p>
    <w:p w:rsidR="00206680" w:rsidRDefault="00206680" w:rsidP="00206680">
      <w:pPr>
        <w:rPr>
          <w:rFonts w:cs="Times New Roman"/>
          <w:b/>
          <w:sz w:val="20"/>
          <w:szCs w:val="20"/>
          <w:lang w:val="fr-CA"/>
        </w:rPr>
      </w:pPr>
      <w:r>
        <w:rPr>
          <w:rFonts w:cs="Times New Roman"/>
          <w:b/>
          <w:sz w:val="20"/>
          <w:szCs w:val="20"/>
          <w:lang w:val="fr-CA"/>
        </w:rPr>
        <w:br w:type="page"/>
      </w:r>
    </w:p>
    <w:p w:rsidR="00206680" w:rsidRPr="008A1FD8" w:rsidRDefault="00206680" w:rsidP="00206680">
      <w:pPr>
        <w:widowControl w:val="0"/>
        <w:jc w:val="both"/>
        <w:rPr>
          <w:rFonts w:cs="Times New Roman"/>
          <w:sz w:val="20"/>
          <w:szCs w:val="20"/>
          <w:lang w:val="fr-CA"/>
        </w:rPr>
      </w:pPr>
      <w:r w:rsidRPr="008A1FD8">
        <w:rPr>
          <w:rFonts w:cs="Times New Roman"/>
          <w:b/>
          <w:sz w:val="20"/>
          <w:szCs w:val="20"/>
          <w:lang w:val="fr-CA"/>
        </w:rPr>
        <w:lastRenderedPageBreak/>
        <w:t xml:space="preserve">IL EST ORDONNÉ CE QUI SUIT : </w:t>
      </w:r>
    </w:p>
    <w:p w:rsidR="00206680" w:rsidRPr="008A1FD8" w:rsidRDefault="00206680" w:rsidP="00206680">
      <w:pPr>
        <w:widowControl w:val="0"/>
        <w:jc w:val="both"/>
        <w:rPr>
          <w:rFonts w:cs="Times New Roman"/>
          <w:sz w:val="20"/>
          <w:szCs w:val="20"/>
          <w:lang w:val="fr-CA"/>
        </w:rPr>
      </w:pPr>
    </w:p>
    <w:p w:rsidR="00206680" w:rsidRPr="008A1FD8" w:rsidRDefault="00206680" w:rsidP="00206680">
      <w:pPr>
        <w:pStyle w:val="ListParagraph"/>
        <w:widowControl w:val="0"/>
        <w:numPr>
          <w:ilvl w:val="0"/>
          <w:numId w:val="3"/>
        </w:numPr>
        <w:jc w:val="both"/>
        <w:rPr>
          <w:rFonts w:cs="Times New Roman"/>
          <w:sz w:val="20"/>
          <w:szCs w:val="20"/>
          <w:lang w:val="fr-CA"/>
        </w:rPr>
      </w:pPr>
      <w:r w:rsidRPr="008A1FD8">
        <w:rPr>
          <w:rFonts w:cs="Times New Roman"/>
          <w:sz w:val="20"/>
          <w:szCs w:val="20"/>
          <w:lang w:val="fr-CA"/>
        </w:rPr>
        <w:t xml:space="preserve">La requête est accueillie. </w:t>
      </w:r>
    </w:p>
    <w:p w:rsidR="00206680" w:rsidRPr="008A1FD8" w:rsidRDefault="00206680" w:rsidP="00206680">
      <w:pPr>
        <w:widowControl w:val="0"/>
        <w:jc w:val="both"/>
        <w:rPr>
          <w:rFonts w:cs="Times New Roman"/>
          <w:sz w:val="20"/>
          <w:szCs w:val="20"/>
          <w:lang w:val="fr-CA"/>
        </w:rPr>
      </w:pPr>
    </w:p>
    <w:p w:rsidR="00206680" w:rsidRPr="008A1FD8" w:rsidRDefault="00206680" w:rsidP="00206680">
      <w:pPr>
        <w:pStyle w:val="Level1"/>
        <w:numPr>
          <w:ilvl w:val="0"/>
          <w:numId w:val="3"/>
        </w:numPr>
        <w:jc w:val="both"/>
        <w:rPr>
          <w:lang w:val="fr-CA"/>
        </w:rPr>
      </w:pPr>
      <w:r w:rsidRPr="008A1FD8">
        <w:rPr>
          <w:lang w:val="fr-CA"/>
        </w:rPr>
        <w:t xml:space="preserve">Seuls les avocats de l’appelante et de l’intimée devant la Cour et les juridictions inférieures, leurs correspondants à Ottawa, les juges et le personnel de la Cour ainsi que les personnes désignées par un accord écrit des parties ou une ordonnance de la Cour pourront avoir accès à la version non épurée et mise sous scellés du mémoire de l’intimée. </w:t>
      </w:r>
    </w:p>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206680" w:rsidP="00206680">
      <w:pPr>
        <w:tabs>
          <w:tab w:val="left" w:pos="-1440"/>
          <w:tab w:val="left" w:pos="-720"/>
        </w:tabs>
        <w:spacing w:line="-19" w:lineRule="auto"/>
        <w:jc w:val="both"/>
        <w:rPr>
          <w:rFonts w:cs="Times New Roman"/>
          <w:sz w:val="20"/>
          <w:szCs w:val="20"/>
          <w:lang w:val="fr-CA"/>
        </w:rPr>
      </w:pPr>
    </w:p>
    <w:p w:rsidR="00206680" w:rsidRPr="008A1FD8" w:rsidRDefault="00FD0CB6" w:rsidP="00206680">
      <w:pPr>
        <w:tabs>
          <w:tab w:val="left" w:pos="-1440"/>
          <w:tab w:val="left" w:pos="-720"/>
        </w:tabs>
        <w:jc w:val="both"/>
        <w:rPr>
          <w:rFonts w:cs="Times New Roman"/>
          <w:sz w:val="20"/>
          <w:szCs w:val="20"/>
        </w:rPr>
      </w:pPr>
      <w:r w:rsidRPr="00FD0CB6">
        <w:rPr>
          <w:rFonts w:cs="Times New Roman"/>
          <w:sz w:val="20"/>
          <w:szCs w:val="20"/>
          <w:lang w:val="fr-CA"/>
        </w:rPr>
        <w:pict>
          <v:rect id="_x0000_i1060" style="width:2in;height:1pt" o:hrpct="0" o:hralign="center" o:hrstd="t" o:hrnoshade="t" o:hr="t" fillcolor="black [3213]" stroked="f"/>
        </w:pict>
      </w:r>
    </w:p>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206680" w:rsidP="00206680">
      <w:pPr>
        <w:tabs>
          <w:tab w:val="left" w:pos="-1440"/>
          <w:tab w:val="left" w:pos="-720"/>
        </w:tabs>
        <w:jc w:val="both"/>
        <w:rPr>
          <w:rFonts w:cs="Times New Roman"/>
          <w:sz w:val="20"/>
          <w:szCs w:val="20"/>
        </w:rPr>
      </w:pPr>
      <w:r w:rsidRPr="008A1FD8">
        <w:rPr>
          <w:rFonts w:cs="Times New Roman"/>
          <w:sz w:val="20"/>
          <w:szCs w:val="20"/>
        </w:rPr>
        <w:t>27.10.2011</w:t>
      </w: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tabs>
          <w:tab w:val="left" w:pos="-1440"/>
          <w:tab w:val="left" w:pos="-720"/>
        </w:tabs>
        <w:jc w:val="both"/>
        <w:rPr>
          <w:rFonts w:cs="Times New Roman"/>
          <w:sz w:val="20"/>
          <w:szCs w:val="20"/>
        </w:rPr>
      </w:pPr>
      <w:r w:rsidRPr="008A1FD8">
        <w:rPr>
          <w:rFonts w:cs="Times New Roman"/>
          <w:sz w:val="20"/>
          <w:szCs w:val="20"/>
        </w:rPr>
        <w:t>Before / Devant :   THE DEPUTY REGISTRAR / LA REGISTRAIRE ADJOINTE</w:t>
      </w:r>
    </w:p>
    <w:p w:rsidR="00206680" w:rsidRPr="008A1FD8" w:rsidRDefault="00206680" w:rsidP="00206680">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06680" w:rsidRPr="004163EF" w:rsidTr="004163EF">
        <w:tc>
          <w:tcPr>
            <w:tcW w:w="4338" w:type="dxa"/>
          </w:tcPr>
          <w:p w:rsidR="00206680" w:rsidRPr="008A1FD8" w:rsidRDefault="00FD0CB6" w:rsidP="004163EF">
            <w:pPr>
              <w:tabs>
                <w:tab w:val="left" w:pos="-1440"/>
                <w:tab w:val="left" w:pos="-720"/>
              </w:tabs>
              <w:jc w:val="both"/>
              <w:rPr>
                <w:rFonts w:cs="Times New Roman"/>
                <w:b/>
                <w:sz w:val="20"/>
                <w:szCs w:val="20"/>
              </w:rPr>
            </w:pPr>
            <w:r w:rsidRPr="008A1FD8">
              <w:rPr>
                <w:rFonts w:cs="Times New Roman"/>
                <w:sz w:val="20"/>
                <w:szCs w:val="20"/>
              </w:rPr>
              <w:fldChar w:fldCharType="begin"/>
            </w:r>
            <w:r w:rsidR="00206680" w:rsidRPr="008A1FD8">
              <w:rPr>
                <w:rFonts w:cs="Times New Roman"/>
                <w:sz w:val="20"/>
                <w:szCs w:val="20"/>
              </w:rPr>
              <w:instrText xml:space="preserve"> SEQ CHAPTER \h \r 1</w:instrText>
            </w:r>
            <w:r w:rsidRPr="008A1FD8">
              <w:rPr>
                <w:rFonts w:cs="Times New Roman"/>
                <w:sz w:val="20"/>
                <w:szCs w:val="20"/>
              </w:rPr>
              <w:fldChar w:fldCharType="end"/>
            </w:r>
            <w:r w:rsidR="00206680" w:rsidRPr="008A1FD8">
              <w:rPr>
                <w:rFonts w:cs="Times New Roman"/>
                <w:b/>
                <w:bCs/>
                <w:sz w:val="20"/>
                <w:szCs w:val="20"/>
              </w:rPr>
              <w:t>Motion for substitutional service</w:t>
            </w:r>
          </w:p>
        </w:tc>
        <w:tc>
          <w:tcPr>
            <w:tcW w:w="1170" w:type="dxa"/>
          </w:tcPr>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tc>
        <w:tc>
          <w:tcPr>
            <w:tcW w:w="4327" w:type="dxa"/>
          </w:tcPr>
          <w:p w:rsidR="00206680" w:rsidRPr="008A1FD8" w:rsidRDefault="00FD0CB6" w:rsidP="004163EF">
            <w:pPr>
              <w:tabs>
                <w:tab w:val="left" w:pos="-1440"/>
                <w:tab w:val="left" w:pos="-720"/>
              </w:tabs>
              <w:jc w:val="both"/>
              <w:rPr>
                <w:rFonts w:cs="Times New Roman"/>
                <w:sz w:val="20"/>
                <w:szCs w:val="20"/>
                <w:lang w:val="fr-CA"/>
              </w:rPr>
            </w:pPr>
            <w:r w:rsidRPr="008A1FD8">
              <w:rPr>
                <w:rFonts w:cs="Times New Roman"/>
                <w:sz w:val="20"/>
                <w:szCs w:val="20"/>
              </w:rPr>
              <w:fldChar w:fldCharType="begin"/>
            </w:r>
            <w:r w:rsidR="00206680" w:rsidRPr="008A1FD8">
              <w:rPr>
                <w:rFonts w:cs="Times New Roman"/>
                <w:sz w:val="20"/>
                <w:szCs w:val="20"/>
                <w:lang w:val="fr-CA"/>
              </w:rPr>
              <w:instrText xml:space="preserve"> SEQ CHAPTER \h \r 1</w:instrText>
            </w:r>
            <w:r w:rsidRPr="008A1FD8">
              <w:rPr>
                <w:rFonts w:cs="Times New Roman"/>
                <w:sz w:val="20"/>
                <w:szCs w:val="20"/>
              </w:rPr>
              <w:fldChar w:fldCharType="end"/>
            </w:r>
            <w:r w:rsidR="00206680" w:rsidRPr="008A1FD8">
              <w:rPr>
                <w:rFonts w:cs="Times New Roman"/>
                <w:b/>
                <w:bCs/>
                <w:sz w:val="20"/>
                <w:szCs w:val="20"/>
                <w:lang w:val="fr-CA"/>
              </w:rPr>
              <w:t>Requête en vue de recourir à un mode de signification différent</w:t>
            </w:r>
            <w:r w:rsidRPr="008A1FD8">
              <w:rPr>
                <w:rFonts w:cs="Times New Roman"/>
                <w:sz w:val="20"/>
                <w:szCs w:val="20"/>
              </w:rPr>
              <w:fldChar w:fldCharType="begin"/>
            </w:r>
            <w:r w:rsidR="00206680" w:rsidRPr="008A1FD8">
              <w:rPr>
                <w:rFonts w:cs="Times New Roman"/>
                <w:sz w:val="20"/>
                <w:szCs w:val="20"/>
                <w:lang w:val="fr-CA"/>
              </w:rPr>
              <w:instrText xml:space="preserve"> SEQ CHAPTER \h \r 1</w:instrText>
            </w:r>
            <w:r w:rsidRPr="008A1FD8">
              <w:rPr>
                <w:rFonts w:cs="Times New Roman"/>
                <w:sz w:val="20"/>
                <w:szCs w:val="20"/>
              </w:rPr>
              <w:fldChar w:fldCharType="end"/>
            </w:r>
            <w:r w:rsidRPr="008A1FD8">
              <w:rPr>
                <w:rFonts w:cs="Times New Roman"/>
                <w:sz w:val="20"/>
                <w:szCs w:val="20"/>
              </w:rPr>
              <w:fldChar w:fldCharType="begin"/>
            </w:r>
            <w:r w:rsidR="00206680" w:rsidRPr="008A1FD8">
              <w:rPr>
                <w:rFonts w:cs="Times New Roman"/>
                <w:sz w:val="20"/>
                <w:szCs w:val="20"/>
                <w:lang w:val="fr-CA"/>
              </w:rPr>
              <w:instrText xml:space="preserve"> SEQ CHAPTER \h \r 1</w:instrText>
            </w:r>
            <w:r w:rsidRPr="008A1FD8">
              <w:rPr>
                <w:rFonts w:cs="Times New Roman"/>
                <w:sz w:val="20"/>
                <w:szCs w:val="20"/>
              </w:rPr>
              <w:fldChar w:fldCharType="end"/>
            </w:r>
          </w:p>
        </w:tc>
      </w:tr>
      <w:tr w:rsidR="00206680" w:rsidRPr="008A1FD8" w:rsidTr="004163EF">
        <w:tc>
          <w:tcPr>
            <w:tcW w:w="4338" w:type="dxa"/>
          </w:tcPr>
          <w:p w:rsidR="00206680" w:rsidRPr="008A1FD8" w:rsidRDefault="00206680" w:rsidP="004163EF">
            <w:pPr>
              <w:tabs>
                <w:tab w:val="left" w:pos="-1440"/>
                <w:tab w:val="left" w:pos="-720"/>
              </w:tabs>
              <w:jc w:val="both"/>
              <w:rPr>
                <w:rFonts w:cs="Times New Roman"/>
                <w:sz w:val="20"/>
                <w:szCs w:val="20"/>
                <w:lang w:val="fr-CA"/>
              </w:rPr>
            </w:pPr>
            <w:r w:rsidRPr="008A1FD8">
              <w:rPr>
                <w:rFonts w:cs="Times New Roman"/>
                <w:sz w:val="20"/>
                <w:szCs w:val="20"/>
                <w:lang w:val="fr-CA"/>
              </w:rPr>
              <w:t>V.I. Fabrikant</w:t>
            </w:r>
          </w:p>
          <w:p w:rsidR="00206680" w:rsidRPr="008A1FD8" w:rsidRDefault="00206680" w:rsidP="004163EF">
            <w:pPr>
              <w:tabs>
                <w:tab w:val="left" w:pos="-1440"/>
                <w:tab w:val="left" w:pos="-720"/>
              </w:tabs>
              <w:jc w:val="both"/>
              <w:rPr>
                <w:rFonts w:cs="Times New Roman"/>
                <w:sz w:val="20"/>
                <w:szCs w:val="20"/>
                <w:lang w:val="fr-CA"/>
              </w:rPr>
            </w:pPr>
          </w:p>
          <w:p w:rsidR="00206680" w:rsidRPr="008A1FD8" w:rsidRDefault="00206680" w:rsidP="004163EF">
            <w:pPr>
              <w:tabs>
                <w:tab w:val="left" w:pos="-1440"/>
                <w:tab w:val="left" w:pos="-720"/>
              </w:tabs>
              <w:jc w:val="both"/>
              <w:rPr>
                <w:rFonts w:cs="Times New Roman"/>
                <w:sz w:val="20"/>
                <w:szCs w:val="20"/>
                <w:lang w:val="fr-CA"/>
              </w:rPr>
            </w:pPr>
            <w:r w:rsidRPr="008A1FD8">
              <w:rPr>
                <w:rFonts w:cs="Times New Roman"/>
                <w:sz w:val="20"/>
                <w:szCs w:val="20"/>
                <w:lang w:val="fr-CA"/>
              </w:rPr>
              <w:tab/>
              <w:t>v. (34488)</w:t>
            </w:r>
          </w:p>
          <w:p w:rsidR="00206680" w:rsidRPr="008A1FD8" w:rsidRDefault="00206680" w:rsidP="004163EF">
            <w:pPr>
              <w:tabs>
                <w:tab w:val="left" w:pos="-1440"/>
                <w:tab w:val="left" w:pos="-720"/>
              </w:tabs>
              <w:jc w:val="both"/>
              <w:rPr>
                <w:rFonts w:cs="Times New Roman"/>
                <w:sz w:val="20"/>
                <w:szCs w:val="20"/>
                <w:lang w:val="fr-CA"/>
              </w:rPr>
            </w:pPr>
          </w:p>
          <w:p w:rsidR="00206680" w:rsidRPr="008A1FD8" w:rsidRDefault="00206680" w:rsidP="004163EF">
            <w:pPr>
              <w:tabs>
                <w:tab w:val="left" w:pos="-1440"/>
                <w:tab w:val="left" w:pos="-720"/>
              </w:tabs>
              <w:jc w:val="both"/>
              <w:rPr>
                <w:rFonts w:cs="Times New Roman"/>
                <w:sz w:val="20"/>
                <w:szCs w:val="20"/>
                <w:lang w:val="fr-CA"/>
              </w:rPr>
            </w:pPr>
            <w:r w:rsidRPr="008A1FD8">
              <w:rPr>
                <w:rFonts w:cs="Times New Roman"/>
                <w:sz w:val="20"/>
                <w:szCs w:val="20"/>
                <w:lang w:val="fr-CA"/>
              </w:rPr>
              <w:t>M. Eisenberg et al. (Que.)</w:t>
            </w:r>
          </w:p>
        </w:tc>
        <w:tc>
          <w:tcPr>
            <w:tcW w:w="1170" w:type="dxa"/>
          </w:tcPr>
          <w:p w:rsidR="00206680" w:rsidRPr="008A1FD8" w:rsidRDefault="00206680" w:rsidP="004163EF">
            <w:pPr>
              <w:tabs>
                <w:tab w:val="left" w:pos="-1440"/>
                <w:tab w:val="left" w:pos="-720"/>
              </w:tabs>
              <w:jc w:val="both"/>
              <w:rPr>
                <w:rFonts w:cs="Times New Roman"/>
                <w:sz w:val="20"/>
                <w:szCs w:val="20"/>
                <w:lang w:val="fr-CA"/>
              </w:rPr>
            </w:pPr>
          </w:p>
        </w:tc>
        <w:tc>
          <w:tcPr>
            <w:tcW w:w="4327" w:type="dxa"/>
          </w:tcPr>
          <w:p w:rsidR="00206680" w:rsidRPr="008A1FD8" w:rsidRDefault="00206680" w:rsidP="004163EF">
            <w:pPr>
              <w:tabs>
                <w:tab w:val="left" w:pos="-1440"/>
                <w:tab w:val="left" w:pos="-720"/>
              </w:tabs>
              <w:jc w:val="both"/>
              <w:rPr>
                <w:rFonts w:cs="Times New Roman"/>
                <w:sz w:val="20"/>
                <w:szCs w:val="20"/>
                <w:lang w:val="fr-CA"/>
              </w:rPr>
            </w:pPr>
          </w:p>
        </w:tc>
      </w:tr>
    </w:tbl>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206680" w:rsidP="00206680">
      <w:pPr>
        <w:tabs>
          <w:tab w:val="left" w:pos="-1440"/>
          <w:tab w:val="left" w:pos="-720"/>
        </w:tabs>
        <w:jc w:val="both"/>
        <w:rPr>
          <w:rFonts w:cs="Times New Roman"/>
          <w:b/>
          <w:sz w:val="20"/>
          <w:szCs w:val="20"/>
          <w:lang w:val="fr-CA"/>
        </w:rPr>
      </w:pPr>
      <w:r w:rsidRPr="008A1FD8">
        <w:rPr>
          <w:rFonts w:cs="Times New Roman"/>
          <w:b/>
          <w:sz w:val="20"/>
          <w:szCs w:val="20"/>
          <w:lang w:val="fr-CA"/>
        </w:rPr>
        <w:t>GRANTED / ACCORDÉE</w:t>
      </w:r>
    </w:p>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FD0CB6" w:rsidP="00206680">
      <w:pPr>
        <w:tabs>
          <w:tab w:val="left" w:pos="-1440"/>
          <w:tab w:val="left" w:pos="-720"/>
        </w:tabs>
        <w:jc w:val="both"/>
        <w:rPr>
          <w:rFonts w:cs="Times New Roman"/>
          <w:sz w:val="20"/>
          <w:szCs w:val="20"/>
          <w:lang w:val="fr-CA"/>
        </w:rPr>
      </w:pPr>
      <w:r w:rsidRPr="00FD0CB6">
        <w:rPr>
          <w:rFonts w:cs="Times New Roman"/>
          <w:sz w:val="20"/>
          <w:szCs w:val="20"/>
          <w:lang w:val="fr-CA"/>
        </w:rPr>
        <w:pict>
          <v:rect id="_x0000_i1061" style="width:2in;height:1pt" o:hrpct="0" o:hralign="center" o:hrstd="t" o:hrnoshade="t" o:hr="t" fillcolor="black [3213]" stroked="f"/>
        </w:pict>
      </w:r>
    </w:p>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206680" w:rsidP="00206680">
      <w:pPr>
        <w:tabs>
          <w:tab w:val="left" w:pos="-1440"/>
          <w:tab w:val="left" w:pos="-720"/>
        </w:tabs>
        <w:jc w:val="both"/>
        <w:rPr>
          <w:rFonts w:cs="Times New Roman"/>
          <w:sz w:val="20"/>
          <w:szCs w:val="20"/>
          <w:lang w:val="fr-CA"/>
        </w:rPr>
      </w:pPr>
      <w:r w:rsidRPr="008A1FD8">
        <w:rPr>
          <w:rFonts w:cs="Times New Roman"/>
          <w:sz w:val="20"/>
          <w:szCs w:val="20"/>
          <w:lang w:val="fr-CA"/>
        </w:rPr>
        <w:t>27.10.2011</w:t>
      </w:r>
    </w:p>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206680" w:rsidP="00206680">
      <w:pPr>
        <w:tabs>
          <w:tab w:val="left" w:pos="-1440"/>
          <w:tab w:val="left" w:pos="-720"/>
        </w:tabs>
        <w:jc w:val="both"/>
        <w:rPr>
          <w:rFonts w:cs="Times New Roman"/>
          <w:sz w:val="20"/>
          <w:szCs w:val="20"/>
          <w:lang w:val="fr-CA"/>
        </w:rPr>
      </w:pPr>
      <w:r w:rsidRPr="008A1FD8">
        <w:rPr>
          <w:rFonts w:cs="Times New Roman"/>
          <w:sz w:val="20"/>
          <w:szCs w:val="20"/>
          <w:lang w:val="fr-CA"/>
        </w:rPr>
        <w:t>Before / Devant :   DESCHAMPS J. / LA JUGE DESCHAMPS</w:t>
      </w:r>
    </w:p>
    <w:p w:rsidR="00206680" w:rsidRPr="008A1FD8" w:rsidRDefault="00206680" w:rsidP="002066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06680" w:rsidRPr="004163EF" w:rsidTr="004163EF">
        <w:tc>
          <w:tcPr>
            <w:tcW w:w="4338" w:type="dxa"/>
          </w:tcPr>
          <w:p w:rsidR="00206680" w:rsidRPr="008A1FD8" w:rsidRDefault="00FD0CB6" w:rsidP="004163EF">
            <w:pPr>
              <w:jc w:val="both"/>
              <w:rPr>
                <w:rFonts w:cs="Times New Roman"/>
                <w:b/>
                <w:bCs/>
                <w:sz w:val="20"/>
                <w:szCs w:val="20"/>
              </w:rPr>
            </w:pPr>
            <w:r w:rsidRPr="008A1FD8">
              <w:rPr>
                <w:rFonts w:cs="Times New Roman"/>
                <w:sz w:val="20"/>
                <w:szCs w:val="20"/>
              </w:rPr>
              <w:fldChar w:fldCharType="begin"/>
            </w:r>
            <w:r w:rsidR="00206680" w:rsidRPr="008A1FD8">
              <w:rPr>
                <w:rFonts w:cs="Times New Roman"/>
                <w:sz w:val="20"/>
                <w:szCs w:val="20"/>
              </w:rPr>
              <w:instrText xml:space="preserve"> SEQ CHAPTER \h \r 1</w:instrText>
            </w:r>
            <w:r w:rsidRPr="008A1FD8">
              <w:rPr>
                <w:rFonts w:cs="Times New Roman"/>
                <w:sz w:val="20"/>
                <w:szCs w:val="20"/>
              </w:rPr>
              <w:fldChar w:fldCharType="end"/>
            </w:r>
            <w:r w:rsidRPr="008A1FD8">
              <w:rPr>
                <w:rFonts w:cs="Times New Roman"/>
                <w:sz w:val="20"/>
                <w:szCs w:val="20"/>
              </w:rPr>
              <w:fldChar w:fldCharType="begin"/>
            </w:r>
            <w:r w:rsidR="00206680" w:rsidRPr="008A1FD8">
              <w:rPr>
                <w:rFonts w:cs="Times New Roman"/>
                <w:sz w:val="20"/>
                <w:szCs w:val="20"/>
              </w:rPr>
              <w:instrText xml:space="preserve"> SEQ CHAPTER \h \r 1</w:instrText>
            </w:r>
            <w:r w:rsidRPr="008A1FD8">
              <w:rPr>
                <w:rFonts w:cs="Times New Roman"/>
                <w:sz w:val="20"/>
                <w:szCs w:val="20"/>
              </w:rPr>
              <w:fldChar w:fldCharType="end"/>
            </w:r>
            <w:r w:rsidR="00206680" w:rsidRPr="008A1FD8">
              <w:rPr>
                <w:rFonts w:cs="Times New Roman"/>
                <w:b/>
                <w:bCs/>
                <w:sz w:val="20"/>
                <w:szCs w:val="20"/>
              </w:rPr>
              <w:t xml:space="preserve">Motion to extend the time to serve and file the respondent’s factum and book of authorities to December 6, 2011, and </w:t>
            </w:r>
            <w:r w:rsidRPr="008A1FD8">
              <w:rPr>
                <w:rFonts w:cs="Times New Roman"/>
                <w:sz w:val="20"/>
                <w:szCs w:val="20"/>
              </w:rPr>
              <w:fldChar w:fldCharType="begin"/>
            </w:r>
            <w:r w:rsidR="00206680" w:rsidRPr="008A1FD8">
              <w:rPr>
                <w:rFonts w:cs="Times New Roman"/>
                <w:sz w:val="20"/>
                <w:szCs w:val="20"/>
              </w:rPr>
              <w:instrText xml:space="preserve"> SEQ CHAPTER \h \r 1</w:instrText>
            </w:r>
            <w:r w:rsidRPr="008A1FD8">
              <w:rPr>
                <w:rFonts w:cs="Times New Roman"/>
                <w:sz w:val="20"/>
                <w:szCs w:val="20"/>
              </w:rPr>
              <w:fldChar w:fldCharType="end"/>
            </w:r>
            <w:r w:rsidR="00206680" w:rsidRPr="008A1FD8">
              <w:rPr>
                <w:rFonts w:cs="Times New Roman"/>
                <w:b/>
                <w:bCs/>
                <w:sz w:val="20"/>
                <w:szCs w:val="20"/>
              </w:rPr>
              <w:t>for an order pursuant to Rule 71(3) permitting oral argument at the hearing  of the appeal</w:t>
            </w:r>
          </w:p>
          <w:p w:rsidR="00206680" w:rsidRPr="008A1FD8" w:rsidRDefault="00206680" w:rsidP="004163EF">
            <w:pPr>
              <w:tabs>
                <w:tab w:val="left" w:pos="-1440"/>
                <w:tab w:val="left" w:pos="-720"/>
              </w:tabs>
              <w:jc w:val="both"/>
              <w:rPr>
                <w:rFonts w:cs="Times New Roman"/>
                <w:b/>
                <w:sz w:val="20"/>
                <w:szCs w:val="20"/>
              </w:rPr>
            </w:pPr>
          </w:p>
        </w:tc>
        <w:tc>
          <w:tcPr>
            <w:tcW w:w="1170" w:type="dxa"/>
          </w:tcPr>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tc>
        <w:tc>
          <w:tcPr>
            <w:tcW w:w="4327" w:type="dxa"/>
          </w:tcPr>
          <w:p w:rsidR="00206680" w:rsidRPr="005C2727" w:rsidRDefault="005C2727" w:rsidP="004163EF">
            <w:pPr>
              <w:tabs>
                <w:tab w:val="left" w:pos="-1440"/>
                <w:tab w:val="left" w:pos="-720"/>
              </w:tabs>
              <w:jc w:val="both"/>
              <w:rPr>
                <w:rFonts w:cs="Times New Roman"/>
                <w:b/>
                <w:sz w:val="20"/>
                <w:szCs w:val="20"/>
                <w:lang w:val="fr-CA"/>
              </w:rPr>
            </w:pPr>
            <w:r w:rsidRPr="005C2727">
              <w:rPr>
                <w:b/>
                <w:bCs/>
                <w:sz w:val="20"/>
                <w:szCs w:val="20"/>
                <w:lang w:val="fr-CA"/>
              </w:rPr>
              <w:t xml:space="preserve">Requête de l’intimée en prorogation du délai de signification et de dépôt de ses mémoire et recueil de sources jusqu’au 6 décembre 2011, et </w:t>
            </w:r>
            <w:r w:rsidR="00FD0CB6" w:rsidRPr="005C2727">
              <w:rPr>
                <w:sz w:val="20"/>
                <w:szCs w:val="20"/>
              </w:rPr>
              <w:fldChar w:fldCharType="begin"/>
            </w:r>
            <w:r w:rsidRPr="005C2727">
              <w:rPr>
                <w:sz w:val="20"/>
                <w:szCs w:val="20"/>
                <w:lang w:val="fr-CA"/>
              </w:rPr>
              <w:instrText xml:space="preserve"> SEQ CHAPTER \h \r 1</w:instrText>
            </w:r>
            <w:r w:rsidR="00FD0CB6" w:rsidRPr="005C2727">
              <w:rPr>
                <w:sz w:val="20"/>
                <w:szCs w:val="20"/>
              </w:rPr>
              <w:fldChar w:fldCharType="end"/>
            </w:r>
            <w:r w:rsidRPr="005C2727">
              <w:rPr>
                <w:b/>
                <w:bCs/>
                <w:sz w:val="20"/>
                <w:szCs w:val="20"/>
                <w:lang w:val="fr-CA"/>
              </w:rPr>
              <w:t>et en vue de présenter une plaidoirie orale à l'audition en vertu du par. 71(3) des Règles</w:t>
            </w:r>
            <w:r w:rsidR="00FD0CB6" w:rsidRPr="005C2727">
              <w:rPr>
                <w:rFonts w:cs="Times New Roman"/>
                <w:sz w:val="20"/>
                <w:szCs w:val="20"/>
              </w:rPr>
              <w:fldChar w:fldCharType="begin"/>
            </w:r>
            <w:r w:rsidR="00206680" w:rsidRPr="005C2727">
              <w:rPr>
                <w:rFonts w:cs="Times New Roman"/>
                <w:sz w:val="20"/>
                <w:szCs w:val="20"/>
                <w:lang w:val="fr-CA"/>
              </w:rPr>
              <w:instrText xml:space="preserve"> SEQ CHAPTER \h \r 1</w:instrText>
            </w:r>
            <w:r w:rsidR="00FD0CB6" w:rsidRPr="005C2727">
              <w:rPr>
                <w:rFonts w:cs="Times New Roman"/>
                <w:sz w:val="20"/>
                <w:szCs w:val="20"/>
              </w:rPr>
              <w:fldChar w:fldCharType="end"/>
            </w:r>
            <w:r w:rsidR="00FD0CB6" w:rsidRPr="005C2727">
              <w:rPr>
                <w:rFonts w:cs="Times New Roman"/>
                <w:b/>
                <w:sz w:val="20"/>
                <w:szCs w:val="20"/>
              </w:rPr>
              <w:fldChar w:fldCharType="begin"/>
            </w:r>
            <w:r w:rsidR="00206680" w:rsidRPr="005C2727">
              <w:rPr>
                <w:rFonts w:cs="Times New Roman"/>
                <w:b/>
                <w:sz w:val="20"/>
                <w:szCs w:val="20"/>
                <w:lang w:val="fr-CA"/>
              </w:rPr>
              <w:instrText xml:space="preserve"> SEQ CHAPTER \h \r 1</w:instrText>
            </w:r>
            <w:r w:rsidR="00FD0CB6" w:rsidRPr="005C2727">
              <w:rPr>
                <w:rFonts w:cs="Times New Roman"/>
                <w:b/>
                <w:sz w:val="20"/>
                <w:szCs w:val="20"/>
              </w:rPr>
              <w:fldChar w:fldCharType="end"/>
            </w:r>
          </w:p>
        </w:tc>
      </w:tr>
      <w:tr w:rsidR="00206680" w:rsidRPr="008A1FD8" w:rsidTr="004163EF">
        <w:tc>
          <w:tcPr>
            <w:tcW w:w="4338" w:type="dxa"/>
          </w:tcPr>
          <w:p w:rsidR="00206680" w:rsidRPr="008A1FD8" w:rsidRDefault="00206680" w:rsidP="004163EF">
            <w:pPr>
              <w:tabs>
                <w:tab w:val="left" w:pos="-1440"/>
                <w:tab w:val="left" w:pos="-720"/>
              </w:tabs>
              <w:jc w:val="both"/>
              <w:rPr>
                <w:rFonts w:cs="Times New Roman"/>
                <w:sz w:val="20"/>
                <w:szCs w:val="20"/>
              </w:rPr>
            </w:pPr>
            <w:r w:rsidRPr="008A1FD8">
              <w:rPr>
                <w:rFonts w:cs="Times New Roman"/>
                <w:sz w:val="20"/>
                <w:szCs w:val="20"/>
              </w:rPr>
              <w:t>Sam Tuan Vu</w:t>
            </w: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r w:rsidRPr="008A1FD8">
              <w:rPr>
                <w:rFonts w:cs="Times New Roman"/>
                <w:sz w:val="20"/>
                <w:szCs w:val="20"/>
              </w:rPr>
              <w:tab/>
              <w:t>v. (34286)</w:t>
            </w: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lang w:val="fr-CA"/>
              </w:rPr>
            </w:pPr>
            <w:r w:rsidRPr="008A1FD8">
              <w:rPr>
                <w:rFonts w:cs="Times New Roman"/>
                <w:sz w:val="20"/>
                <w:szCs w:val="20"/>
              </w:rPr>
              <w:t xml:space="preserve">Her Majesty the Queen (Crim.) </w:t>
            </w:r>
            <w:r w:rsidRPr="008A1FD8">
              <w:rPr>
                <w:rFonts w:cs="Times New Roman"/>
                <w:sz w:val="20"/>
                <w:szCs w:val="20"/>
                <w:lang w:val="fr-CA"/>
              </w:rPr>
              <w:t>(B.C.)</w:t>
            </w:r>
          </w:p>
        </w:tc>
        <w:tc>
          <w:tcPr>
            <w:tcW w:w="1170" w:type="dxa"/>
          </w:tcPr>
          <w:p w:rsidR="00206680" w:rsidRPr="008A1FD8" w:rsidRDefault="00206680" w:rsidP="004163EF">
            <w:pPr>
              <w:tabs>
                <w:tab w:val="left" w:pos="-1440"/>
                <w:tab w:val="left" w:pos="-720"/>
              </w:tabs>
              <w:jc w:val="both"/>
              <w:rPr>
                <w:rFonts w:cs="Times New Roman"/>
                <w:sz w:val="20"/>
                <w:szCs w:val="20"/>
                <w:lang w:val="fr-CA"/>
              </w:rPr>
            </w:pPr>
          </w:p>
        </w:tc>
        <w:tc>
          <w:tcPr>
            <w:tcW w:w="4327" w:type="dxa"/>
          </w:tcPr>
          <w:p w:rsidR="00206680" w:rsidRPr="008A1FD8" w:rsidRDefault="00206680" w:rsidP="004163EF">
            <w:pPr>
              <w:tabs>
                <w:tab w:val="left" w:pos="-1440"/>
                <w:tab w:val="left" w:pos="-720"/>
              </w:tabs>
              <w:jc w:val="both"/>
              <w:rPr>
                <w:rFonts w:cs="Times New Roman"/>
                <w:sz w:val="20"/>
                <w:szCs w:val="20"/>
                <w:lang w:val="fr-CA"/>
              </w:rPr>
            </w:pPr>
          </w:p>
        </w:tc>
      </w:tr>
    </w:tbl>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206680" w:rsidP="00206680">
      <w:pPr>
        <w:tabs>
          <w:tab w:val="left" w:pos="-1440"/>
          <w:tab w:val="left" w:pos="-720"/>
        </w:tabs>
        <w:jc w:val="both"/>
        <w:rPr>
          <w:rFonts w:cs="Times New Roman"/>
          <w:b/>
          <w:sz w:val="20"/>
          <w:szCs w:val="20"/>
        </w:rPr>
      </w:pPr>
      <w:r w:rsidRPr="008A1FD8">
        <w:rPr>
          <w:rFonts w:cs="Times New Roman"/>
          <w:b/>
          <w:sz w:val="20"/>
          <w:szCs w:val="20"/>
        </w:rPr>
        <w:t>GRANTED / ACCORDÉE</w:t>
      </w:r>
    </w:p>
    <w:p w:rsidR="00206680" w:rsidRPr="008A1FD8" w:rsidRDefault="00206680" w:rsidP="00206680">
      <w:pPr>
        <w:tabs>
          <w:tab w:val="left" w:pos="-1440"/>
          <w:tab w:val="left" w:pos="-720"/>
        </w:tabs>
        <w:jc w:val="both"/>
        <w:rPr>
          <w:rFonts w:cs="Times New Roman"/>
          <w:sz w:val="20"/>
          <w:szCs w:val="20"/>
        </w:rPr>
      </w:pPr>
    </w:p>
    <w:p w:rsidR="00206680" w:rsidRPr="008A1FD8" w:rsidRDefault="00FD0CB6" w:rsidP="00206680">
      <w:pPr>
        <w:tabs>
          <w:tab w:val="left" w:pos="-1440"/>
          <w:tab w:val="left" w:pos="-720"/>
        </w:tabs>
        <w:jc w:val="both"/>
        <w:rPr>
          <w:rFonts w:cs="Times New Roman"/>
          <w:sz w:val="20"/>
          <w:szCs w:val="20"/>
        </w:rPr>
      </w:pPr>
      <w:r w:rsidRPr="00FD0CB6">
        <w:rPr>
          <w:rFonts w:cs="Times New Roman"/>
          <w:sz w:val="20"/>
          <w:szCs w:val="20"/>
          <w:lang w:val="fr-CA"/>
        </w:rPr>
        <w:pict>
          <v:rect id="_x0000_i1062" style="width:2in;height:1pt" o:hrpct="0" o:hralign="center" o:hrstd="t" o:hrnoshade="t" o:hr="t" fillcolor="black [3213]" stroked="f"/>
        </w:pict>
      </w:r>
    </w:p>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rPr>
          <w:rFonts w:cs="Times New Roman"/>
          <w:sz w:val="20"/>
          <w:szCs w:val="20"/>
          <w:lang w:val="fr-CA"/>
        </w:rPr>
      </w:pPr>
      <w:r w:rsidRPr="008A1FD8">
        <w:rPr>
          <w:rFonts w:cs="Times New Roman"/>
          <w:sz w:val="20"/>
          <w:szCs w:val="20"/>
          <w:lang w:val="fr-CA"/>
        </w:rPr>
        <w:br w:type="page"/>
      </w:r>
    </w:p>
    <w:p w:rsidR="00206680" w:rsidRPr="008A1FD8" w:rsidRDefault="00206680" w:rsidP="00206680">
      <w:pPr>
        <w:tabs>
          <w:tab w:val="left" w:pos="-1440"/>
          <w:tab w:val="left" w:pos="-720"/>
        </w:tabs>
        <w:jc w:val="both"/>
        <w:rPr>
          <w:rFonts w:cs="Times New Roman"/>
          <w:sz w:val="20"/>
          <w:szCs w:val="20"/>
          <w:lang w:val="fr-CA"/>
        </w:rPr>
      </w:pPr>
      <w:r w:rsidRPr="008A1FD8">
        <w:rPr>
          <w:rFonts w:cs="Times New Roman"/>
          <w:sz w:val="20"/>
          <w:szCs w:val="20"/>
          <w:lang w:val="fr-CA"/>
        </w:rPr>
        <w:lastRenderedPageBreak/>
        <w:t>28.10.2011</w:t>
      </w:r>
    </w:p>
    <w:p w:rsidR="00206680" w:rsidRPr="008A1FD8" w:rsidRDefault="00206680" w:rsidP="00206680">
      <w:pPr>
        <w:tabs>
          <w:tab w:val="left" w:pos="-1440"/>
          <w:tab w:val="left" w:pos="-720"/>
        </w:tabs>
        <w:jc w:val="both"/>
        <w:rPr>
          <w:rFonts w:cs="Times New Roman"/>
          <w:sz w:val="20"/>
          <w:szCs w:val="20"/>
          <w:lang w:val="fr-CA"/>
        </w:rPr>
      </w:pPr>
    </w:p>
    <w:p w:rsidR="00206680" w:rsidRPr="008A1FD8" w:rsidRDefault="00206680" w:rsidP="00206680">
      <w:pPr>
        <w:tabs>
          <w:tab w:val="left" w:pos="-1440"/>
          <w:tab w:val="left" w:pos="-720"/>
        </w:tabs>
        <w:jc w:val="both"/>
        <w:rPr>
          <w:rFonts w:cs="Times New Roman"/>
          <w:sz w:val="20"/>
          <w:szCs w:val="20"/>
          <w:lang w:val="fr-CA"/>
        </w:rPr>
      </w:pPr>
      <w:r w:rsidRPr="008A1FD8">
        <w:rPr>
          <w:rFonts w:cs="Times New Roman"/>
          <w:sz w:val="20"/>
          <w:szCs w:val="20"/>
          <w:lang w:val="fr-CA"/>
        </w:rPr>
        <w:t>Before / Devant :   ROTHSTEIN J. / LE JUGE ROTHSTEIN</w:t>
      </w:r>
    </w:p>
    <w:p w:rsidR="00206680" w:rsidRPr="008A1FD8" w:rsidRDefault="00206680" w:rsidP="002066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06680" w:rsidRPr="004163EF" w:rsidTr="004163EF">
        <w:tc>
          <w:tcPr>
            <w:tcW w:w="4338" w:type="dxa"/>
          </w:tcPr>
          <w:p w:rsidR="00206680" w:rsidRPr="008A1FD8" w:rsidRDefault="00FD0CB6" w:rsidP="004163EF">
            <w:pPr>
              <w:tabs>
                <w:tab w:val="left" w:pos="-1440"/>
                <w:tab w:val="left" w:pos="-720"/>
              </w:tabs>
              <w:jc w:val="both"/>
              <w:rPr>
                <w:rFonts w:cs="Times New Roman"/>
                <w:b/>
                <w:sz w:val="20"/>
                <w:szCs w:val="20"/>
              </w:rPr>
            </w:pPr>
            <w:r w:rsidRPr="008A1FD8">
              <w:rPr>
                <w:rFonts w:cs="Times New Roman"/>
                <w:sz w:val="20"/>
                <w:szCs w:val="20"/>
              </w:rPr>
              <w:fldChar w:fldCharType="begin"/>
            </w:r>
            <w:r w:rsidR="00206680" w:rsidRPr="008A1FD8">
              <w:rPr>
                <w:rFonts w:cs="Times New Roman"/>
                <w:sz w:val="20"/>
                <w:szCs w:val="20"/>
              </w:rPr>
              <w:instrText xml:space="preserve"> SEQ CHAPTER \h \r 1</w:instrText>
            </w:r>
            <w:r w:rsidRPr="008A1FD8">
              <w:rPr>
                <w:rFonts w:cs="Times New Roman"/>
                <w:sz w:val="20"/>
                <w:szCs w:val="20"/>
              </w:rPr>
              <w:fldChar w:fldCharType="end"/>
            </w:r>
            <w:r w:rsidRPr="008A1FD8">
              <w:rPr>
                <w:rFonts w:cs="Times New Roman"/>
                <w:sz w:val="20"/>
                <w:szCs w:val="20"/>
              </w:rPr>
              <w:fldChar w:fldCharType="begin"/>
            </w:r>
            <w:r w:rsidR="00206680" w:rsidRPr="008A1FD8">
              <w:rPr>
                <w:rFonts w:cs="Times New Roman"/>
                <w:sz w:val="20"/>
                <w:szCs w:val="20"/>
              </w:rPr>
              <w:instrText xml:space="preserve"> SEQ CHAPTER \h \r 1</w:instrText>
            </w:r>
            <w:r w:rsidRPr="008A1FD8">
              <w:rPr>
                <w:rFonts w:cs="Times New Roman"/>
                <w:sz w:val="20"/>
                <w:szCs w:val="20"/>
              </w:rPr>
              <w:fldChar w:fldCharType="end"/>
            </w:r>
            <w:r w:rsidR="00206680" w:rsidRPr="008A1FD8">
              <w:rPr>
                <w:rFonts w:cs="Times New Roman"/>
                <w:b/>
                <w:bCs/>
                <w:sz w:val="20"/>
                <w:szCs w:val="20"/>
              </w:rPr>
              <w:t>Motion to file a reply factum on appeal</w:t>
            </w:r>
          </w:p>
        </w:tc>
        <w:tc>
          <w:tcPr>
            <w:tcW w:w="1170" w:type="dxa"/>
          </w:tcPr>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p>
        </w:tc>
        <w:tc>
          <w:tcPr>
            <w:tcW w:w="4327" w:type="dxa"/>
          </w:tcPr>
          <w:p w:rsidR="00206680" w:rsidRPr="008A1FD8" w:rsidRDefault="00FD0CB6" w:rsidP="004163EF">
            <w:pPr>
              <w:tabs>
                <w:tab w:val="left" w:pos="-1440"/>
                <w:tab w:val="left" w:pos="-720"/>
              </w:tabs>
              <w:jc w:val="both"/>
              <w:rPr>
                <w:rFonts w:cs="Times New Roman"/>
                <w:sz w:val="20"/>
                <w:szCs w:val="20"/>
                <w:lang w:val="fr-CA"/>
              </w:rPr>
            </w:pPr>
            <w:r w:rsidRPr="008A1FD8">
              <w:rPr>
                <w:rFonts w:cs="Times New Roman"/>
                <w:sz w:val="20"/>
                <w:szCs w:val="20"/>
              </w:rPr>
              <w:fldChar w:fldCharType="begin"/>
            </w:r>
            <w:r w:rsidR="00206680" w:rsidRPr="008A1FD8">
              <w:rPr>
                <w:rFonts w:cs="Times New Roman"/>
                <w:sz w:val="20"/>
                <w:szCs w:val="20"/>
                <w:lang w:val="fr-CA"/>
              </w:rPr>
              <w:instrText xml:space="preserve"> SEQ CHAPTER \h \r 1</w:instrText>
            </w:r>
            <w:r w:rsidRPr="008A1FD8">
              <w:rPr>
                <w:rFonts w:cs="Times New Roman"/>
                <w:sz w:val="20"/>
                <w:szCs w:val="20"/>
              </w:rPr>
              <w:fldChar w:fldCharType="end"/>
            </w:r>
            <w:r w:rsidR="00206680" w:rsidRPr="008A1FD8">
              <w:rPr>
                <w:rFonts w:cs="Times New Roman"/>
                <w:b/>
                <w:bCs/>
                <w:sz w:val="20"/>
                <w:szCs w:val="20"/>
                <w:lang w:val="fr-CA"/>
              </w:rPr>
              <w:t>Requête en vue de déposer un mémoire en réplique concernant l’appel</w:t>
            </w:r>
            <w:r w:rsidRPr="008A1FD8">
              <w:rPr>
                <w:rFonts w:cs="Times New Roman"/>
                <w:sz w:val="20"/>
                <w:szCs w:val="20"/>
              </w:rPr>
              <w:fldChar w:fldCharType="begin"/>
            </w:r>
            <w:r w:rsidR="00206680" w:rsidRPr="008A1FD8">
              <w:rPr>
                <w:rFonts w:cs="Times New Roman"/>
                <w:sz w:val="20"/>
                <w:szCs w:val="20"/>
                <w:lang w:val="fr-CA"/>
              </w:rPr>
              <w:instrText xml:space="preserve"> SEQ CHAPTER \h \r 1</w:instrText>
            </w:r>
            <w:r w:rsidRPr="008A1FD8">
              <w:rPr>
                <w:rFonts w:cs="Times New Roman"/>
                <w:sz w:val="20"/>
                <w:szCs w:val="20"/>
              </w:rPr>
              <w:fldChar w:fldCharType="end"/>
            </w:r>
            <w:r w:rsidRPr="008A1FD8">
              <w:rPr>
                <w:rFonts w:cs="Times New Roman"/>
                <w:sz w:val="20"/>
                <w:szCs w:val="20"/>
              </w:rPr>
              <w:fldChar w:fldCharType="begin"/>
            </w:r>
            <w:r w:rsidR="00206680" w:rsidRPr="008A1FD8">
              <w:rPr>
                <w:rFonts w:cs="Times New Roman"/>
                <w:sz w:val="20"/>
                <w:szCs w:val="20"/>
                <w:lang w:val="fr-CA"/>
              </w:rPr>
              <w:instrText xml:space="preserve"> SEQ CHAPTER \h \r 1</w:instrText>
            </w:r>
            <w:r w:rsidRPr="008A1FD8">
              <w:rPr>
                <w:rFonts w:cs="Times New Roman"/>
                <w:sz w:val="20"/>
                <w:szCs w:val="20"/>
              </w:rPr>
              <w:fldChar w:fldCharType="end"/>
            </w:r>
          </w:p>
        </w:tc>
      </w:tr>
      <w:tr w:rsidR="00206680" w:rsidRPr="008A1FD8" w:rsidTr="004163EF">
        <w:tc>
          <w:tcPr>
            <w:tcW w:w="4338" w:type="dxa"/>
          </w:tcPr>
          <w:p w:rsidR="00206680" w:rsidRPr="008A1FD8" w:rsidRDefault="00206680" w:rsidP="004163EF">
            <w:pPr>
              <w:tabs>
                <w:tab w:val="left" w:pos="-1440"/>
                <w:tab w:val="left" w:pos="-720"/>
              </w:tabs>
              <w:jc w:val="both"/>
              <w:rPr>
                <w:rFonts w:cs="Times New Roman"/>
                <w:sz w:val="20"/>
                <w:szCs w:val="20"/>
              </w:rPr>
            </w:pPr>
            <w:r w:rsidRPr="008A1FD8">
              <w:rPr>
                <w:rFonts w:cs="Times New Roman"/>
                <w:sz w:val="20"/>
                <w:szCs w:val="20"/>
              </w:rPr>
              <w:t>Province of Alberta as represented by the Minister of Education; et al.</w:t>
            </w: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r w:rsidRPr="008A1FD8">
              <w:rPr>
                <w:rFonts w:cs="Times New Roman"/>
                <w:sz w:val="20"/>
                <w:szCs w:val="20"/>
              </w:rPr>
              <w:tab/>
              <w:t>v. (33888)</w:t>
            </w:r>
          </w:p>
          <w:p w:rsidR="00206680" w:rsidRPr="008A1FD8" w:rsidRDefault="00206680" w:rsidP="004163EF">
            <w:pPr>
              <w:tabs>
                <w:tab w:val="left" w:pos="-1440"/>
                <w:tab w:val="left" w:pos="-720"/>
              </w:tabs>
              <w:jc w:val="both"/>
              <w:rPr>
                <w:rFonts w:cs="Times New Roman"/>
                <w:sz w:val="20"/>
                <w:szCs w:val="20"/>
              </w:rPr>
            </w:pPr>
          </w:p>
          <w:p w:rsidR="00206680" w:rsidRPr="008A1FD8" w:rsidRDefault="00206680" w:rsidP="004163EF">
            <w:pPr>
              <w:tabs>
                <w:tab w:val="left" w:pos="-1440"/>
                <w:tab w:val="left" w:pos="-720"/>
              </w:tabs>
              <w:jc w:val="both"/>
              <w:rPr>
                <w:rFonts w:cs="Times New Roman"/>
                <w:sz w:val="20"/>
                <w:szCs w:val="20"/>
              </w:rPr>
            </w:pPr>
            <w:r w:rsidRPr="008A1FD8">
              <w:rPr>
                <w:rFonts w:cs="Times New Roman"/>
                <w:sz w:val="20"/>
                <w:szCs w:val="20"/>
              </w:rPr>
              <w:t>Canadian Copyright Licensing Agency Operating as "Access Copyright" (F.C.)</w:t>
            </w:r>
          </w:p>
        </w:tc>
        <w:tc>
          <w:tcPr>
            <w:tcW w:w="1170" w:type="dxa"/>
          </w:tcPr>
          <w:p w:rsidR="00206680" w:rsidRPr="008A1FD8" w:rsidRDefault="00206680" w:rsidP="004163EF">
            <w:pPr>
              <w:tabs>
                <w:tab w:val="left" w:pos="-1440"/>
                <w:tab w:val="left" w:pos="-720"/>
              </w:tabs>
              <w:jc w:val="both"/>
              <w:rPr>
                <w:rFonts w:cs="Times New Roman"/>
                <w:sz w:val="20"/>
                <w:szCs w:val="20"/>
              </w:rPr>
            </w:pPr>
          </w:p>
        </w:tc>
        <w:tc>
          <w:tcPr>
            <w:tcW w:w="4327" w:type="dxa"/>
          </w:tcPr>
          <w:p w:rsidR="00206680" w:rsidRPr="008A1FD8" w:rsidRDefault="00206680" w:rsidP="004163EF">
            <w:pPr>
              <w:tabs>
                <w:tab w:val="left" w:pos="-1440"/>
                <w:tab w:val="left" w:pos="-720"/>
              </w:tabs>
              <w:jc w:val="both"/>
              <w:rPr>
                <w:rFonts w:cs="Times New Roman"/>
                <w:sz w:val="20"/>
                <w:szCs w:val="20"/>
              </w:rPr>
            </w:pPr>
          </w:p>
        </w:tc>
      </w:tr>
    </w:tbl>
    <w:p w:rsidR="00206680" w:rsidRPr="008A1FD8" w:rsidRDefault="00206680" w:rsidP="00206680">
      <w:pPr>
        <w:tabs>
          <w:tab w:val="left" w:pos="-1440"/>
          <w:tab w:val="left" w:pos="-720"/>
        </w:tabs>
        <w:jc w:val="both"/>
        <w:rPr>
          <w:rFonts w:cs="Times New Roman"/>
          <w:sz w:val="20"/>
          <w:szCs w:val="20"/>
        </w:rPr>
      </w:pPr>
    </w:p>
    <w:p w:rsidR="00206680" w:rsidRPr="008A1FD8" w:rsidRDefault="00206680" w:rsidP="00206680">
      <w:pPr>
        <w:tabs>
          <w:tab w:val="left" w:pos="-1440"/>
          <w:tab w:val="left" w:pos="-720"/>
        </w:tabs>
        <w:jc w:val="both"/>
        <w:rPr>
          <w:rFonts w:cs="Times New Roman"/>
          <w:b/>
          <w:sz w:val="20"/>
          <w:szCs w:val="20"/>
        </w:rPr>
      </w:pPr>
      <w:r w:rsidRPr="008A1FD8">
        <w:rPr>
          <w:rFonts w:cs="Times New Roman"/>
          <w:b/>
          <w:sz w:val="20"/>
          <w:szCs w:val="20"/>
        </w:rPr>
        <w:t>GRANTED / ACCORDÉE</w:t>
      </w:r>
    </w:p>
    <w:p w:rsidR="00206680" w:rsidRPr="008A1FD8" w:rsidRDefault="00206680" w:rsidP="00206680">
      <w:pPr>
        <w:tabs>
          <w:tab w:val="left" w:pos="-1440"/>
          <w:tab w:val="left" w:pos="-720"/>
        </w:tabs>
        <w:jc w:val="both"/>
        <w:rPr>
          <w:rFonts w:cs="Times New Roman"/>
          <w:sz w:val="20"/>
          <w:szCs w:val="20"/>
          <w:lang w:val="fr-FR"/>
        </w:rPr>
      </w:pPr>
    </w:p>
    <w:p w:rsidR="00206680" w:rsidRPr="008A1FD8" w:rsidRDefault="00FD0CB6" w:rsidP="00206680">
      <w:pPr>
        <w:tabs>
          <w:tab w:val="left" w:pos="-1440"/>
          <w:tab w:val="left" w:pos="-720"/>
        </w:tabs>
        <w:jc w:val="both"/>
        <w:rPr>
          <w:rFonts w:cs="Times New Roman"/>
          <w:sz w:val="20"/>
          <w:szCs w:val="20"/>
          <w:lang w:val="fr-CA"/>
        </w:rPr>
      </w:pPr>
      <w:r w:rsidRPr="00FD0CB6">
        <w:rPr>
          <w:rFonts w:cs="Times New Roman"/>
          <w:sz w:val="20"/>
          <w:szCs w:val="20"/>
          <w:lang w:val="fr-CA"/>
        </w:rPr>
        <w:pict>
          <v:rect id="_x0000_i1063" style="width:2in;height:1pt" o:hrpct="0" o:hralign="center" o:hrstd="t" o:hrnoshade="t" o:hr="t" fillcolor="black [3213]" stroked="f"/>
        </w:pict>
      </w:r>
    </w:p>
    <w:p w:rsidR="00206680" w:rsidRPr="008A1FD8" w:rsidRDefault="00206680" w:rsidP="00206680">
      <w:pPr>
        <w:rPr>
          <w:rFonts w:cs="Times New Roman"/>
          <w:sz w:val="20"/>
          <w:szCs w:val="20"/>
          <w:lang w:val="fr-CA"/>
        </w:rPr>
      </w:pPr>
    </w:p>
    <w:p w:rsidR="00206680" w:rsidRPr="003B3977" w:rsidRDefault="00206680" w:rsidP="00206680">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4163E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206680" w:rsidRPr="0086165C" w:rsidRDefault="00206680" w:rsidP="00206680">
            <w:pPr>
              <w:rPr>
                <w:sz w:val="20"/>
                <w:szCs w:val="20"/>
                <w:lang w:val="fr-CA"/>
              </w:rPr>
            </w:pPr>
            <w:r w:rsidRPr="0086165C">
              <w:rPr>
                <w:sz w:val="20"/>
                <w:szCs w:val="20"/>
                <w:lang w:val="fr-CA"/>
              </w:rPr>
              <w:t>19.09.2011</w:t>
            </w:r>
          </w:p>
          <w:p w:rsidR="00206680" w:rsidRPr="0086165C" w:rsidRDefault="00206680" w:rsidP="00206680">
            <w:pPr>
              <w:rPr>
                <w:sz w:val="20"/>
                <w:szCs w:val="20"/>
                <w:lang w:val="fr-CA"/>
              </w:rPr>
            </w:pPr>
          </w:p>
          <w:p w:rsidR="00206680" w:rsidRPr="0086165C" w:rsidRDefault="00206680" w:rsidP="00206680">
            <w:pPr>
              <w:rPr>
                <w:b/>
                <w:sz w:val="20"/>
                <w:szCs w:val="20"/>
                <w:lang w:val="fr-CA"/>
              </w:rPr>
            </w:pPr>
            <w:r w:rsidRPr="0086165C">
              <w:rPr>
                <w:b/>
                <w:sz w:val="20"/>
                <w:szCs w:val="20"/>
                <w:lang w:val="fr-CA"/>
              </w:rPr>
              <w:t>Charles Picot</w:t>
            </w:r>
          </w:p>
          <w:p w:rsidR="00206680" w:rsidRPr="0086165C" w:rsidRDefault="00206680" w:rsidP="00206680">
            <w:pPr>
              <w:rPr>
                <w:b/>
                <w:sz w:val="20"/>
                <w:szCs w:val="20"/>
                <w:lang w:val="fr-CA"/>
              </w:rPr>
            </w:pPr>
          </w:p>
          <w:p w:rsidR="00206680" w:rsidRPr="0086165C" w:rsidRDefault="00206680" w:rsidP="00206680">
            <w:pPr>
              <w:rPr>
                <w:b/>
                <w:sz w:val="20"/>
                <w:szCs w:val="20"/>
                <w:lang w:val="fr-CA"/>
              </w:rPr>
            </w:pPr>
            <w:r w:rsidRPr="0086165C">
              <w:rPr>
                <w:b/>
                <w:sz w:val="20"/>
                <w:szCs w:val="20"/>
                <w:lang w:val="fr-CA"/>
              </w:rPr>
              <w:tab/>
              <w:t>c. (34499)</w:t>
            </w:r>
          </w:p>
          <w:p w:rsidR="00206680" w:rsidRPr="0086165C" w:rsidRDefault="00206680" w:rsidP="00206680">
            <w:pPr>
              <w:rPr>
                <w:b/>
                <w:sz w:val="20"/>
                <w:szCs w:val="20"/>
                <w:lang w:val="fr-CA"/>
              </w:rPr>
            </w:pPr>
          </w:p>
          <w:p w:rsidR="00206680" w:rsidRPr="0086165C" w:rsidRDefault="00206680" w:rsidP="00206680">
            <w:pPr>
              <w:rPr>
                <w:b/>
                <w:sz w:val="20"/>
                <w:szCs w:val="20"/>
                <w:lang w:val="fr-CA"/>
              </w:rPr>
            </w:pPr>
            <w:r w:rsidRPr="0086165C">
              <w:rPr>
                <w:b/>
                <w:sz w:val="20"/>
                <w:szCs w:val="20"/>
                <w:lang w:val="fr-CA"/>
              </w:rPr>
              <w:t>Sa Majesté la Reine (</w:t>
            </w:r>
            <w:r>
              <w:rPr>
                <w:b/>
                <w:sz w:val="20"/>
                <w:szCs w:val="20"/>
                <w:lang w:val="fr-CA"/>
              </w:rPr>
              <w:t>N.-B.</w:t>
            </w:r>
            <w:r w:rsidRPr="0086165C">
              <w:rPr>
                <w:b/>
                <w:sz w:val="20"/>
                <w:szCs w:val="20"/>
                <w:lang w:val="fr-CA"/>
              </w:rPr>
              <w:t>)</w:t>
            </w:r>
          </w:p>
          <w:p w:rsidR="00206680" w:rsidRPr="0086165C" w:rsidRDefault="00206680" w:rsidP="00206680">
            <w:pPr>
              <w:rPr>
                <w:sz w:val="20"/>
                <w:szCs w:val="20"/>
                <w:lang w:val="fr-CA"/>
              </w:rPr>
            </w:pPr>
          </w:p>
          <w:p w:rsidR="00206680" w:rsidRPr="0086165C" w:rsidRDefault="00206680" w:rsidP="00206680">
            <w:pPr>
              <w:rPr>
                <w:sz w:val="20"/>
                <w:szCs w:val="20"/>
                <w:lang w:val="fr-CA"/>
              </w:rPr>
            </w:pPr>
            <w:r w:rsidRPr="0086165C">
              <w:rPr>
                <w:sz w:val="20"/>
                <w:szCs w:val="20"/>
                <w:lang w:val="fr-CA"/>
              </w:rPr>
              <w:t>(</w:t>
            </w:r>
            <w:r>
              <w:rPr>
                <w:sz w:val="20"/>
                <w:szCs w:val="20"/>
                <w:lang w:val="fr-CA"/>
              </w:rPr>
              <w:t>De plein droit</w:t>
            </w:r>
            <w:r w:rsidRPr="0086165C">
              <w:rPr>
                <w:sz w:val="20"/>
                <w:szCs w:val="20"/>
                <w:lang w:val="fr-CA"/>
              </w:rPr>
              <w:t>)</w:t>
            </w:r>
          </w:p>
          <w:p w:rsidR="00206680" w:rsidRPr="0086165C" w:rsidRDefault="00206680" w:rsidP="00206680">
            <w:pPr>
              <w:rPr>
                <w:sz w:val="20"/>
                <w:szCs w:val="20"/>
                <w:lang w:val="fr-CA"/>
              </w:rPr>
            </w:pPr>
          </w:p>
          <w:p w:rsidR="0010587F" w:rsidRPr="003B3977" w:rsidRDefault="00FD0CB6" w:rsidP="003B3977">
            <w:pPr>
              <w:rPr>
                <w:sz w:val="20"/>
                <w:szCs w:val="20"/>
                <w:lang w:val="fr-CA"/>
              </w:rPr>
            </w:pPr>
            <w:r w:rsidRPr="00FD0CB6">
              <w:rPr>
                <w:sz w:val="20"/>
                <w:szCs w:val="20"/>
                <w:lang w:val="fr-CA"/>
              </w:rPr>
              <w:pict>
                <v:rect id="_x0000_i1066"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206680" w:rsidRDefault="00206680"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4163EF"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A6198B" w:rsidRDefault="00A6198B" w:rsidP="00C1697B">
            <w:pPr>
              <w:rPr>
                <w:sz w:val="20"/>
                <w:szCs w:val="20"/>
                <w:lang w:val="fr-CA"/>
              </w:rPr>
            </w:pPr>
            <w:r w:rsidRPr="00A6198B">
              <w:rPr>
                <w:sz w:val="20"/>
                <w:szCs w:val="20"/>
                <w:lang w:val="fr-CA"/>
              </w:rPr>
              <w:t>02</w:t>
            </w:r>
            <w:r w:rsidR="00C1697B" w:rsidRPr="00A6198B">
              <w:rPr>
                <w:sz w:val="20"/>
                <w:szCs w:val="20"/>
                <w:lang w:val="fr-CA"/>
              </w:rPr>
              <w:t>.</w:t>
            </w:r>
            <w:r w:rsidRPr="00A6198B">
              <w:rPr>
                <w:sz w:val="20"/>
                <w:szCs w:val="20"/>
                <w:lang w:val="fr-CA"/>
              </w:rPr>
              <w:t>11</w:t>
            </w:r>
            <w:r w:rsidR="00C1697B" w:rsidRPr="00A6198B">
              <w:rPr>
                <w:sz w:val="20"/>
                <w:szCs w:val="20"/>
                <w:lang w:val="fr-CA"/>
              </w:rPr>
              <w:t>.201</w:t>
            </w:r>
            <w:r w:rsidRPr="00A6198B">
              <w:rPr>
                <w:sz w:val="20"/>
                <w:szCs w:val="20"/>
                <w:lang w:val="fr-CA"/>
              </w:rPr>
              <w:t>1</w:t>
            </w:r>
          </w:p>
          <w:p w:rsidR="00C1697B" w:rsidRPr="00A6198B" w:rsidRDefault="00C1697B" w:rsidP="00C1697B">
            <w:pPr>
              <w:rPr>
                <w:sz w:val="20"/>
                <w:szCs w:val="20"/>
                <w:lang w:val="fr-CA"/>
              </w:rPr>
            </w:pPr>
          </w:p>
          <w:p w:rsidR="00C1697B" w:rsidRPr="00A6198B" w:rsidRDefault="00A6198B" w:rsidP="00C1697B">
            <w:pPr>
              <w:rPr>
                <w:b/>
                <w:sz w:val="20"/>
                <w:szCs w:val="20"/>
                <w:lang w:val="fr-CA"/>
              </w:rPr>
            </w:pPr>
            <w:r w:rsidRPr="00A6198B">
              <w:rPr>
                <w:b/>
                <w:sz w:val="20"/>
                <w:szCs w:val="20"/>
                <w:lang w:val="fr-CA"/>
              </w:rPr>
              <w:t>Joha</w:t>
            </w:r>
            <w:r w:rsidR="00C1697B" w:rsidRPr="00A6198B">
              <w:rPr>
                <w:b/>
                <w:sz w:val="20"/>
                <w:szCs w:val="20"/>
                <w:lang w:val="fr-CA"/>
              </w:rPr>
              <w:t>n</w:t>
            </w:r>
            <w:r w:rsidRPr="00A6198B">
              <w:rPr>
                <w:b/>
                <w:sz w:val="20"/>
                <w:szCs w:val="20"/>
                <w:lang w:val="fr-CA"/>
              </w:rPr>
              <w:t xml:space="preserve"> Sarrazin</w:t>
            </w:r>
          </w:p>
          <w:p w:rsidR="00C1697B" w:rsidRPr="00A6198B" w:rsidRDefault="00C1697B" w:rsidP="00C1697B">
            <w:pPr>
              <w:rPr>
                <w:b/>
                <w:sz w:val="20"/>
                <w:szCs w:val="20"/>
                <w:lang w:val="fr-CA"/>
              </w:rPr>
            </w:pPr>
          </w:p>
          <w:p w:rsidR="00C1697B" w:rsidRPr="00A6198B" w:rsidRDefault="00C1697B" w:rsidP="00C1697B">
            <w:pPr>
              <w:rPr>
                <w:b/>
                <w:sz w:val="20"/>
                <w:szCs w:val="20"/>
                <w:lang w:val="fr-CA"/>
              </w:rPr>
            </w:pPr>
            <w:r w:rsidRPr="00A6198B">
              <w:rPr>
                <w:b/>
                <w:sz w:val="20"/>
                <w:szCs w:val="20"/>
                <w:lang w:val="fr-CA"/>
              </w:rPr>
              <w:tab/>
            </w:r>
            <w:r w:rsidR="00A6198B" w:rsidRPr="00A6198B">
              <w:rPr>
                <w:b/>
                <w:sz w:val="20"/>
                <w:szCs w:val="20"/>
                <w:lang w:val="fr-CA"/>
              </w:rPr>
              <w:t>c</w:t>
            </w:r>
            <w:r w:rsidRPr="00A6198B">
              <w:rPr>
                <w:b/>
                <w:sz w:val="20"/>
                <w:szCs w:val="20"/>
                <w:lang w:val="fr-CA"/>
              </w:rPr>
              <w:t>. (33</w:t>
            </w:r>
            <w:r w:rsidR="00A6198B" w:rsidRPr="00A6198B">
              <w:rPr>
                <w:b/>
                <w:sz w:val="20"/>
                <w:szCs w:val="20"/>
                <w:lang w:val="fr-CA"/>
              </w:rPr>
              <w:t>7</w:t>
            </w:r>
            <w:r w:rsidRPr="00A6198B">
              <w:rPr>
                <w:b/>
                <w:sz w:val="20"/>
                <w:szCs w:val="20"/>
                <w:lang w:val="fr-CA"/>
              </w:rPr>
              <w:t>9</w:t>
            </w:r>
            <w:r w:rsidR="00A6198B" w:rsidRPr="00A6198B">
              <w:rPr>
                <w:b/>
                <w:sz w:val="20"/>
                <w:szCs w:val="20"/>
                <w:lang w:val="fr-CA"/>
              </w:rPr>
              <w:t>3</w:t>
            </w:r>
            <w:r w:rsidRPr="00A6198B">
              <w:rPr>
                <w:b/>
                <w:sz w:val="20"/>
                <w:szCs w:val="20"/>
                <w:lang w:val="fr-CA"/>
              </w:rPr>
              <w:t>)</w:t>
            </w:r>
          </w:p>
          <w:p w:rsidR="00C1697B" w:rsidRPr="00A6198B" w:rsidRDefault="00C1697B" w:rsidP="00C1697B">
            <w:pPr>
              <w:rPr>
                <w:b/>
                <w:sz w:val="20"/>
                <w:szCs w:val="20"/>
                <w:lang w:val="fr-CA"/>
              </w:rPr>
            </w:pPr>
          </w:p>
          <w:p w:rsidR="00C1697B" w:rsidRPr="00A6198B" w:rsidRDefault="00A6198B" w:rsidP="00C1697B">
            <w:pPr>
              <w:rPr>
                <w:b/>
                <w:sz w:val="20"/>
                <w:szCs w:val="20"/>
                <w:lang w:val="fr-CA"/>
              </w:rPr>
            </w:pPr>
            <w:r w:rsidRPr="00A6198B">
              <w:rPr>
                <w:b/>
                <w:sz w:val="20"/>
                <w:szCs w:val="20"/>
                <w:lang w:val="fr-CA"/>
              </w:rPr>
              <w:t>Procureur général du Québec et autres</w:t>
            </w:r>
            <w:r w:rsidR="00C1697B" w:rsidRPr="00A6198B">
              <w:rPr>
                <w:b/>
                <w:sz w:val="20"/>
                <w:szCs w:val="20"/>
                <w:lang w:val="fr-CA"/>
              </w:rPr>
              <w:t xml:space="preserve"> (</w:t>
            </w:r>
            <w:r w:rsidRPr="00A6198B">
              <w:rPr>
                <w:b/>
                <w:sz w:val="20"/>
                <w:szCs w:val="20"/>
                <w:lang w:val="fr-CA"/>
              </w:rPr>
              <w:t>Qc</w:t>
            </w:r>
            <w:r w:rsidR="00C1697B" w:rsidRPr="00A6198B">
              <w:rPr>
                <w:b/>
                <w:sz w:val="20"/>
                <w:szCs w:val="20"/>
                <w:lang w:val="fr-CA"/>
              </w:rPr>
              <w:t xml:space="preserve">) </w:t>
            </w:r>
          </w:p>
          <w:p w:rsidR="00C1697B" w:rsidRPr="00A6198B" w:rsidRDefault="00C1697B" w:rsidP="00C1697B">
            <w:pPr>
              <w:rPr>
                <w:sz w:val="20"/>
                <w:szCs w:val="20"/>
                <w:lang w:val="fr-CA"/>
              </w:rPr>
            </w:pPr>
          </w:p>
          <w:p w:rsidR="00C1697B" w:rsidRPr="00C50A5C" w:rsidRDefault="00C1697B" w:rsidP="00C1697B">
            <w:pPr>
              <w:rPr>
                <w:sz w:val="20"/>
                <w:szCs w:val="20"/>
              </w:rPr>
            </w:pPr>
            <w:r w:rsidRPr="00C50A5C">
              <w:rPr>
                <w:sz w:val="20"/>
                <w:szCs w:val="20"/>
              </w:rPr>
              <w:t>(</w:t>
            </w:r>
            <w:r w:rsidR="00A6198B">
              <w:rPr>
                <w:sz w:val="20"/>
                <w:szCs w:val="20"/>
              </w:rPr>
              <w:t>Autorisation</w:t>
            </w:r>
            <w:r w:rsidRPr="00C50A5C">
              <w:rPr>
                <w:sz w:val="20"/>
                <w:szCs w:val="20"/>
              </w:rPr>
              <w:t>)</w:t>
            </w:r>
          </w:p>
          <w:p w:rsidR="00802863" w:rsidRPr="00C50A5C" w:rsidRDefault="00802863" w:rsidP="00697C62">
            <w:pPr>
              <w:rPr>
                <w:sz w:val="20"/>
                <w:szCs w:val="20"/>
              </w:rPr>
            </w:pPr>
          </w:p>
          <w:p w:rsidR="00802863" w:rsidRPr="00C50A5C" w:rsidRDefault="00FD0CB6" w:rsidP="00697C62">
            <w:pPr>
              <w:rPr>
                <w:sz w:val="20"/>
                <w:szCs w:val="20"/>
                <w:lang w:val="fr-CA"/>
              </w:rPr>
            </w:pPr>
            <w:r w:rsidRPr="00FD0CB6">
              <w:rPr>
                <w:sz w:val="20"/>
                <w:szCs w:val="20"/>
                <w:lang w:val="fr-CA"/>
              </w:rPr>
              <w:pict>
                <v:rect id="_x0000_i1069"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4163E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F1715" w:rsidP="00AF1715">
      <w:pPr>
        <w:rPr>
          <w:b/>
          <w:sz w:val="20"/>
          <w:szCs w:val="20"/>
        </w:rPr>
      </w:pPr>
      <w:r w:rsidRPr="003B3977">
        <w:rPr>
          <w:b/>
          <w:sz w:val="20"/>
          <w:szCs w:val="20"/>
        </w:rPr>
        <w:t>NOVEMBER 4, 201</w:t>
      </w:r>
      <w:r w:rsidR="00CB7F14">
        <w:rPr>
          <w:b/>
          <w:sz w:val="20"/>
          <w:szCs w:val="20"/>
        </w:rPr>
        <w:t>1</w:t>
      </w:r>
      <w:r w:rsidRPr="003B3977">
        <w:rPr>
          <w:b/>
          <w:sz w:val="20"/>
          <w:szCs w:val="20"/>
        </w:rPr>
        <w:t xml:space="preserve"> / LE 4 NOVEMBRE 201</w:t>
      </w:r>
      <w:r w:rsidR="00CB7F14">
        <w:rPr>
          <w:b/>
          <w:sz w:val="20"/>
          <w:szCs w:val="20"/>
        </w:rPr>
        <w:t>1</w:t>
      </w:r>
    </w:p>
    <w:p w:rsidR="00AF1715" w:rsidRDefault="00AF1715" w:rsidP="00AF1715">
      <w:pPr>
        <w:rPr>
          <w:sz w:val="20"/>
          <w:szCs w:val="20"/>
        </w:rPr>
      </w:pPr>
    </w:p>
    <w:p w:rsidR="00C76F35" w:rsidRPr="0049368E" w:rsidRDefault="00C76F35" w:rsidP="00C76F35">
      <w:pPr>
        <w:ind w:left="1440" w:hanging="1440"/>
        <w:jc w:val="both"/>
        <w:rPr>
          <w:rFonts w:eastAsia="Calibri" w:cs="Times New Roman"/>
          <w:b/>
          <w:sz w:val="20"/>
          <w:szCs w:val="20"/>
        </w:rPr>
      </w:pPr>
      <w:r w:rsidRPr="0049368E">
        <w:rPr>
          <w:rFonts w:eastAsia="Calibri" w:cs="Times New Roman"/>
          <w:b/>
          <w:sz w:val="20"/>
          <w:szCs w:val="20"/>
        </w:rPr>
        <w:t>33917</w:t>
      </w:r>
      <w:r w:rsidRPr="0049368E">
        <w:rPr>
          <w:rFonts w:eastAsia="Calibri" w:cs="Times New Roman"/>
          <w:sz w:val="20"/>
          <w:szCs w:val="20"/>
        </w:rPr>
        <w:tab/>
      </w:r>
      <w:r w:rsidRPr="0049368E">
        <w:rPr>
          <w:rFonts w:eastAsia="Calibri" w:cs="Times New Roman"/>
          <w:b/>
          <w:sz w:val="20"/>
          <w:szCs w:val="20"/>
          <w:u w:val="single"/>
        </w:rPr>
        <w:t>Her Majesty the Queen</w:t>
      </w:r>
      <w:r w:rsidRPr="0049368E">
        <w:rPr>
          <w:rFonts w:eastAsia="Calibri" w:cs="Times New Roman"/>
          <w:b/>
          <w:bCs/>
          <w:iCs/>
          <w:sz w:val="20"/>
          <w:szCs w:val="20"/>
          <w:u w:val="single"/>
        </w:rPr>
        <w:t xml:space="preserve"> v. Robert Sarrazin and Darlind Jean</w:t>
      </w:r>
      <w:r w:rsidRPr="0049368E">
        <w:rPr>
          <w:rFonts w:eastAsia="Calibri" w:cs="Times New Roman"/>
          <w:b/>
          <w:bCs/>
          <w:iCs/>
          <w:sz w:val="20"/>
          <w:szCs w:val="20"/>
        </w:rPr>
        <w:t xml:space="preserve"> </w:t>
      </w:r>
      <w:r w:rsidRPr="0049368E">
        <w:rPr>
          <w:rFonts w:eastAsia="Calibri" w:cs="Times New Roman"/>
          <w:sz w:val="20"/>
          <w:szCs w:val="20"/>
        </w:rPr>
        <w:t>(Ont.)</w:t>
      </w:r>
    </w:p>
    <w:p w:rsidR="00C76F35" w:rsidRPr="0049368E" w:rsidRDefault="00C76F35" w:rsidP="00C76F35">
      <w:pPr>
        <w:ind w:left="1440" w:hanging="1440"/>
        <w:jc w:val="both"/>
        <w:rPr>
          <w:rFonts w:eastAsia="Calibri" w:cs="Times New Roman"/>
          <w:b/>
          <w:sz w:val="20"/>
          <w:szCs w:val="20"/>
        </w:rPr>
      </w:pPr>
      <w:r w:rsidRPr="0049368E">
        <w:rPr>
          <w:rFonts w:eastAsia="Calibri" w:cs="Times New Roman"/>
          <w:b/>
          <w:sz w:val="20"/>
          <w:szCs w:val="20"/>
        </w:rPr>
        <w:tab/>
        <w:t>2011 SCC 54 / 2011 CSC 54</w:t>
      </w:r>
    </w:p>
    <w:p w:rsidR="00C76F35" w:rsidRPr="0049368E" w:rsidRDefault="00C76F35" w:rsidP="00C76F35">
      <w:pPr>
        <w:ind w:left="1440" w:hanging="1440"/>
        <w:jc w:val="both"/>
        <w:rPr>
          <w:rFonts w:eastAsia="Calibri" w:cs="Times New Roman"/>
          <w:b/>
          <w:sz w:val="20"/>
          <w:szCs w:val="20"/>
        </w:rPr>
      </w:pPr>
    </w:p>
    <w:p w:rsidR="00C76F35" w:rsidRPr="0049368E" w:rsidRDefault="00C76F35" w:rsidP="00C76F35">
      <w:pPr>
        <w:ind w:left="1440" w:hanging="1440"/>
        <w:jc w:val="both"/>
        <w:rPr>
          <w:rFonts w:eastAsia="Calibri" w:cs="Times New Roman"/>
          <w:sz w:val="20"/>
          <w:szCs w:val="20"/>
          <w:u w:val="single"/>
        </w:rPr>
      </w:pPr>
      <w:r w:rsidRPr="0049368E">
        <w:rPr>
          <w:rFonts w:eastAsia="Calibri" w:cs="Times New Roman"/>
          <w:sz w:val="20"/>
          <w:szCs w:val="20"/>
        </w:rPr>
        <w:t>Coram:</w:t>
      </w:r>
      <w:r>
        <w:rPr>
          <w:sz w:val="20"/>
          <w:szCs w:val="20"/>
        </w:rPr>
        <w:tab/>
      </w:r>
      <w:r w:rsidRPr="0049368E">
        <w:rPr>
          <w:rFonts w:eastAsia="Calibri" w:cs="Times New Roman"/>
          <w:sz w:val="20"/>
          <w:szCs w:val="20"/>
          <w:u w:val="single"/>
        </w:rPr>
        <w:t>McLachlin C.J. and Binnie, LeBel, Deschamps, Fish, Abella, Charron, Rothstein and Cromwell JJ.</w:t>
      </w:r>
    </w:p>
    <w:p w:rsidR="00C76F35" w:rsidRPr="0049368E" w:rsidRDefault="00C76F35" w:rsidP="00C76F3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C76F35" w:rsidRPr="0049368E" w:rsidRDefault="00C76F35" w:rsidP="00C76F35">
      <w:pPr>
        <w:jc w:val="both"/>
        <w:rPr>
          <w:rFonts w:eastAsia="Calibri" w:cs="Times New Roman"/>
          <w:sz w:val="20"/>
          <w:szCs w:val="20"/>
        </w:rPr>
      </w:pPr>
      <w:r w:rsidRPr="0049368E">
        <w:rPr>
          <w:rFonts w:eastAsia="Calibri" w:cs="Times New Roman"/>
          <w:sz w:val="20"/>
          <w:szCs w:val="20"/>
        </w:rPr>
        <w:t>The appeal from the judgment of the Court of Appeal for Ontario, Numbers C47693  and C48209, 2010 ONCA 577, dated September 9, 2010, heard on April 18, 2011, is dismissed, Deschamps, Rothstein and Cromwell JJ. dissenting.</w:t>
      </w:r>
    </w:p>
    <w:p w:rsidR="00C76F35" w:rsidRPr="0049368E" w:rsidRDefault="00C76F35" w:rsidP="00C76F35">
      <w:pPr>
        <w:jc w:val="both"/>
        <w:rPr>
          <w:rFonts w:eastAsia="Calibri" w:cs="Times New Roman"/>
          <w:sz w:val="20"/>
          <w:szCs w:val="20"/>
        </w:rPr>
      </w:pPr>
    </w:p>
    <w:p w:rsidR="00C76F35" w:rsidRPr="0049368E" w:rsidRDefault="00C76F35" w:rsidP="00C76F35">
      <w:pPr>
        <w:jc w:val="both"/>
        <w:rPr>
          <w:rFonts w:eastAsia="Calibri" w:cs="Times New Roman"/>
          <w:sz w:val="20"/>
          <w:szCs w:val="20"/>
        </w:rPr>
      </w:pPr>
      <w:r w:rsidRPr="0049368E">
        <w:rPr>
          <w:rFonts w:eastAsia="Calibri" w:cs="Times New Roman"/>
          <w:sz w:val="20"/>
          <w:szCs w:val="20"/>
          <w:lang w:val="fr-CA"/>
        </w:rPr>
        <w:t xml:space="preserve">L’appel interjeté contre l’arrêt de la Cour d’appel de l’Ontario, numéros C47693 et C48209, 2010 ONCA 577, en date du 9 septembre 2010, entendu le 18 avril 2011, est rejeté.  Les juges Deschamps, Rothstein et Cromwell sont dissidents. </w:t>
      </w:r>
    </w:p>
    <w:p w:rsidR="00CB7F14" w:rsidRDefault="00CB7F14" w:rsidP="00AF1715">
      <w:pPr>
        <w:rPr>
          <w:sz w:val="20"/>
          <w:szCs w:val="20"/>
        </w:rPr>
      </w:pPr>
    </w:p>
    <w:p w:rsidR="00AF1715" w:rsidRDefault="00FD0CB6" w:rsidP="00AF1715">
      <w:pPr>
        <w:spacing w:line="0" w:lineRule="atLeast"/>
        <w:rPr>
          <w:b/>
          <w:sz w:val="20"/>
          <w:szCs w:val="20"/>
        </w:rPr>
      </w:pPr>
      <w:r w:rsidRPr="00FD0CB6">
        <w:rPr>
          <w:b/>
          <w:sz w:val="20"/>
          <w:szCs w:val="20"/>
        </w:rPr>
        <w:pict>
          <v:rect id="_x0000_i1072" style="width:144.3pt;height:1pt" o:hrpct="300" o:hralign="center" o:hrstd="t" o:hrnoshade="t" o:hr="t" fillcolor="black [3213]" stroked="f"/>
        </w:pict>
      </w:r>
    </w:p>
    <w:p w:rsidR="00C76F35" w:rsidRDefault="00C76F35" w:rsidP="00AF1715">
      <w:pPr>
        <w:spacing w:line="0" w:lineRule="atLeast"/>
        <w:rPr>
          <w:b/>
          <w:sz w:val="20"/>
          <w:szCs w:val="20"/>
        </w:rPr>
      </w:pPr>
    </w:p>
    <w:p w:rsidR="00C76F35" w:rsidRPr="003B3977" w:rsidRDefault="00C76F35" w:rsidP="00AF1715">
      <w:pPr>
        <w:spacing w:line="0" w:lineRule="atLeast"/>
        <w:rPr>
          <w:sz w:val="20"/>
          <w:szCs w:val="20"/>
        </w:rPr>
      </w:pPr>
    </w:p>
    <w:p w:rsidR="00AF1715" w:rsidRPr="003B3977" w:rsidRDefault="00AF1715" w:rsidP="00AF1715">
      <w:pPr>
        <w:spacing w:line="0" w:lineRule="atLeast"/>
        <w:rPr>
          <w:sz w:val="20"/>
          <w:szCs w:val="20"/>
        </w:rPr>
      </w:pPr>
    </w:p>
    <w:p w:rsidR="00697C62" w:rsidRPr="00C50A5C" w:rsidRDefault="00697C62" w:rsidP="00732DB7">
      <w:pPr>
        <w:widowControl w:val="0"/>
        <w:rPr>
          <w:sz w:val="20"/>
          <w:szCs w:val="20"/>
        </w:rPr>
        <w:sectPr w:rsidR="00697C62" w:rsidRPr="00C50A5C"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4163EF" w:rsidRPr="004163EF" w:rsidRDefault="004163EF" w:rsidP="004163EF">
      <w:pPr>
        <w:ind w:left="810" w:hanging="810"/>
        <w:rPr>
          <w:sz w:val="20"/>
          <w:szCs w:val="20"/>
          <w:lang w:val="fr-CA"/>
        </w:rPr>
      </w:pPr>
      <w:r w:rsidRPr="00FF1BCA">
        <w:rPr>
          <w:i/>
          <w:sz w:val="20"/>
          <w:szCs w:val="20"/>
        </w:rPr>
        <w:t xml:space="preserve">Her Majesty the Queen v. Robert Sarrazin et al. </w:t>
      </w:r>
      <w:r w:rsidRPr="004163EF">
        <w:rPr>
          <w:sz w:val="20"/>
          <w:szCs w:val="20"/>
          <w:lang w:val="fr-CA"/>
        </w:rPr>
        <w:t>(Ont.) (33917)</w:t>
      </w:r>
    </w:p>
    <w:p w:rsidR="004163EF" w:rsidRPr="004163EF" w:rsidRDefault="004163EF" w:rsidP="004163EF">
      <w:pPr>
        <w:jc w:val="both"/>
        <w:rPr>
          <w:rFonts w:cs="Times New Roman"/>
          <w:b/>
          <w:sz w:val="20"/>
          <w:szCs w:val="20"/>
          <w:lang w:val="fr-CA"/>
        </w:rPr>
      </w:pPr>
      <w:r w:rsidRPr="004163EF">
        <w:rPr>
          <w:rFonts w:cs="Times New Roman"/>
          <w:b/>
          <w:sz w:val="20"/>
          <w:szCs w:val="20"/>
          <w:lang w:val="fr-CA"/>
        </w:rPr>
        <w:t xml:space="preserve">Indexed as:  </w:t>
      </w:r>
      <w:r w:rsidRPr="004163EF">
        <w:rPr>
          <w:rStyle w:val="SCCAppellantForIndexChar"/>
          <w:rFonts w:eastAsiaTheme="minorHAnsi"/>
          <w:sz w:val="20"/>
        </w:rPr>
        <w:t>R.</w:t>
      </w:r>
      <w:r w:rsidRPr="004163EF">
        <w:rPr>
          <w:rFonts w:cs="Times New Roman"/>
          <w:b/>
          <w:sz w:val="20"/>
          <w:szCs w:val="20"/>
          <w:lang w:val="fr-CA"/>
        </w:rPr>
        <w:t xml:space="preserve"> </w:t>
      </w:r>
      <w:r w:rsidRPr="004163EF">
        <w:rPr>
          <w:rFonts w:cs="Times New Roman"/>
          <w:b/>
          <w:i/>
          <w:sz w:val="20"/>
          <w:szCs w:val="20"/>
          <w:lang w:val="fr-CA"/>
        </w:rPr>
        <w:t>v.</w:t>
      </w:r>
      <w:r w:rsidRPr="004163EF">
        <w:rPr>
          <w:rFonts w:cs="Times New Roman"/>
          <w:b/>
          <w:sz w:val="20"/>
          <w:szCs w:val="20"/>
          <w:lang w:val="fr-CA"/>
        </w:rPr>
        <w:t xml:space="preserve"> </w:t>
      </w:r>
      <w:r w:rsidRPr="004163EF">
        <w:rPr>
          <w:rStyle w:val="SCCRespondentForIndexChar"/>
          <w:rFonts w:eastAsiaTheme="minorHAnsi"/>
          <w:sz w:val="20"/>
          <w:lang w:val="fr-CA"/>
        </w:rPr>
        <w:t xml:space="preserve">Sarrazin / </w:t>
      </w:r>
      <w:r w:rsidRPr="004163EF">
        <w:rPr>
          <w:rFonts w:cs="Times New Roman"/>
          <w:b/>
          <w:sz w:val="20"/>
          <w:szCs w:val="20"/>
          <w:lang w:val="fr-CA"/>
        </w:rPr>
        <w:t>Répertorié : </w:t>
      </w:r>
      <w:r w:rsidRPr="007C3243">
        <w:rPr>
          <w:rStyle w:val="SCCAppellantForIndexChar"/>
          <w:rFonts w:eastAsiaTheme="minorHAnsi"/>
          <w:sz w:val="20"/>
        </w:rPr>
        <w:t>R.</w:t>
      </w:r>
      <w:r w:rsidRPr="004163EF">
        <w:rPr>
          <w:rFonts w:cs="Times New Roman"/>
          <w:b/>
          <w:sz w:val="20"/>
          <w:szCs w:val="20"/>
          <w:lang w:val="fr-CA"/>
        </w:rPr>
        <w:t xml:space="preserve"> </w:t>
      </w:r>
      <w:r w:rsidRPr="004163EF">
        <w:rPr>
          <w:rFonts w:cs="Times New Roman"/>
          <w:b/>
          <w:i/>
          <w:sz w:val="20"/>
          <w:szCs w:val="20"/>
          <w:lang w:val="fr-CA"/>
        </w:rPr>
        <w:t>c.</w:t>
      </w:r>
      <w:r w:rsidRPr="004163EF">
        <w:rPr>
          <w:rFonts w:cs="Times New Roman"/>
          <w:b/>
          <w:sz w:val="20"/>
          <w:szCs w:val="20"/>
          <w:lang w:val="fr-CA"/>
        </w:rPr>
        <w:t xml:space="preserve"> </w:t>
      </w:r>
      <w:r w:rsidRPr="004163EF">
        <w:rPr>
          <w:rStyle w:val="SCCRespondentForIndexChar"/>
          <w:rFonts w:eastAsiaTheme="minorHAnsi"/>
          <w:sz w:val="20"/>
          <w:lang w:val="fr-CA"/>
        </w:rPr>
        <w:t>Sarrazin</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FB5394">
        <w:rPr>
          <w:sz w:val="20"/>
        </w:rPr>
        <w:t>54</w:t>
      </w:r>
      <w:r w:rsidRPr="003B3977">
        <w:rPr>
          <w:sz w:val="20"/>
        </w:rPr>
        <w:t xml:space="preserve"> / Référence neutre : 201</w:t>
      </w:r>
      <w:r w:rsidR="007F387B">
        <w:rPr>
          <w:sz w:val="20"/>
        </w:rPr>
        <w:t>1</w:t>
      </w:r>
      <w:r w:rsidRPr="003B3977">
        <w:rPr>
          <w:sz w:val="20"/>
        </w:rPr>
        <w:t xml:space="preserve"> CSC </w:t>
      </w:r>
      <w:r w:rsidR="00FB5394">
        <w:rPr>
          <w:sz w:val="20"/>
        </w:rPr>
        <w:t>54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4163EF">
        <w:rPr>
          <w:rFonts w:cs="Times New Roman"/>
          <w:sz w:val="20"/>
          <w:szCs w:val="20"/>
          <w:lang w:val="fr-CA"/>
        </w:rPr>
        <w:t>April 1</w:t>
      </w:r>
      <w:r w:rsidRPr="003B3977">
        <w:rPr>
          <w:rFonts w:cs="Times New Roman"/>
          <w:sz w:val="20"/>
          <w:szCs w:val="20"/>
          <w:lang w:val="fr-CA"/>
        </w:rPr>
        <w:t>8, 201</w:t>
      </w:r>
      <w:r w:rsidR="004163EF">
        <w:rPr>
          <w:rFonts w:cs="Times New Roman"/>
          <w:sz w:val="20"/>
          <w:szCs w:val="20"/>
          <w:lang w:val="fr-CA"/>
        </w:rPr>
        <w:t>1</w:t>
      </w:r>
      <w:r w:rsidRPr="003B3977">
        <w:rPr>
          <w:rFonts w:cs="Times New Roman"/>
          <w:sz w:val="20"/>
          <w:szCs w:val="20"/>
          <w:lang w:val="fr-CA"/>
        </w:rPr>
        <w:t xml:space="preserve"> / Judgment:  </w:t>
      </w:r>
      <w:r w:rsidR="00FB5394">
        <w:rPr>
          <w:rFonts w:cs="Times New Roman"/>
          <w:sz w:val="20"/>
          <w:szCs w:val="20"/>
          <w:lang w:val="fr-CA"/>
        </w:rPr>
        <w:t>November 4</w:t>
      </w:r>
      <w:r w:rsidRPr="003B3977">
        <w:rPr>
          <w:rFonts w:cs="Times New Roman"/>
          <w:sz w:val="20"/>
          <w:szCs w:val="20"/>
          <w:lang w:val="fr-CA"/>
        </w:rPr>
        <w:t>, 201</w:t>
      </w:r>
      <w:r w:rsidR="00FB5394">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4163EF">
        <w:rPr>
          <w:rFonts w:cs="Times New Roman"/>
          <w:sz w:val="20"/>
          <w:szCs w:val="20"/>
          <w:lang w:val="fr-CA"/>
        </w:rPr>
        <w:t>1</w:t>
      </w:r>
      <w:r w:rsidRPr="003B3977">
        <w:rPr>
          <w:rFonts w:cs="Times New Roman"/>
          <w:sz w:val="20"/>
          <w:szCs w:val="20"/>
          <w:lang w:val="fr-CA"/>
        </w:rPr>
        <w:t xml:space="preserve">8 </w:t>
      </w:r>
      <w:r w:rsidR="004163EF">
        <w:rPr>
          <w:rFonts w:cs="Times New Roman"/>
          <w:sz w:val="20"/>
          <w:szCs w:val="20"/>
          <w:lang w:val="fr-CA"/>
        </w:rPr>
        <w:t>av</w:t>
      </w:r>
      <w:r w:rsidRPr="003B3977">
        <w:rPr>
          <w:rFonts w:cs="Times New Roman"/>
          <w:sz w:val="20"/>
          <w:szCs w:val="20"/>
          <w:lang w:val="fr-CA"/>
        </w:rPr>
        <w:t>r</w:t>
      </w:r>
      <w:r w:rsidR="004163EF">
        <w:rPr>
          <w:rFonts w:cs="Times New Roman"/>
          <w:sz w:val="20"/>
          <w:szCs w:val="20"/>
          <w:lang w:val="fr-CA"/>
        </w:rPr>
        <w:t>il</w:t>
      </w:r>
      <w:r w:rsidRPr="003B3977">
        <w:rPr>
          <w:rFonts w:cs="Times New Roman"/>
          <w:sz w:val="20"/>
          <w:szCs w:val="20"/>
          <w:lang w:val="fr-CA"/>
        </w:rPr>
        <w:t xml:space="preserve"> 201</w:t>
      </w:r>
      <w:r w:rsidR="004163EF">
        <w:rPr>
          <w:rFonts w:cs="Times New Roman"/>
          <w:sz w:val="20"/>
          <w:szCs w:val="20"/>
          <w:lang w:val="fr-CA"/>
        </w:rPr>
        <w:t>1</w:t>
      </w:r>
      <w:r w:rsidRPr="003B3977">
        <w:rPr>
          <w:rFonts w:cs="Times New Roman"/>
          <w:sz w:val="20"/>
          <w:szCs w:val="20"/>
          <w:lang w:val="fr-CA"/>
        </w:rPr>
        <w:t xml:space="preserve"> / Jugement : Le </w:t>
      </w:r>
      <w:r w:rsidR="00FB5394">
        <w:rPr>
          <w:rFonts w:cs="Times New Roman"/>
          <w:sz w:val="20"/>
          <w:szCs w:val="20"/>
          <w:lang w:val="fr-CA"/>
        </w:rPr>
        <w:t>4 novemb</w:t>
      </w:r>
      <w:r w:rsidRPr="003B3977">
        <w:rPr>
          <w:rFonts w:cs="Times New Roman"/>
          <w:sz w:val="20"/>
          <w:szCs w:val="20"/>
          <w:lang w:val="fr-CA"/>
        </w:rPr>
        <w:t>re 201</w:t>
      </w:r>
      <w:r w:rsidR="00FB5394">
        <w:rPr>
          <w:rFonts w:cs="Times New Roman"/>
          <w:sz w:val="20"/>
          <w:szCs w:val="20"/>
          <w:lang w:val="fr-CA"/>
        </w:rPr>
        <w:t>1</w:t>
      </w:r>
    </w:p>
    <w:p w:rsidR="005C6840" w:rsidRPr="003B3977" w:rsidRDefault="00FD0CB6" w:rsidP="005C6840">
      <w:pPr>
        <w:rPr>
          <w:rFonts w:cs="Times New Roman"/>
          <w:sz w:val="20"/>
          <w:szCs w:val="20"/>
          <w:lang w:val="fr-CA"/>
        </w:rPr>
      </w:pPr>
      <w:r w:rsidRPr="00FD0CB6">
        <w:rPr>
          <w:rFonts w:cs="Times New Roman"/>
          <w:i/>
          <w:sz w:val="20"/>
          <w:szCs w:val="20"/>
        </w:rPr>
        <w:pict>
          <v:rect id="_x0000_i107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4163EF" w:rsidRPr="00E76734" w:rsidRDefault="004163EF" w:rsidP="004163EF">
      <w:pPr>
        <w:jc w:val="both"/>
        <w:rPr>
          <w:rFonts w:cs="Times New Roman"/>
          <w:sz w:val="20"/>
          <w:szCs w:val="20"/>
        </w:rPr>
      </w:pPr>
      <w:r w:rsidRPr="00E76734">
        <w:rPr>
          <w:rFonts w:cs="Times New Roman"/>
          <w:sz w:val="20"/>
          <w:szCs w:val="20"/>
        </w:rPr>
        <w:t>Present:  McLachlin C.J. and Binnie, LeBel, Deschamps, Fish, Abella, Charron, Rothstein and Cromwell JJ.</w:t>
      </w:r>
    </w:p>
    <w:p w:rsidR="004163EF" w:rsidRDefault="004163EF" w:rsidP="004163EF">
      <w:pPr>
        <w:pStyle w:val="SCCLowerCourtNameLowercase"/>
        <w:spacing w:line="240" w:lineRule="auto"/>
        <w:rPr>
          <w:sz w:val="20"/>
        </w:rPr>
      </w:pPr>
    </w:p>
    <w:p w:rsidR="004163EF" w:rsidRPr="00E76734" w:rsidRDefault="004163EF" w:rsidP="004163EF">
      <w:pPr>
        <w:jc w:val="both"/>
        <w:rPr>
          <w:rFonts w:cs="Times New Roman"/>
          <w:i/>
          <w:sz w:val="20"/>
          <w:szCs w:val="20"/>
        </w:rPr>
      </w:pPr>
      <w:r w:rsidRPr="00E76734">
        <w:rPr>
          <w:rFonts w:cs="Times New Roman"/>
          <w:sz w:val="20"/>
          <w:szCs w:val="20"/>
        </w:rPr>
        <w:tab/>
      </w:r>
      <w:r w:rsidRPr="00E76734">
        <w:rPr>
          <w:rFonts w:cs="Times New Roman"/>
          <w:i/>
          <w:sz w:val="20"/>
          <w:szCs w:val="20"/>
        </w:rPr>
        <w:t>Criminal Law — Charge to jury — Included offences — Attempted murder — Accused charged with second degree murder — Whether the potential verdict of attempted murder should have been left with the jury.</w:t>
      </w:r>
    </w:p>
    <w:p w:rsidR="004163EF" w:rsidRPr="00E76734" w:rsidRDefault="004163EF" w:rsidP="004163EF">
      <w:pPr>
        <w:pStyle w:val="SCCNormalDoubleSpacing"/>
        <w:spacing w:line="240" w:lineRule="auto"/>
        <w:rPr>
          <w:sz w:val="20"/>
        </w:rPr>
      </w:pPr>
    </w:p>
    <w:p w:rsidR="004163EF" w:rsidRPr="00E76734" w:rsidRDefault="004163EF" w:rsidP="004163EF">
      <w:pPr>
        <w:pStyle w:val="SCCNormalDoubleSpacing"/>
        <w:spacing w:line="240" w:lineRule="auto"/>
        <w:rPr>
          <w:sz w:val="20"/>
        </w:rPr>
      </w:pPr>
      <w:r w:rsidRPr="00E76734">
        <w:rPr>
          <w:i/>
          <w:sz w:val="20"/>
        </w:rPr>
        <w:tab/>
        <w:t>Criminal Law — Appeals — Powers of the Court of Appeal — Application of curative proviso — Whether requirements for application of proviso should be relaxed — Whether proviso applies in this case — If so, whether conviction can be upheld pursuant to curative proviso — Criminal Code, R.S.C. 1985, c. C</w:t>
      </w:r>
      <w:r w:rsidRPr="00E76734">
        <w:rPr>
          <w:rFonts w:eastAsia="MS Mincho"/>
          <w:i/>
          <w:sz w:val="20"/>
        </w:rPr>
        <w:noBreakHyphen/>
      </w:r>
      <w:r w:rsidRPr="00E76734">
        <w:rPr>
          <w:i/>
          <w:sz w:val="20"/>
        </w:rPr>
        <w:t>46, s., 686(1)(b)(iii).</w:t>
      </w:r>
    </w:p>
    <w:p w:rsidR="004163EF" w:rsidRDefault="004163EF" w:rsidP="004163EF">
      <w:pPr>
        <w:pStyle w:val="SCCNormalDoubleSpacing"/>
        <w:spacing w:line="240" w:lineRule="auto"/>
        <w:rPr>
          <w:sz w:val="20"/>
        </w:rPr>
      </w:pPr>
    </w:p>
    <w:p w:rsidR="004163EF" w:rsidRPr="00E76734" w:rsidRDefault="004163EF" w:rsidP="004163EF">
      <w:pPr>
        <w:pStyle w:val="SCCNormalDoubleSpacing"/>
        <w:spacing w:line="240" w:lineRule="auto"/>
        <w:rPr>
          <w:sz w:val="20"/>
        </w:rPr>
      </w:pPr>
      <w:r w:rsidRPr="00E76734">
        <w:rPr>
          <w:sz w:val="20"/>
        </w:rPr>
        <w:tab/>
        <w:t xml:space="preserve">N was </w:t>
      </w:r>
      <w:r w:rsidRPr="00E76734">
        <w:rPr>
          <w:sz w:val="20"/>
          <w:lang w:val="en-US"/>
        </w:rPr>
        <w:t>shot</w:t>
      </w:r>
      <w:r w:rsidRPr="00E76734">
        <w:rPr>
          <w:sz w:val="20"/>
        </w:rPr>
        <w:t xml:space="preserve"> in the forearm and the abdomen and suffered life</w:t>
      </w:r>
      <w:r w:rsidRPr="00E76734">
        <w:rPr>
          <w:sz w:val="20"/>
        </w:rPr>
        <w:noBreakHyphen/>
        <w:t xml:space="preserve">threatening injuries, particularly to his liver.  N was released from the hospital and was expected to make a full recovery.  Five days later, he died as a result of a blood clot.  In the autopsy, trace amounts of cocaine were detected in his blood, indicating cocaine consumption within 30 to 45 minutes of death. Expert testimony indicated that N might have died from complications arising from the ingested cocaine.  </w:t>
      </w:r>
      <w:r w:rsidRPr="00E76734">
        <w:rPr>
          <w:sz w:val="20"/>
          <w:lang w:val="en-US"/>
        </w:rPr>
        <w:t xml:space="preserve">At trial, the defence argued that </w:t>
      </w:r>
      <w:r w:rsidRPr="00E76734">
        <w:rPr>
          <w:sz w:val="20"/>
        </w:rPr>
        <w:t xml:space="preserve">a reasonable doubt had been raised as to whether the victim’s death was or was not related to the shooting — even if the evidence showed the accused </w:t>
      </w:r>
      <w:r w:rsidRPr="00E76734">
        <w:rPr>
          <w:i/>
          <w:sz w:val="20"/>
        </w:rPr>
        <w:t>intended</w:t>
      </w:r>
      <w:r w:rsidRPr="00E76734">
        <w:rPr>
          <w:sz w:val="20"/>
        </w:rPr>
        <w:t xml:space="preserve"> to kill the victim, there was a reasonable doubt on the medical evidence that they in fact </w:t>
      </w:r>
      <w:r w:rsidRPr="00E76734">
        <w:rPr>
          <w:i/>
          <w:sz w:val="20"/>
        </w:rPr>
        <w:t>caused</w:t>
      </w:r>
      <w:r w:rsidRPr="00E76734">
        <w:rPr>
          <w:sz w:val="20"/>
        </w:rPr>
        <w:t xml:space="preserve"> the victim’s death.  The accused argued that the correct verdict in law to give such a finding (if it were made by the jury) would be to acquit the accused of murder, but convict them of attempted murder.  The trial judge declined to put the option of attempted murder to the jury, and the accused were convicted of second degree murder.  The majority of the Court of Appeal ordered a new trial by concluding that the trial judge’s failure to afford the jury an opportunity to consider returning a verdict on an included offence, where that verdict was reasonably available, constituted a reversible error.  The minority found that the trial judge’s error was harmless in the circumstances of this case and would have applied the curative proviso on the basis that the jury was equipped with all the tools it needed to give the matter of causation careful consideration. </w:t>
      </w:r>
    </w:p>
    <w:p w:rsidR="004163EF" w:rsidRDefault="004163EF" w:rsidP="004163EF">
      <w:pPr>
        <w:pStyle w:val="SCCNormalDoubleSpacing"/>
        <w:spacing w:line="240" w:lineRule="auto"/>
        <w:rPr>
          <w:sz w:val="20"/>
        </w:rPr>
      </w:pPr>
    </w:p>
    <w:p w:rsidR="004163EF" w:rsidRPr="00E76734" w:rsidRDefault="004163EF" w:rsidP="004163EF">
      <w:pPr>
        <w:pStyle w:val="SCCNormalDoubleSpacing"/>
        <w:spacing w:line="240" w:lineRule="auto"/>
        <w:rPr>
          <w:sz w:val="20"/>
        </w:rPr>
      </w:pPr>
      <w:r w:rsidRPr="00E76734">
        <w:rPr>
          <w:i/>
          <w:sz w:val="20"/>
        </w:rPr>
        <w:tab/>
        <w:t>Held</w:t>
      </w:r>
      <w:r w:rsidRPr="00E76734">
        <w:rPr>
          <w:sz w:val="20"/>
        </w:rPr>
        <w:t xml:space="preserve"> (</w:t>
      </w:r>
      <w:r w:rsidRPr="00E76734">
        <w:rPr>
          <w:sz w:val="20"/>
          <w:lang w:val="en-US"/>
        </w:rPr>
        <w:t>Deschamps</w:t>
      </w:r>
      <w:r w:rsidRPr="00E76734">
        <w:rPr>
          <w:sz w:val="20"/>
        </w:rPr>
        <w:t>, Rothstein and Cromwell JJ. dissenting):  The appeal should be dismissed.</w:t>
      </w:r>
    </w:p>
    <w:p w:rsidR="004163EF" w:rsidRPr="004163EF" w:rsidRDefault="004163EF" w:rsidP="004163EF">
      <w:pPr>
        <w:pStyle w:val="SCCNormalDoubleSpacing"/>
        <w:spacing w:line="240" w:lineRule="auto"/>
        <w:rPr>
          <w:rStyle w:val="SCCCoramChar"/>
          <w:sz w:val="20"/>
          <w:lang w:val="en-CA"/>
        </w:rPr>
      </w:pPr>
    </w:p>
    <w:p w:rsidR="004163EF" w:rsidRPr="00E76734" w:rsidRDefault="004163EF" w:rsidP="004163EF">
      <w:pPr>
        <w:pStyle w:val="SCCNormalDoubleSpacing"/>
        <w:spacing w:line="240" w:lineRule="auto"/>
        <w:rPr>
          <w:sz w:val="20"/>
        </w:rPr>
      </w:pPr>
      <w:r w:rsidRPr="004163EF">
        <w:rPr>
          <w:rStyle w:val="SCCCoramChar"/>
          <w:i/>
          <w:sz w:val="20"/>
          <w:szCs w:val="20"/>
          <w:u w:val="none"/>
          <w:lang w:val="en-CA"/>
        </w:rPr>
        <w:tab/>
        <w:t>Per</w:t>
      </w:r>
      <w:r w:rsidRPr="004163EF">
        <w:rPr>
          <w:rStyle w:val="SCCCoramChar"/>
          <w:sz w:val="20"/>
          <w:szCs w:val="20"/>
          <w:u w:val="none"/>
          <w:lang w:val="en-CA"/>
        </w:rPr>
        <w:t xml:space="preserve"> McLachlin C.J. and </w:t>
      </w:r>
      <w:r w:rsidRPr="004163EF">
        <w:rPr>
          <w:rStyle w:val="SCCCoramChar"/>
          <w:b/>
          <w:sz w:val="20"/>
          <w:szCs w:val="20"/>
          <w:u w:val="none"/>
          <w:lang w:val="en-CA"/>
        </w:rPr>
        <w:t>Binnie</w:t>
      </w:r>
      <w:r w:rsidRPr="004163EF">
        <w:rPr>
          <w:rStyle w:val="SCCCoramChar"/>
          <w:sz w:val="20"/>
          <w:szCs w:val="20"/>
          <w:u w:val="none"/>
          <w:lang w:val="en-CA"/>
        </w:rPr>
        <w:t>, LeBel, Fish, Abella and Charron JJ.</w:t>
      </w:r>
      <w:r w:rsidRPr="00E76734">
        <w:rPr>
          <w:sz w:val="20"/>
        </w:rPr>
        <w:t xml:space="preserve">:  The need to prove </w:t>
      </w:r>
      <w:r w:rsidRPr="00E76734">
        <w:rPr>
          <w:sz w:val="20"/>
          <w:lang w:val="en-US"/>
        </w:rPr>
        <w:t>causation</w:t>
      </w:r>
      <w:r w:rsidRPr="00E76734">
        <w:rPr>
          <w:sz w:val="20"/>
        </w:rPr>
        <w:t xml:space="preserve"> is common to both murder and manslaughter.  The Crown must establish beyond a reasonable doubt that the shooting significantly contributed to the victim’s death.  If the evidence of the Crown pathologist left the members of the jury with a doubt on that account, then at most the accused could be convicted of an </w:t>
      </w:r>
      <w:r w:rsidRPr="00E76734">
        <w:rPr>
          <w:i/>
          <w:sz w:val="20"/>
        </w:rPr>
        <w:t>attempt</w:t>
      </w:r>
      <w:r w:rsidRPr="00E76734">
        <w:rPr>
          <w:sz w:val="20"/>
        </w:rPr>
        <w:t xml:space="preserve"> to murder.  If that view were taken by the jury (and of course we do not know what its members thought), the appropriate verdict (attempted murder) was not one of the options left open to them to consider.  The accused had a right to the verdict of a properly instructed jury, and appellate courts must exercise prudence so as not to trespass on that fundamental right.  </w:t>
      </w:r>
    </w:p>
    <w:p w:rsidR="004163EF" w:rsidRDefault="004163EF" w:rsidP="004163EF">
      <w:pPr>
        <w:pStyle w:val="SCCNormalDoubleSpacing"/>
        <w:spacing w:line="240" w:lineRule="auto"/>
        <w:rPr>
          <w:sz w:val="20"/>
        </w:rPr>
      </w:pPr>
    </w:p>
    <w:p w:rsidR="004163EF" w:rsidRPr="00E76734" w:rsidRDefault="004163EF" w:rsidP="004163EF">
      <w:pPr>
        <w:pStyle w:val="SCCNormalDoubleSpacing"/>
        <w:spacing w:line="240" w:lineRule="auto"/>
        <w:rPr>
          <w:sz w:val="20"/>
        </w:rPr>
      </w:pPr>
      <w:r w:rsidRPr="00E76734">
        <w:rPr>
          <w:sz w:val="20"/>
        </w:rPr>
        <w:tab/>
        <w:t xml:space="preserve">The </w:t>
      </w:r>
      <w:r w:rsidRPr="00E76734">
        <w:rPr>
          <w:sz w:val="20"/>
          <w:lang w:val="en-US"/>
        </w:rPr>
        <w:t>dissenting</w:t>
      </w:r>
      <w:r w:rsidRPr="00E76734">
        <w:rPr>
          <w:sz w:val="20"/>
        </w:rPr>
        <w:t xml:space="preserve"> judge in the Court of Appeal urged adoption of a more “holistic” approach to s. 686(1)(</w:t>
      </w:r>
      <w:r w:rsidRPr="00E76734">
        <w:rPr>
          <w:i/>
          <w:sz w:val="20"/>
        </w:rPr>
        <w:t>b</w:t>
      </w:r>
      <w:r w:rsidRPr="00E76734">
        <w:rPr>
          <w:sz w:val="20"/>
        </w:rPr>
        <w:t xml:space="preserve">)(iii) by lightening of the Crown’s burden from a requirement to demonstrate an “overwhelming” case against the accused to the lesser standard of a “very strong” case, and to allow appellate courts to tolerate errors of law that while not “insignificant” are nevertheless “highly unlikely to have affected the result”.  </w:t>
      </w:r>
    </w:p>
    <w:p w:rsidR="004163EF" w:rsidRDefault="004163EF" w:rsidP="004163EF">
      <w:pPr>
        <w:pStyle w:val="SCCNormalDoubleSpacing"/>
        <w:spacing w:line="240" w:lineRule="auto"/>
        <w:rPr>
          <w:sz w:val="20"/>
          <w:lang w:val="en-US"/>
        </w:rPr>
      </w:pPr>
    </w:p>
    <w:p w:rsidR="004163EF" w:rsidRPr="00E76734" w:rsidRDefault="004163EF" w:rsidP="004163EF">
      <w:pPr>
        <w:pStyle w:val="SCCNormalDoubleSpacing"/>
        <w:spacing w:line="240" w:lineRule="auto"/>
        <w:rPr>
          <w:sz w:val="20"/>
        </w:rPr>
      </w:pPr>
      <w:r w:rsidRPr="00E76734">
        <w:rPr>
          <w:sz w:val="20"/>
          <w:lang w:val="en-US"/>
        </w:rPr>
        <w:tab/>
        <w:t>However</w:t>
      </w:r>
      <w:r w:rsidRPr="00E76734">
        <w:rPr>
          <w:sz w:val="20"/>
        </w:rPr>
        <w:t>, there is a significant difference between a legal error that can be confidently dismissed as “harmless”, and an assessment that while the error is prejudicial, it is not (in the after</w:t>
      </w:r>
      <w:r w:rsidRPr="00E76734">
        <w:rPr>
          <w:sz w:val="20"/>
        </w:rPr>
        <w:noBreakHyphen/>
        <w:t>the</w:t>
      </w:r>
      <w:r w:rsidRPr="00E76734">
        <w:rPr>
          <w:sz w:val="20"/>
        </w:rPr>
        <w:noBreakHyphen/>
        <w:t xml:space="preserve">fact view of the appellate court), </w:t>
      </w:r>
      <w:r w:rsidRPr="00E76734">
        <w:rPr>
          <w:i/>
          <w:sz w:val="20"/>
        </w:rPr>
        <w:t>so</w:t>
      </w:r>
      <w:r w:rsidRPr="00E76734">
        <w:rPr>
          <w:sz w:val="20"/>
        </w:rPr>
        <w:t xml:space="preserve"> prejudicial as to have affected the outcome.  Such delicate assessments are foreign to the purpose of the curative proviso which is to avoid a retrial that would be superfluous and unnecessary but to set high the Crown’s burden of establishing those prerequisites.  The same can be said for the other branch of the curative proviso. As a result, the burden of the Crown to demonstrate an “overwhelming” case or a “harmless” error of law should not be relaxed.</w:t>
      </w:r>
    </w:p>
    <w:p w:rsidR="004163EF" w:rsidRPr="00E76734" w:rsidRDefault="004163EF" w:rsidP="004163EF">
      <w:pPr>
        <w:pStyle w:val="SCCNormalDoubleSpacing"/>
        <w:spacing w:line="240" w:lineRule="auto"/>
        <w:rPr>
          <w:sz w:val="20"/>
        </w:rPr>
      </w:pPr>
      <w:r w:rsidRPr="00E76734">
        <w:rPr>
          <w:sz w:val="20"/>
        </w:rPr>
        <w:lastRenderedPageBreak/>
        <w:tab/>
        <w:t xml:space="preserve">The trial </w:t>
      </w:r>
      <w:r w:rsidRPr="00E76734">
        <w:rPr>
          <w:sz w:val="20"/>
          <w:lang w:val="en-US"/>
        </w:rPr>
        <w:t>judge’s</w:t>
      </w:r>
      <w:r w:rsidRPr="00E76734">
        <w:rPr>
          <w:sz w:val="20"/>
        </w:rPr>
        <w:t xml:space="preserve"> error in failing to put to the jury the option of a lawful verdict that matched the theory of the defence and that was open to the jury on the evidence cannot be dismissed as “harmless” because it is impossible to be certain that if this had been done, and notwithstanding the correct instruction on murder, the verdict might not have been different.  This is not a case where the triviality of the error itself or the lack of prejudice by a more serious error can justify the application of the curative proviso.  A failure to instruct on a viable alternative verdict falls into neither category.  Accordingly, in the circumstances of the present case, it is not open to the appellate court to apply the curative proviso to remedy the trial judge’s error in his instruction to the jury.</w:t>
      </w:r>
    </w:p>
    <w:p w:rsidR="004163EF" w:rsidRDefault="004163EF" w:rsidP="004163EF">
      <w:pPr>
        <w:pStyle w:val="SCCNormalDoubleSpacing"/>
        <w:spacing w:line="240" w:lineRule="auto"/>
        <w:rPr>
          <w:sz w:val="20"/>
        </w:rPr>
      </w:pPr>
    </w:p>
    <w:p w:rsidR="004163EF" w:rsidRDefault="004163EF" w:rsidP="004163EF">
      <w:pPr>
        <w:pStyle w:val="SCCNormalDoubleSpacing"/>
        <w:spacing w:line="240" w:lineRule="auto"/>
        <w:rPr>
          <w:sz w:val="20"/>
        </w:rPr>
      </w:pPr>
      <w:r w:rsidRPr="00E76734">
        <w:rPr>
          <w:sz w:val="20"/>
        </w:rPr>
        <w:tab/>
      </w:r>
      <w:r w:rsidRPr="00E76734">
        <w:rPr>
          <w:i/>
          <w:sz w:val="20"/>
        </w:rPr>
        <w:t>Per</w:t>
      </w:r>
      <w:r w:rsidRPr="00E76734">
        <w:rPr>
          <w:sz w:val="20"/>
        </w:rPr>
        <w:t xml:space="preserve"> </w:t>
      </w:r>
      <w:r w:rsidRPr="00E76734">
        <w:rPr>
          <w:sz w:val="20"/>
          <w:lang w:val="en-US"/>
        </w:rPr>
        <w:t>Deschamps</w:t>
      </w:r>
      <w:r w:rsidRPr="00E76734">
        <w:rPr>
          <w:sz w:val="20"/>
        </w:rPr>
        <w:t xml:space="preserve">, Rothstein and </w:t>
      </w:r>
      <w:r w:rsidRPr="00E76734">
        <w:rPr>
          <w:b/>
          <w:sz w:val="20"/>
        </w:rPr>
        <w:t>Cromwell</w:t>
      </w:r>
      <w:r w:rsidRPr="00E76734">
        <w:rPr>
          <w:sz w:val="20"/>
        </w:rPr>
        <w:t xml:space="preserve"> JJ. (dissenting):  The issue is not whether the evidence of guilt was “overwhelming”, nor is the Court’s task here to try to predict what effect a particular line of argument might have had on the jury’s assessment of a witness’s credibility.  The issue is whether there was any reasonable possibility that the error could have had any impact on the verdict.  Failure to provide instructions on attempted murder would only have been relevant if the jury had a doubt about causation.  The trial judge, by everyone’s agreement, flawlessly directed the jury on the offence of murder, including the requirement that the shooting caused the deceased’s death.  The trial judge provided the jury with a decision tree which clearly indicated, as had the judge’s instructions, that in order to convict, the jury must unanimously be of the view that the Crown had proved causation beyond a reasonable doubt.  The jury deliberated for five days.  They asked no questions about causation.  They returned a verdict of guilty of second degree murder against both accused.  The jury’s verdict of guilty of second degree murder necessarily reflected the jury’s finding, beyond a reasonable doubt, that the shooting had indeed caused the victim’s death.  That is the only conclusion with respect to causation that is consistent with the jury’s verdict.  Appellate courts should not speculate at the jury’s expense and impute to jurors a subconscious failure to fulfill their sworn duty. Nor should they simply assert that the trial judge’s omitted instruction to the jury gave rise to an injustice.  Therefore the Crown has discharged its burden to show that if the legal error here — the failure to instruct on attempted murder — had not been made, the result would inevitably have been the same. </w:t>
      </w:r>
    </w:p>
    <w:p w:rsidR="004163EF" w:rsidRDefault="004163EF" w:rsidP="004163EF">
      <w:pPr>
        <w:pStyle w:val="SCCNormalDoubleSpacing"/>
        <w:spacing w:line="240" w:lineRule="auto"/>
        <w:rPr>
          <w:sz w:val="20"/>
        </w:rPr>
      </w:pPr>
    </w:p>
    <w:p w:rsidR="004163EF" w:rsidRDefault="004163EF" w:rsidP="004163EF">
      <w:pPr>
        <w:pStyle w:val="SCCNormalDoubleSpacing"/>
        <w:spacing w:line="240" w:lineRule="auto"/>
        <w:rPr>
          <w:sz w:val="20"/>
        </w:rPr>
      </w:pPr>
      <w:r w:rsidRPr="00E76734">
        <w:rPr>
          <w:sz w:val="20"/>
        </w:rPr>
        <w:tab/>
      </w:r>
      <w:r w:rsidRPr="00E76734">
        <w:rPr>
          <w:sz w:val="20"/>
          <w:lang w:val="en-US"/>
        </w:rPr>
        <w:t>APPEAL</w:t>
      </w:r>
      <w:r w:rsidRPr="00E76734">
        <w:rPr>
          <w:sz w:val="20"/>
        </w:rPr>
        <w:t xml:space="preserve"> from a judgment of the Ontario Court of Appeal (</w:t>
      </w:r>
      <w:r w:rsidR="00FD0CB6" w:rsidRPr="00E76734">
        <w:rPr>
          <w:sz w:val="20"/>
        </w:rPr>
        <w:fldChar w:fldCharType="begin"/>
      </w:r>
      <w:r w:rsidRPr="00E76734">
        <w:rPr>
          <w:sz w:val="20"/>
        </w:rPr>
        <w:instrText xml:space="preserve"> SEQ CHAPTER \h \r 1</w:instrText>
      </w:r>
      <w:r w:rsidR="00FD0CB6" w:rsidRPr="00E76734">
        <w:rPr>
          <w:sz w:val="20"/>
        </w:rPr>
        <w:fldChar w:fldCharType="end"/>
      </w:r>
      <w:r w:rsidRPr="00E76734">
        <w:rPr>
          <w:sz w:val="20"/>
        </w:rPr>
        <w:t xml:space="preserve">Doherty, Epstein and Moldaver JJ.A.), </w:t>
      </w:r>
      <w:r w:rsidR="00FD0CB6" w:rsidRPr="00E76734">
        <w:rPr>
          <w:sz w:val="20"/>
        </w:rPr>
        <w:fldChar w:fldCharType="begin"/>
      </w:r>
      <w:r w:rsidRPr="00E76734">
        <w:rPr>
          <w:sz w:val="20"/>
        </w:rPr>
        <w:instrText xml:space="preserve"> SEQ CHAPTER \h \r 1</w:instrText>
      </w:r>
      <w:r w:rsidR="00FD0CB6" w:rsidRPr="00E76734">
        <w:rPr>
          <w:sz w:val="20"/>
        </w:rPr>
        <w:fldChar w:fldCharType="end"/>
      </w:r>
      <w:r w:rsidRPr="00E76734">
        <w:rPr>
          <w:sz w:val="20"/>
        </w:rPr>
        <w:t>2010 ONCA 577, 268 O.A.C. 200, 259 C.C.C. (3d) 293, 79 C.R. (6th) 151, [2010] O.J. No. 3748, 2010 CarswellOnt 6646, setting aside the accused’s convictions for second degree murder and ordering a new trial.  Appeal dismissed, Deschamps, Rothstein and Cromwell JJ. dissenting.</w:t>
      </w:r>
    </w:p>
    <w:p w:rsidR="004163EF" w:rsidRPr="00E76734" w:rsidRDefault="004163EF" w:rsidP="004163EF">
      <w:pPr>
        <w:pStyle w:val="SCCNormalDoubleSpacing"/>
        <w:spacing w:line="240" w:lineRule="auto"/>
        <w:rPr>
          <w:sz w:val="20"/>
        </w:rPr>
      </w:pPr>
    </w:p>
    <w:p w:rsidR="004163EF" w:rsidRPr="00E76734" w:rsidRDefault="004163EF" w:rsidP="004163EF">
      <w:pPr>
        <w:pStyle w:val="SCCNormalDoubleSpacing"/>
        <w:spacing w:line="240" w:lineRule="auto"/>
        <w:rPr>
          <w:sz w:val="20"/>
        </w:rPr>
      </w:pPr>
      <w:r w:rsidRPr="00E76734">
        <w:rPr>
          <w:rStyle w:val="SCCCounselNameChar"/>
          <w:sz w:val="20"/>
        </w:rPr>
        <w:tab/>
        <w:t>James K. Stewart</w:t>
      </w:r>
      <w:r w:rsidRPr="00E76734">
        <w:rPr>
          <w:rStyle w:val="SCCCounselPartyRoleChar"/>
          <w:sz w:val="20"/>
        </w:rPr>
        <w:t>, for the appellant.</w:t>
      </w:r>
    </w:p>
    <w:p w:rsidR="004163EF" w:rsidRDefault="004163EF" w:rsidP="004163EF">
      <w:pPr>
        <w:pStyle w:val="SCCNormalDoubleSpacing"/>
        <w:spacing w:line="240" w:lineRule="auto"/>
        <w:rPr>
          <w:rStyle w:val="SCCCounselNameChar"/>
          <w:i w:val="0"/>
          <w:sz w:val="20"/>
        </w:rPr>
      </w:pPr>
    </w:p>
    <w:p w:rsidR="004163EF" w:rsidRPr="00E76734" w:rsidRDefault="004163EF" w:rsidP="004163EF">
      <w:pPr>
        <w:pStyle w:val="SCCNormalDoubleSpacing"/>
        <w:spacing w:line="240" w:lineRule="auto"/>
        <w:rPr>
          <w:sz w:val="20"/>
        </w:rPr>
      </w:pPr>
      <w:r w:rsidRPr="00E76734">
        <w:rPr>
          <w:rStyle w:val="SCCCounselNameChar"/>
          <w:sz w:val="20"/>
        </w:rPr>
        <w:tab/>
        <w:t>Russell Silverstein</w:t>
      </w:r>
      <w:r w:rsidRPr="004163EF">
        <w:rPr>
          <w:rStyle w:val="SCCCounselSeparatorChar"/>
          <w:sz w:val="20"/>
          <w:lang w:val="en-CA"/>
        </w:rPr>
        <w:t xml:space="preserve"> and </w:t>
      </w:r>
      <w:r w:rsidRPr="00E76734">
        <w:rPr>
          <w:rStyle w:val="SCCCounselNameChar"/>
          <w:sz w:val="20"/>
        </w:rPr>
        <w:t>Ingrid Grant</w:t>
      </w:r>
      <w:r w:rsidRPr="00E76734">
        <w:rPr>
          <w:rStyle w:val="SCCCounselPartyRoleChar"/>
          <w:sz w:val="20"/>
        </w:rPr>
        <w:t>, for the respondent Robert Sarrazin.</w:t>
      </w:r>
    </w:p>
    <w:p w:rsidR="004163EF" w:rsidRDefault="004163EF" w:rsidP="004163EF">
      <w:pPr>
        <w:pStyle w:val="SCCNormalDoubleSpacing"/>
        <w:spacing w:line="240" w:lineRule="auto"/>
        <w:rPr>
          <w:rStyle w:val="SCCCounselNameChar"/>
          <w:i w:val="0"/>
          <w:sz w:val="20"/>
        </w:rPr>
      </w:pPr>
    </w:p>
    <w:p w:rsidR="004163EF" w:rsidRPr="00E76734" w:rsidRDefault="004163EF" w:rsidP="004163EF">
      <w:pPr>
        <w:pStyle w:val="SCCNormalDoubleSpacing"/>
        <w:spacing w:line="240" w:lineRule="auto"/>
        <w:rPr>
          <w:sz w:val="20"/>
        </w:rPr>
      </w:pPr>
      <w:r w:rsidRPr="00E76734">
        <w:rPr>
          <w:rStyle w:val="SCCCounselNameChar"/>
          <w:sz w:val="20"/>
        </w:rPr>
        <w:tab/>
        <w:t>Philip Campbell</w:t>
      </w:r>
      <w:r w:rsidRPr="004163EF">
        <w:rPr>
          <w:rStyle w:val="SCCCounselSeparatorChar"/>
          <w:sz w:val="20"/>
          <w:lang w:val="en-CA"/>
        </w:rPr>
        <w:t xml:space="preserve"> and </w:t>
      </w:r>
      <w:r w:rsidRPr="00E76734">
        <w:rPr>
          <w:rStyle w:val="SCCCounselNameChar"/>
          <w:sz w:val="20"/>
        </w:rPr>
        <w:t>Howard L. Krongold</w:t>
      </w:r>
      <w:r w:rsidRPr="00E76734">
        <w:rPr>
          <w:rStyle w:val="SCCCounselPartyRoleChar"/>
          <w:sz w:val="20"/>
        </w:rPr>
        <w:t>, for the respondent Darlind Jean.</w:t>
      </w:r>
    </w:p>
    <w:p w:rsidR="004163EF" w:rsidRDefault="004163EF" w:rsidP="004163EF">
      <w:pPr>
        <w:pStyle w:val="SCCLawFirm"/>
        <w:spacing w:line="240" w:lineRule="auto"/>
        <w:rPr>
          <w:i w:val="0"/>
          <w:sz w:val="20"/>
        </w:rPr>
      </w:pPr>
    </w:p>
    <w:p w:rsidR="004163EF" w:rsidRPr="00E76734" w:rsidRDefault="004163EF" w:rsidP="004163EF">
      <w:pPr>
        <w:pStyle w:val="SCCLawFirm"/>
        <w:spacing w:line="240" w:lineRule="auto"/>
        <w:rPr>
          <w:sz w:val="20"/>
        </w:rPr>
      </w:pPr>
      <w:r w:rsidRPr="00E76734">
        <w:rPr>
          <w:sz w:val="20"/>
        </w:rPr>
        <w:tab/>
        <w:t>Solicitor for the appellant:  Attorney General of Ontario, Toronto.</w:t>
      </w:r>
    </w:p>
    <w:p w:rsidR="004163EF" w:rsidRDefault="004163EF" w:rsidP="004163EF">
      <w:pPr>
        <w:pStyle w:val="SCCLawFirm"/>
        <w:spacing w:line="240" w:lineRule="auto"/>
        <w:rPr>
          <w:i w:val="0"/>
          <w:sz w:val="20"/>
        </w:rPr>
      </w:pPr>
    </w:p>
    <w:p w:rsidR="004163EF" w:rsidRPr="00E76734" w:rsidRDefault="004163EF" w:rsidP="004163EF">
      <w:pPr>
        <w:pStyle w:val="SCCLawFirm"/>
        <w:spacing w:line="240" w:lineRule="auto"/>
        <w:rPr>
          <w:sz w:val="20"/>
        </w:rPr>
      </w:pPr>
      <w:r w:rsidRPr="00E76734">
        <w:rPr>
          <w:sz w:val="20"/>
        </w:rPr>
        <w:tab/>
        <w:t>Solicitors for the respondent Robert Sarrazin:  Russell Silverstein &amp; Associate, Toronto.</w:t>
      </w:r>
    </w:p>
    <w:p w:rsidR="004163EF" w:rsidRPr="00E76734" w:rsidRDefault="004163EF" w:rsidP="004163EF">
      <w:pPr>
        <w:pStyle w:val="SCCLawFirm"/>
        <w:spacing w:line="240" w:lineRule="auto"/>
        <w:rPr>
          <w:i w:val="0"/>
          <w:sz w:val="20"/>
        </w:rPr>
      </w:pPr>
    </w:p>
    <w:p w:rsidR="004163EF" w:rsidRPr="004163EF" w:rsidRDefault="004163EF" w:rsidP="004163EF">
      <w:pPr>
        <w:rPr>
          <w:rFonts w:cs="Times New Roman"/>
          <w:i/>
          <w:sz w:val="20"/>
          <w:szCs w:val="20"/>
        </w:rPr>
      </w:pPr>
      <w:r w:rsidRPr="00E76734">
        <w:rPr>
          <w:rFonts w:cs="Times New Roman"/>
          <w:sz w:val="20"/>
          <w:szCs w:val="20"/>
        </w:rPr>
        <w:tab/>
      </w:r>
      <w:r w:rsidRPr="004163EF">
        <w:rPr>
          <w:rFonts w:cs="Times New Roman"/>
          <w:i/>
          <w:sz w:val="20"/>
          <w:szCs w:val="20"/>
        </w:rPr>
        <w:t>Solicitors for the respondent Darlind Jean:  Lockyer Campbell Posner,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4163EF" w:rsidRPr="004163EF" w:rsidRDefault="004163EF" w:rsidP="004163EF">
      <w:pPr>
        <w:jc w:val="both"/>
        <w:rPr>
          <w:sz w:val="20"/>
          <w:lang w:val="fr-CA"/>
        </w:rPr>
      </w:pPr>
      <w:r w:rsidRPr="004163EF">
        <w:rPr>
          <w:sz w:val="20"/>
          <w:lang w:val="fr-CA"/>
        </w:rPr>
        <w:t>Présents : La juge en chef McLachlin et les juges Binnie, LeBel, Deschamps, Fish, Abella, Charron, Rothstein et Cromwell.</w:t>
      </w:r>
    </w:p>
    <w:p w:rsidR="004163EF" w:rsidRPr="004163EF" w:rsidRDefault="004163EF" w:rsidP="004163EF">
      <w:pPr>
        <w:pStyle w:val="SCCLowerCourtNameLowercase"/>
        <w:spacing w:line="240" w:lineRule="auto"/>
        <w:rPr>
          <w:sz w:val="20"/>
          <w:lang w:val="fr-CA"/>
        </w:rPr>
      </w:pPr>
    </w:p>
    <w:p w:rsidR="004163EF" w:rsidRPr="004163EF" w:rsidRDefault="004163EF" w:rsidP="004163EF">
      <w:pPr>
        <w:pStyle w:val="SCCNormalDoubleSpacing"/>
        <w:spacing w:line="240" w:lineRule="auto"/>
        <w:rPr>
          <w:i/>
          <w:sz w:val="20"/>
          <w:lang w:val="fr-CA"/>
        </w:rPr>
      </w:pPr>
      <w:r w:rsidRPr="004163EF">
        <w:rPr>
          <w:sz w:val="20"/>
          <w:lang w:val="fr-CA"/>
        </w:rPr>
        <w:tab/>
      </w:r>
      <w:r w:rsidRPr="004163EF">
        <w:rPr>
          <w:i/>
          <w:sz w:val="20"/>
          <w:lang w:val="fr-CA"/>
        </w:rPr>
        <w:t xml:space="preserve">Droit criminel </w:t>
      </w:r>
      <w:r w:rsidRPr="004163EF">
        <w:rPr>
          <w:sz w:val="20"/>
          <w:lang w:val="fr-CA"/>
        </w:rPr>
        <w:t xml:space="preserve">— </w:t>
      </w:r>
      <w:r w:rsidRPr="004163EF">
        <w:rPr>
          <w:i/>
          <w:sz w:val="20"/>
          <w:lang w:val="fr-CA"/>
        </w:rPr>
        <w:t>Exposé au jury — Infractions comprises — Tentative de meurtre — Intimés accusés de meurtre au deuxième degré — Le verdict de culpabilité de tentative de meurtre aurait</w:t>
      </w:r>
      <w:r w:rsidRPr="004163EF">
        <w:rPr>
          <w:i/>
          <w:sz w:val="20"/>
          <w:lang w:val="fr-CA"/>
        </w:rPr>
        <w:noBreakHyphen/>
        <w:t>il dû être soumis à l’appréciation du jury?</w:t>
      </w:r>
    </w:p>
    <w:p w:rsidR="004163EF" w:rsidRPr="004163EF" w:rsidRDefault="004163EF" w:rsidP="004163EF">
      <w:pPr>
        <w:pStyle w:val="SCCNormalDoubleSpacing"/>
        <w:spacing w:line="240" w:lineRule="auto"/>
        <w:rPr>
          <w:sz w:val="20"/>
          <w:lang w:val="fr-CA"/>
        </w:rPr>
      </w:pPr>
    </w:p>
    <w:p w:rsidR="004163EF" w:rsidRPr="004163EF" w:rsidRDefault="004163EF" w:rsidP="004163EF">
      <w:pPr>
        <w:pStyle w:val="SCCNormalDoubleSpacing"/>
        <w:spacing w:line="240" w:lineRule="auto"/>
        <w:rPr>
          <w:i/>
          <w:sz w:val="20"/>
          <w:lang w:val="fr-CA"/>
        </w:rPr>
      </w:pPr>
      <w:r w:rsidRPr="004163EF">
        <w:rPr>
          <w:i/>
          <w:sz w:val="20"/>
          <w:lang w:val="fr-CA"/>
        </w:rPr>
        <w:tab/>
        <w:t>Droit criminel — Appels — Pouvoirs de la cour d’appel — Application de la disposition réparatrice — Convient</w:t>
      </w:r>
      <w:r w:rsidRPr="004163EF">
        <w:rPr>
          <w:i/>
          <w:sz w:val="20"/>
          <w:lang w:val="fr-CA"/>
        </w:rPr>
        <w:noBreakHyphen/>
        <w:t>il d’assouplir les conditions d’application de la disposition réparatrice? — La disposition s’applique</w:t>
      </w:r>
      <w:r w:rsidRPr="004163EF">
        <w:rPr>
          <w:i/>
          <w:sz w:val="20"/>
          <w:lang w:val="fr-CA"/>
        </w:rPr>
        <w:noBreakHyphen/>
        <w:t>t</w:t>
      </w:r>
      <w:r w:rsidRPr="004163EF">
        <w:rPr>
          <w:i/>
          <w:sz w:val="20"/>
          <w:lang w:val="fr-CA"/>
        </w:rPr>
        <w:noBreakHyphen/>
        <w:t>elle en l’espèce? — Dans l’affirmative, la déclaration de culpabilité peut</w:t>
      </w:r>
      <w:r w:rsidRPr="004163EF">
        <w:rPr>
          <w:i/>
          <w:sz w:val="20"/>
          <w:lang w:val="fr-CA"/>
        </w:rPr>
        <w:noBreakHyphen/>
        <w:t>elle être maintenue par l’application de la disposition curative? — Code criminel, L.R.C. 1985, ch. C</w:t>
      </w:r>
      <w:r w:rsidRPr="004163EF">
        <w:rPr>
          <w:i/>
          <w:sz w:val="20"/>
          <w:lang w:val="fr-CA"/>
        </w:rPr>
        <w:noBreakHyphen/>
        <w:t>46, art. 686(1)b)(iii)</w:t>
      </w:r>
    </w:p>
    <w:p w:rsidR="004163EF" w:rsidRPr="004163EF" w:rsidRDefault="004163EF" w:rsidP="004163EF">
      <w:pPr>
        <w:pStyle w:val="SCCNormalDoubleSpacing"/>
        <w:spacing w:line="240" w:lineRule="auto"/>
        <w:rPr>
          <w:sz w:val="20"/>
          <w:lang w:val="fr-CA"/>
        </w:rPr>
      </w:pPr>
    </w:p>
    <w:p w:rsidR="004163EF" w:rsidRPr="004163EF" w:rsidRDefault="004163EF" w:rsidP="004163EF">
      <w:pPr>
        <w:pStyle w:val="SCCNormalDoubleSpacing"/>
        <w:spacing w:line="240" w:lineRule="auto"/>
        <w:rPr>
          <w:sz w:val="20"/>
          <w:lang w:val="fr-CA"/>
        </w:rPr>
      </w:pPr>
      <w:r w:rsidRPr="004163EF">
        <w:rPr>
          <w:sz w:val="20"/>
          <w:lang w:val="fr-CA"/>
        </w:rPr>
        <w:lastRenderedPageBreak/>
        <w:tab/>
        <w:t>N a été atteint de coups de feu à l’avant</w:t>
      </w:r>
      <w:r w:rsidRPr="004163EF">
        <w:rPr>
          <w:sz w:val="20"/>
          <w:lang w:val="fr-CA"/>
        </w:rPr>
        <w:noBreakHyphen/>
        <w:t xml:space="preserve">bras et à l’abdomen et a subi des blessures mettant sa vie en danger, particulièrement la blessure au foie.  N a obtenu son congé de l’hôpital et l’on s’attendait à ce qu’il se rétablisse complètement.  Cinq jours plus tard, il est décédé d’un caillot sanguin.  L’autopsie a révélé des traces de cocaïne dans son sang, ce qui indiquait que la cocaïne avait été consommée 30 à 45 minutes avant le décès.  Selon le témoignage de l’expert, N aurait pu succomber par suite de complications découlant de l’ingestion de cocaïne.  Au procès, la défense a plaidé que les commentaires de l’expert soulevaient un doute raisonnable quant à savoir si le décès de la victime était lié ou non au coup de feu — même si la preuve a montré que les intimés </w:t>
      </w:r>
      <w:r w:rsidRPr="004163EF">
        <w:rPr>
          <w:i/>
          <w:iCs/>
          <w:sz w:val="20"/>
          <w:lang w:val="fr-CA"/>
        </w:rPr>
        <w:t>avaient eu l’intention</w:t>
      </w:r>
      <w:r w:rsidRPr="004163EF">
        <w:rPr>
          <w:sz w:val="20"/>
          <w:lang w:val="fr-CA"/>
        </w:rPr>
        <w:t xml:space="preserve"> de tuer la victime, la preuve médicale soulevait un doute raisonnable sur la question de savoir si les accusés </w:t>
      </w:r>
      <w:r w:rsidRPr="004163EF">
        <w:rPr>
          <w:i/>
          <w:sz w:val="20"/>
          <w:lang w:val="fr-CA"/>
        </w:rPr>
        <w:t>avaient</w:t>
      </w:r>
      <w:r w:rsidRPr="004163EF">
        <w:rPr>
          <w:sz w:val="20"/>
          <w:lang w:val="fr-CA"/>
        </w:rPr>
        <w:t xml:space="preserve"> effectivement </w:t>
      </w:r>
      <w:r w:rsidRPr="004163EF">
        <w:rPr>
          <w:i/>
          <w:iCs/>
          <w:sz w:val="20"/>
          <w:lang w:val="fr-CA"/>
        </w:rPr>
        <w:t>causé</w:t>
      </w:r>
      <w:r w:rsidRPr="004163EF">
        <w:rPr>
          <w:sz w:val="20"/>
          <w:lang w:val="fr-CA"/>
        </w:rPr>
        <w:t xml:space="preserve"> le décès de la victime.  Les accusés ont plaidé que le verdict qui s’imposait en droit au jury (s’il acceptait cette hypothèse) </w:t>
      </w:r>
      <w:r w:rsidRPr="004163EF">
        <w:rPr>
          <w:sz w:val="20"/>
          <w:lang w:val="fr-CA" w:eastAsia="fr-CA" w:bidi="ta-IN"/>
        </w:rPr>
        <w:t xml:space="preserve">aurait été un acquittement relativement à l'accusation de meurtre, mais un verdict de culpabilité de tentative de meurtre.  </w:t>
      </w:r>
      <w:r w:rsidRPr="004163EF">
        <w:rPr>
          <w:sz w:val="20"/>
          <w:lang w:val="fr-CA"/>
        </w:rPr>
        <w:t xml:space="preserve">Le juge de première instance a refusé de soumettre au jury la possibilité de déclarer les accusés coupables de tentative de meurtre, et ces derniers ont été déclarés coupables de meurtre au deuxième degré.  En cour d’appel, les juges de la majorité ont ordonné la tenue d’un nouveau procès, statuant que le refus du juge de première instance de donner au jury une possibilité d’envisager de rendre un verdict relatif à l’infraction comprise, lorsqu’un tel verdict peut raisonnablement être prononcé, constituait une erreur donnant ouverture à révision.  Le juge dissident a conclu que l’erreur du juge de première instance était inoffensive en l’espèce et il aurait appliqué la disposition réparatrice puisque le jury possédait tous les outils nécessaires pour procéder à un examen minutieux du lien de causalité.  </w:t>
      </w:r>
    </w:p>
    <w:p w:rsidR="004163EF" w:rsidRPr="004163EF" w:rsidRDefault="004163EF" w:rsidP="004163EF">
      <w:pPr>
        <w:pStyle w:val="SCCNormalDoubleSpacing"/>
        <w:spacing w:line="240" w:lineRule="auto"/>
        <w:rPr>
          <w:sz w:val="20"/>
          <w:lang w:val="fr-CA"/>
        </w:rPr>
      </w:pPr>
    </w:p>
    <w:p w:rsidR="004163EF" w:rsidRPr="004163EF" w:rsidRDefault="004163EF" w:rsidP="004163EF">
      <w:pPr>
        <w:pStyle w:val="SCCNormalDoubleSpacing"/>
        <w:spacing w:line="240" w:lineRule="auto"/>
        <w:rPr>
          <w:sz w:val="20"/>
          <w:lang w:val="fr-CA"/>
        </w:rPr>
      </w:pPr>
      <w:r w:rsidRPr="004163EF">
        <w:rPr>
          <w:sz w:val="20"/>
          <w:lang w:val="fr-CA"/>
        </w:rPr>
        <w:tab/>
      </w:r>
      <w:r w:rsidRPr="004163EF">
        <w:rPr>
          <w:i/>
          <w:sz w:val="20"/>
          <w:lang w:val="fr-CA"/>
        </w:rPr>
        <w:t>Arrêt</w:t>
      </w:r>
      <w:r w:rsidRPr="004163EF">
        <w:rPr>
          <w:sz w:val="20"/>
          <w:lang w:val="fr-CA"/>
        </w:rPr>
        <w:t xml:space="preserve"> (les juges Deschamps, Rothstein et Cromwell sont dissidents) : Le pourvoi est rejeté.</w:t>
      </w:r>
    </w:p>
    <w:p w:rsidR="004163EF" w:rsidRPr="004163EF" w:rsidRDefault="004163EF" w:rsidP="004163EF">
      <w:pPr>
        <w:pStyle w:val="SCCNormalDoubleSpacing"/>
        <w:spacing w:line="240" w:lineRule="auto"/>
        <w:rPr>
          <w:sz w:val="20"/>
          <w:lang w:val="fr-CA"/>
        </w:rPr>
      </w:pPr>
    </w:p>
    <w:p w:rsidR="004163EF" w:rsidRPr="004163EF" w:rsidRDefault="004163EF" w:rsidP="004163EF">
      <w:pPr>
        <w:pStyle w:val="SCCNormalDoubleSpacing"/>
        <w:spacing w:line="240" w:lineRule="auto"/>
        <w:rPr>
          <w:sz w:val="20"/>
          <w:lang w:val="fr-CA"/>
        </w:rPr>
      </w:pPr>
      <w:r w:rsidRPr="004163EF">
        <w:rPr>
          <w:sz w:val="20"/>
          <w:lang w:val="fr-CA"/>
        </w:rPr>
        <w:tab/>
      </w:r>
      <w:r w:rsidRPr="004163EF">
        <w:rPr>
          <w:i/>
          <w:sz w:val="20"/>
          <w:lang w:val="fr-CA"/>
        </w:rPr>
        <w:t>La</w:t>
      </w:r>
      <w:r w:rsidRPr="004163EF">
        <w:rPr>
          <w:sz w:val="20"/>
          <w:lang w:val="fr-CA"/>
        </w:rPr>
        <w:t xml:space="preserve"> juge en chef McLachlin et les juges </w:t>
      </w:r>
      <w:r w:rsidRPr="004163EF">
        <w:rPr>
          <w:b/>
          <w:sz w:val="20"/>
          <w:lang w:val="fr-CA"/>
        </w:rPr>
        <w:t>Binnie</w:t>
      </w:r>
      <w:r w:rsidRPr="004163EF">
        <w:rPr>
          <w:sz w:val="20"/>
          <w:lang w:val="fr-CA"/>
        </w:rPr>
        <w:t xml:space="preserve">, LeBel, Fish, Abella et Charron : La nécessité d’établir le lien de causalité est commune au meurtre et à l’homicide involontaire coupable.  Le ministère public doit établir hors de tout doute raisonnable que les coups de feu ont contribué de façon appréciable à la mort de la victime.  Si le témoignage du pathologiste assigné par le ministère public a laissé les jurés dans l’incertitude à cet égard, les intimés pourraient, tout au plus, être déclarés coupables de </w:t>
      </w:r>
      <w:r w:rsidRPr="004163EF">
        <w:rPr>
          <w:i/>
          <w:iCs/>
          <w:sz w:val="20"/>
          <w:lang w:val="fr-CA"/>
        </w:rPr>
        <w:t>tentative</w:t>
      </w:r>
      <w:r w:rsidRPr="004163EF">
        <w:rPr>
          <w:sz w:val="20"/>
          <w:lang w:val="fr-CA"/>
        </w:rPr>
        <w:t xml:space="preserve"> de meurtre.  Si le jury adoptait ce point de vue (et, bien entendu, nous ne savons pas ce que pensaient les jurés), le verdict approprié (culpabilité de tentative de meurtre) ne figurait pas dans les options qui leur ont été présentées.  Les intimés avaient droit à ce que le verdict soit prononcé par un jury ayant reçu des directives appropriées, et les cours d’appel doivent faire preuve de prudence afin de ne pas empiéter sur ce droit fondamental.</w:t>
      </w:r>
    </w:p>
    <w:p w:rsidR="004163EF" w:rsidRPr="004163EF" w:rsidRDefault="004163EF" w:rsidP="004163EF">
      <w:pPr>
        <w:pStyle w:val="SCCNormalDoubleSpacing"/>
        <w:spacing w:line="240" w:lineRule="auto"/>
        <w:rPr>
          <w:sz w:val="20"/>
          <w:lang w:val="fr-CA"/>
        </w:rPr>
      </w:pPr>
    </w:p>
    <w:p w:rsidR="004163EF" w:rsidRPr="004163EF" w:rsidRDefault="004163EF" w:rsidP="004163EF">
      <w:pPr>
        <w:pStyle w:val="SCCNormalDoubleSpacing"/>
        <w:spacing w:line="240" w:lineRule="auto"/>
        <w:rPr>
          <w:sz w:val="20"/>
          <w:lang w:val="fr-CA"/>
        </w:rPr>
      </w:pPr>
      <w:r w:rsidRPr="004163EF">
        <w:rPr>
          <w:sz w:val="20"/>
          <w:lang w:val="fr-CA"/>
        </w:rPr>
        <w:tab/>
        <w:t>Le juge dissident en cour d’appel nous a prié d’adopter, relativement au sous</w:t>
      </w:r>
      <w:r w:rsidRPr="004163EF">
        <w:rPr>
          <w:sz w:val="20"/>
          <w:lang w:val="fr-CA"/>
        </w:rPr>
        <w:noBreakHyphen/>
        <w:t>al. 686(1)</w:t>
      </w:r>
      <w:r w:rsidRPr="004163EF">
        <w:rPr>
          <w:i/>
          <w:sz w:val="20"/>
          <w:lang w:val="fr-CA"/>
        </w:rPr>
        <w:t>b</w:t>
      </w:r>
      <w:r w:rsidRPr="004163EF">
        <w:rPr>
          <w:sz w:val="20"/>
          <w:lang w:val="fr-CA"/>
        </w:rPr>
        <w:t xml:space="preserve">)(iii), une approche plus « globale » et, à cette fin, d’alléger le fardeau du ministère public afin qu’il ne soit plus tenu de présenter contre l’accusé une preuve « accablante », mais seulement une « très forte » preuve, et de permettre que les cours d’appel puissent tolérer des erreurs de droit qui, bien qu’elles ne soient pas « sans importance », risquent « fort peu d’influer sur le résultat ».  </w:t>
      </w:r>
    </w:p>
    <w:p w:rsidR="004163EF" w:rsidRPr="004163EF" w:rsidRDefault="004163EF" w:rsidP="004163EF">
      <w:pPr>
        <w:pStyle w:val="SCCNormalDoubleSpacing"/>
        <w:spacing w:line="240" w:lineRule="auto"/>
        <w:rPr>
          <w:sz w:val="20"/>
          <w:lang w:val="fr-CA"/>
        </w:rPr>
      </w:pPr>
    </w:p>
    <w:p w:rsidR="004163EF" w:rsidRPr="004163EF" w:rsidRDefault="004163EF" w:rsidP="004163EF">
      <w:pPr>
        <w:pStyle w:val="SCCNormalDoubleSpacing"/>
        <w:spacing w:line="240" w:lineRule="auto"/>
        <w:rPr>
          <w:sz w:val="20"/>
          <w:lang w:val="fr-CA"/>
        </w:rPr>
      </w:pPr>
      <w:r w:rsidRPr="004163EF">
        <w:rPr>
          <w:sz w:val="20"/>
          <w:lang w:val="fr-CA"/>
        </w:rPr>
        <w:tab/>
        <w:t xml:space="preserve">Il y a toutefois une différence importante entre une erreur de droit que l’on peut écarter en toute confiance parce qu’elle est « inoffensive », et une évaluation selon laquelle l’erreur, bien qu’elle soit préjudiciable, n’est pas (selon l’examen que fait </w:t>
      </w:r>
      <w:r w:rsidRPr="004163EF">
        <w:rPr>
          <w:i/>
          <w:sz w:val="20"/>
          <w:lang w:val="fr-CA"/>
        </w:rPr>
        <w:t>a posteriori</w:t>
      </w:r>
      <w:r w:rsidRPr="004163EF">
        <w:rPr>
          <w:sz w:val="20"/>
          <w:lang w:val="fr-CA"/>
        </w:rPr>
        <w:t xml:space="preserve"> la cour d’appel) préjudiciable </w:t>
      </w:r>
      <w:r w:rsidRPr="004163EF">
        <w:rPr>
          <w:i/>
          <w:iCs/>
          <w:sz w:val="20"/>
          <w:lang w:val="fr-CA"/>
        </w:rPr>
        <w:t>au point</w:t>
      </w:r>
      <w:r w:rsidRPr="004163EF">
        <w:rPr>
          <w:sz w:val="20"/>
          <w:lang w:val="fr-CA"/>
        </w:rPr>
        <w:t xml:space="preserve"> d’avoir une incidence sur le résultat.  Des évaluations aussi subtiles sont étrangères à l’objet de la disposition réparatrice qui consiste à éviter un nouveau procès qui serait superflu et inutile, tout en imposant un lourd fardeau au ministère public qui doit établir ces conditions préalables.  Ce raisonnement vaut aussi pour l’autre élément de la disposition réparatrice.  Par conséquent, il ne convient pas d’alléger le fardeau qu’a le ministère public de démontrer que la preuve est « accablante » ou qu’une erreur de droit est « inoffensive ».</w:t>
      </w:r>
    </w:p>
    <w:p w:rsidR="004163EF" w:rsidRDefault="004163EF" w:rsidP="004163EF">
      <w:pPr>
        <w:pStyle w:val="ParaNoNdepar-AltN"/>
        <w:numPr>
          <w:ilvl w:val="0"/>
          <w:numId w:val="0"/>
        </w:numPr>
        <w:tabs>
          <w:tab w:val="left" w:pos="1170"/>
        </w:tabs>
        <w:spacing w:before="0" w:after="0" w:line="240" w:lineRule="auto"/>
        <w:rPr>
          <w:sz w:val="20"/>
          <w:szCs w:val="20"/>
          <w:lang w:val="fr-CA"/>
        </w:rPr>
      </w:pPr>
    </w:p>
    <w:p w:rsidR="004163EF" w:rsidRPr="007C3243" w:rsidRDefault="004163EF" w:rsidP="00304AA5">
      <w:pPr>
        <w:pStyle w:val="ParaNoNdepar-AltN"/>
        <w:numPr>
          <w:ilvl w:val="0"/>
          <w:numId w:val="0"/>
        </w:numPr>
        <w:spacing w:before="0" w:after="0" w:line="240" w:lineRule="auto"/>
        <w:rPr>
          <w:sz w:val="20"/>
          <w:szCs w:val="20"/>
          <w:lang w:val="fr-CA"/>
        </w:rPr>
      </w:pPr>
      <w:r w:rsidRPr="007C3243">
        <w:rPr>
          <w:sz w:val="20"/>
          <w:szCs w:val="20"/>
          <w:lang w:val="fr-CA"/>
        </w:rPr>
        <w:tab/>
        <w:t xml:space="preserve">L’erreur commise par le juge de première instance en refusant d’exposer à l’appréciation du jury la possibilité d’un verdict valable en droit qui correspondait à la thèse de la défense et que le jury pouvait prononcer compte tenu de la preuve ne peut être considérée comme une erreur « inoffensive » car nous ne pouvons être certains que, si cela avait été fait et malgré l’existence de directives justes en matière de meurtre, le verdict n’aurait pas pu être différent.  Il ne s’agit pas en l’espèce d’une affaire dans laquelle le caractère anodin de l’erreur ou l’absence de préjudice résultant d’une erreur plus grave peuvent justifier l’application de la disposition réparatrice.  L’omission de donner au jury des directives relatives à un autre verdict valable n’entre dans ni l’une ni l’autre de ces catégories.  Par conséquent, compte tenu des circonstances de l’espèce, la cour d’appel ne peut pas appliquer la disposition réparatrice pour corriger l’erreur commise par le juge de première instance dans ses directives au jury. </w:t>
      </w:r>
    </w:p>
    <w:p w:rsidR="004163EF" w:rsidRPr="004163EF" w:rsidRDefault="004163EF" w:rsidP="004163EF">
      <w:pPr>
        <w:pStyle w:val="SCCNormalDoubleSpacing"/>
        <w:spacing w:line="240" w:lineRule="auto"/>
        <w:rPr>
          <w:sz w:val="20"/>
          <w:lang w:val="fr-CA"/>
        </w:rPr>
      </w:pPr>
    </w:p>
    <w:p w:rsidR="004163EF" w:rsidRPr="004163EF" w:rsidRDefault="004163EF" w:rsidP="004163EF">
      <w:pPr>
        <w:pStyle w:val="SCCNormalDoubleSpacing"/>
        <w:spacing w:line="240" w:lineRule="auto"/>
        <w:rPr>
          <w:sz w:val="20"/>
          <w:lang w:val="fr-CA"/>
        </w:rPr>
      </w:pPr>
      <w:r w:rsidRPr="004163EF">
        <w:rPr>
          <w:sz w:val="20"/>
          <w:lang w:val="fr-CA"/>
        </w:rPr>
        <w:lastRenderedPageBreak/>
        <w:tab/>
      </w:r>
      <w:r w:rsidRPr="004163EF">
        <w:rPr>
          <w:i/>
          <w:sz w:val="20"/>
          <w:lang w:val="fr-CA"/>
        </w:rPr>
        <w:t>Les</w:t>
      </w:r>
      <w:r w:rsidRPr="004163EF">
        <w:rPr>
          <w:sz w:val="20"/>
          <w:lang w:val="fr-CA"/>
        </w:rPr>
        <w:t xml:space="preserve"> juges Deschamps, Rothstein et </w:t>
      </w:r>
      <w:r w:rsidRPr="004163EF">
        <w:rPr>
          <w:b/>
          <w:sz w:val="20"/>
          <w:lang w:val="fr-CA"/>
        </w:rPr>
        <w:t>Cromwell</w:t>
      </w:r>
      <w:r w:rsidRPr="004163EF">
        <w:rPr>
          <w:sz w:val="20"/>
          <w:lang w:val="fr-CA"/>
        </w:rPr>
        <w:t xml:space="preserve"> (dissidents) : La question n’est pas de savoir si la preuve de la culpabilité était « accablante », et la Cour n’a pas à prédire l’effet qu’un argument donné aurait pu avoir sur l’appréciation, par le jury, de la crédibilité d’un témoin.  Il s’agit de déterminer s’il existe une possibilité raisonnable que l’erreur ait pu avoir quelque incidence sur le verdict.  L’absence de directives concernant l’infraction de tentative de meurtre n’aurait été pertinente que si le jury avait eu un doute à l’égard du lien de causalité.  De l’avis de tous, le juge du procès a donné au jury des directives impeccables au sujet de l’infraction de meurtre, y compris quant à l’exigence que la mort du défunt ait été causée par les coups de feu.  Il a soumis au jury une fourchette de décisions qui, tout comme ses directives, indiquaient clairement que pour prononcer un verdict de culpabilité les jurés devaient être unanimement d’avis que le ministère public avait prouvé hors de tout doute raisonnable l’existence du lien de causalité.  Les jurés ont délibéré pendant cinq jours.  Ils n’ont posé aucune question au sujet du lien de causalité.  Ils ont rendu un verdict de culpabilité de meurtre au deuxième degré contre les deux accusés.  Ce verdict reflète nécessairement leur conclusion — tirée hors de tout doute raisonnable — que les coups de feu ont bel et bien causé la mort de la victime.  En ce qui concerne le lien de causalité, c’est la seule conclusion qui soit compatible avec le verdict du jury.  Les cours d’appel n’ont pas à faire des conjectures aux dépens du jury et à imputer aux jurés le fait d’avoir omis de façon inconsciente de s’acquitter de leur devoir solennel.  Elles ne doivent pas non plus affirmer tout simplement que l’omission, par le juge du procès, de donner des directives au jury constitue une injustice.  Par conséquent, le ministère public s’est acquitté du fardeau qui lui incombait de démontrer que, même si l’erreur de droit commise en l’espèce — à savoir l’omission de donner des directives à propos de l’infraction de tentative de meurtre — n’était pas survenue, l’issue du procès aurait inévitablement été la même.</w:t>
      </w:r>
    </w:p>
    <w:p w:rsidR="004163EF" w:rsidRPr="004163EF" w:rsidRDefault="004163EF" w:rsidP="004163EF">
      <w:pPr>
        <w:pStyle w:val="SCCNormalDoubleSpacing"/>
        <w:spacing w:line="240" w:lineRule="auto"/>
        <w:rPr>
          <w:sz w:val="20"/>
          <w:lang w:val="fr-CA"/>
        </w:rPr>
      </w:pPr>
    </w:p>
    <w:p w:rsidR="004163EF" w:rsidRPr="004163EF" w:rsidRDefault="004163EF" w:rsidP="004163EF">
      <w:pPr>
        <w:pStyle w:val="SCCNormalDoubleSpacing"/>
        <w:spacing w:line="240" w:lineRule="auto"/>
        <w:rPr>
          <w:sz w:val="20"/>
          <w:lang w:val="fr-CA"/>
        </w:rPr>
      </w:pPr>
      <w:r w:rsidRPr="004163EF">
        <w:rPr>
          <w:sz w:val="20"/>
          <w:lang w:val="fr-CA"/>
        </w:rPr>
        <w:tab/>
        <w:t xml:space="preserve">POURVOI contre un arrêt de la Cour d’appel de l’Ontario (les juges Doherty, Epstein et Moldaver), </w:t>
      </w:r>
      <w:r w:rsidR="00FD0CB6" w:rsidRPr="007C3243">
        <w:rPr>
          <w:sz w:val="20"/>
        </w:rPr>
        <w:fldChar w:fldCharType="begin"/>
      </w:r>
      <w:r w:rsidRPr="004163EF">
        <w:rPr>
          <w:sz w:val="20"/>
          <w:lang w:val="fr-CA"/>
        </w:rPr>
        <w:instrText xml:space="preserve"> SEQ CHAPTER \h \r 1</w:instrText>
      </w:r>
      <w:r w:rsidR="00FD0CB6" w:rsidRPr="007C3243">
        <w:rPr>
          <w:sz w:val="20"/>
        </w:rPr>
        <w:fldChar w:fldCharType="end"/>
      </w:r>
      <w:r w:rsidRPr="004163EF">
        <w:rPr>
          <w:sz w:val="20"/>
          <w:lang w:val="fr-CA"/>
        </w:rPr>
        <w:t>2010 ONCA 577, 268 O.A.C. 200, 259 C.C.C. (3d) 293, 79 C.R. (6th) 151, [2010] O.J. No. 3748, 2010 CarswellOnt 6646, qui a annulé les déclarations de culpabilité de meurtre au deuxième degré prononcées à l’égard des accusés et a ordonné la tenue d’un nouveau procès.  Pourvoi rejeté, les juges Deschamps, Rothstein et Cromwell sont dissidents.</w:t>
      </w:r>
    </w:p>
    <w:p w:rsidR="004163EF" w:rsidRPr="004163EF" w:rsidRDefault="004163EF" w:rsidP="004163EF">
      <w:pPr>
        <w:pStyle w:val="SCCNormalDoubleSpacing"/>
        <w:spacing w:line="240" w:lineRule="auto"/>
        <w:rPr>
          <w:rStyle w:val="SCCCounselNameChar"/>
          <w:i w:val="0"/>
          <w:sz w:val="20"/>
          <w:lang w:val="fr-CA"/>
        </w:rPr>
      </w:pPr>
    </w:p>
    <w:p w:rsidR="004163EF" w:rsidRPr="004163EF" w:rsidRDefault="004163EF" w:rsidP="004163EF">
      <w:pPr>
        <w:pStyle w:val="SCCNormalDoubleSpacing"/>
        <w:spacing w:line="240" w:lineRule="auto"/>
        <w:rPr>
          <w:sz w:val="20"/>
          <w:lang w:val="fr-CA"/>
        </w:rPr>
      </w:pPr>
      <w:r w:rsidRPr="004163EF">
        <w:rPr>
          <w:rStyle w:val="SCCCounselNameChar"/>
          <w:sz w:val="20"/>
          <w:lang w:val="fr-CA"/>
        </w:rPr>
        <w:tab/>
        <w:t>James K. Stewart</w:t>
      </w:r>
      <w:r w:rsidRPr="004163EF">
        <w:rPr>
          <w:rStyle w:val="SCCCounselPartyRoleChar"/>
          <w:sz w:val="20"/>
          <w:lang w:val="fr-CA"/>
        </w:rPr>
        <w:t>, pour l’appelante.</w:t>
      </w:r>
    </w:p>
    <w:p w:rsidR="004163EF" w:rsidRPr="004163EF" w:rsidRDefault="004163EF" w:rsidP="004163EF">
      <w:pPr>
        <w:pStyle w:val="SCCNormalDoubleSpacing"/>
        <w:spacing w:line="240" w:lineRule="auto"/>
        <w:rPr>
          <w:rStyle w:val="SCCCounselNameChar"/>
          <w:i w:val="0"/>
          <w:sz w:val="20"/>
          <w:lang w:val="fr-CA"/>
        </w:rPr>
      </w:pPr>
    </w:p>
    <w:p w:rsidR="004163EF" w:rsidRPr="004163EF" w:rsidRDefault="004163EF" w:rsidP="004163EF">
      <w:pPr>
        <w:pStyle w:val="SCCNormalDoubleSpacing"/>
        <w:spacing w:line="240" w:lineRule="auto"/>
        <w:rPr>
          <w:sz w:val="20"/>
          <w:lang w:val="fr-CA"/>
        </w:rPr>
      </w:pPr>
      <w:r w:rsidRPr="004163EF">
        <w:rPr>
          <w:rStyle w:val="SCCCounselNameChar"/>
          <w:sz w:val="20"/>
          <w:lang w:val="fr-CA"/>
        </w:rPr>
        <w:tab/>
        <w:t>Russell Silverstein</w:t>
      </w:r>
      <w:r w:rsidRPr="007C3243">
        <w:rPr>
          <w:rStyle w:val="SCCCounselSeparatorChar"/>
          <w:sz w:val="20"/>
        </w:rPr>
        <w:t xml:space="preserve"> et </w:t>
      </w:r>
      <w:r w:rsidRPr="004163EF">
        <w:rPr>
          <w:rStyle w:val="SCCCounselNameChar"/>
          <w:sz w:val="20"/>
          <w:lang w:val="fr-CA"/>
        </w:rPr>
        <w:t>Ingrid Grant</w:t>
      </w:r>
      <w:r w:rsidRPr="004163EF">
        <w:rPr>
          <w:rStyle w:val="SCCCounselPartyRoleChar"/>
          <w:sz w:val="20"/>
          <w:lang w:val="fr-CA"/>
        </w:rPr>
        <w:t>, pour l’intimé Robert Sarrazin.</w:t>
      </w:r>
    </w:p>
    <w:p w:rsidR="004163EF" w:rsidRPr="004163EF" w:rsidRDefault="004163EF" w:rsidP="004163EF">
      <w:pPr>
        <w:pStyle w:val="SCCNormalDoubleSpacing"/>
        <w:spacing w:line="240" w:lineRule="auto"/>
        <w:rPr>
          <w:rStyle w:val="SCCCounselNameChar"/>
          <w:i w:val="0"/>
          <w:sz w:val="20"/>
          <w:lang w:val="fr-CA"/>
        </w:rPr>
      </w:pPr>
    </w:p>
    <w:p w:rsidR="004163EF" w:rsidRPr="004163EF" w:rsidRDefault="004163EF" w:rsidP="004163EF">
      <w:pPr>
        <w:pStyle w:val="SCCNormalDoubleSpacing"/>
        <w:spacing w:line="240" w:lineRule="auto"/>
        <w:rPr>
          <w:sz w:val="20"/>
          <w:lang w:val="fr-CA"/>
        </w:rPr>
      </w:pPr>
      <w:r w:rsidRPr="004163EF">
        <w:rPr>
          <w:rStyle w:val="SCCCounselNameChar"/>
          <w:sz w:val="20"/>
          <w:lang w:val="fr-CA"/>
        </w:rPr>
        <w:tab/>
        <w:t>Philip Campbell</w:t>
      </w:r>
      <w:r w:rsidRPr="007C3243">
        <w:rPr>
          <w:rStyle w:val="SCCCounselSeparatorChar"/>
          <w:sz w:val="20"/>
        </w:rPr>
        <w:t xml:space="preserve"> et </w:t>
      </w:r>
      <w:r w:rsidRPr="004163EF">
        <w:rPr>
          <w:rStyle w:val="SCCCounselNameChar"/>
          <w:sz w:val="20"/>
          <w:lang w:val="fr-CA"/>
        </w:rPr>
        <w:t>Howard L. Krongold</w:t>
      </w:r>
      <w:r w:rsidRPr="004163EF">
        <w:rPr>
          <w:rStyle w:val="SCCCounselPartyRoleChar"/>
          <w:sz w:val="20"/>
          <w:lang w:val="fr-CA"/>
        </w:rPr>
        <w:t>, pour l’intimé Darlind Jean.</w:t>
      </w:r>
    </w:p>
    <w:p w:rsidR="004163EF" w:rsidRPr="004163EF" w:rsidRDefault="004163EF" w:rsidP="004163EF">
      <w:pPr>
        <w:pStyle w:val="SCCLawFirm"/>
        <w:spacing w:line="240" w:lineRule="auto"/>
        <w:rPr>
          <w:i w:val="0"/>
          <w:sz w:val="20"/>
          <w:lang w:val="fr-CA"/>
        </w:rPr>
      </w:pPr>
    </w:p>
    <w:p w:rsidR="004163EF" w:rsidRPr="004163EF" w:rsidRDefault="004163EF" w:rsidP="004163EF">
      <w:pPr>
        <w:pStyle w:val="SCCLawFirm"/>
        <w:spacing w:line="240" w:lineRule="auto"/>
        <w:rPr>
          <w:sz w:val="20"/>
          <w:lang w:val="fr-CA"/>
        </w:rPr>
      </w:pPr>
      <w:r w:rsidRPr="004163EF">
        <w:rPr>
          <w:sz w:val="20"/>
          <w:lang w:val="fr-CA"/>
        </w:rPr>
        <w:tab/>
        <w:t>Procureur de l’appelante : Procureur g</w:t>
      </w:r>
      <w:r w:rsidR="00800BA8">
        <w:rPr>
          <w:sz w:val="20"/>
          <w:lang w:val="fr-CA"/>
        </w:rPr>
        <w:t>é</w:t>
      </w:r>
      <w:r w:rsidRPr="004163EF">
        <w:rPr>
          <w:sz w:val="20"/>
          <w:lang w:val="fr-CA"/>
        </w:rPr>
        <w:t>n</w:t>
      </w:r>
      <w:r w:rsidR="00800BA8">
        <w:rPr>
          <w:sz w:val="20"/>
          <w:lang w:val="fr-CA"/>
        </w:rPr>
        <w:t>é</w:t>
      </w:r>
      <w:r w:rsidRPr="004163EF">
        <w:rPr>
          <w:sz w:val="20"/>
          <w:lang w:val="fr-CA"/>
        </w:rPr>
        <w:t>ral de l’Ontario, Toronto.</w:t>
      </w:r>
    </w:p>
    <w:p w:rsidR="004163EF" w:rsidRPr="004163EF" w:rsidRDefault="004163EF" w:rsidP="004163EF">
      <w:pPr>
        <w:pStyle w:val="SCCLawFirm"/>
        <w:spacing w:line="240" w:lineRule="auto"/>
        <w:rPr>
          <w:i w:val="0"/>
          <w:sz w:val="20"/>
          <w:lang w:val="fr-CA"/>
        </w:rPr>
      </w:pPr>
    </w:p>
    <w:p w:rsidR="004163EF" w:rsidRPr="004163EF" w:rsidRDefault="004163EF" w:rsidP="004163EF">
      <w:pPr>
        <w:pStyle w:val="SCCLawFirm"/>
        <w:spacing w:line="240" w:lineRule="auto"/>
        <w:rPr>
          <w:sz w:val="20"/>
          <w:lang w:val="fr-CA"/>
        </w:rPr>
      </w:pPr>
      <w:r w:rsidRPr="004163EF">
        <w:rPr>
          <w:sz w:val="20"/>
          <w:lang w:val="fr-CA"/>
        </w:rPr>
        <w:tab/>
        <w:t>Procureurs de l’intimé Robert Sarrazin : Russell Silverstein &amp; Associate, Toronto.</w:t>
      </w:r>
    </w:p>
    <w:p w:rsidR="004163EF" w:rsidRPr="004163EF" w:rsidRDefault="004163EF" w:rsidP="004163EF">
      <w:pPr>
        <w:pStyle w:val="SCCLawFirm"/>
        <w:spacing w:line="240" w:lineRule="auto"/>
        <w:rPr>
          <w:i w:val="0"/>
          <w:sz w:val="20"/>
          <w:lang w:val="fr-CA"/>
        </w:rPr>
      </w:pPr>
    </w:p>
    <w:p w:rsidR="004163EF" w:rsidRPr="004163EF" w:rsidRDefault="004163EF" w:rsidP="004163EF">
      <w:pPr>
        <w:pStyle w:val="SCCLawFirm"/>
        <w:spacing w:line="240" w:lineRule="auto"/>
        <w:rPr>
          <w:sz w:val="20"/>
          <w:lang w:val="fr-CA"/>
        </w:rPr>
      </w:pPr>
      <w:r w:rsidRPr="004163EF">
        <w:rPr>
          <w:sz w:val="20"/>
          <w:lang w:val="fr-CA"/>
        </w:rPr>
        <w:tab/>
        <w:t>Procureurs de l’intimé Darling Jean : Lockyer Campbell Posner, Toronto.</w:t>
      </w:r>
    </w:p>
    <w:p w:rsidR="004163EF" w:rsidRDefault="004163EF" w:rsidP="004163EF">
      <w:pPr>
        <w:pStyle w:val="SCCNormalDoubleSpacing"/>
        <w:spacing w:line="240" w:lineRule="auto"/>
        <w:rPr>
          <w:sz w:val="20"/>
          <w:lang w:val="fr-CA"/>
        </w:rPr>
      </w:pPr>
    </w:p>
    <w:p w:rsidR="005C6840" w:rsidRDefault="00FD0CB6" w:rsidP="005C6840">
      <w:pPr>
        <w:rPr>
          <w:lang w:val="fr-CA"/>
        </w:rPr>
      </w:pPr>
      <w:r w:rsidRPr="00FD0CB6">
        <w:rPr>
          <w:rFonts w:cs="Times New Roman"/>
          <w:sz w:val="20"/>
          <w:szCs w:val="20"/>
          <w:lang w:val="fr-CA"/>
        </w:rPr>
        <w:pict>
          <v:rect id="_x0000_i1076" style="width:144.3pt;height:1pt" o:hrpct="300" o:hralign="center" o:hrstd="t" o:hrnoshade="t" o:hr="t" fillcolor="black [3213]" stroked="f"/>
        </w:pict>
      </w:r>
    </w:p>
    <w:p w:rsidR="003B3977" w:rsidRDefault="003B3977" w:rsidP="003B3977">
      <w:pPr>
        <w:rPr>
          <w:sz w:val="20"/>
          <w:szCs w:val="20"/>
        </w:rPr>
      </w:pPr>
    </w:p>
    <w:p w:rsidR="00800BA8" w:rsidRPr="003F4721" w:rsidRDefault="00800BA8"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576" w:footer="960" w:gutter="0"/>
          <w:cols w:space="720"/>
          <w:titlePg/>
          <w:docGrid w:linePitch="272"/>
        </w:sectPr>
      </w:pPr>
    </w:p>
    <w:p w:rsidR="00E903A1" w:rsidRPr="002E0C7E" w:rsidRDefault="00FD0CB6"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4163E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4163EF">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4163EF">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DECEMBER - DÉCEMBRE</w:t>
            </w:r>
          </w:p>
        </w:tc>
      </w:tr>
      <w:tr w:rsidR="00E903A1" w:rsidRPr="002E0C7E" w:rsidTr="004163E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M</w:t>
            </w:r>
          </w:p>
          <w:p w:rsidR="00E903A1" w:rsidRPr="002E0C7E" w:rsidRDefault="00E903A1" w:rsidP="004163EF">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W</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F</w:t>
            </w:r>
          </w:p>
          <w:p w:rsidR="00E903A1" w:rsidRPr="002E0C7E" w:rsidRDefault="00E903A1" w:rsidP="004163EF">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M</w:t>
            </w:r>
          </w:p>
          <w:p w:rsidR="00E903A1" w:rsidRPr="002E0C7E" w:rsidRDefault="00E903A1" w:rsidP="004163EF">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W</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F</w:t>
            </w:r>
          </w:p>
          <w:p w:rsidR="00E903A1" w:rsidRPr="002E0C7E" w:rsidRDefault="00E903A1" w:rsidP="004163EF">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M</w:t>
            </w:r>
          </w:p>
          <w:p w:rsidR="00E903A1" w:rsidRPr="002E0C7E" w:rsidRDefault="00E903A1" w:rsidP="004163EF">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W</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F</w:t>
            </w:r>
          </w:p>
          <w:p w:rsidR="00E903A1" w:rsidRPr="002E0C7E" w:rsidRDefault="00E903A1" w:rsidP="004163E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S</w:t>
            </w:r>
          </w:p>
        </w:tc>
      </w:tr>
      <w:tr w:rsidR="00E903A1" w:rsidRPr="002E0C7E" w:rsidTr="004163E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w:t>
            </w:r>
          </w:p>
        </w:tc>
      </w:tr>
      <w:tr w:rsidR="00E903A1" w:rsidRPr="002E0C7E" w:rsidTr="004163E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M</w:t>
            </w:r>
          </w:p>
          <w:p w:rsidR="00E903A1" w:rsidRPr="002E0C7E" w:rsidRDefault="00E903A1" w:rsidP="004163EF">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H</w:t>
            </w:r>
          </w:p>
          <w:p w:rsidR="00E903A1" w:rsidRPr="002E0C7E" w:rsidRDefault="00E903A1" w:rsidP="004163EF">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M</w:t>
            </w:r>
          </w:p>
          <w:p w:rsidR="00E903A1" w:rsidRPr="002E0C7E" w:rsidRDefault="00E903A1" w:rsidP="004163EF">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10</w:t>
            </w:r>
          </w:p>
        </w:tc>
      </w:tr>
      <w:tr w:rsidR="00E903A1" w:rsidRPr="002E0C7E" w:rsidTr="004163EF">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H</w:t>
            </w:r>
          </w:p>
          <w:p w:rsidR="00E903A1" w:rsidRPr="002E0C7E" w:rsidRDefault="00E903A1" w:rsidP="004163EF">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M</w:t>
            </w:r>
          </w:p>
          <w:p w:rsidR="00E903A1" w:rsidRPr="002E0C7E" w:rsidRDefault="00E903A1" w:rsidP="004163EF">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17</w:t>
            </w:r>
          </w:p>
        </w:tc>
      </w:tr>
      <w:tr w:rsidR="00E903A1" w:rsidRPr="002E0C7E" w:rsidTr="004163E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24</w:t>
            </w:r>
          </w:p>
        </w:tc>
      </w:tr>
      <w:tr w:rsidR="00E903A1" w:rsidRPr="002E0C7E" w:rsidTr="004163EF">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23</w:t>
            </w:r>
          </w:p>
          <w:p w:rsidR="00E903A1" w:rsidRPr="002E0C7E" w:rsidRDefault="00E903A1" w:rsidP="004163EF">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24</w:t>
            </w:r>
          </w:p>
          <w:p w:rsidR="00E903A1" w:rsidRPr="002E0C7E" w:rsidRDefault="00E903A1" w:rsidP="004163EF">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H</w:t>
            </w:r>
          </w:p>
          <w:p w:rsidR="00E903A1" w:rsidRPr="002E0C7E" w:rsidRDefault="00E903A1" w:rsidP="004163EF">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H</w:t>
            </w:r>
          </w:p>
          <w:p w:rsidR="00E903A1" w:rsidRPr="002E0C7E" w:rsidRDefault="00E903A1" w:rsidP="004163EF">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4163E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4163EF">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4163EF">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MARCH - MARS</w:t>
            </w:r>
          </w:p>
        </w:tc>
      </w:tr>
      <w:tr w:rsidR="00E903A1" w:rsidRPr="002E0C7E" w:rsidTr="004163EF">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M</w:t>
            </w:r>
          </w:p>
          <w:p w:rsidR="00E903A1" w:rsidRPr="002E0C7E" w:rsidRDefault="00E903A1" w:rsidP="004163EF">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W</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F</w:t>
            </w:r>
          </w:p>
          <w:p w:rsidR="00E903A1" w:rsidRPr="002E0C7E" w:rsidRDefault="00E903A1" w:rsidP="004163E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M</w:t>
            </w:r>
          </w:p>
          <w:p w:rsidR="00E903A1" w:rsidRPr="002E0C7E" w:rsidRDefault="00E903A1" w:rsidP="004163E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W</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F</w:t>
            </w:r>
          </w:p>
          <w:p w:rsidR="00E903A1" w:rsidRPr="002E0C7E" w:rsidRDefault="00E903A1" w:rsidP="004163E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M</w:t>
            </w:r>
          </w:p>
          <w:p w:rsidR="00E903A1" w:rsidRPr="002E0C7E" w:rsidRDefault="00E903A1" w:rsidP="004163EF">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W</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F</w:t>
            </w:r>
          </w:p>
          <w:p w:rsidR="00E903A1" w:rsidRPr="002E0C7E" w:rsidRDefault="00E903A1" w:rsidP="004163E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S</w:t>
            </w:r>
          </w:p>
        </w:tc>
      </w:tr>
      <w:tr w:rsidR="00E903A1" w:rsidRPr="002E0C7E" w:rsidTr="004163EF">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H</w:t>
            </w:r>
          </w:p>
          <w:p w:rsidR="00E903A1" w:rsidRPr="002E0C7E" w:rsidRDefault="00E903A1" w:rsidP="004163EF">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w:t>
            </w:r>
          </w:p>
        </w:tc>
      </w:tr>
      <w:tr w:rsidR="00E903A1" w:rsidRPr="002E0C7E" w:rsidTr="004163EF">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M</w:t>
            </w:r>
          </w:p>
          <w:p w:rsidR="00E903A1" w:rsidRPr="002E0C7E" w:rsidRDefault="00E903A1" w:rsidP="004163EF">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M</w:t>
            </w:r>
          </w:p>
          <w:p w:rsidR="00E903A1" w:rsidRPr="002E0C7E" w:rsidRDefault="00E903A1" w:rsidP="004163EF">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10</w:t>
            </w:r>
          </w:p>
        </w:tc>
      </w:tr>
      <w:tr w:rsidR="00E903A1" w:rsidRPr="002E0C7E" w:rsidTr="004163EF">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M</w:t>
            </w:r>
          </w:p>
          <w:p w:rsidR="00E903A1" w:rsidRPr="002E0C7E" w:rsidRDefault="00E903A1" w:rsidP="004163EF">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17</w:t>
            </w:r>
          </w:p>
        </w:tc>
      </w:tr>
      <w:tr w:rsidR="00E903A1" w:rsidRPr="002E0C7E" w:rsidTr="004163EF">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24</w:t>
            </w:r>
          </w:p>
        </w:tc>
      </w:tr>
      <w:tr w:rsidR="00E903A1" w:rsidRPr="002E0C7E" w:rsidTr="004163EF">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4163E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4163EF">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4163EF">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JUNE - JUIN</w:t>
            </w:r>
          </w:p>
        </w:tc>
      </w:tr>
      <w:tr w:rsidR="00E903A1" w:rsidRPr="002E0C7E" w:rsidTr="004163EF">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M</w:t>
            </w:r>
          </w:p>
          <w:p w:rsidR="00E903A1" w:rsidRPr="002E0C7E" w:rsidRDefault="00E903A1" w:rsidP="004163E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W</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F</w:t>
            </w:r>
          </w:p>
          <w:p w:rsidR="00E903A1" w:rsidRPr="002E0C7E" w:rsidRDefault="00E903A1" w:rsidP="004163E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M</w:t>
            </w:r>
          </w:p>
          <w:p w:rsidR="00E903A1" w:rsidRPr="002E0C7E" w:rsidRDefault="00E903A1" w:rsidP="004163E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W</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F</w:t>
            </w:r>
          </w:p>
          <w:p w:rsidR="00E903A1" w:rsidRPr="002E0C7E" w:rsidRDefault="00E903A1" w:rsidP="004163EF">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M</w:t>
            </w:r>
          </w:p>
          <w:p w:rsidR="00E903A1" w:rsidRPr="002E0C7E" w:rsidRDefault="00E903A1" w:rsidP="004163EF">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W</w:t>
            </w:r>
          </w:p>
          <w:p w:rsidR="00E903A1" w:rsidRPr="002E0C7E" w:rsidRDefault="00E903A1" w:rsidP="004163E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T</w:t>
            </w:r>
          </w:p>
          <w:p w:rsidR="00E903A1" w:rsidRPr="002E0C7E" w:rsidRDefault="00E903A1" w:rsidP="004163E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F</w:t>
            </w:r>
          </w:p>
          <w:p w:rsidR="00E903A1" w:rsidRPr="002E0C7E" w:rsidRDefault="00E903A1" w:rsidP="004163E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s</w:t>
            </w:r>
          </w:p>
          <w:p w:rsidR="00E903A1" w:rsidRPr="002E0C7E" w:rsidRDefault="00E903A1" w:rsidP="004163EF">
            <w:pPr>
              <w:widowControl w:val="0"/>
              <w:jc w:val="center"/>
              <w:rPr>
                <w:rFonts w:ascii="Arial" w:hAnsi="Arial"/>
                <w:sz w:val="14"/>
              </w:rPr>
            </w:pPr>
            <w:r w:rsidRPr="002E0C7E">
              <w:rPr>
                <w:rFonts w:ascii="Arial" w:hAnsi="Arial"/>
                <w:sz w:val="14"/>
              </w:rPr>
              <w:t>s</w:t>
            </w:r>
          </w:p>
        </w:tc>
      </w:tr>
      <w:tr w:rsidR="00E903A1" w:rsidRPr="002E0C7E" w:rsidTr="004163EF">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H</w:t>
            </w:r>
          </w:p>
          <w:p w:rsidR="00E903A1" w:rsidRPr="002E0C7E" w:rsidRDefault="00E903A1" w:rsidP="004163EF">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b/>
                <w:sz w:val="14"/>
              </w:rPr>
            </w:pPr>
          </w:p>
          <w:p w:rsidR="00E903A1" w:rsidRPr="002E0C7E" w:rsidRDefault="00E903A1" w:rsidP="004163EF">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w:t>
            </w:r>
          </w:p>
        </w:tc>
      </w:tr>
      <w:tr w:rsidR="00E903A1" w:rsidRPr="002E0C7E" w:rsidTr="004163EF">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H</w:t>
            </w:r>
          </w:p>
          <w:p w:rsidR="00E903A1" w:rsidRPr="002E0C7E" w:rsidRDefault="00E903A1" w:rsidP="004163EF">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M</w:t>
            </w:r>
          </w:p>
          <w:p w:rsidR="00E903A1" w:rsidRPr="002E0C7E" w:rsidRDefault="00E903A1" w:rsidP="004163EF">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M</w:t>
            </w:r>
          </w:p>
          <w:p w:rsidR="00E903A1" w:rsidRPr="002E0C7E" w:rsidRDefault="00E903A1" w:rsidP="004163EF">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M</w:t>
            </w:r>
          </w:p>
          <w:p w:rsidR="00E903A1" w:rsidRPr="002E0C7E" w:rsidRDefault="00E903A1" w:rsidP="004163EF">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9</w:t>
            </w:r>
          </w:p>
        </w:tc>
      </w:tr>
      <w:tr w:rsidR="00E903A1" w:rsidRPr="002E0C7E" w:rsidTr="004163EF">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16</w:t>
            </w:r>
          </w:p>
        </w:tc>
      </w:tr>
      <w:tr w:rsidR="00E903A1" w:rsidRPr="002E0C7E" w:rsidTr="004163EF">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b/>
                <w:sz w:val="14"/>
              </w:rPr>
              <w:t>H</w:t>
            </w:r>
          </w:p>
          <w:p w:rsidR="00E903A1" w:rsidRPr="002E0C7E" w:rsidRDefault="00E903A1" w:rsidP="004163EF">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23</w:t>
            </w:r>
          </w:p>
        </w:tc>
      </w:tr>
      <w:tr w:rsidR="00E903A1" w:rsidRPr="002E0C7E" w:rsidTr="004163EF">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r w:rsidRPr="002E0C7E">
              <w:rPr>
                <w:rFonts w:ascii="Arial" w:hAnsi="Arial"/>
                <w:sz w:val="14"/>
              </w:rPr>
              <w:t xml:space="preserve">    </w:t>
            </w:r>
          </w:p>
          <w:p w:rsidR="00E903A1" w:rsidRPr="002E0C7E" w:rsidRDefault="00E903A1" w:rsidP="004163EF">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4163EF">
            <w:pPr>
              <w:widowControl w:val="0"/>
              <w:jc w:val="center"/>
              <w:rPr>
                <w:rFonts w:ascii="Arial" w:hAnsi="Arial"/>
                <w:sz w:val="14"/>
              </w:rPr>
            </w:pPr>
          </w:p>
          <w:p w:rsidR="00E903A1" w:rsidRPr="002E0C7E" w:rsidRDefault="00E903A1" w:rsidP="004163EF">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4163EF">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4163EF">
            <w:pPr>
              <w:widowControl w:val="0"/>
              <w:rPr>
                <w:rFonts w:ascii="Arial" w:hAnsi="Arial"/>
                <w:sz w:val="16"/>
              </w:rPr>
            </w:pPr>
            <w:r w:rsidRPr="002E0C7E">
              <w:rPr>
                <w:rFonts w:ascii="Arial" w:hAnsi="Arial"/>
                <w:sz w:val="16"/>
              </w:rPr>
              <w:t>Sittings of the court:</w:t>
            </w:r>
          </w:p>
          <w:p w:rsidR="00E903A1" w:rsidRPr="002E0C7E" w:rsidRDefault="00E903A1" w:rsidP="004163EF">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4163EF">
            <w:pPr>
              <w:widowControl w:val="0"/>
              <w:rPr>
                <w:rFonts w:ascii="Arial" w:hAnsi="Arial"/>
                <w:sz w:val="16"/>
              </w:rPr>
            </w:pPr>
          </w:p>
          <w:p w:rsidR="00E903A1" w:rsidRPr="002E0C7E" w:rsidRDefault="00E903A1" w:rsidP="004163E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4163E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4163E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4163EF">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416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8"/>
      <w:footerReference w:type="default" r:id="rId59"/>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665" w:rsidRDefault="00A33665" w:rsidP="00A87207">
      <w:r>
        <w:separator/>
      </w:r>
    </w:p>
  </w:endnote>
  <w:endnote w:type="continuationSeparator" w:id="0">
    <w:p w:rsidR="00A33665" w:rsidRDefault="00A33665"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Footer"/>
      <w:rPr>
        <w:lang w:val="fr-CA"/>
      </w:rPr>
    </w:pPr>
    <w:r w:rsidRPr="00FD0CB6">
      <w:rPr>
        <w:lang w:val="fr-CA"/>
      </w:rPr>
      <w:pict>
        <v:rect id="_x0000_i1057" style="width:480.95pt;height:1pt" o:hralign="center" o:hrstd="t" o:hrnoshade="t" o:hr="t" fillcolor="black [3213]" stroked="f"/>
      </w:pict>
    </w:r>
  </w:p>
  <w:p w:rsidR="00A33665" w:rsidRDefault="00A33665" w:rsidP="00245129">
    <w:pPr>
      <w:tabs>
        <w:tab w:val="center" w:pos="4680"/>
      </w:tabs>
    </w:pPr>
    <w:r>
      <w:tab/>
    </w:r>
    <w:r w:rsidRPr="0009648D">
      <w:t xml:space="preserve">- </w:t>
    </w:r>
    <w:fldSimple w:instr=" PAGE   \* MERGEFORMAT ">
      <w:r>
        <w:rPr>
          <w:noProof/>
        </w:rPr>
        <w:t>1615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33665" w:rsidRDefault="00A33665">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rsidP="00755F22">
    <w:pPr>
      <w:tabs>
        <w:tab w:val="left" w:pos="-1440"/>
        <w:tab w:val="left" w:pos="-720"/>
      </w:tabs>
    </w:pPr>
    <w:r>
      <w:pict>
        <v:rect id="_x0000_i1064" style="width:480.95pt;height:1pt" o:hralign="center" o:hrstd="t" o:hrnoshade="t" o:hr="t" fillcolor="black [3213]" stroked="f"/>
      </w:pict>
    </w:r>
  </w:p>
  <w:p w:rsidR="00A33665" w:rsidRDefault="00A33665" w:rsidP="00EB2B90">
    <w:pPr>
      <w:tabs>
        <w:tab w:val="center" w:pos="4680"/>
      </w:tabs>
    </w:pPr>
    <w:r>
      <w:tab/>
      <w:t xml:space="preserve">- </w:t>
    </w:r>
    <w:fldSimple w:instr=" PAGE   \* MERGEFORMAT ">
      <w:r>
        <w:rPr>
          <w:noProof/>
        </w:rPr>
        <w:t>1634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rsidP="00EB2B90">
    <w:pPr>
      <w:tabs>
        <w:tab w:val="center" w:pos="4680"/>
      </w:tabs>
    </w:pPr>
    <w:r>
      <w:pict>
        <v:rect id="_x0000_i1065" style="width:480.95pt;height:1pt" o:hralign="center" o:hrstd="t" o:hrnoshade="t" o:hr="t" fillcolor="black [3213]" stroked="f"/>
      </w:pict>
    </w:r>
  </w:p>
  <w:p w:rsidR="00A33665" w:rsidRPr="0031432F" w:rsidRDefault="00A33665" w:rsidP="00EB2B90">
    <w:pPr>
      <w:tabs>
        <w:tab w:val="center" w:pos="4680"/>
      </w:tabs>
    </w:pPr>
    <w:r>
      <w:tab/>
      <w:t xml:space="preserve">- </w:t>
    </w:r>
    <w:fldSimple w:instr=" PAGE   \* MERGEFORMAT ">
      <w:r>
        <w:rPr>
          <w:noProof/>
        </w:rPr>
        <w:t>1629</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33665" w:rsidRDefault="00A33665">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0CB6">
      <w:rPr>
        <w:lang w:val="fr-CA"/>
      </w:rPr>
      <w:pict>
        <v:rect id="_x0000_i1067" style="width:480.95pt;height:1pt" o:hralign="center" o:hrstd="t" o:hrnoshade="t" o:hr="t" fillcolor="black [3213]" stroked="f"/>
      </w:pict>
    </w:r>
  </w:p>
  <w:p w:rsidR="00A33665" w:rsidRDefault="00A33665"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Footer"/>
      <w:rPr>
        <w:lang w:val="fr-CA"/>
      </w:rPr>
    </w:pPr>
    <w:r w:rsidRPr="00FD0CB6">
      <w:rPr>
        <w:lang w:val="fr-CA"/>
      </w:rPr>
      <w:pict>
        <v:rect id="_x0000_i1068" style="width:480.95pt;height:1pt" o:hralign="center" o:hrstd="t" o:hrnoshade="t" o:hr="t" fillcolor="black [3213]" stroked="f"/>
      </w:pict>
    </w:r>
  </w:p>
  <w:p w:rsidR="00A33665" w:rsidRDefault="00A33665" w:rsidP="00EB2B90">
    <w:pPr>
      <w:tabs>
        <w:tab w:val="center" w:pos="4680"/>
      </w:tabs>
    </w:pPr>
    <w:r>
      <w:tab/>
      <w:t xml:space="preserve">- </w:t>
    </w:r>
    <w:fldSimple w:instr=" PAGE   \* MERGEFORMAT ">
      <w:r>
        <w:rPr>
          <w:noProof/>
        </w:rPr>
        <w:t>1635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33665" w:rsidRDefault="00A336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33665" w:rsidRDefault="00A33665">
    <w:pPr>
      <w:widowControl w:val="0"/>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0CB6">
      <w:rPr>
        <w:lang w:val="fr-CA"/>
      </w:rPr>
      <w:pict>
        <v:rect id="_x0000_i1070" style="width:480.95pt;height:1pt" o:hralign="center" o:hrstd="t" o:hrnoshade="t" o:hr="t" fillcolor="black [3213]" stroked="f"/>
      </w:pict>
    </w:r>
  </w:p>
  <w:p w:rsidR="00A33665" w:rsidRDefault="00A33665"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1622</w:t>
    </w:r>
    <w:r w:rsidRPr="00B74FED">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rsidP="00802863">
    <w:pPr>
      <w:widowControl w:val="0"/>
      <w:tabs>
        <w:tab w:val="left" w:pos="-1440"/>
        <w:tab w:val="left" w:pos="-720"/>
      </w:tabs>
    </w:pPr>
    <w:r w:rsidRPr="00FD0CB6">
      <w:rPr>
        <w:lang w:val="fr-CA"/>
      </w:rPr>
      <w:pict>
        <v:rect id="_x0000_i1071" style="width:480.95pt;height:1pt" o:hralign="center" o:hrstd="t" o:hrnoshade="t" o:hr="t" fillcolor="black [3213]" stroked="f"/>
      </w:pict>
    </w:r>
  </w:p>
  <w:p w:rsidR="00A33665" w:rsidRPr="00180897" w:rsidRDefault="00A33665"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1636</w:t>
    </w:r>
    <w:r w:rsidRPr="00B74FED">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33665" w:rsidRDefault="00A3366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rsidP="00732DB7">
    <w:r>
      <w:pict>
        <v:rect id="_x0000_i1073" style="width:480.95pt;height:1pt" o:hralign="center" o:hrstd="t" o:hrnoshade="t" o:hr="t" fillcolor="black" stroked="f"/>
      </w:pict>
    </w:r>
  </w:p>
  <w:p w:rsidR="00A33665" w:rsidRDefault="00A33665">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Footer"/>
    </w:pPr>
    <w:r>
      <w:pict>
        <v:rect id="_x0000_i1074" style="width:480.95pt;height:1pt" o:hralign="center" o:hrstd="t" o:hrnoshade="t" o:hr="t" fillcolor="black [3213]" stroked="f"/>
      </w:pict>
    </w:r>
  </w:p>
  <w:p w:rsidR="00A33665" w:rsidRPr="003C2C0F" w:rsidRDefault="00A33665" w:rsidP="00697C62">
    <w:pPr>
      <w:tabs>
        <w:tab w:val="center" w:pos="4680"/>
      </w:tabs>
    </w:pPr>
    <w:r>
      <w:tab/>
      <w:t xml:space="preserve">- </w:t>
    </w:r>
    <w:fldSimple w:instr=" PAGE   \* MERGEFORMAT ">
      <w:r>
        <w:rPr>
          <w:noProof/>
        </w:rPr>
        <w:t>1637</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33665" w:rsidRDefault="00A33665">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7" style="width:480.95pt;height:1pt" o:hralign="center" o:hrstd="t" o:hrnoshade="t" o:hr="t" fillcolor="black [3213]" stroked="f"/>
      </w:pict>
    </w:r>
  </w:p>
  <w:p w:rsidR="00A33665" w:rsidRDefault="00A3366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1641</w:t>
    </w:r>
    <w:r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rsidP="00782AE4">
    <w:pPr>
      <w:tabs>
        <w:tab w:val="center" w:pos="4680"/>
      </w:tabs>
    </w:pPr>
    <w:r>
      <w:pict>
        <v:rect id="_x0000_i1078" style="width:480.95pt;height:1pt" o:hralign="center" o:hrstd="t" o:hrnoshade="t" o:hr="t" fillcolor="black [3213]" stroked="f"/>
      </w:pict>
    </w:r>
  </w:p>
  <w:p w:rsidR="00A33665" w:rsidRDefault="00A3366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1638</w:t>
    </w:r>
    <w:r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Pr="00924065" w:rsidRDefault="00A33665"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rsidP="00A87207">
    <w:pPr>
      <w:pStyle w:val="Footer"/>
    </w:pPr>
    <w:r>
      <w:pict>
        <v:rect id="_x0000_i1035" style="width:480.95pt;height:1pt" o:hralign="center" o:hrstd="t" o:hrnoshade="t" o:hr="t" fillcolor="black [3213]" stroked="f"/>
      </w:pict>
    </w:r>
  </w:p>
  <w:p w:rsidR="00A33665" w:rsidRPr="00B7374B" w:rsidRDefault="00A3366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1613</w:t>
    </w:r>
    <w:r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rsidP="00755F22">
    <w:pPr>
      <w:tabs>
        <w:tab w:val="left" w:pos="-1440"/>
        <w:tab w:val="left" w:pos="-720"/>
      </w:tabs>
    </w:pPr>
    <w:r>
      <w:pict>
        <v:rect id="_x0000_i1036" style="width:480.95pt;height:1pt" o:hralign="center" o:hrstd="t" o:hrnoshade="t" o:hr="t" fillcolor="black [3213]" stroked="f"/>
      </w:pict>
    </w:r>
  </w:p>
  <w:p w:rsidR="00A33665" w:rsidRPr="00954D22" w:rsidRDefault="00A3366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Pr>
        <w:noProof/>
        <w:szCs w:val="24"/>
      </w:rPr>
      <w:t>1612</w:t>
    </w:r>
    <w:r>
      <w:rPr>
        <w:szCs w:val="24"/>
      </w:rPr>
      <w:fldChar w:fldCharType="end"/>
    </w:r>
    <w:r w:rsidRPr="00954D22">
      <w:rPr>
        <w:szCs w:val="24"/>
      </w:rPr>
      <w:t xml:space="preserve"> -</w:t>
    </w:r>
  </w:p>
  <w:p w:rsidR="00A33665" w:rsidRDefault="00A3366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rsidP="00A87207">
    <w:pPr>
      <w:pStyle w:val="Footer"/>
    </w:pPr>
    <w:r>
      <w:pict>
        <v:rect id="_x0000_i1038" style="width:480.95pt;height:1pt" o:hralign="center" o:hrstd="t" o:hrnoshade="t" o:hr="t" fillcolor="black [3213]" stroked="f"/>
      </w:pict>
    </w:r>
  </w:p>
  <w:p w:rsidR="00A33665" w:rsidRPr="00B7374B" w:rsidRDefault="00A3366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1615</w:t>
    </w:r>
    <w:r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A33665" w:rsidRPr="00954D22" w:rsidRDefault="00A3366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1614</w:t>
    </w:r>
    <w:r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33665" w:rsidRDefault="00A33665">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0CB6">
      <w:rPr>
        <w:lang w:val="fr-CA"/>
      </w:rPr>
      <w:pict>
        <v:rect id="_x0000_i1056" style="width:480.95pt;height:1pt" o:hralign="center" o:hrstd="t" o:hrnoshade="t" o:hr="t" fillcolor="black [3213]" stroked="f"/>
      </w:pict>
    </w:r>
  </w:p>
  <w:p w:rsidR="00A33665" w:rsidRPr="0009648D" w:rsidRDefault="00A33665" w:rsidP="00ED7E83">
    <w:pPr>
      <w:tabs>
        <w:tab w:val="center" w:pos="4680"/>
      </w:tabs>
    </w:pPr>
    <w:r>
      <w:tab/>
    </w:r>
    <w:r w:rsidRPr="0009648D">
      <w:t xml:space="preserve">- </w:t>
    </w:r>
    <w:fldSimple w:instr=" PAGE   \* MERGEFORMAT ">
      <w:r>
        <w:rPr>
          <w:noProof/>
        </w:rPr>
        <w:t>1628</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665" w:rsidRDefault="00A33665" w:rsidP="00A87207">
      <w:r>
        <w:separator/>
      </w:r>
    </w:p>
  </w:footnote>
  <w:footnote w:type="continuationSeparator" w:id="0">
    <w:p w:rsidR="00A33665" w:rsidRDefault="00A33665"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33665">
      <w:tc>
        <w:tcPr>
          <w:tcW w:w="4230" w:type="dxa"/>
          <w:tcMar>
            <w:left w:w="0" w:type="dxa"/>
            <w:right w:w="0" w:type="dxa"/>
          </w:tcMar>
        </w:tcPr>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33665" w:rsidRDefault="00A336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33665" w:rsidRDefault="00A336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33665">
      <w:trPr>
        <w:gridAfter w:val="2"/>
        <w:wAfter w:w="5250" w:type="dxa"/>
      </w:trPr>
      <w:tc>
        <w:tcPr>
          <w:tcW w:w="4230" w:type="dxa"/>
          <w:tcMar>
            <w:left w:w="0" w:type="dxa"/>
            <w:right w:w="0" w:type="dxa"/>
          </w:tcMar>
        </w:tcPr>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33665" w:rsidRPr="00755F22" w:rsidTr="00245129">
      <w:tc>
        <w:tcPr>
          <w:tcW w:w="4230" w:type="dxa"/>
          <w:tcMar>
            <w:left w:w="0" w:type="dxa"/>
            <w:right w:w="0" w:type="dxa"/>
          </w:tcMar>
        </w:tcPr>
        <w:p w:rsidR="00A33665" w:rsidRPr="00755F22" w:rsidRDefault="00A33665" w:rsidP="00831CA9">
          <w:pPr>
            <w:keepNext/>
            <w:keepLines/>
            <w:rPr>
              <w:sz w:val="20"/>
              <w:szCs w:val="20"/>
            </w:rPr>
          </w:pPr>
          <w:r w:rsidRPr="00755F22">
            <w:rPr>
              <w:sz w:val="20"/>
              <w:szCs w:val="20"/>
            </w:rPr>
            <w:t>MOTIONS</w:t>
          </w:r>
        </w:p>
      </w:tc>
      <w:tc>
        <w:tcPr>
          <w:tcW w:w="1170" w:type="dxa"/>
          <w:tcMar>
            <w:left w:w="0" w:type="dxa"/>
            <w:right w:w="0" w:type="dxa"/>
          </w:tcMar>
        </w:tcPr>
        <w:p w:rsidR="00A33665" w:rsidRPr="00755F22" w:rsidRDefault="00A33665" w:rsidP="00831CA9">
          <w:pPr>
            <w:keepLines/>
            <w:jc w:val="center"/>
            <w:rPr>
              <w:sz w:val="20"/>
              <w:szCs w:val="20"/>
            </w:rPr>
          </w:pPr>
        </w:p>
        <w:p w:rsidR="00A33665" w:rsidRPr="00755F22" w:rsidRDefault="00A33665" w:rsidP="00831CA9">
          <w:pPr>
            <w:keepLines/>
            <w:tabs>
              <w:tab w:val="left" w:pos="-1440"/>
              <w:tab w:val="left" w:pos="-720"/>
            </w:tabs>
            <w:jc w:val="center"/>
            <w:rPr>
              <w:sz w:val="20"/>
              <w:szCs w:val="20"/>
            </w:rPr>
          </w:pPr>
        </w:p>
      </w:tc>
      <w:tc>
        <w:tcPr>
          <w:tcW w:w="4080" w:type="dxa"/>
          <w:tcMar>
            <w:left w:w="0" w:type="dxa"/>
            <w:right w:w="0" w:type="dxa"/>
          </w:tcMar>
        </w:tcPr>
        <w:p w:rsidR="00A33665" w:rsidRPr="00BA6468" w:rsidRDefault="00A33665" w:rsidP="00BA6468">
          <w:pPr>
            <w:keepLines/>
            <w:rPr>
              <w:sz w:val="20"/>
              <w:szCs w:val="20"/>
              <w:lang w:val="fr-CA"/>
            </w:rPr>
          </w:pPr>
          <w:r w:rsidRPr="00BA6468">
            <w:rPr>
              <w:sz w:val="20"/>
              <w:szCs w:val="20"/>
              <w:lang w:val="fr-CA"/>
            </w:rPr>
            <w:t>REQUÊTES</w:t>
          </w:r>
        </w:p>
      </w:tc>
    </w:tr>
  </w:tbl>
  <w:p w:rsidR="00A33665" w:rsidRDefault="00A33665"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33665" w:rsidRPr="00A33665">
      <w:tc>
        <w:tcPr>
          <w:tcW w:w="4200" w:type="dxa"/>
          <w:tcMar>
            <w:left w:w="0" w:type="dxa"/>
            <w:right w:w="0" w:type="dxa"/>
          </w:tcMar>
        </w:tcPr>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33665" w:rsidRPr="00B01A03" w:rsidRDefault="00A336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33665" w:rsidRPr="00B01A03"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33665" w:rsidRPr="00B01A03"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33665" w:rsidRPr="00A33665" w:rsidTr="00245129">
      <w:tc>
        <w:tcPr>
          <w:tcW w:w="4200" w:type="dxa"/>
          <w:tcMar>
            <w:left w:w="0" w:type="dxa"/>
            <w:right w:w="0" w:type="dxa"/>
          </w:tcMar>
        </w:tcPr>
        <w:p w:rsidR="00A33665" w:rsidRPr="00F40249" w:rsidRDefault="00A3366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33665" w:rsidRDefault="00A33665" w:rsidP="00102926">
          <w:pPr>
            <w:keepNext/>
            <w:keepLines/>
            <w:tabs>
              <w:tab w:val="left" w:pos="-1440"/>
              <w:tab w:val="left" w:pos="-720"/>
            </w:tabs>
            <w:jc w:val="center"/>
            <w:rPr>
              <w:sz w:val="20"/>
              <w:szCs w:val="20"/>
            </w:rPr>
          </w:pPr>
        </w:p>
        <w:p w:rsidR="00A33665" w:rsidRDefault="00A33665" w:rsidP="00102926">
          <w:pPr>
            <w:keepNext/>
            <w:keepLines/>
            <w:tabs>
              <w:tab w:val="left" w:pos="-1440"/>
              <w:tab w:val="left" w:pos="-720"/>
            </w:tabs>
            <w:jc w:val="center"/>
            <w:rPr>
              <w:sz w:val="20"/>
              <w:szCs w:val="20"/>
            </w:rPr>
          </w:pPr>
        </w:p>
        <w:p w:rsidR="00A33665" w:rsidRPr="00F40249" w:rsidRDefault="00A33665" w:rsidP="00102926">
          <w:pPr>
            <w:keepNext/>
            <w:keepLines/>
            <w:tabs>
              <w:tab w:val="left" w:pos="-1440"/>
              <w:tab w:val="left" w:pos="-720"/>
            </w:tabs>
            <w:jc w:val="center"/>
            <w:rPr>
              <w:sz w:val="20"/>
              <w:szCs w:val="20"/>
            </w:rPr>
          </w:pPr>
        </w:p>
      </w:tc>
      <w:tc>
        <w:tcPr>
          <w:tcW w:w="4230" w:type="dxa"/>
          <w:tcMar>
            <w:left w:w="0" w:type="dxa"/>
            <w:right w:w="0" w:type="dxa"/>
          </w:tcMar>
        </w:tcPr>
        <w:p w:rsidR="00A33665" w:rsidRPr="00F40249" w:rsidRDefault="00A3366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33665" w:rsidRPr="00B01A03" w:rsidRDefault="00A3366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33665" w:rsidRPr="00A33665">
      <w:tc>
        <w:tcPr>
          <w:tcW w:w="4200" w:type="dxa"/>
          <w:tcMar>
            <w:left w:w="0" w:type="dxa"/>
            <w:right w:w="0" w:type="dxa"/>
          </w:tcMar>
        </w:tcPr>
        <w:p w:rsidR="00A33665" w:rsidRDefault="00A3366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A33665" w:rsidRDefault="00A3366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A33665" w:rsidRDefault="00A3366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33665" w:rsidRPr="009256DC" w:rsidRDefault="00A33665">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A33665" w:rsidRPr="009256DC" w:rsidRDefault="00A336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33665" w:rsidRPr="009256DC" w:rsidRDefault="00A336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33665" w:rsidRPr="00A33665" w:rsidTr="00245129">
      <w:tc>
        <w:tcPr>
          <w:tcW w:w="4200" w:type="dxa"/>
          <w:tcMar>
            <w:left w:w="0" w:type="dxa"/>
            <w:right w:w="0" w:type="dxa"/>
          </w:tcMar>
        </w:tcPr>
        <w:p w:rsidR="00A33665" w:rsidRPr="00802863" w:rsidRDefault="00A33665"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A33665" w:rsidRPr="00802863" w:rsidRDefault="00A33665" w:rsidP="00802863">
          <w:pPr>
            <w:keepNext/>
            <w:keepLines/>
            <w:widowControl w:val="0"/>
            <w:tabs>
              <w:tab w:val="left" w:pos="-1440"/>
              <w:tab w:val="left" w:pos="-720"/>
            </w:tabs>
            <w:jc w:val="center"/>
            <w:rPr>
              <w:sz w:val="20"/>
              <w:szCs w:val="20"/>
            </w:rPr>
          </w:pPr>
        </w:p>
        <w:p w:rsidR="00A33665" w:rsidRPr="00802863" w:rsidRDefault="00A33665" w:rsidP="00802863">
          <w:pPr>
            <w:keepNext/>
            <w:keepLines/>
            <w:widowControl w:val="0"/>
            <w:tabs>
              <w:tab w:val="left" w:pos="-1440"/>
              <w:tab w:val="left" w:pos="-720"/>
            </w:tabs>
            <w:jc w:val="center"/>
            <w:rPr>
              <w:sz w:val="20"/>
              <w:szCs w:val="20"/>
            </w:rPr>
          </w:pPr>
        </w:p>
        <w:p w:rsidR="00A33665" w:rsidRPr="00802863" w:rsidRDefault="00A33665"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A33665" w:rsidRPr="00802863" w:rsidRDefault="00A33665"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A33665" w:rsidRPr="009256DC" w:rsidRDefault="00A33665"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33665" w:rsidRPr="00A33665">
      <w:tc>
        <w:tcPr>
          <w:tcW w:w="4200" w:type="dxa"/>
          <w:tcMar>
            <w:left w:w="0" w:type="dxa"/>
            <w:right w:w="0" w:type="dxa"/>
          </w:tcMar>
        </w:tcPr>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33665" w:rsidRPr="003C2C0F" w:rsidRDefault="00A336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33665" w:rsidRPr="003C2C0F"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33665" w:rsidRPr="003C2C0F"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33665" w:rsidRPr="00A33665" w:rsidTr="00245129">
      <w:tc>
        <w:tcPr>
          <w:tcW w:w="4200" w:type="dxa"/>
          <w:tcMar>
            <w:left w:w="0" w:type="dxa"/>
            <w:right w:w="0" w:type="dxa"/>
          </w:tcMar>
        </w:tcPr>
        <w:p w:rsidR="00A33665" w:rsidRPr="00FF6EEC" w:rsidRDefault="00A33665" w:rsidP="00FF6EEC">
          <w:pPr>
            <w:rPr>
              <w:sz w:val="20"/>
              <w:szCs w:val="20"/>
            </w:rPr>
          </w:pPr>
          <w:r w:rsidRPr="00FF6EEC">
            <w:rPr>
              <w:sz w:val="20"/>
              <w:szCs w:val="20"/>
            </w:rPr>
            <w:t>PRONOUNCEMENTS OF APPEALS RESERVED</w:t>
          </w:r>
        </w:p>
      </w:tc>
      <w:tc>
        <w:tcPr>
          <w:tcW w:w="1200" w:type="dxa"/>
          <w:tcMar>
            <w:left w:w="0" w:type="dxa"/>
            <w:right w:w="0" w:type="dxa"/>
          </w:tcMar>
        </w:tcPr>
        <w:p w:rsidR="00A33665" w:rsidRPr="00FF6EEC" w:rsidRDefault="00A33665" w:rsidP="00FF6EEC">
          <w:pPr>
            <w:jc w:val="center"/>
            <w:rPr>
              <w:sz w:val="20"/>
              <w:szCs w:val="20"/>
            </w:rPr>
          </w:pPr>
        </w:p>
        <w:p w:rsidR="00A33665" w:rsidRPr="00FF6EEC" w:rsidRDefault="00A33665" w:rsidP="00FF6EEC">
          <w:pPr>
            <w:jc w:val="center"/>
            <w:rPr>
              <w:sz w:val="20"/>
              <w:szCs w:val="20"/>
            </w:rPr>
          </w:pPr>
        </w:p>
        <w:p w:rsidR="00A33665" w:rsidRPr="00FF6EEC" w:rsidRDefault="00A33665" w:rsidP="00FF6EEC">
          <w:pPr>
            <w:jc w:val="center"/>
            <w:rPr>
              <w:sz w:val="20"/>
              <w:szCs w:val="20"/>
            </w:rPr>
          </w:pPr>
        </w:p>
      </w:tc>
      <w:tc>
        <w:tcPr>
          <w:tcW w:w="4080" w:type="dxa"/>
          <w:tcMar>
            <w:left w:w="0" w:type="dxa"/>
            <w:right w:w="0" w:type="dxa"/>
          </w:tcMar>
        </w:tcPr>
        <w:p w:rsidR="00A33665" w:rsidRPr="00FF6EEC" w:rsidRDefault="00A33665" w:rsidP="00FF6EEC">
          <w:pPr>
            <w:rPr>
              <w:sz w:val="20"/>
              <w:szCs w:val="20"/>
              <w:lang w:val="fr-CA"/>
            </w:rPr>
          </w:pPr>
          <w:r w:rsidRPr="00FF6EEC">
            <w:rPr>
              <w:sz w:val="20"/>
              <w:szCs w:val="20"/>
              <w:lang w:val="fr-CA"/>
            </w:rPr>
            <w:t>JUGEMENTS RENDUS SUR LES APPELS EN DÉLIBÉRÉ</w:t>
          </w:r>
        </w:p>
      </w:tc>
    </w:tr>
  </w:tbl>
  <w:p w:rsidR="00A33665" w:rsidRPr="003C2C0F" w:rsidRDefault="00A3366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33665">
      <w:tc>
        <w:tcPr>
          <w:tcW w:w="4230" w:type="dxa"/>
          <w:tcMar>
            <w:left w:w="0" w:type="dxa"/>
            <w:right w:w="0" w:type="dxa"/>
          </w:tcMar>
        </w:tcPr>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33665" w:rsidRDefault="00A336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3366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33665" w:rsidRPr="00782AE4" w:rsidTr="00245129">
      <w:tc>
        <w:tcPr>
          <w:tcW w:w="4230" w:type="dxa"/>
          <w:tcMar>
            <w:left w:w="0" w:type="dxa"/>
            <w:right w:w="0" w:type="dxa"/>
          </w:tcMar>
        </w:tcPr>
        <w:p w:rsidR="00A33665" w:rsidRPr="00782AE4" w:rsidRDefault="00A33665" w:rsidP="00102926">
          <w:pPr>
            <w:keepNext/>
            <w:keepLines/>
            <w:tabs>
              <w:tab w:val="left" w:pos="-1440"/>
              <w:tab w:val="left" w:pos="-720"/>
            </w:tabs>
            <w:rPr>
              <w:sz w:val="20"/>
              <w:szCs w:val="20"/>
            </w:rPr>
          </w:pPr>
          <w:r w:rsidRPr="00782AE4">
            <w:rPr>
              <w:sz w:val="20"/>
              <w:szCs w:val="20"/>
            </w:rPr>
            <w:t xml:space="preserve">HEADNOTES OF RECENT </w:t>
          </w:r>
        </w:p>
        <w:p w:rsidR="00A33665" w:rsidRPr="00782AE4"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33665" w:rsidRDefault="00A33665" w:rsidP="00102926">
          <w:pPr>
            <w:keepNext/>
            <w:keepLines/>
            <w:tabs>
              <w:tab w:val="left" w:pos="-1440"/>
              <w:tab w:val="left" w:pos="-720"/>
            </w:tabs>
            <w:jc w:val="center"/>
            <w:rPr>
              <w:sz w:val="20"/>
              <w:szCs w:val="20"/>
            </w:rPr>
          </w:pPr>
        </w:p>
        <w:p w:rsidR="00A33665" w:rsidRDefault="00A33665" w:rsidP="00102926">
          <w:pPr>
            <w:keepNext/>
            <w:keepLines/>
            <w:tabs>
              <w:tab w:val="left" w:pos="-1440"/>
              <w:tab w:val="left" w:pos="-720"/>
            </w:tabs>
            <w:jc w:val="center"/>
            <w:rPr>
              <w:sz w:val="20"/>
              <w:szCs w:val="20"/>
            </w:rPr>
          </w:pPr>
        </w:p>
        <w:p w:rsidR="00A33665" w:rsidRPr="00782AE4" w:rsidRDefault="00A33665" w:rsidP="00102926">
          <w:pPr>
            <w:keepNext/>
            <w:keepLines/>
            <w:tabs>
              <w:tab w:val="left" w:pos="-1440"/>
              <w:tab w:val="left" w:pos="-720"/>
            </w:tabs>
            <w:jc w:val="center"/>
            <w:rPr>
              <w:sz w:val="20"/>
              <w:szCs w:val="20"/>
            </w:rPr>
          </w:pPr>
        </w:p>
      </w:tc>
      <w:tc>
        <w:tcPr>
          <w:tcW w:w="4080" w:type="dxa"/>
          <w:tcMar>
            <w:left w:w="0" w:type="dxa"/>
            <w:right w:w="0" w:type="dxa"/>
          </w:tcMar>
        </w:tcPr>
        <w:p w:rsidR="00A33665" w:rsidRPr="00102926"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33665" w:rsidRPr="00782AE4" w:rsidRDefault="00A33665" w:rsidP="00102926">
          <w:pPr>
            <w:keepLines/>
            <w:tabs>
              <w:tab w:val="left" w:pos="-1440"/>
              <w:tab w:val="left" w:pos="-720"/>
            </w:tabs>
            <w:rPr>
              <w:sz w:val="20"/>
              <w:szCs w:val="20"/>
            </w:rPr>
          </w:pPr>
          <w:r w:rsidRPr="00102926">
            <w:rPr>
              <w:sz w:val="20"/>
              <w:szCs w:val="20"/>
              <w:lang w:val="fr-CA"/>
            </w:rPr>
            <w:t>RÉCENTS</w:t>
          </w:r>
        </w:p>
      </w:tc>
    </w:tr>
  </w:tbl>
  <w:p w:rsidR="00A33665" w:rsidRDefault="00A3366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A33665" w:rsidRPr="0044776A" w:rsidTr="00245129">
      <w:tc>
        <w:tcPr>
          <w:tcW w:w="4290" w:type="dxa"/>
          <w:tcMar>
            <w:left w:w="0" w:type="dxa"/>
            <w:right w:w="0" w:type="dxa"/>
          </w:tcMar>
        </w:tcPr>
        <w:p w:rsidR="00A33665" w:rsidRPr="0044776A" w:rsidRDefault="00A3366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33665" w:rsidRPr="0044776A" w:rsidRDefault="00A33665" w:rsidP="002E2327">
          <w:pPr>
            <w:keepNext/>
            <w:keepLines/>
            <w:tabs>
              <w:tab w:val="left" w:pos="-1440"/>
              <w:tab w:val="left" w:pos="-720"/>
            </w:tabs>
            <w:jc w:val="center"/>
            <w:rPr>
              <w:sz w:val="20"/>
              <w:szCs w:val="20"/>
            </w:rPr>
          </w:pPr>
        </w:p>
        <w:p w:rsidR="00A33665" w:rsidRPr="0044776A" w:rsidRDefault="00A33665" w:rsidP="002E2327">
          <w:pPr>
            <w:keepNext/>
            <w:keepLines/>
            <w:tabs>
              <w:tab w:val="left" w:pos="-1440"/>
              <w:tab w:val="left" w:pos="-720"/>
            </w:tabs>
            <w:jc w:val="center"/>
            <w:rPr>
              <w:sz w:val="20"/>
              <w:szCs w:val="20"/>
            </w:rPr>
          </w:pPr>
        </w:p>
        <w:p w:rsidR="00A33665" w:rsidRPr="0044776A" w:rsidRDefault="00A33665" w:rsidP="002E2327">
          <w:pPr>
            <w:keepNext/>
            <w:keepLines/>
            <w:tabs>
              <w:tab w:val="left" w:pos="-1440"/>
              <w:tab w:val="left" w:pos="-720"/>
            </w:tabs>
            <w:jc w:val="center"/>
            <w:rPr>
              <w:sz w:val="20"/>
              <w:szCs w:val="20"/>
            </w:rPr>
          </w:pPr>
        </w:p>
      </w:tc>
      <w:tc>
        <w:tcPr>
          <w:tcW w:w="4320" w:type="dxa"/>
          <w:tcMar>
            <w:left w:w="0" w:type="dxa"/>
            <w:right w:w="0" w:type="dxa"/>
          </w:tcMar>
        </w:tcPr>
        <w:p w:rsidR="00A33665" w:rsidRPr="0044776A" w:rsidRDefault="00A33665" w:rsidP="002E2327">
          <w:pPr>
            <w:keepLines/>
            <w:rPr>
              <w:sz w:val="20"/>
              <w:szCs w:val="20"/>
              <w:lang w:val="fr-CA"/>
            </w:rPr>
          </w:pPr>
          <w:r w:rsidRPr="0044776A">
            <w:rPr>
              <w:sz w:val="20"/>
              <w:szCs w:val="20"/>
              <w:lang w:val="fr-CA"/>
            </w:rPr>
            <w:t>DEMANDES D'AUTORISATION D'APPEL DÉPOSÉES</w:t>
          </w:r>
        </w:p>
      </w:tc>
    </w:tr>
  </w:tbl>
  <w:p w:rsidR="00A33665" w:rsidRDefault="00A3366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33665" w:rsidRPr="00A33665" w:rsidTr="00245129">
      <w:tc>
        <w:tcPr>
          <w:tcW w:w="4200" w:type="dxa"/>
          <w:tcMar>
            <w:left w:w="0" w:type="dxa"/>
            <w:right w:w="0" w:type="dxa"/>
          </w:tcMar>
        </w:tcPr>
        <w:p w:rsidR="00A33665" w:rsidRPr="0044776A" w:rsidRDefault="00A33665" w:rsidP="0044776A">
          <w:pPr>
            <w:keepNext/>
            <w:keepLines/>
            <w:widowControl w:val="0"/>
            <w:rPr>
              <w:sz w:val="20"/>
              <w:szCs w:val="20"/>
            </w:rPr>
          </w:pPr>
          <w:r>
            <w:rPr>
              <w:sz w:val="20"/>
              <w:szCs w:val="20"/>
            </w:rPr>
            <w:t>APPLICATIONS FOR LEAVE</w:t>
          </w:r>
        </w:p>
        <w:p w:rsidR="00A33665" w:rsidRPr="0044776A" w:rsidRDefault="00A3366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33665" w:rsidRPr="0044776A" w:rsidRDefault="00A33665" w:rsidP="0044776A">
          <w:pPr>
            <w:keepNext/>
            <w:keepLines/>
            <w:widowControl w:val="0"/>
            <w:jc w:val="center"/>
            <w:rPr>
              <w:sz w:val="20"/>
              <w:szCs w:val="20"/>
            </w:rPr>
          </w:pPr>
        </w:p>
        <w:p w:rsidR="00A33665" w:rsidRPr="0044776A" w:rsidRDefault="00A33665" w:rsidP="0044776A">
          <w:pPr>
            <w:keepNext/>
            <w:keepLines/>
            <w:widowControl w:val="0"/>
            <w:jc w:val="center"/>
            <w:rPr>
              <w:sz w:val="20"/>
              <w:szCs w:val="20"/>
            </w:rPr>
          </w:pPr>
        </w:p>
        <w:p w:rsidR="00A33665" w:rsidRPr="0044776A" w:rsidRDefault="00A33665" w:rsidP="0044776A">
          <w:pPr>
            <w:keepNext/>
            <w:keepLines/>
            <w:widowControl w:val="0"/>
            <w:jc w:val="center"/>
            <w:rPr>
              <w:sz w:val="20"/>
              <w:szCs w:val="20"/>
            </w:rPr>
          </w:pPr>
        </w:p>
      </w:tc>
      <w:tc>
        <w:tcPr>
          <w:tcW w:w="4080" w:type="dxa"/>
          <w:tcMar>
            <w:left w:w="0" w:type="dxa"/>
            <w:right w:w="0" w:type="dxa"/>
          </w:tcMar>
        </w:tcPr>
        <w:p w:rsidR="00A33665" w:rsidRPr="0044776A" w:rsidRDefault="00A33665" w:rsidP="0044776A">
          <w:pPr>
            <w:keepLines/>
            <w:widowControl w:val="0"/>
            <w:rPr>
              <w:sz w:val="20"/>
              <w:szCs w:val="20"/>
              <w:lang w:val="fr-CA"/>
            </w:rPr>
          </w:pPr>
          <w:r w:rsidRPr="0044776A">
            <w:rPr>
              <w:sz w:val="20"/>
              <w:szCs w:val="20"/>
              <w:lang w:val="fr-CA"/>
            </w:rPr>
            <w:t>DEMANDES SOUMISES À LA COUR DEPUIS LA DERNIÈRE PARUTION</w:t>
          </w:r>
        </w:p>
        <w:p w:rsidR="00A33665" w:rsidRPr="0044776A" w:rsidRDefault="00A33665" w:rsidP="0044776A">
          <w:pPr>
            <w:widowControl w:val="0"/>
            <w:rPr>
              <w:sz w:val="20"/>
              <w:szCs w:val="20"/>
              <w:lang w:val="fr-CA"/>
            </w:rPr>
          </w:pPr>
        </w:p>
      </w:tc>
    </w:tr>
  </w:tbl>
  <w:p w:rsidR="00A33665" w:rsidRPr="002E2327" w:rsidRDefault="00A33665">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5" w:rsidRDefault="00A3366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33665" w:rsidRPr="00A33665">
      <w:tc>
        <w:tcPr>
          <w:tcW w:w="4200" w:type="dxa"/>
          <w:tcMar>
            <w:left w:w="0" w:type="dxa"/>
            <w:right w:w="0" w:type="dxa"/>
          </w:tcMar>
        </w:tcPr>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33665"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33665" w:rsidRDefault="00A336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33665" w:rsidRPr="00FF6BA5" w:rsidRDefault="00A336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33665" w:rsidRPr="00FF6BA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33665" w:rsidRPr="00FF6BA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33665" w:rsidRPr="00FF6BA5" w:rsidRDefault="00A3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33665" w:rsidRPr="00A33665" w:rsidTr="00245129">
      <w:tc>
        <w:tcPr>
          <w:tcW w:w="4200" w:type="dxa"/>
          <w:tcMar>
            <w:left w:w="0" w:type="dxa"/>
            <w:right w:w="0" w:type="dxa"/>
          </w:tcMar>
        </w:tcPr>
        <w:p w:rsidR="00A33665" w:rsidRPr="00755F22"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33665" w:rsidRPr="00755F22" w:rsidRDefault="00A336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33665" w:rsidRPr="00755F22" w:rsidRDefault="00A3366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33665" w:rsidRPr="00755F22" w:rsidRDefault="00A3366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33665" w:rsidRPr="00755F22" w:rsidRDefault="00A3366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33665" w:rsidRPr="00755F22" w:rsidRDefault="00A336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33665" w:rsidRPr="00FF6BA5" w:rsidRDefault="00A33665"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BC024F"/>
    <w:multiLevelType w:val="hybridMultilevel"/>
    <w:tmpl w:val="7F30E5E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37B628D"/>
    <w:multiLevelType w:val="hybridMultilevel"/>
    <w:tmpl w:val="FD1E323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1281"/>
  </w:hdrShapeDefaults>
  <w:footnotePr>
    <w:footnote w:id="-1"/>
    <w:footnote w:id="0"/>
  </w:footnotePr>
  <w:endnotePr>
    <w:endnote w:id="-1"/>
    <w:endnote w:id="0"/>
  </w:endnotePr>
  <w:compat/>
  <w:rsids>
    <w:rsidRoot w:val="0053659A"/>
    <w:rsid w:val="00004A7F"/>
    <w:rsid w:val="0003223B"/>
    <w:rsid w:val="000327B2"/>
    <w:rsid w:val="00096BD9"/>
    <w:rsid w:val="000B3C9A"/>
    <w:rsid w:val="000B40A2"/>
    <w:rsid w:val="000C0ACD"/>
    <w:rsid w:val="00102926"/>
    <w:rsid w:val="0010587F"/>
    <w:rsid w:val="00110887"/>
    <w:rsid w:val="00111C6B"/>
    <w:rsid w:val="0013369E"/>
    <w:rsid w:val="001575E1"/>
    <w:rsid w:val="00164E6D"/>
    <w:rsid w:val="001B5C23"/>
    <w:rsid w:val="001D0D5F"/>
    <w:rsid w:val="001D6B8C"/>
    <w:rsid w:val="001F1F83"/>
    <w:rsid w:val="001F2A0D"/>
    <w:rsid w:val="002021A9"/>
    <w:rsid w:val="00206680"/>
    <w:rsid w:val="002139A7"/>
    <w:rsid w:val="00215F7C"/>
    <w:rsid w:val="0022323B"/>
    <w:rsid w:val="002410B8"/>
    <w:rsid w:val="00242AEE"/>
    <w:rsid w:val="00245129"/>
    <w:rsid w:val="00245879"/>
    <w:rsid w:val="00257552"/>
    <w:rsid w:val="00267FD5"/>
    <w:rsid w:val="002868D0"/>
    <w:rsid w:val="002B516C"/>
    <w:rsid w:val="002D72EB"/>
    <w:rsid w:val="002E2327"/>
    <w:rsid w:val="002E3583"/>
    <w:rsid w:val="002E5576"/>
    <w:rsid w:val="00304AA5"/>
    <w:rsid w:val="00314721"/>
    <w:rsid w:val="00331B52"/>
    <w:rsid w:val="003359D3"/>
    <w:rsid w:val="00355967"/>
    <w:rsid w:val="00382C47"/>
    <w:rsid w:val="00384384"/>
    <w:rsid w:val="003B3977"/>
    <w:rsid w:val="004163EF"/>
    <w:rsid w:val="00432989"/>
    <w:rsid w:val="00440E24"/>
    <w:rsid w:val="0044776A"/>
    <w:rsid w:val="00460AFC"/>
    <w:rsid w:val="0047471F"/>
    <w:rsid w:val="004B66B4"/>
    <w:rsid w:val="004C1AAC"/>
    <w:rsid w:val="004F090E"/>
    <w:rsid w:val="00527CC7"/>
    <w:rsid w:val="0053659A"/>
    <w:rsid w:val="00571CA4"/>
    <w:rsid w:val="00582136"/>
    <w:rsid w:val="005C2727"/>
    <w:rsid w:val="005C6840"/>
    <w:rsid w:val="005F263E"/>
    <w:rsid w:val="00600252"/>
    <w:rsid w:val="00612A40"/>
    <w:rsid w:val="00675479"/>
    <w:rsid w:val="00697C62"/>
    <w:rsid w:val="006A329B"/>
    <w:rsid w:val="006A7EB8"/>
    <w:rsid w:val="006B6926"/>
    <w:rsid w:val="006C3F47"/>
    <w:rsid w:val="006C5F7A"/>
    <w:rsid w:val="006E06AF"/>
    <w:rsid w:val="006F245D"/>
    <w:rsid w:val="006F350F"/>
    <w:rsid w:val="00732DB7"/>
    <w:rsid w:val="0074238B"/>
    <w:rsid w:val="00755F22"/>
    <w:rsid w:val="00766E4A"/>
    <w:rsid w:val="007820CE"/>
    <w:rsid w:val="00782AE4"/>
    <w:rsid w:val="0079724F"/>
    <w:rsid w:val="007A3EAE"/>
    <w:rsid w:val="007C04FC"/>
    <w:rsid w:val="007D3E0F"/>
    <w:rsid w:val="007F387B"/>
    <w:rsid w:val="00800BA8"/>
    <w:rsid w:val="0080189E"/>
    <w:rsid w:val="00802863"/>
    <w:rsid w:val="00815B3C"/>
    <w:rsid w:val="0082783A"/>
    <w:rsid w:val="00831CA9"/>
    <w:rsid w:val="00850E1F"/>
    <w:rsid w:val="0085476B"/>
    <w:rsid w:val="00856CFA"/>
    <w:rsid w:val="00882A2C"/>
    <w:rsid w:val="00890FEB"/>
    <w:rsid w:val="008D292F"/>
    <w:rsid w:val="008E03DC"/>
    <w:rsid w:val="00924065"/>
    <w:rsid w:val="00930D68"/>
    <w:rsid w:val="00932DB4"/>
    <w:rsid w:val="00941A4B"/>
    <w:rsid w:val="00946242"/>
    <w:rsid w:val="0095096B"/>
    <w:rsid w:val="00970CD3"/>
    <w:rsid w:val="009723FA"/>
    <w:rsid w:val="00984546"/>
    <w:rsid w:val="00996510"/>
    <w:rsid w:val="009D1F15"/>
    <w:rsid w:val="009D555E"/>
    <w:rsid w:val="009E414D"/>
    <w:rsid w:val="00A0355E"/>
    <w:rsid w:val="00A33665"/>
    <w:rsid w:val="00A375D1"/>
    <w:rsid w:val="00A467FE"/>
    <w:rsid w:val="00A51D10"/>
    <w:rsid w:val="00A52A83"/>
    <w:rsid w:val="00A6198B"/>
    <w:rsid w:val="00A6552C"/>
    <w:rsid w:val="00A77AE8"/>
    <w:rsid w:val="00A87207"/>
    <w:rsid w:val="00A935AA"/>
    <w:rsid w:val="00AB2201"/>
    <w:rsid w:val="00AF1715"/>
    <w:rsid w:val="00AF3904"/>
    <w:rsid w:val="00B010C0"/>
    <w:rsid w:val="00B4740D"/>
    <w:rsid w:val="00B61629"/>
    <w:rsid w:val="00B70234"/>
    <w:rsid w:val="00B7374B"/>
    <w:rsid w:val="00B90DC0"/>
    <w:rsid w:val="00BA116A"/>
    <w:rsid w:val="00BA5582"/>
    <w:rsid w:val="00BA6468"/>
    <w:rsid w:val="00BC3436"/>
    <w:rsid w:val="00BD06DA"/>
    <w:rsid w:val="00BD4217"/>
    <w:rsid w:val="00BE12C0"/>
    <w:rsid w:val="00BF25F3"/>
    <w:rsid w:val="00C1697B"/>
    <w:rsid w:val="00C50A5C"/>
    <w:rsid w:val="00C50FDF"/>
    <w:rsid w:val="00C60BA0"/>
    <w:rsid w:val="00C73E1B"/>
    <w:rsid w:val="00C759B4"/>
    <w:rsid w:val="00C76F35"/>
    <w:rsid w:val="00C77713"/>
    <w:rsid w:val="00CB43D5"/>
    <w:rsid w:val="00CB7F14"/>
    <w:rsid w:val="00CC4D84"/>
    <w:rsid w:val="00D61B24"/>
    <w:rsid w:val="00D64901"/>
    <w:rsid w:val="00D76BDF"/>
    <w:rsid w:val="00D862C1"/>
    <w:rsid w:val="00D93B50"/>
    <w:rsid w:val="00D94670"/>
    <w:rsid w:val="00DA46F6"/>
    <w:rsid w:val="00DD0B49"/>
    <w:rsid w:val="00E06DFA"/>
    <w:rsid w:val="00E20A0A"/>
    <w:rsid w:val="00E33724"/>
    <w:rsid w:val="00E356C7"/>
    <w:rsid w:val="00E64FA7"/>
    <w:rsid w:val="00E770CB"/>
    <w:rsid w:val="00E903A1"/>
    <w:rsid w:val="00E940EB"/>
    <w:rsid w:val="00EB2B90"/>
    <w:rsid w:val="00ED7E83"/>
    <w:rsid w:val="00EF4B63"/>
    <w:rsid w:val="00F0068D"/>
    <w:rsid w:val="00F0576D"/>
    <w:rsid w:val="00F14E6D"/>
    <w:rsid w:val="00F1500D"/>
    <w:rsid w:val="00F15EA8"/>
    <w:rsid w:val="00F16C8D"/>
    <w:rsid w:val="00F26C61"/>
    <w:rsid w:val="00F33CCE"/>
    <w:rsid w:val="00F40249"/>
    <w:rsid w:val="00F526C8"/>
    <w:rsid w:val="00F9518C"/>
    <w:rsid w:val="00FA316E"/>
    <w:rsid w:val="00FA59EF"/>
    <w:rsid w:val="00FB19A2"/>
    <w:rsid w:val="00FB5394"/>
    <w:rsid w:val="00FD0CB6"/>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A77AE8"/>
    <w:pPr>
      <w:jc w:val="center"/>
    </w:pPr>
    <w:rPr>
      <w:b/>
      <w:szCs w:val="24"/>
      <w:lang w:val="fr-CA"/>
    </w:rPr>
  </w:style>
  <w:style w:type="character" w:customStyle="1" w:styleId="SCCFileNumberChar">
    <w:name w:val="SCC.FileNumber Char"/>
    <w:basedOn w:val="DefaultParagraphFont"/>
    <w:link w:val="SCCFileNumber"/>
    <w:rsid w:val="00A77AE8"/>
    <w:rPr>
      <w:b/>
      <w:szCs w:val="24"/>
      <w:lang w:val="fr-CA"/>
    </w:rPr>
  </w:style>
  <w:style w:type="paragraph" w:customStyle="1" w:styleId="SCCLsoc">
    <w:name w:val="SCC.Lsoc"/>
    <w:basedOn w:val="Normal"/>
    <w:next w:val="Normal"/>
    <w:link w:val="SCCLsocChar"/>
    <w:rsid w:val="00A77AE8"/>
    <w:pPr>
      <w:jc w:val="center"/>
    </w:pPr>
    <w:rPr>
      <w:b/>
      <w:szCs w:val="24"/>
      <w:u w:val="single"/>
      <w:lang w:val="fr-CA"/>
    </w:rPr>
  </w:style>
  <w:style w:type="character" w:customStyle="1" w:styleId="SCCLsocChar">
    <w:name w:val="SCC.Lsoc Char"/>
    <w:basedOn w:val="DefaultParagraphFont"/>
    <w:link w:val="SCCLsoc"/>
    <w:rsid w:val="00A77AE8"/>
    <w:rPr>
      <w:b/>
      <w:szCs w:val="24"/>
      <w:u w:val="single"/>
      <w:lang w:val="fr-CA"/>
    </w:rPr>
  </w:style>
  <w:style w:type="paragraph" w:customStyle="1" w:styleId="SCCCoram">
    <w:name w:val="SCC.Coram"/>
    <w:basedOn w:val="Normal"/>
    <w:next w:val="Normal"/>
    <w:link w:val="SCCCoramChar"/>
    <w:rsid w:val="00A77AE8"/>
    <w:pPr>
      <w:jc w:val="center"/>
    </w:pPr>
    <w:rPr>
      <w:szCs w:val="24"/>
      <w:u w:val="single"/>
      <w:lang w:val="fr-CA"/>
    </w:rPr>
  </w:style>
  <w:style w:type="character" w:customStyle="1" w:styleId="SCCCoramChar">
    <w:name w:val="SCC.Coram Char"/>
    <w:basedOn w:val="DefaultParagraphFont"/>
    <w:link w:val="SCCCoram"/>
    <w:rsid w:val="00A77AE8"/>
    <w:rPr>
      <w:szCs w:val="24"/>
      <w:u w:val="single"/>
      <w:lang w:val="fr-CA"/>
    </w:rPr>
  </w:style>
  <w:style w:type="paragraph" w:customStyle="1" w:styleId="SCCShortJudgment">
    <w:name w:val="SCC.ShortJudgment"/>
    <w:basedOn w:val="Normal"/>
    <w:qFormat/>
    <w:rsid w:val="00A77AE8"/>
    <w:pPr>
      <w:ind w:firstLine="720"/>
      <w:jc w:val="both"/>
    </w:pPr>
    <w:rPr>
      <w:sz w:val="20"/>
      <w:szCs w:val="24"/>
    </w:rPr>
  </w:style>
  <w:style w:type="paragraph" w:customStyle="1" w:styleId="Level1">
    <w:name w:val="Level 1"/>
    <w:basedOn w:val="Normal"/>
    <w:rsid w:val="00206680"/>
    <w:pPr>
      <w:widowControl w:val="0"/>
    </w:pPr>
    <w:rPr>
      <w:rFonts w:eastAsia="Times New Roman" w:cs="Times New Roman"/>
      <w:sz w:val="20"/>
      <w:szCs w:val="20"/>
      <w:lang w:val="en-US" w:eastAsia="en-CA"/>
    </w:rPr>
  </w:style>
  <w:style w:type="paragraph" w:customStyle="1" w:styleId="SCCLowerCourtNameLowercase">
    <w:name w:val="SCC.LowerCourtNameLowercase"/>
    <w:basedOn w:val="SCCNormalDoubleSpacing"/>
    <w:next w:val="SCCNormalDoubleSpacing"/>
    <w:rsid w:val="004163EF"/>
    <w:pPr>
      <w:tabs>
        <w:tab w:val="left" w:pos="1168"/>
      </w:tabs>
    </w:pPr>
    <w:rPr>
      <w:smallCaps/>
    </w:rPr>
  </w:style>
  <w:style w:type="paragraph" w:customStyle="1" w:styleId="ParaNoNdepar-AltN">
    <w:name w:val="Para. No. / Nº de par. - Alt N"/>
    <w:qFormat/>
    <w:rsid w:val="004163EF"/>
    <w:pPr>
      <w:numPr>
        <w:numId w:val="4"/>
      </w:numPr>
      <w:spacing w:before="480" w:after="480" w:line="480" w:lineRule="auto"/>
      <w:jc w:val="both"/>
    </w:pPr>
    <w:rPr>
      <w:rFonts w:eastAsia="Times New Roman" w:cs="Times New Roman"/>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11384</Words>
  <Characters>64891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2011-11-04T15:23:00Z</dcterms:created>
  <dcterms:modified xsi:type="dcterms:W3CDTF">2011-11-04T15:23:00Z</dcterms:modified>
</cp:coreProperties>
</file>