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3" w:rsidRPr="002E2327" w:rsidRDefault="00382C47">
      <w:r w:rsidRPr="002E2327">
        <w:rPr>
          <w:noProof/>
          <w:lang w:eastAsia="en-CA"/>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4061E0"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4061E0"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4061E0"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Subscriptions may be had at $300 per year, payable in advance, in accordance with the Court tariff.  During Court sessions it 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prix de l'abonnement, fixé dans le tarif de la Cour, est de 300 $ l'an, payable d'avance.  Le Bulletin paraît en principe toutes les semaines pendant les sessions de la Cour.</w:t>
            </w:r>
          </w:p>
        </w:tc>
      </w:tr>
      <w:tr w:rsidR="00BF25F3" w:rsidRPr="004061E0"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4061E0" w:rsidTr="002E5576">
        <w:tc>
          <w:tcPr>
            <w:tcW w:w="4518" w:type="dxa"/>
          </w:tcPr>
          <w:p w:rsidR="00BF25F3" w:rsidRPr="002E2327" w:rsidRDefault="00586706"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586706"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bl>
    <w:p w:rsidR="00BF25F3" w:rsidRPr="00675479" w:rsidRDefault="00BF25F3" w:rsidP="00BF25F3">
      <w:pPr>
        <w:tabs>
          <w:tab w:val="left" w:pos="6075"/>
        </w:tabs>
        <w:rPr>
          <w:lang w:val="fr-CA"/>
        </w:rPr>
      </w:pPr>
    </w:p>
    <w:p w:rsidR="00600252" w:rsidRPr="00675479" w:rsidRDefault="00600252" w:rsidP="00BF25F3">
      <w:pPr>
        <w:pBdr>
          <w:bottom w:val="single" w:sz="6" w:space="1" w:color="auto"/>
        </w:pBdr>
        <w:tabs>
          <w:tab w:val="left" w:pos="6075"/>
        </w:tabs>
        <w:rPr>
          <w:lang w:val="fr-CA"/>
        </w:rPr>
      </w:pPr>
    </w:p>
    <w:p w:rsidR="00440E24" w:rsidRPr="00675479" w:rsidRDefault="00440E24" w:rsidP="00440E24">
      <w:pPr>
        <w:pBdr>
          <w:bottom w:val="single" w:sz="6" w:space="1" w:color="auto"/>
        </w:pBdr>
        <w:tabs>
          <w:tab w:val="left" w:pos="6075"/>
        </w:tabs>
        <w:rPr>
          <w:lang w:val="fr-CA"/>
        </w:rPr>
      </w:pPr>
    </w:p>
    <w:p w:rsidR="00440E24" w:rsidRPr="00675479" w:rsidRDefault="00440E24" w:rsidP="00440E24">
      <w:pPr>
        <w:rPr>
          <w:lang w:val="fr-CA"/>
        </w:rPr>
      </w:pPr>
    </w:p>
    <w:p w:rsidR="00600252" w:rsidRPr="00675479" w:rsidRDefault="001D718B" w:rsidP="00F0068D">
      <w:pPr>
        <w:pBdr>
          <w:bottom w:val="single" w:sz="6" w:space="1" w:color="auto"/>
        </w:pBdr>
        <w:tabs>
          <w:tab w:val="center" w:pos="4680"/>
          <w:tab w:val="right" w:pos="9360"/>
        </w:tabs>
        <w:rPr>
          <w:lang w:val="fr-CA"/>
        </w:rPr>
      </w:pPr>
      <w:r>
        <w:rPr>
          <w:lang w:val="fr-CA"/>
        </w:rPr>
        <w:t>December 23</w:t>
      </w:r>
      <w:r w:rsidR="00440E24" w:rsidRPr="00675479">
        <w:rPr>
          <w:lang w:val="fr-CA"/>
        </w:rPr>
        <w:t>, 201</w:t>
      </w:r>
      <w:r w:rsidR="003359D3">
        <w:rPr>
          <w:lang w:val="fr-CA"/>
        </w:rPr>
        <w:t>1</w:t>
      </w:r>
      <w:r w:rsidR="00F0068D" w:rsidRPr="00675479">
        <w:rPr>
          <w:lang w:val="fr-CA"/>
        </w:rPr>
        <w:tab/>
        <w:t>1</w:t>
      </w:r>
      <w:r w:rsidR="00A269E9">
        <w:rPr>
          <w:lang w:val="fr-CA"/>
        </w:rPr>
        <w:t>913</w:t>
      </w:r>
      <w:r w:rsidR="00F0068D" w:rsidRPr="00675479">
        <w:rPr>
          <w:lang w:val="fr-CA"/>
        </w:rPr>
        <w:t xml:space="preserve"> - </w:t>
      </w:r>
      <w:r w:rsidR="0018069A">
        <w:rPr>
          <w:lang w:val="fr-CA"/>
        </w:rPr>
        <w:t>1975</w:t>
      </w:r>
      <w:r w:rsidR="00440E24" w:rsidRPr="00675479">
        <w:rPr>
          <w:lang w:val="fr-CA"/>
        </w:rPr>
        <w:tab/>
      </w:r>
      <w:r w:rsidR="00440E24" w:rsidRPr="002E2327">
        <w:rPr>
          <w:lang w:val="fr-CA"/>
        </w:rPr>
        <w:t>Le 2</w:t>
      </w:r>
      <w:r>
        <w:rPr>
          <w:lang w:val="fr-CA"/>
        </w:rPr>
        <w:t>3 décemb</w:t>
      </w:r>
      <w:r w:rsidR="00440E24" w:rsidRPr="002E2327">
        <w:rPr>
          <w:lang w:val="fr-CA"/>
        </w:rPr>
        <w:t>r</w:t>
      </w:r>
      <w:r>
        <w:rPr>
          <w:lang w:val="fr-CA"/>
        </w:rPr>
        <w:t>e</w:t>
      </w:r>
      <w:r w:rsidR="00440E24" w:rsidRPr="002E2327">
        <w:rPr>
          <w:lang w:val="fr-CA"/>
        </w:rPr>
        <w:t xml:space="preserve"> 201</w:t>
      </w:r>
      <w:r w:rsidR="003359D3">
        <w:rPr>
          <w:lang w:val="fr-CA"/>
        </w:rPr>
        <w:t>1</w:t>
      </w:r>
    </w:p>
    <w:p w:rsidR="00440E24" w:rsidRPr="00675479" w:rsidRDefault="00440E24" w:rsidP="00440E24">
      <w:pPr>
        <w:pBdr>
          <w:bottom w:val="single" w:sz="6" w:space="1" w:color="auto"/>
        </w:pBdr>
        <w:tabs>
          <w:tab w:val="right" w:pos="9360"/>
        </w:tabs>
        <w:rPr>
          <w:lang w:val="fr-CA"/>
        </w:rPr>
      </w:pPr>
    </w:p>
    <w:p w:rsidR="00440E24" w:rsidRPr="007F387B" w:rsidRDefault="00440E24" w:rsidP="00440E24">
      <w:pPr>
        <w:pBdr>
          <w:bottom w:val="single" w:sz="6" w:space="1" w:color="auto"/>
        </w:pBdr>
        <w:tabs>
          <w:tab w:val="right" w:pos="9360"/>
        </w:tabs>
        <w:rPr>
          <w:sz w:val="18"/>
          <w:szCs w:val="18"/>
          <w:lang w:val="fr-CA"/>
        </w:rPr>
      </w:pPr>
      <w:r w:rsidRPr="007F387B">
        <w:rPr>
          <w:sz w:val="18"/>
          <w:szCs w:val="18"/>
          <w:lang w:val="fr-CA"/>
        </w:rPr>
        <w:t>© Supreme Court of Canada (201</w:t>
      </w:r>
      <w:r w:rsidR="00D94670" w:rsidRPr="007F387B">
        <w:rPr>
          <w:sz w:val="18"/>
          <w:szCs w:val="18"/>
          <w:lang w:val="fr-CA"/>
        </w:rPr>
        <w:t>1</w:t>
      </w:r>
      <w:r w:rsidRPr="007F387B">
        <w:rPr>
          <w:sz w:val="18"/>
          <w:szCs w:val="18"/>
          <w:lang w:val="fr-CA"/>
        </w:rPr>
        <w:t>)</w:t>
      </w:r>
      <w:r w:rsidRPr="007F387B">
        <w:rPr>
          <w:sz w:val="18"/>
          <w:szCs w:val="18"/>
          <w:lang w:val="fr-CA"/>
        </w:rPr>
        <w:tab/>
        <w:t>© Cour suprême du Canada (201</w:t>
      </w:r>
      <w:r w:rsidR="00D94670" w:rsidRPr="007F387B">
        <w:rPr>
          <w:sz w:val="18"/>
          <w:szCs w:val="18"/>
          <w:lang w:val="fr-CA"/>
        </w:rPr>
        <w:t>1</w:t>
      </w:r>
      <w:r w:rsidRPr="007F387B">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1193-8536 (Print)</w:t>
      </w:r>
      <w:r w:rsidRPr="00675479">
        <w:rPr>
          <w:sz w:val="18"/>
          <w:szCs w:val="18"/>
          <w:lang w:val="fr-CA"/>
        </w:rPr>
        <w:tab/>
        <w:t>ISSN 1193-8536 (</w:t>
      </w:r>
      <w:r w:rsidRPr="002E2327">
        <w:rPr>
          <w:sz w:val="18"/>
          <w:szCs w:val="18"/>
          <w:lang w:val="fr-CA"/>
        </w:rPr>
        <w:t>Imprimé</w:t>
      </w:r>
      <w:r w:rsidRPr="00675479">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p w:rsidR="00600252" w:rsidRPr="00675479" w:rsidRDefault="00600252">
      <w:pPr>
        <w:rPr>
          <w:lang w:val="fr-CA"/>
        </w:rPr>
      </w:pPr>
      <w:r w:rsidRPr="00675479">
        <w:rPr>
          <w:lang w:val="fr-CA"/>
        </w:rPr>
        <w:br w:type="page"/>
      </w:r>
    </w:p>
    <w:tbl>
      <w:tblPr>
        <w:tblW w:w="9540" w:type="dxa"/>
        <w:tblInd w:w="-90" w:type="dxa"/>
        <w:tblBorders>
          <w:bottom w:val="single" w:sz="8" w:space="0" w:color="auto"/>
        </w:tblBorders>
        <w:tblLayout w:type="fixed"/>
        <w:tblCellMar>
          <w:left w:w="0" w:type="dxa"/>
          <w:right w:w="0" w:type="dxa"/>
        </w:tblCellMar>
        <w:tblLook w:val="000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1980"/>
        <w:gridCol w:w="3888"/>
      </w:tblGrid>
      <w:tr w:rsidR="0095096B" w:rsidRPr="002E2327"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Notices of appeal filed since last </w:t>
            </w:r>
          </w:p>
          <w:p w:rsidR="0095096B" w:rsidRPr="002E2327" w:rsidRDefault="0095096B" w:rsidP="0095096B">
            <w:pPr>
              <w:tabs>
                <w:tab w:val="right" w:pos="9360"/>
              </w:tabs>
              <w:rPr>
                <w:rFonts w:cs="Times New Roman"/>
                <w:sz w:val="20"/>
                <w:szCs w:val="20"/>
              </w:rPr>
            </w:pPr>
            <w:r w:rsidRPr="002E2327">
              <w:rPr>
                <w:rFonts w:cs="Times New Roman"/>
                <w:sz w:val="20"/>
                <w:szCs w:val="20"/>
              </w:rPr>
              <w:t>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Pronouncements of appeals reserved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Headnotes of recent judgments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Agenda </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Summaries of the cases</w:t>
            </w:r>
          </w:p>
          <w:p w:rsidR="00A87207" w:rsidRPr="002E2327" w:rsidRDefault="00A87207" w:rsidP="00A62B1D">
            <w:pPr>
              <w:tabs>
                <w:tab w:val="right" w:pos="9360"/>
              </w:tabs>
              <w:rPr>
                <w:rFonts w:cs="Times New Roman"/>
                <w:sz w:val="20"/>
                <w:szCs w:val="20"/>
              </w:rPr>
            </w:pPr>
          </w:p>
        </w:tc>
        <w:tc>
          <w:tcPr>
            <w:tcW w:w="1980" w:type="dxa"/>
          </w:tcPr>
          <w:p w:rsidR="0095096B" w:rsidRPr="002E2327" w:rsidRDefault="00026F67" w:rsidP="0095096B">
            <w:pPr>
              <w:jc w:val="center"/>
              <w:rPr>
                <w:rFonts w:cs="Times New Roman"/>
                <w:sz w:val="20"/>
                <w:szCs w:val="20"/>
              </w:rPr>
            </w:pPr>
            <w:r>
              <w:rPr>
                <w:rFonts w:cs="Times New Roman"/>
                <w:sz w:val="20"/>
                <w:szCs w:val="20"/>
              </w:rPr>
              <w:t xml:space="preserve">1913 </w:t>
            </w:r>
            <w:r w:rsidR="00586706" w:rsidRPr="002E2327">
              <w:rPr>
                <w:rFonts w:cs="Times New Roman"/>
                <w:sz w:val="20"/>
                <w:szCs w:val="20"/>
              </w:rPr>
              <w:fldChar w:fldCharType="begin"/>
            </w:r>
            <w:r w:rsidR="0095096B" w:rsidRPr="002E2327">
              <w:rPr>
                <w:rFonts w:cs="Times New Roman"/>
                <w:sz w:val="20"/>
                <w:szCs w:val="20"/>
              </w:rPr>
              <w:instrText xml:space="preserve"> SEQ CHAPTER \h \r 1</w:instrText>
            </w:r>
            <w:r w:rsidR="00586706" w:rsidRPr="002E2327">
              <w:rPr>
                <w:rFonts w:cs="Times New Roman"/>
                <w:sz w:val="20"/>
                <w:szCs w:val="20"/>
              </w:rPr>
              <w:fldChar w:fldCharType="end"/>
            </w:r>
            <w:r w:rsidR="0095096B" w:rsidRPr="002E2327">
              <w:rPr>
                <w:rFonts w:cs="Times New Roman"/>
                <w:sz w:val="20"/>
                <w:szCs w:val="20"/>
              </w:rPr>
              <w:t>-</w:t>
            </w:r>
            <w:r>
              <w:rPr>
                <w:rFonts w:cs="Times New Roman"/>
                <w:sz w:val="20"/>
                <w:szCs w:val="20"/>
              </w:rPr>
              <w:t xml:space="preserve"> 1914</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EB6232" w:rsidP="0095096B">
            <w:pPr>
              <w:jc w:val="center"/>
              <w:rPr>
                <w:rFonts w:cs="Times New Roman"/>
                <w:sz w:val="20"/>
                <w:szCs w:val="20"/>
              </w:rPr>
            </w:pPr>
            <w:r>
              <w:rPr>
                <w:rFonts w:cs="Times New Roman"/>
                <w:sz w:val="20"/>
                <w:szCs w:val="20"/>
              </w:rPr>
              <w:t xml:space="preserve">1915 </w:t>
            </w:r>
            <w:r w:rsidR="0095096B" w:rsidRPr="002E2327">
              <w:rPr>
                <w:rFonts w:cs="Times New Roman"/>
                <w:sz w:val="20"/>
                <w:szCs w:val="20"/>
              </w:rPr>
              <w:t>-</w:t>
            </w:r>
            <w:r>
              <w:rPr>
                <w:rFonts w:cs="Times New Roman"/>
                <w:sz w:val="20"/>
                <w:szCs w:val="20"/>
              </w:rPr>
              <w:t xml:space="preserve"> 1916</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EB6232" w:rsidP="0095096B">
            <w:pPr>
              <w:jc w:val="center"/>
              <w:rPr>
                <w:rFonts w:cs="Times New Roman"/>
                <w:sz w:val="20"/>
                <w:szCs w:val="20"/>
              </w:rPr>
            </w:pPr>
            <w:r>
              <w:rPr>
                <w:rFonts w:cs="Times New Roman"/>
                <w:sz w:val="20"/>
                <w:szCs w:val="20"/>
              </w:rPr>
              <w:t xml:space="preserve">1917 </w:t>
            </w:r>
            <w:r w:rsidR="0095096B" w:rsidRPr="002E2327">
              <w:rPr>
                <w:rFonts w:cs="Times New Roman"/>
                <w:sz w:val="20"/>
                <w:szCs w:val="20"/>
              </w:rPr>
              <w:t>-</w:t>
            </w:r>
            <w:r w:rsidR="0018069A">
              <w:rPr>
                <w:rFonts w:cs="Times New Roman"/>
                <w:sz w:val="20"/>
                <w:szCs w:val="20"/>
              </w:rPr>
              <w:t xml:space="preserve"> 1937</w:t>
            </w:r>
          </w:p>
          <w:p w:rsidR="0095096B" w:rsidRPr="002E2327" w:rsidRDefault="0095096B" w:rsidP="0095096B">
            <w:pPr>
              <w:jc w:val="center"/>
              <w:rPr>
                <w:rFonts w:cs="Times New Roman"/>
                <w:sz w:val="20"/>
                <w:szCs w:val="20"/>
              </w:rPr>
            </w:pPr>
          </w:p>
          <w:p w:rsidR="0018069A" w:rsidRDefault="0018069A" w:rsidP="0095096B">
            <w:pPr>
              <w:jc w:val="center"/>
              <w:rPr>
                <w:rFonts w:cs="Times New Roman"/>
                <w:sz w:val="20"/>
                <w:szCs w:val="20"/>
              </w:rPr>
            </w:pPr>
          </w:p>
          <w:p w:rsidR="0095096B" w:rsidRPr="002E2327" w:rsidRDefault="0018069A" w:rsidP="0095096B">
            <w:pPr>
              <w:jc w:val="center"/>
              <w:rPr>
                <w:rFonts w:cs="Times New Roman"/>
                <w:sz w:val="20"/>
                <w:szCs w:val="20"/>
              </w:rPr>
            </w:pPr>
            <w:r>
              <w:rPr>
                <w:rFonts w:cs="Times New Roman"/>
                <w:sz w:val="20"/>
                <w:szCs w:val="20"/>
              </w:rPr>
              <w:t xml:space="preserve">1938 </w:t>
            </w:r>
            <w:r w:rsidR="0095096B" w:rsidRPr="002E2327">
              <w:rPr>
                <w:rFonts w:cs="Times New Roman"/>
                <w:sz w:val="20"/>
                <w:szCs w:val="20"/>
              </w:rPr>
              <w:t>-</w:t>
            </w:r>
            <w:r>
              <w:rPr>
                <w:rFonts w:cs="Times New Roman"/>
                <w:sz w:val="20"/>
                <w:szCs w:val="20"/>
              </w:rPr>
              <w:t xml:space="preserve"> 1939</w:t>
            </w:r>
          </w:p>
          <w:p w:rsidR="0095096B" w:rsidRPr="002E2327" w:rsidRDefault="0095096B" w:rsidP="0095096B">
            <w:pPr>
              <w:jc w:val="center"/>
              <w:rPr>
                <w:rFonts w:cs="Times New Roman"/>
                <w:sz w:val="20"/>
                <w:szCs w:val="20"/>
              </w:rPr>
            </w:pPr>
          </w:p>
          <w:p w:rsidR="0095096B" w:rsidRPr="002E2327" w:rsidRDefault="0018069A" w:rsidP="0095096B">
            <w:pPr>
              <w:jc w:val="center"/>
              <w:rPr>
                <w:rFonts w:cs="Times New Roman"/>
                <w:sz w:val="20"/>
                <w:szCs w:val="20"/>
              </w:rPr>
            </w:pPr>
            <w:r>
              <w:rPr>
                <w:rFonts w:cs="Times New Roman"/>
                <w:sz w:val="20"/>
                <w:szCs w:val="20"/>
              </w:rPr>
              <w:t>1940</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18069A" w:rsidP="0095096B">
            <w:pPr>
              <w:jc w:val="center"/>
              <w:rPr>
                <w:rFonts w:cs="Times New Roman"/>
                <w:sz w:val="20"/>
                <w:szCs w:val="20"/>
              </w:rPr>
            </w:pPr>
            <w:r>
              <w:rPr>
                <w:rFonts w:cs="Times New Roman"/>
                <w:sz w:val="20"/>
                <w:szCs w:val="20"/>
              </w:rPr>
              <w:t xml:space="preserve">1941 </w:t>
            </w:r>
            <w:r w:rsidR="0095096B" w:rsidRPr="002E2327">
              <w:rPr>
                <w:rFonts w:cs="Times New Roman"/>
                <w:sz w:val="20"/>
                <w:szCs w:val="20"/>
              </w:rPr>
              <w:t>-</w:t>
            </w:r>
            <w:r>
              <w:rPr>
                <w:rFonts w:cs="Times New Roman"/>
                <w:sz w:val="20"/>
                <w:szCs w:val="20"/>
              </w:rPr>
              <w:t xml:space="preserve"> 1942</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18069A" w:rsidP="0095096B">
            <w:pPr>
              <w:jc w:val="center"/>
              <w:rPr>
                <w:rFonts w:cs="Times New Roman"/>
                <w:sz w:val="20"/>
                <w:szCs w:val="20"/>
              </w:rPr>
            </w:pPr>
            <w:r>
              <w:rPr>
                <w:rFonts w:cs="Times New Roman"/>
                <w:sz w:val="20"/>
                <w:szCs w:val="20"/>
              </w:rPr>
              <w:t xml:space="preserve">1943 </w:t>
            </w:r>
            <w:r w:rsidR="0095096B" w:rsidRPr="002E2327">
              <w:rPr>
                <w:rFonts w:cs="Times New Roman"/>
                <w:sz w:val="20"/>
                <w:szCs w:val="20"/>
              </w:rPr>
              <w:t>-</w:t>
            </w:r>
            <w:r>
              <w:rPr>
                <w:rFonts w:cs="Times New Roman"/>
                <w:sz w:val="20"/>
                <w:szCs w:val="20"/>
              </w:rPr>
              <w:t xml:space="preserve"> 1957</w:t>
            </w:r>
          </w:p>
          <w:p w:rsidR="0095096B" w:rsidRPr="002E2327" w:rsidRDefault="0095096B" w:rsidP="0095096B">
            <w:pPr>
              <w:jc w:val="center"/>
              <w:rPr>
                <w:rFonts w:cs="Times New Roman"/>
                <w:sz w:val="20"/>
                <w:szCs w:val="20"/>
              </w:rPr>
            </w:pPr>
          </w:p>
          <w:p w:rsidR="0095096B" w:rsidRPr="002E2327" w:rsidRDefault="0018069A" w:rsidP="0095096B">
            <w:pPr>
              <w:jc w:val="center"/>
              <w:rPr>
                <w:rFonts w:cs="Times New Roman"/>
                <w:sz w:val="20"/>
                <w:szCs w:val="20"/>
              </w:rPr>
            </w:pPr>
            <w:r>
              <w:rPr>
                <w:rFonts w:cs="Times New Roman"/>
                <w:sz w:val="20"/>
                <w:szCs w:val="20"/>
              </w:rPr>
              <w:t xml:space="preserve">1958 </w:t>
            </w:r>
            <w:r w:rsidR="00FD31B7">
              <w:rPr>
                <w:rFonts w:cs="Times New Roman"/>
                <w:sz w:val="20"/>
                <w:szCs w:val="20"/>
              </w:rPr>
              <w:t>-</w:t>
            </w:r>
            <w:r>
              <w:rPr>
                <w:rFonts w:cs="Times New Roman"/>
                <w:sz w:val="20"/>
                <w:szCs w:val="20"/>
              </w:rPr>
              <w:t xml:space="preserve"> 1960</w:t>
            </w:r>
          </w:p>
          <w:p w:rsidR="0095096B" w:rsidRPr="002E2327" w:rsidRDefault="0095096B" w:rsidP="0095096B">
            <w:pPr>
              <w:jc w:val="center"/>
              <w:rPr>
                <w:rFonts w:cs="Times New Roman"/>
                <w:sz w:val="20"/>
                <w:szCs w:val="20"/>
              </w:rPr>
            </w:pPr>
          </w:p>
          <w:p w:rsidR="0095096B" w:rsidRPr="002E2327" w:rsidRDefault="0018069A" w:rsidP="0095096B">
            <w:pPr>
              <w:jc w:val="center"/>
              <w:rPr>
                <w:rFonts w:cs="Times New Roman"/>
                <w:sz w:val="20"/>
                <w:szCs w:val="20"/>
              </w:rPr>
            </w:pPr>
            <w:r>
              <w:rPr>
                <w:rFonts w:cs="Times New Roman"/>
                <w:sz w:val="20"/>
                <w:szCs w:val="20"/>
              </w:rPr>
              <w:t xml:space="preserve">1961 </w:t>
            </w:r>
            <w:r w:rsidR="0095096B" w:rsidRPr="002E2327">
              <w:rPr>
                <w:rFonts w:cs="Times New Roman"/>
                <w:sz w:val="20"/>
                <w:szCs w:val="20"/>
              </w:rPr>
              <w:t>-</w:t>
            </w:r>
            <w:r>
              <w:rPr>
                <w:rFonts w:cs="Times New Roman"/>
                <w:sz w:val="20"/>
                <w:szCs w:val="20"/>
              </w:rPr>
              <w:t xml:space="preserve"> 1975</w:t>
            </w:r>
          </w:p>
          <w:p w:rsidR="00A87207" w:rsidRPr="002E2327" w:rsidRDefault="00A87207" w:rsidP="002106C1">
            <w:pPr>
              <w:jc w:val="center"/>
              <w:rPr>
                <w:rFonts w:cs="Times New Roman"/>
                <w:sz w:val="20"/>
                <w:szCs w:val="20"/>
              </w:rPr>
            </w:pPr>
          </w:p>
        </w:tc>
        <w:tc>
          <w:tcPr>
            <w:tcW w:w="3888" w:type="dxa"/>
          </w:tcPr>
          <w:p w:rsidR="0095096B" w:rsidRPr="002E2327" w:rsidRDefault="00586706"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 xml:space="preserve">Demandes d'autorisation d'appel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95096B" w:rsidP="0095096B">
            <w:pPr>
              <w:rPr>
                <w:rFonts w:cs="Times New Roman"/>
                <w:sz w:val="20"/>
                <w:szCs w:val="20"/>
                <w:lang w:val="fr-CA"/>
              </w:rPr>
            </w:pPr>
            <w:r w:rsidRPr="002E2327">
              <w:rPr>
                <w:rFonts w:cs="Times New Roman"/>
                <w:sz w:val="20"/>
                <w:szCs w:val="20"/>
                <w:lang w:val="fr-CA"/>
              </w:rPr>
              <w:t>d'autorisation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Avis d'appel déposés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appels en </w:t>
            </w:r>
          </w:p>
          <w:p w:rsidR="0095096B" w:rsidRPr="002E2327" w:rsidRDefault="0095096B" w:rsidP="0095096B">
            <w:pPr>
              <w:rPr>
                <w:rFonts w:cs="Times New Roman"/>
                <w:sz w:val="20"/>
                <w:szCs w:val="20"/>
                <w:lang w:val="fr-CA"/>
              </w:rPr>
            </w:pPr>
            <w:r w:rsidRPr="002E2327">
              <w:rPr>
                <w:rFonts w:cs="Times New Roman"/>
                <w:sz w:val="20"/>
                <w:szCs w:val="20"/>
                <w:lang w:val="fr-CA"/>
              </w:rPr>
              <w:t>délibéré</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Sommaires de </w:t>
            </w:r>
            <w:r w:rsidR="00C50A5C">
              <w:rPr>
                <w:rFonts w:cs="Times New Roman"/>
                <w:sz w:val="20"/>
                <w:szCs w:val="20"/>
                <w:lang w:val="fr-CA"/>
              </w:rPr>
              <w:t xml:space="preserve">jugements </w:t>
            </w:r>
            <w:r w:rsidR="00C50A5C" w:rsidRPr="002E2327">
              <w:rPr>
                <w:rFonts w:cs="Times New Roman"/>
                <w:sz w:val="20"/>
                <w:szCs w:val="20"/>
                <w:lang w:val="fr-CA"/>
              </w:rPr>
              <w:t>récents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Calendrier </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Résumés des affaires</w:t>
            </w:r>
          </w:p>
          <w:p w:rsidR="00A87207" w:rsidRPr="002E2327" w:rsidRDefault="00A87207" w:rsidP="00A62B1D">
            <w:pPr>
              <w:tabs>
                <w:tab w:val="right" w:pos="9360"/>
              </w:tabs>
              <w:rPr>
                <w:rFonts w:cs="Times New Roman"/>
                <w:sz w:val="20"/>
                <w:szCs w:val="20"/>
                <w:lang w:val="fr-CA"/>
              </w:rPr>
            </w:pPr>
          </w:p>
        </w:tc>
      </w:tr>
    </w:tbl>
    <w:p w:rsidR="0095096B" w:rsidRDefault="0095096B" w:rsidP="0095096B">
      <w:pPr>
        <w:tabs>
          <w:tab w:val="right" w:pos="9360"/>
        </w:tabs>
      </w:pPr>
    </w:p>
    <w:p w:rsidR="00A62B1D" w:rsidRDefault="00A62B1D" w:rsidP="0095096B">
      <w:pPr>
        <w:tabs>
          <w:tab w:val="right" w:pos="9360"/>
        </w:tabs>
      </w:pPr>
    </w:p>
    <w:p w:rsidR="00A62B1D" w:rsidRDefault="00A62B1D" w:rsidP="0095096B">
      <w:pPr>
        <w:tabs>
          <w:tab w:val="right" w:pos="9360"/>
        </w:tabs>
      </w:pPr>
    </w:p>
    <w:p w:rsidR="00A62B1D" w:rsidRDefault="00A62B1D" w:rsidP="0095096B">
      <w:pPr>
        <w:tabs>
          <w:tab w:val="right" w:pos="9360"/>
        </w:tabs>
      </w:pPr>
    </w:p>
    <w:p w:rsidR="00A62B1D" w:rsidRDefault="00A62B1D" w:rsidP="0095096B">
      <w:pPr>
        <w:tabs>
          <w:tab w:val="right" w:pos="9360"/>
        </w:tabs>
      </w:pPr>
    </w:p>
    <w:p w:rsidR="00A62B1D" w:rsidRPr="002E2327" w:rsidRDefault="00A62B1D" w:rsidP="0095096B">
      <w:pPr>
        <w:tabs>
          <w:tab w:val="right" w:pos="9360"/>
        </w:tabs>
      </w:pPr>
    </w:p>
    <w:tbl>
      <w:tblPr>
        <w:tblStyle w:val="TableGrid"/>
        <w:tblW w:w="0" w:type="auto"/>
        <w:tblLook w:val="04A0"/>
      </w:tblPr>
      <w:tblGrid>
        <w:gridCol w:w="9576"/>
      </w:tblGrid>
      <w:tr w:rsidR="0079724F" w:rsidRPr="004061E0"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9"/>
          <w:headerReference w:type="default" r:id="rId10"/>
          <w:footerReference w:type="even" r:id="rId11"/>
          <w:footerReference w:type="default" r:id="rId12"/>
          <w:headerReference w:type="first" r:id="rId13"/>
          <w:footerReference w:type="first" r:id="rId14"/>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181"/>
        <w:gridCol w:w="4320"/>
      </w:tblGrid>
      <w:tr w:rsidR="00242AEE" w:rsidRPr="00A935AA" w:rsidTr="003B3977">
        <w:tc>
          <w:tcPr>
            <w:tcW w:w="4320" w:type="dxa"/>
            <w:shd w:val="clear" w:color="auto" w:fill="auto"/>
          </w:tcPr>
          <w:p w:rsidR="00242AEE" w:rsidRPr="00A935AA" w:rsidRDefault="00B32B3D" w:rsidP="003B3977">
            <w:pPr>
              <w:rPr>
                <w:b/>
                <w:sz w:val="20"/>
                <w:szCs w:val="20"/>
              </w:rPr>
            </w:pPr>
            <w:r>
              <w:rPr>
                <w:b/>
                <w:sz w:val="20"/>
                <w:szCs w:val="20"/>
              </w:rPr>
              <w:t>Eleanor D. Baines</w:t>
            </w:r>
          </w:p>
          <w:p w:rsidR="00242AEE" w:rsidRPr="00A935AA" w:rsidRDefault="00242AEE" w:rsidP="003B3977">
            <w:pPr>
              <w:tabs>
                <w:tab w:val="left" w:pos="-1440"/>
                <w:tab w:val="left" w:pos="-720"/>
              </w:tabs>
              <w:rPr>
                <w:sz w:val="20"/>
                <w:szCs w:val="20"/>
              </w:rPr>
            </w:pPr>
            <w:r w:rsidRPr="00A935AA">
              <w:rPr>
                <w:sz w:val="20"/>
                <w:szCs w:val="20"/>
              </w:rPr>
              <w:tab/>
            </w:r>
            <w:r w:rsidR="00B32B3D">
              <w:rPr>
                <w:sz w:val="20"/>
                <w:szCs w:val="20"/>
              </w:rPr>
              <w:t>Eleanor D. Baines</w:t>
            </w:r>
          </w:p>
          <w:p w:rsidR="00242AEE" w:rsidRPr="00A935AA" w:rsidRDefault="00242AEE" w:rsidP="003B3977">
            <w:pPr>
              <w:tabs>
                <w:tab w:val="left" w:pos="-1440"/>
                <w:tab w:val="left" w:pos="-720"/>
              </w:tabs>
              <w:rPr>
                <w:sz w:val="20"/>
                <w:szCs w:val="20"/>
              </w:rPr>
            </w:pPr>
          </w:p>
          <w:p w:rsidR="00242AEE" w:rsidRPr="00A935AA" w:rsidRDefault="00242AEE" w:rsidP="003B3977">
            <w:pPr>
              <w:tabs>
                <w:tab w:val="left" w:pos="-1440"/>
                <w:tab w:val="left" w:pos="-720"/>
              </w:tabs>
              <w:rPr>
                <w:sz w:val="20"/>
                <w:szCs w:val="20"/>
              </w:rPr>
            </w:pPr>
            <w:r w:rsidRPr="00A935AA">
              <w:rPr>
                <w:sz w:val="20"/>
                <w:szCs w:val="20"/>
              </w:rPr>
              <w:tab/>
              <w:t>v. (3</w:t>
            </w:r>
            <w:r w:rsidR="00B32B3D">
              <w:rPr>
                <w:sz w:val="20"/>
                <w:szCs w:val="20"/>
              </w:rPr>
              <w:t>4496</w:t>
            </w:r>
            <w:r w:rsidRPr="00A935AA">
              <w:rPr>
                <w:sz w:val="20"/>
                <w:szCs w:val="20"/>
              </w:rPr>
              <w:t>)</w:t>
            </w:r>
          </w:p>
          <w:p w:rsidR="00242AEE" w:rsidRPr="00A935AA" w:rsidRDefault="00242AEE" w:rsidP="003B3977">
            <w:pPr>
              <w:tabs>
                <w:tab w:val="left" w:pos="-1440"/>
                <w:tab w:val="left" w:pos="-720"/>
              </w:tabs>
              <w:rPr>
                <w:sz w:val="20"/>
                <w:szCs w:val="20"/>
              </w:rPr>
            </w:pPr>
          </w:p>
          <w:p w:rsidR="00242AEE" w:rsidRPr="00A935AA" w:rsidRDefault="00B32B3D" w:rsidP="003B3977">
            <w:pPr>
              <w:tabs>
                <w:tab w:val="left" w:pos="-1440"/>
                <w:tab w:val="left" w:pos="-720"/>
              </w:tabs>
              <w:rPr>
                <w:b/>
                <w:sz w:val="20"/>
                <w:szCs w:val="20"/>
              </w:rPr>
            </w:pPr>
            <w:r>
              <w:rPr>
                <w:b/>
                <w:sz w:val="20"/>
                <w:szCs w:val="20"/>
              </w:rPr>
              <w:t xml:space="preserve">Minister of Human Resources and Skills Development </w:t>
            </w:r>
            <w:r w:rsidR="00242AEE" w:rsidRPr="00A935AA">
              <w:rPr>
                <w:b/>
                <w:sz w:val="20"/>
                <w:szCs w:val="20"/>
              </w:rPr>
              <w:t>(</w:t>
            </w:r>
            <w:r>
              <w:rPr>
                <w:b/>
                <w:sz w:val="20"/>
                <w:szCs w:val="20"/>
              </w:rPr>
              <w:t>F</w:t>
            </w:r>
            <w:r w:rsidR="00242AEE" w:rsidRPr="00A935AA">
              <w:rPr>
                <w:b/>
                <w:sz w:val="20"/>
                <w:szCs w:val="20"/>
              </w:rPr>
              <w:t>.C.)</w:t>
            </w:r>
          </w:p>
          <w:p w:rsidR="00242AEE" w:rsidRPr="00A935AA" w:rsidRDefault="00242AEE" w:rsidP="003B3977">
            <w:pPr>
              <w:tabs>
                <w:tab w:val="left" w:pos="-1440"/>
                <w:tab w:val="left" w:pos="-720"/>
              </w:tabs>
              <w:rPr>
                <w:sz w:val="20"/>
                <w:szCs w:val="20"/>
              </w:rPr>
            </w:pPr>
            <w:r w:rsidRPr="00A935AA">
              <w:rPr>
                <w:sz w:val="20"/>
                <w:szCs w:val="20"/>
              </w:rPr>
              <w:tab/>
            </w:r>
            <w:r w:rsidR="00851E56">
              <w:rPr>
                <w:sz w:val="20"/>
                <w:szCs w:val="20"/>
              </w:rPr>
              <w:t>Nicole Butcher</w:t>
            </w:r>
          </w:p>
          <w:p w:rsidR="00242AEE" w:rsidRPr="00A935AA" w:rsidRDefault="00242AEE" w:rsidP="003B3977">
            <w:pPr>
              <w:tabs>
                <w:tab w:val="left" w:pos="-1440"/>
                <w:tab w:val="left" w:pos="-720"/>
              </w:tabs>
              <w:rPr>
                <w:sz w:val="20"/>
                <w:szCs w:val="20"/>
              </w:rPr>
            </w:pPr>
            <w:r w:rsidRPr="00A935AA">
              <w:rPr>
                <w:sz w:val="20"/>
                <w:szCs w:val="20"/>
              </w:rPr>
              <w:tab/>
            </w:r>
            <w:r w:rsidR="00851E56">
              <w:rPr>
                <w:sz w:val="20"/>
                <w:szCs w:val="20"/>
              </w:rPr>
              <w:t>A.G. of Canada</w:t>
            </w:r>
          </w:p>
          <w:p w:rsidR="00242AEE" w:rsidRPr="00A935AA" w:rsidRDefault="00242AEE" w:rsidP="003B3977">
            <w:pPr>
              <w:tabs>
                <w:tab w:val="left" w:pos="-1440"/>
                <w:tab w:val="left" w:pos="-720"/>
              </w:tabs>
              <w:rPr>
                <w:sz w:val="20"/>
                <w:szCs w:val="20"/>
              </w:rPr>
            </w:pPr>
          </w:p>
          <w:p w:rsidR="00242AEE" w:rsidRPr="00A935AA" w:rsidRDefault="00242AEE" w:rsidP="003B3977">
            <w:pPr>
              <w:rPr>
                <w:sz w:val="20"/>
                <w:szCs w:val="20"/>
              </w:rPr>
            </w:pPr>
            <w:r w:rsidRPr="00A935AA">
              <w:rPr>
                <w:sz w:val="20"/>
                <w:szCs w:val="20"/>
              </w:rPr>
              <w:t>FILING DATE: 2</w:t>
            </w:r>
            <w:r w:rsidR="00851E56">
              <w:rPr>
                <w:sz w:val="20"/>
                <w:szCs w:val="20"/>
              </w:rPr>
              <w:t>6</w:t>
            </w:r>
            <w:r w:rsidRPr="00A935AA">
              <w:rPr>
                <w:sz w:val="20"/>
                <w:szCs w:val="20"/>
              </w:rPr>
              <w:t>.</w:t>
            </w:r>
            <w:r w:rsidR="00851E56">
              <w:rPr>
                <w:sz w:val="20"/>
                <w:szCs w:val="20"/>
              </w:rPr>
              <w:t>09</w:t>
            </w:r>
            <w:r w:rsidRPr="00A935AA">
              <w:rPr>
                <w:sz w:val="20"/>
                <w:szCs w:val="20"/>
              </w:rPr>
              <w:t>.201</w:t>
            </w:r>
            <w:r w:rsidR="001D718B">
              <w:rPr>
                <w:sz w:val="20"/>
                <w:szCs w:val="20"/>
              </w:rPr>
              <w:t>1</w:t>
            </w:r>
          </w:p>
          <w:p w:rsidR="00242AEE" w:rsidRPr="00A935AA" w:rsidRDefault="00586706" w:rsidP="003B3977">
            <w:pPr>
              <w:rPr>
                <w:sz w:val="20"/>
                <w:szCs w:val="20"/>
              </w:rPr>
            </w:pPr>
            <w:r w:rsidRPr="00586706">
              <w:rPr>
                <w:sz w:val="20"/>
                <w:szCs w:val="20"/>
                <w:lang w:val="fr-CA"/>
              </w:rPr>
              <w:pict>
                <v:rect id="_x0000_i1025"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tc>
        <w:tc>
          <w:tcPr>
            <w:tcW w:w="4320" w:type="dxa"/>
            <w:shd w:val="clear" w:color="auto" w:fill="auto"/>
          </w:tcPr>
          <w:p w:rsidR="00242AEE" w:rsidRPr="001551A4" w:rsidRDefault="00851E56" w:rsidP="003B3977">
            <w:pPr>
              <w:keepNext/>
              <w:keepLines/>
              <w:tabs>
                <w:tab w:val="left" w:pos="-1440"/>
                <w:tab w:val="left" w:pos="-720"/>
              </w:tabs>
              <w:rPr>
                <w:b/>
                <w:sz w:val="20"/>
                <w:szCs w:val="20"/>
                <w:lang w:val="fr-CA"/>
              </w:rPr>
            </w:pPr>
            <w:r w:rsidRPr="001551A4">
              <w:rPr>
                <w:b/>
                <w:sz w:val="20"/>
                <w:szCs w:val="20"/>
                <w:lang w:val="fr-CA"/>
              </w:rPr>
              <w:t>Aimé Olenga</w:t>
            </w:r>
          </w:p>
          <w:p w:rsidR="00242AEE" w:rsidRPr="001551A4" w:rsidRDefault="00242AEE" w:rsidP="003B3977">
            <w:pPr>
              <w:keepNext/>
              <w:keepLines/>
              <w:tabs>
                <w:tab w:val="left" w:pos="-1440"/>
                <w:tab w:val="left" w:pos="-720"/>
              </w:tabs>
              <w:rPr>
                <w:sz w:val="20"/>
                <w:szCs w:val="20"/>
                <w:lang w:val="fr-CA"/>
              </w:rPr>
            </w:pPr>
            <w:r w:rsidRPr="001551A4">
              <w:rPr>
                <w:sz w:val="20"/>
                <w:szCs w:val="20"/>
                <w:lang w:val="fr-CA"/>
              </w:rPr>
              <w:tab/>
            </w:r>
            <w:r w:rsidR="00851E56" w:rsidRPr="001551A4">
              <w:rPr>
                <w:sz w:val="20"/>
                <w:szCs w:val="20"/>
                <w:lang w:val="fr-CA"/>
              </w:rPr>
              <w:t>Aimé Olenga</w:t>
            </w:r>
          </w:p>
          <w:p w:rsidR="00242AEE" w:rsidRPr="001551A4" w:rsidRDefault="00242AEE" w:rsidP="003B3977">
            <w:pPr>
              <w:keepNext/>
              <w:keepLines/>
              <w:tabs>
                <w:tab w:val="left" w:pos="-1440"/>
                <w:tab w:val="left" w:pos="-720"/>
              </w:tabs>
              <w:rPr>
                <w:sz w:val="20"/>
                <w:szCs w:val="20"/>
                <w:lang w:val="fr-CA"/>
              </w:rPr>
            </w:pPr>
          </w:p>
          <w:p w:rsidR="00242AEE" w:rsidRPr="001551A4" w:rsidRDefault="00242AEE" w:rsidP="003B3977">
            <w:pPr>
              <w:keepNext/>
              <w:keepLines/>
              <w:tabs>
                <w:tab w:val="left" w:pos="-1440"/>
                <w:tab w:val="left" w:pos="-720"/>
              </w:tabs>
              <w:rPr>
                <w:sz w:val="20"/>
                <w:szCs w:val="20"/>
                <w:lang w:val="fr-CA"/>
              </w:rPr>
            </w:pPr>
            <w:r w:rsidRPr="001551A4">
              <w:rPr>
                <w:sz w:val="20"/>
                <w:szCs w:val="20"/>
                <w:lang w:val="fr-CA"/>
              </w:rPr>
              <w:tab/>
              <w:t>v. (3</w:t>
            </w:r>
            <w:r w:rsidR="00851E56" w:rsidRPr="001551A4">
              <w:rPr>
                <w:sz w:val="20"/>
                <w:szCs w:val="20"/>
                <w:lang w:val="fr-CA"/>
              </w:rPr>
              <w:t>4</w:t>
            </w:r>
            <w:r w:rsidR="001D718B" w:rsidRPr="001551A4">
              <w:rPr>
                <w:sz w:val="20"/>
                <w:szCs w:val="20"/>
                <w:lang w:val="fr-CA"/>
              </w:rPr>
              <w:t>5</w:t>
            </w:r>
            <w:r w:rsidR="00851E56" w:rsidRPr="001551A4">
              <w:rPr>
                <w:sz w:val="20"/>
                <w:szCs w:val="20"/>
                <w:lang w:val="fr-CA"/>
              </w:rPr>
              <w:t>41</w:t>
            </w:r>
            <w:r w:rsidRPr="001551A4">
              <w:rPr>
                <w:sz w:val="20"/>
                <w:szCs w:val="20"/>
                <w:lang w:val="fr-CA"/>
              </w:rPr>
              <w:t>)</w:t>
            </w:r>
          </w:p>
          <w:p w:rsidR="00242AEE" w:rsidRPr="001551A4" w:rsidRDefault="00242AEE" w:rsidP="003B3977">
            <w:pPr>
              <w:keepNext/>
              <w:keepLines/>
              <w:tabs>
                <w:tab w:val="left" w:pos="-1440"/>
                <w:tab w:val="left" w:pos="-720"/>
              </w:tabs>
              <w:rPr>
                <w:sz w:val="20"/>
                <w:szCs w:val="20"/>
                <w:lang w:val="fr-CA"/>
              </w:rPr>
            </w:pPr>
          </w:p>
          <w:p w:rsidR="00242AEE" w:rsidRPr="00B32B3D" w:rsidRDefault="00851E56" w:rsidP="003B3977">
            <w:pPr>
              <w:keepNext/>
              <w:keepLines/>
              <w:tabs>
                <w:tab w:val="left" w:pos="-1440"/>
                <w:tab w:val="left" w:pos="-720"/>
              </w:tabs>
              <w:rPr>
                <w:b/>
                <w:sz w:val="20"/>
                <w:szCs w:val="20"/>
              </w:rPr>
            </w:pPr>
            <w:r>
              <w:rPr>
                <w:b/>
                <w:sz w:val="20"/>
                <w:szCs w:val="20"/>
              </w:rPr>
              <w:t xml:space="preserve">Sisett &amp; Company </w:t>
            </w:r>
            <w:r w:rsidR="00242AEE" w:rsidRPr="00B32B3D">
              <w:rPr>
                <w:b/>
                <w:sz w:val="20"/>
                <w:szCs w:val="20"/>
              </w:rPr>
              <w:t>(</w:t>
            </w:r>
            <w:r>
              <w:rPr>
                <w:b/>
                <w:sz w:val="20"/>
                <w:szCs w:val="20"/>
              </w:rPr>
              <w:t>B.C</w:t>
            </w:r>
            <w:r w:rsidR="00242AEE" w:rsidRPr="00B32B3D">
              <w:rPr>
                <w:b/>
                <w:sz w:val="20"/>
                <w:szCs w:val="20"/>
              </w:rPr>
              <w:t>.)</w:t>
            </w:r>
          </w:p>
          <w:p w:rsidR="00242AEE" w:rsidRPr="00B32B3D" w:rsidRDefault="00242AEE" w:rsidP="003B3977">
            <w:pPr>
              <w:keepNext/>
              <w:keepLines/>
              <w:tabs>
                <w:tab w:val="left" w:pos="-1440"/>
                <w:tab w:val="left" w:pos="-720"/>
              </w:tabs>
              <w:rPr>
                <w:sz w:val="20"/>
                <w:szCs w:val="20"/>
              </w:rPr>
            </w:pPr>
            <w:r w:rsidRPr="00B32B3D">
              <w:rPr>
                <w:sz w:val="20"/>
                <w:szCs w:val="20"/>
              </w:rPr>
              <w:tab/>
            </w:r>
            <w:r w:rsidR="00851E56">
              <w:rPr>
                <w:sz w:val="20"/>
                <w:szCs w:val="20"/>
              </w:rPr>
              <w:t>Allan A. MacDonald</w:t>
            </w:r>
          </w:p>
          <w:p w:rsidR="00242AEE" w:rsidRPr="00B32B3D" w:rsidRDefault="00242AEE" w:rsidP="003B3977">
            <w:pPr>
              <w:keepNext/>
              <w:keepLines/>
              <w:tabs>
                <w:tab w:val="left" w:pos="-1440"/>
                <w:tab w:val="left" w:pos="-720"/>
              </w:tabs>
              <w:rPr>
                <w:sz w:val="20"/>
                <w:szCs w:val="20"/>
              </w:rPr>
            </w:pPr>
            <w:r w:rsidRPr="00B32B3D">
              <w:rPr>
                <w:sz w:val="20"/>
                <w:szCs w:val="20"/>
              </w:rPr>
              <w:tab/>
            </w:r>
            <w:r w:rsidR="00851E56">
              <w:rPr>
                <w:sz w:val="20"/>
                <w:szCs w:val="20"/>
              </w:rPr>
              <w:t>MacDonald Farey</w:t>
            </w:r>
          </w:p>
          <w:p w:rsidR="00242AEE" w:rsidRPr="00B32B3D" w:rsidRDefault="00242AEE" w:rsidP="003B3977">
            <w:pPr>
              <w:keepNext/>
              <w:keepLines/>
              <w:tabs>
                <w:tab w:val="left" w:pos="-1440"/>
                <w:tab w:val="left" w:pos="-720"/>
              </w:tabs>
              <w:rPr>
                <w:sz w:val="20"/>
                <w:szCs w:val="20"/>
              </w:rPr>
            </w:pPr>
          </w:p>
          <w:p w:rsidR="00242AEE" w:rsidRPr="00A935AA" w:rsidRDefault="00242AEE" w:rsidP="00851E56">
            <w:pPr>
              <w:rPr>
                <w:sz w:val="20"/>
                <w:szCs w:val="20"/>
              </w:rPr>
            </w:pPr>
            <w:r w:rsidRPr="00A935AA">
              <w:rPr>
                <w:sz w:val="20"/>
                <w:szCs w:val="20"/>
              </w:rPr>
              <w:t>FILING DATE: 2</w:t>
            </w:r>
            <w:r w:rsidR="00851E56">
              <w:rPr>
                <w:sz w:val="20"/>
                <w:szCs w:val="20"/>
              </w:rPr>
              <w:t>4</w:t>
            </w:r>
            <w:r w:rsidRPr="00A935AA">
              <w:rPr>
                <w:sz w:val="20"/>
                <w:szCs w:val="20"/>
              </w:rPr>
              <w:t>.</w:t>
            </w:r>
            <w:r w:rsidR="001D718B">
              <w:rPr>
                <w:sz w:val="20"/>
                <w:szCs w:val="20"/>
              </w:rPr>
              <w:t>1</w:t>
            </w:r>
            <w:r w:rsidR="00851E56">
              <w:rPr>
                <w:sz w:val="20"/>
                <w:szCs w:val="20"/>
              </w:rPr>
              <w:t>0</w:t>
            </w:r>
            <w:r w:rsidRPr="00A935AA">
              <w:rPr>
                <w:sz w:val="20"/>
                <w:szCs w:val="20"/>
              </w:rPr>
              <w:t>.201</w:t>
            </w:r>
            <w:r w:rsidR="001D718B">
              <w:rPr>
                <w:sz w:val="20"/>
                <w:szCs w:val="20"/>
              </w:rPr>
              <w:t>1</w:t>
            </w:r>
            <w:r w:rsidR="00586706" w:rsidRPr="00586706">
              <w:rPr>
                <w:sz w:val="20"/>
                <w:szCs w:val="20"/>
                <w:lang w:val="fr-CA"/>
              </w:rPr>
              <w:pict>
                <v:rect id="_x0000_i1026" style="width:108pt;height:1pt" o:hrpct="0" o:hralign="center" o:hrstd="t" o:hrnoshade="t" o:hr="t" fillcolor="black [3213]" stroked="f"/>
              </w:pict>
            </w:r>
          </w:p>
        </w:tc>
      </w:tr>
      <w:tr w:rsidR="001D718B" w:rsidRPr="00A935AA" w:rsidTr="003B3977">
        <w:tc>
          <w:tcPr>
            <w:tcW w:w="4320" w:type="dxa"/>
            <w:shd w:val="clear" w:color="auto" w:fill="auto"/>
          </w:tcPr>
          <w:p w:rsidR="001D718B" w:rsidRDefault="001D718B" w:rsidP="008C53A6">
            <w:pPr>
              <w:rPr>
                <w:b/>
                <w:sz w:val="20"/>
                <w:szCs w:val="20"/>
              </w:rPr>
            </w:pPr>
          </w:p>
          <w:p w:rsidR="00851E56" w:rsidRPr="00A935AA" w:rsidRDefault="00851E56" w:rsidP="008C53A6">
            <w:pPr>
              <w:rPr>
                <w:b/>
                <w:sz w:val="20"/>
                <w:szCs w:val="20"/>
              </w:rPr>
            </w:pPr>
            <w:r>
              <w:rPr>
                <w:b/>
                <w:sz w:val="20"/>
                <w:szCs w:val="20"/>
              </w:rPr>
              <w:t>B.C.</w:t>
            </w:r>
          </w:p>
          <w:p w:rsidR="001D718B" w:rsidRPr="00A935AA" w:rsidRDefault="001D718B" w:rsidP="008C53A6">
            <w:pPr>
              <w:tabs>
                <w:tab w:val="left" w:pos="-1440"/>
                <w:tab w:val="left" w:pos="-720"/>
              </w:tabs>
              <w:rPr>
                <w:sz w:val="20"/>
                <w:szCs w:val="20"/>
              </w:rPr>
            </w:pPr>
            <w:r w:rsidRPr="00A935AA">
              <w:rPr>
                <w:sz w:val="20"/>
                <w:szCs w:val="20"/>
              </w:rPr>
              <w:tab/>
            </w:r>
            <w:r w:rsidR="00851E56">
              <w:rPr>
                <w:sz w:val="20"/>
                <w:szCs w:val="20"/>
              </w:rPr>
              <w:t>Scott Cowan</w:t>
            </w:r>
          </w:p>
          <w:p w:rsidR="001D718B" w:rsidRPr="00A935AA" w:rsidRDefault="001D718B" w:rsidP="008C53A6">
            <w:pPr>
              <w:tabs>
                <w:tab w:val="left" w:pos="-1440"/>
                <w:tab w:val="left" w:pos="-720"/>
              </w:tabs>
              <w:rPr>
                <w:sz w:val="20"/>
                <w:szCs w:val="20"/>
              </w:rPr>
            </w:pPr>
            <w:r w:rsidRPr="00A935AA">
              <w:rPr>
                <w:sz w:val="20"/>
                <w:szCs w:val="20"/>
              </w:rPr>
              <w:tab/>
            </w:r>
            <w:r w:rsidR="00851E56">
              <w:rPr>
                <w:sz w:val="20"/>
                <w:szCs w:val="20"/>
              </w:rPr>
              <w:t>The Ross Firm PC</w:t>
            </w:r>
          </w:p>
          <w:p w:rsidR="001D718B" w:rsidRPr="00A935AA" w:rsidRDefault="001D718B" w:rsidP="008C53A6">
            <w:pPr>
              <w:tabs>
                <w:tab w:val="left" w:pos="-1440"/>
                <w:tab w:val="left" w:pos="-720"/>
              </w:tabs>
              <w:rPr>
                <w:sz w:val="20"/>
                <w:szCs w:val="20"/>
              </w:rPr>
            </w:pPr>
          </w:p>
          <w:p w:rsidR="001D718B" w:rsidRPr="00A935AA" w:rsidRDefault="001D718B" w:rsidP="008C53A6">
            <w:pPr>
              <w:tabs>
                <w:tab w:val="left" w:pos="-1440"/>
                <w:tab w:val="left" w:pos="-720"/>
              </w:tabs>
              <w:rPr>
                <w:sz w:val="20"/>
                <w:szCs w:val="20"/>
              </w:rPr>
            </w:pPr>
            <w:r w:rsidRPr="00A935AA">
              <w:rPr>
                <w:sz w:val="20"/>
                <w:szCs w:val="20"/>
              </w:rPr>
              <w:tab/>
              <w:t>v. (3</w:t>
            </w:r>
            <w:r w:rsidR="00851E56">
              <w:rPr>
                <w:sz w:val="20"/>
                <w:szCs w:val="20"/>
              </w:rPr>
              <w:t>4</w:t>
            </w:r>
            <w:r>
              <w:rPr>
                <w:sz w:val="20"/>
                <w:szCs w:val="20"/>
              </w:rPr>
              <w:t>5</w:t>
            </w:r>
            <w:r w:rsidR="00851E56">
              <w:rPr>
                <w:sz w:val="20"/>
                <w:szCs w:val="20"/>
              </w:rPr>
              <w:t>35</w:t>
            </w:r>
            <w:r w:rsidRPr="00A935AA">
              <w:rPr>
                <w:sz w:val="20"/>
                <w:szCs w:val="20"/>
              </w:rPr>
              <w:t>)</w:t>
            </w:r>
          </w:p>
          <w:p w:rsidR="001D718B" w:rsidRPr="00A935AA" w:rsidRDefault="001D718B" w:rsidP="008C53A6">
            <w:pPr>
              <w:tabs>
                <w:tab w:val="left" w:pos="-1440"/>
                <w:tab w:val="left" w:pos="-720"/>
              </w:tabs>
              <w:rPr>
                <w:sz w:val="20"/>
                <w:szCs w:val="20"/>
              </w:rPr>
            </w:pPr>
          </w:p>
          <w:p w:rsidR="001D718B" w:rsidRPr="00A935AA" w:rsidRDefault="00851E56" w:rsidP="008C53A6">
            <w:pPr>
              <w:tabs>
                <w:tab w:val="left" w:pos="-1440"/>
                <w:tab w:val="left" w:pos="-720"/>
              </w:tabs>
              <w:rPr>
                <w:b/>
                <w:sz w:val="20"/>
                <w:szCs w:val="20"/>
              </w:rPr>
            </w:pPr>
            <w:r>
              <w:rPr>
                <w:b/>
                <w:sz w:val="20"/>
                <w:szCs w:val="20"/>
              </w:rPr>
              <w:t xml:space="preserve">Her Majesty the Queen </w:t>
            </w:r>
            <w:r w:rsidR="001D718B" w:rsidRPr="00A935AA">
              <w:rPr>
                <w:b/>
                <w:sz w:val="20"/>
                <w:szCs w:val="20"/>
              </w:rPr>
              <w:t>(</w:t>
            </w:r>
            <w:r>
              <w:rPr>
                <w:b/>
                <w:sz w:val="20"/>
                <w:szCs w:val="20"/>
              </w:rPr>
              <w:t>Ont</w:t>
            </w:r>
            <w:r w:rsidR="001D718B" w:rsidRPr="00A935AA">
              <w:rPr>
                <w:b/>
                <w:sz w:val="20"/>
                <w:szCs w:val="20"/>
              </w:rPr>
              <w:t>.)</w:t>
            </w:r>
          </w:p>
          <w:p w:rsidR="001D718B" w:rsidRPr="00A935AA" w:rsidRDefault="001D718B" w:rsidP="008C53A6">
            <w:pPr>
              <w:tabs>
                <w:tab w:val="left" w:pos="-1440"/>
                <w:tab w:val="left" w:pos="-720"/>
              </w:tabs>
              <w:rPr>
                <w:sz w:val="20"/>
                <w:szCs w:val="20"/>
              </w:rPr>
            </w:pPr>
            <w:r w:rsidRPr="00A935AA">
              <w:rPr>
                <w:sz w:val="20"/>
                <w:szCs w:val="20"/>
              </w:rPr>
              <w:tab/>
            </w:r>
            <w:r w:rsidR="00851E56">
              <w:rPr>
                <w:sz w:val="20"/>
                <w:szCs w:val="20"/>
              </w:rPr>
              <w:t>John S. McInnes</w:t>
            </w:r>
          </w:p>
          <w:p w:rsidR="001D718B" w:rsidRPr="00A935AA" w:rsidRDefault="001D718B" w:rsidP="008C53A6">
            <w:pPr>
              <w:tabs>
                <w:tab w:val="left" w:pos="-1440"/>
                <w:tab w:val="left" w:pos="-720"/>
              </w:tabs>
              <w:rPr>
                <w:sz w:val="20"/>
                <w:szCs w:val="20"/>
              </w:rPr>
            </w:pPr>
            <w:r w:rsidRPr="00A935AA">
              <w:rPr>
                <w:sz w:val="20"/>
                <w:szCs w:val="20"/>
              </w:rPr>
              <w:tab/>
            </w:r>
            <w:r w:rsidR="00851E56">
              <w:rPr>
                <w:sz w:val="20"/>
                <w:szCs w:val="20"/>
              </w:rPr>
              <w:t>A.G. of Ontario</w:t>
            </w:r>
          </w:p>
          <w:p w:rsidR="001D718B" w:rsidRPr="00A935AA" w:rsidRDefault="001D718B" w:rsidP="008C53A6">
            <w:pPr>
              <w:tabs>
                <w:tab w:val="left" w:pos="-1440"/>
                <w:tab w:val="left" w:pos="-720"/>
              </w:tabs>
              <w:rPr>
                <w:sz w:val="20"/>
                <w:szCs w:val="20"/>
              </w:rPr>
            </w:pPr>
          </w:p>
          <w:p w:rsidR="001D718B" w:rsidRPr="00A935AA" w:rsidRDefault="001D718B" w:rsidP="008C53A6">
            <w:pPr>
              <w:rPr>
                <w:sz w:val="20"/>
                <w:szCs w:val="20"/>
              </w:rPr>
            </w:pPr>
            <w:r w:rsidRPr="00A935AA">
              <w:rPr>
                <w:sz w:val="20"/>
                <w:szCs w:val="20"/>
              </w:rPr>
              <w:t xml:space="preserve">FILING DATE: </w:t>
            </w:r>
            <w:r w:rsidR="00851E56">
              <w:rPr>
                <w:sz w:val="20"/>
                <w:szCs w:val="20"/>
              </w:rPr>
              <w:t>18</w:t>
            </w:r>
            <w:r w:rsidRPr="00A935AA">
              <w:rPr>
                <w:sz w:val="20"/>
                <w:szCs w:val="20"/>
              </w:rPr>
              <w:t>.</w:t>
            </w:r>
            <w:r>
              <w:rPr>
                <w:sz w:val="20"/>
                <w:szCs w:val="20"/>
              </w:rPr>
              <w:t>11</w:t>
            </w:r>
            <w:r w:rsidRPr="00A935AA">
              <w:rPr>
                <w:sz w:val="20"/>
                <w:szCs w:val="20"/>
              </w:rPr>
              <w:t>.201</w:t>
            </w:r>
            <w:r>
              <w:rPr>
                <w:sz w:val="20"/>
                <w:szCs w:val="20"/>
              </w:rPr>
              <w:t>1</w:t>
            </w:r>
          </w:p>
          <w:p w:rsidR="001D718B" w:rsidRPr="00A935AA" w:rsidRDefault="00586706" w:rsidP="008C53A6">
            <w:pPr>
              <w:rPr>
                <w:sz w:val="20"/>
                <w:szCs w:val="20"/>
              </w:rPr>
            </w:pPr>
            <w:r w:rsidRPr="00586706">
              <w:rPr>
                <w:sz w:val="20"/>
                <w:szCs w:val="20"/>
                <w:lang w:val="fr-CA"/>
              </w:rPr>
              <w:pict>
                <v:rect id="_x0000_i1027" style="width:108pt;height:1pt" o:hrpct="0" o:hralign="center" o:hrstd="t" o:hrnoshade="t" o:hr="t" fillcolor="black [3213]" stroked="f"/>
              </w:pict>
            </w:r>
          </w:p>
        </w:tc>
        <w:tc>
          <w:tcPr>
            <w:tcW w:w="1181" w:type="dxa"/>
            <w:shd w:val="clear" w:color="auto" w:fill="auto"/>
          </w:tcPr>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Default="001D718B" w:rsidP="00242AEE">
            <w:pPr>
              <w:jc w:val="center"/>
              <w:rPr>
                <w:sz w:val="20"/>
                <w:szCs w:val="20"/>
              </w:rPr>
            </w:pPr>
          </w:p>
          <w:p w:rsidR="00851E56" w:rsidRPr="00A935AA" w:rsidRDefault="00851E56" w:rsidP="00242AEE">
            <w:pPr>
              <w:jc w:val="center"/>
              <w:rPr>
                <w:sz w:val="20"/>
                <w:szCs w:val="20"/>
              </w:rPr>
            </w:pPr>
          </w:p>
          <w:p w:rsidR="001D718B" w:rsidRPr="00A935AA" w:rsidRDefault="001D718B" w:rsidP="00242AEE">
            <w:pPr>
              <w:jc w:val="center"/>
              <w:rPr>
                <w:sz w:val="20"/>
                <w:szCs w:val="20"/>
              </w:rPr>
            </w:pPr>
          </w:p>
        </w:tc>
        <w:tc>
          <w:tcPr>
            <w:tcW w:w="4320" w:type="dxa"/>
            <w:shd w:val="clear" w:color="auto" w:fill="auto"/>
          </w:tcPr>
          <w:p w:rsidR="001D718B" w:rsidRPr="00A935AA" w:rsidRDefault="00851E56" w:rsidP="008C53A6">
            <w:pPr>
              <w:keepNext/>
              <w:keepLines/>
              <w:tabs>
                <w:tab w:val="left" w:pos="-1440"/>
                <w:tab w:val="left" w:pos="-720"/>
              </w:tabs>
              <w:rPr>
                <w:b/>
                <w:sz w:val="20"/>
                <w:szCs w:val="20"/>
              </w:rPr>
            </w:pPr>
            <w:r>
              <w:rPr>
                <w:b/>
                <w:sz w:val="20"/>
                <w:szCs w:val="20"/>
              </w:rPr>
              <w:t>Raymond Edward Yorke</w:t>
            </w:r>
          </w:p>
          <w:p w:rsidR="001D718B" w:rsidRPr="00A935AA" w:rsidRDefault="001D718B" w:rsidP="008C53A6">
            <w:pPr>
              <w:keepNext/>
              <w:keepLines/>
              <w:tabs>
                <w:tab w:val="left" w:pos="-1440"/>
                <w:tab w:val="left" w:pos="-720"/>
              </w:tabs>
              <w:rPr>
                <w:sz w:val="20"/>
                <w:szCs w:val="20"/>
              </w:rPr>
            </w:pPr>
            <w:r w:rsidRPr="00A935AA">
              <w:rPr>
                <w:sz w:val="20"/>
                <w:szCs w:val="20"/>
              </w:rPr>
              <w:tab/>
            </w:r>
            <w:r w:rsidR="00851E56">
              <w:rPr>
                <w:sz w:val="20"/>
                <w:szCs w:val="20"/>
              </w:rPr>
              <w:t>Kimberly A. McCurdy</w:t>
            </w:r>
          </w:p>
          <w:p w:rsidR="001D718B" w:rsidRPr="00A935AA" w:rsidRDefault="001D718B" w:rsidP="008C53A6">
            <w:pPr>
              <w:keepNext/>
              <w:keepLines/>
              <w:tabs>
                <w:tab w:val="left" w:pos="-1440"/>
                <w:tab w:val="left" w:pos="-720"/>
              </w:tabs>
              <w:rPr>
                <w:sz w:val="20"/>
                <w:szCs w:val="20"/>
              </w:rPr>
            </w:pPr>
            <w:r w:rsidRPr="00A935AA">
              <w:rPr>
                <w:sz w:val="20"/>
                <w:szCs w:val="20"/>
              </w:rPr>
              <w:tab/>
            </w:r>
            <w:r w:rsidR="00851E56">
              <w:rPr>
                <w:sz w:val="20"/>
                <w:szCs w:val="20"/>
              </w:rPr>
              <w:t>Mosher, Chedore</w:t>
            </w:r>
          </w:p>
          <w:p w:rsidR="001D718B" w:rsidRPr="00A935AA" w:rsidRDefault="001D718B" w:rsidP="008C53A6">
            <w:pPr>
              <w:keepNext/>
              <w:keepLines/>
              <w:tabs>
                <w:tab w:val="left" w:pos="-1440"/>
                <w:tab w:val="left" w:pos="-720"/>
              </w:tabs>
              <w:rPr>
                <w:sz w:val="20"/>
                <w:szCs w:val="20"/>
              </w:rPr>
            </w:pPr>
          </w:p>
          <w:p w:rsidR="001D718B" w:rsidRPr="00851E56" w:rsidRDefault="001D718B" w:rsidP="008C53A6">
            <w:pPr>
              <w:keepNext/>
              <w:keepLines/>
              <w:tabs>
                <w:tab w:val="left" w:pos="-1440"/>
                <w:tab w:val="left" w:pos="-720"/>
              </w:tabs>
              <w:rPr>
                <w:sz w:val="20"/>
                <w:szCs w:val="20"/>
              </w:rPr>
            </w:pPr>
            <w:r w:rsidRPr="00A935AA">
              <w:rPr>
                <w:sz w:val="20"/>
                <w:szCs w:val="20"/>
              </w:rPr>
              <w:tab/>
            </w:r>
            <w:r w:rsidRPr="00851E56">
              <w:rPr>
                <w:sz w:val="20"/>
                <w:szCs w:val="20"/>
              </w:rPr>
              <w:t>v. (3</w:t>
            </w:r>
            <w:r w:rsidR="00851E56">
              <w:rPr>
                <w:sz w:val="20"/>
                <w:szCs w:val="20"/>
              </w:rPr>
              <w:t>4</w:t>
            </w:r>
            <w:r w:rsidRPr="00851E56">
              <w:rPr>
                <w:sz w:val="20"/>
                <w:szCs w:val="20"/>
              </w:rPr>
              <w:t>5</w:t>
            </w:r>
            <w:r w:rsidR="00851E56">
              <w:rPr>
                <w:sz w:val="20"/>
                <w:szCs w:val="20"/>
              </w:rPr>
              <w:t>39</w:t>
            </w:r>
            <w:r w:rsidRPr="00851E56">
              <w:rPr>
                <w:sz w:val="20"/>
                <w:szCs w:val="20"/>
              </w:rPr>
              <w:t>)</w:t>
            </w:r>
          </w:p>
          <w:p w:rsidR="001D718B" w:rsidRPr="00851E56" w:rsidRDefault="001D718B" w:rsidP="008C53A6">
            <w:pPr>
              <w:keepNext/>
              <w:keepLines/>
              <w:tabs>
                <w:tab w:val="left" w:pos="-1440"/>
                <w:tab w:val="left" w:pos="-720"/>
              </w:tabs>
              <w:rPr>
                <w:sz w:val="20"/>
                <w:szCs w:val="20"/>
              </w:rPr>
            </w:pPr>
          </w:p>
          <w:p w:rsidR="001D718B" w:rsidRPr="00851E56" w:rsidRDefault="00851E56" w:rsidP="008C53A6">
            <w:pPr>
              <w:keepNext/>
              <w:keepLines/>
              <w:tabs>
                <w:tab w:val="left" w:pos="-1440"/>
                <w:tab w:val="left" w:pos="-720"/>
              </w:tabs>
              <w:rPr>
                <w:b/>
                <w:sz w:val="20"/>
                <w:szCs w:val="20"/>
              </w:rPr>
            </w:pPr>
            <w:r>
              <w:rPr>
                <w:b/>
                <w:sz w:val="20"/>
                <w:szCs w:val="20"/>
              </w:rPr>
              <w:t xml:space="preserve">Georgina M.E. Yorke </w:t>
            </w:r>
            <w:r w:rsidR="001D718B" w:rsidRPr="00851E56">
              <w:rPr>
                <w:b/>
                <w:sz w:val="20"/>
                <w:szCs w:val="20"/>
              </w:rPr>
              <w:t>(</w:t>
            </w:r>
            <w:r>
              <w:rPr>
                <w:b/>
                <w:sz w:val="20"/>
                <w:szCs w:val="20"/>
              </w:rPr>
              <w:t>N.B</w:t>
            </w:r>
            <w:r w:rsidR="001D718B" w:rsidRPr="00851E56">
              <w:rPr>
                <w:b/>
                <w:sz w:val="20"/>
                <w:szCs w:val="20"/>
              </w:rPr>
              <w:t>.)</w:t>
            </w:r>
          </w:p>
          <w:p w:rsidR="001D718B" w:rsidRPr="00851E56" w:rsidRDefault="001D718B" w:rsidP="008C53A6">
            <w:pPr>
              <w:keepNext/>
              <w:keepLines/>
              <w:tabs>
                <w:tab w:val="left" w:pos="-1440"/>
                <w:tab w:val="left" w:pos="-720"/>
              </w:tabs>
              <w:rPr>
                <w:sz w:val="20"/>
                <w:szCs w:val="20"/>
              </w:rPr>
            </w:pPr>
            <w:r w:rsidRPr="00851E56">
              <w:rPr>
                <w:sz w:val="20"/>
                <w:szCs w:val="20"/>
              </w:rPr>
              <w:tab/>
            </w:r>
            <w:r w:rsidR="00851E56">
              <w:rPr>
                <w:sz w:val="20"/>
                <w:szCs w:val="20"/>
              </w:rPr>
              <w:t>Peter J.C. White</w:t>
            </w:r>
          </w:p>
          <w:p w:rsidR="001D718B" w:rsidRPr="00851E56" w:rsidRDefault="001D718B" w:rsidP="008C53A6">
            <w:pPr>
              <w:keepNext/>
              <w:keepLines/>
              <w:tabs>
                <w:tab w:val="left" w:pos="-1440"/>
                <w:tab w:val="left" w:pos="-720"/>
              </w:tabs>
              <w:rPr>
                <w:sz w:val="20"/>
                <w:szCs w:val="20"/>
              </w:rPr>
            </w:pPr>
          </w:p>
          <w:p w:rsidR="001D718B" w:rsidRPr="001551A4" w:rsidRDefault="001D718B" w:rsidP="00851E56">
            <w:pPr>
              <w:rPr>
                <w:sz w:val="20"/>
                <w:szCs w:val="20"/>
              </w:rPr>
            </w:pPr>
            <w:r w:rsidRPr="00A935AA">
              <w:rPr>
                <w:sz w:val="20"/>
                <w:szCs w:val="20"/>
              </w:rPr>
              <w:t>FILING DATE: 2</w:t>
            </w:r>
            <w:r w:rsidR="00851E56">
              <w:rPr>
                <w:sz w:val="20"/>
                <w:szCs w:val="20"/>
              </w:rPr>
              <w:t>2</w:t>
            </w:r>
            <w:r w:rsidRPr="00A935AA">
              <w:rPr>
                <w:sz w:val="20"/>
                <w:szCs w:val="20"/>
              </w:rPr>
              <w:t>.</w:t>
            </w:r>
            <w:r>
              <w:rPr>
                <w:sz w:val="20"/>
                <w:szCs w:val="20"/>
              </w:rPr>
              <w:t>11</w:t>
            </w:r>
            <w:r w:rsidRPr="00A935AA">
              <w:rPr>
                <w:sz w:val="20"/>
                <w:szCs w:val="20"/>
              </w:rPr>
              <w:t>.201</w:t>
            </w:r>
            <w:r>
              <w:rPr>
                <w:sz w:val="20"/>
                <w:szCs w:val="20"/>
              </w:rPr>
              <w:t>1</w:t>
            </w:r>
            <w:r w:rsidR="00586706" w:rsidRPr="00586706">
              <w:rPr>
                <w:sz w:val="20"/>
                <w:szCs w:val="20"/>
                <w:lang w:val="fr-CA"/>
              </w:rPr>
              <w:pict>
                <v:rect id="_x0000_i1028" style="width:108pt;height:1pt" o:hrpct="0" o:hralign="center" o:hrstd="t" o:hrnoshade="t" o:hr="t" fillcolor="black [3213]" stroked="f"/>
              </w:pict>
            </w:r>
          </w:p>
          <w:p w:rsidR="00851E56" w:rsidRPr="001551A4" w:rsidRDefault="00851E56" w:rsidP="00851E56">
            <w:pPr>
              <w:rPr>
                <w:sz w:val="20"/>
                <w:szCs w:val="20"/>
              </w:rPr>
            </w:pPr>
          </w:p>
          <w:p w:rsidR="00851E56" w:rsidRPr="001551A4" w:rsidRDefault="00851E56" w:rsidP="00851E56">
            <w:pPr>
              <w:rPr>
                <w:b/>
                <w:sz w:val="20"/>
                <w:szCs w:val="20"/>
              </w:rPr>
            </w:pPr>
            <w:r w:rsidRPr="001551A4">
              <w:rPr>
                <w:b/>
                <w:sz w:val="20"/>
                <w:szCs w:val="20"/>
              </w:rPr>
              <w:t>Brandon Carl Huntley</w:t>
            </w:r>
          </w:p>
          <w:p w:rsidR="00851E56" w:rsidRPr="00A935AA" w:rsidRDefault="00851E56" w:rsidP="00851E56">
            <w:pPr>
              <w:rPr>
                <w:sz w:val="20"/>
                <w:szCs w:val="20"/>
              </w:rPr>
            </w:pPr>
            <w:r>
              <w:rPr>
                <w:sz w:val="20"/>
                <w:szCs w:val="20"/>
              </w:rPr>
              <w:tab/>
              <w:t>Rocco Galati</w:t>
            </w:r>
          </w:p>
        </w:tc>
      </w:tr>
      <w:tr w:rsidR="001D718B" w:rsidRPr="00A935AA" w:rsidTr="003B3977">
        <w:tc>
          <w:tcPr>
            <w:tcW w:w="4320" w:type="dxa"/>
            <w:shd w:val="clear" w:color="auto" w:fill="auto"/>
          </w:tcPr>
          <w:p w:rsidR="001D718B" w:rsidRPr="001551A4" w:rsidRDefault="00851E56" w:rsidP="008C53A6">
            <w:pPr>
              <w:rPr>
                <w:b/>
                <w:sz w:val="20"/>
                <w:szCs w:val="20"/>
                <w:lang w:val="fr-CA"/>
              </w:rPr>
            </w:pPr>
            <w:r w:rsidRPr="001551A4">
              <w:rPr>
                <w:b/>
                <w:sz w:val="20"/>
                <w:szCs w:val="20"/>
                <w:lang w:val="fr-CA"/>
              </w:rPr>
              <w:t xml:space="preserve">T.O. </w:t>
            </w:r>
          </w:p>
          <w:p w:rsidR="001D718B" w:rsidRPr="001551A4" w:rsidRDefault="001D718B" w:rsidP="008C53A6">
            <w:pPr>
              <w:tabs>
                <w:tab w:val="left" w:pos="-1440"/>
                <w:tab w:val="left" w:pos="-720"/>
              </w:tabs>
              <w:rPr>
                <w:sz w:val="20"/>
                <w:szCs w:val="20"/>
                <w:lang w:val="fr-CA"/>
              </w:rPr>
            </w:pPr>
            <w:r w:rsidRPr="001551A4">
              <w:rPr>
                <w:sz w:val="20"/>
                <w:szCs w:val="20"/>
                <w:lang w:val="fr-CA"/>
              </w:rPr>
              <w:tab/>
            </w:r>
            <w:r w:rsidR="00851E56" w:rsidRPr="001551A4">
              <w:rPr>
                <w:sz w:val="20"/>
                <w:szCs w:val="20"/>
                <w:lang w:val="fr-CA"/>
              </w:rPr>
              <w:t>T.O.</w:t>
            </w:r>
          </w:p>
          <w:p w:rsidR="001D718B" w:rsidRPr="001551A4" w:rsidRDefault="001D718B" w:rsidP="008C53A6">
            <w:pPr>
              <w:tabs>
                <w:tab w:val="left" w:pos="-1440"/>
                <w:tab w:val="left" w:pos="-720"/>
              </w:tabs>
              <w:rPr>
                <w:sz w:val="20"/>
                <w:szCs w:val="20"/>
                <w:lang w:val="fr-CA"/>
              </w:rPr>
            </w:pPr>
          </w:p>
          <w:p w:rsidR="001D718B" w:rsidRPr="001551A4" w:rsidRDefault="001D718B" w:rsidP="008C53A6">
            <w:pPr>
              <w:tabs>
                <w:tab w:val="left" w:pos="-1440"/>
                <w:tab w:val="left" w:pos="-720"/>
              </w:tabs>
              <w:rPr>
                <w:sz w:val="20"/>
                <w:szCs w:val="20"/>
                <w:lang w:val="fr-CA"/>
              </w:rPr>
            </w:pPr>
            <w:r w:rsidRPr="001551A4">
              <w:rPr>
                <w:sz w:val="20"/>
                <w:szCs w:val="20"/>
                <w:lang w:val="fr-CA"/>
              </w:rPr>
              <w:tab/>
              <w:t>v. (3</w:t>
            </w:r>
            <w:r w:rsidR="00851E56" w:rsidRPr="001551A4">
              <w:rPr>
                <w:sz w:val="20"/>
                <w:szCs w:val="20"/>
                <w:lang w:val="fr-CA"/>
              </w:rPr>
              <w:t>455</w:t>
            </w:r>
            <w:r w:rsidRPr="001551A4">
              <w:rPr>
                <w:sz w:val="20"/>
                <w:szCs w:val="20"/>
                <w:lang w:val="fr-CA"/>
              </w:rPr>
              <w:t>5)</w:t>
            </w:r>
          </w:p>
          <w:p w:rsidR="001D718B" w:rsidRPr="001551A4" w:rsidRDefault="001D718B" w:rsidP="008C53A6">
            <w:pPr>
              <w:tabs>
                <w:tab w:val="left" w:pos="-1440"/>
                <w:tab w:val="left" w:pos="-720"/>
              </w:tabs>
              <w:rPr>
                <w:sz w:val="20"/>
                <w:szCs w:val="20"/>
                <w:lang w:val="fr-CA"/>
              </w:rPr>
            </w:pPr>
          </w:p>
          <w:p w:rsidR="001D718B" w:rsidRPr="001551A4" w:rsidRDefault="00851E56" w:rsidP="008C53A6">
            <w:pPr>
              <w:tabs>
                <w:tab w:val="left" w:pos="-1440"/>
                <w:tab w:val="left" w:pos="-720"/>
              </w:tabs>
              <w:rPr>
                <w:b/>
                <w:sz w:val="20"/>
                <w:szCs w:val="20"/>
                <w:lang w:val="fr-CA"/>
              </w:rPr>
            </w:pPr>
            <w:r w:rsidRPr="001551A4">
              <w:rPr>
                <w:b/>
                <w:sz w:val="20"/>
                <w:szCs w:val="20"/>
                <w:lang w:val="fr-CA"/>
              </w:rPr>
              <w:t xml:space="preserve">S.W. </w:t>
            </w:r>
            <w:r w:rsidR="001D718B" w:rsidRPr="001551A4">
              <w:rPr>
                <w:b/>
                <w:sz w:val="20"/>
                <w:szCs w:val="20"/>
                <w:lang w:val="fr-CA"/>
              </w:rPr>
              <w:t>(</w:t>
            </w:r>
            <w:r w:rsidRPr="001551A4">
              <w:rPr>
                <w:b/>
                <w:sz w:val="20"/>
                <w:szCs w:val="20"/>
                <w:lang w:val="fr-CA"/>
              </w:rPr>
              <w:t>Que</w:t>
            </w:r>
            <w:r w:rsidR="001D718B" w:rsidRPr="001551A4">
              <w:rPr>
                <w:b/>
                <w:sz w:val="20"/>
                <w:szCs w:val="20"/>
                <w:lang w:val="fr-CA"/>
              </w:rPr>
              <w:t>.)</w:t>
            </w:r>
          </w:p>
          <w:p w:rsidR="001D718B" w:rsidRPr="00A935AA" w:rsidRDefault="001D718B" w:rsidP="008C53A6">
            <w:pPr>
              <w:tabs>
                <w:tab w:val="left" w:pos="-1440"/>
                <w:tab w:val="left" w:pos="-720"/>
              </w:tabs>
              <w:rPr>
                <w:sz w:val="20"/>
                <w:szCs w:val="20"/>
              </w:rPr>
            </w:pPr>
            <w:r w:rsidRPr="001551A4">
              <w:rPr>
                <w:sz w:val="20"/>
                <w:szCs w:val="20"/>
                <w:lang w:val="fr-CA"/>
              </w:rPr>
              <w:tab/>
            </w:r>
            <w:r w:rsidR="00851E56">
              <w:rPr>
                <w:sz w:val="20"/>
                <w:szCs w:val="20"/>
              </w:rPr>
              <w:t>Danielle Gervais</w:t>
            </w:r>
          </w:p>
          <w:p w:rsidR="001D718B" w:rsidRPr="00A935AA" w:rsidRDefault="001D718B" w:rsidP="008C53A6">
            <w:pPr>
              <w:tabs>
                <w:tab w:val="left" w:pos="-1440"/>
                <w:tab w:val="left" w:pos="-720"/>
              </w:tabs>
              <w:rPr>
                <w:sz w:val="20"/>
                <w:szCs w:val="20"/>
              </w:rPr>
            </w:pPr>
          </w:p>
          <w:p w:rsidR="001D718B" w:rsidRPr="00A935AA" w:rsidRDefault="001D718B" w:rsidP="008C53A6">
            <w:pPr>
              <w:rPr>
                <w:sz w:val="20"/>
                <w:szCs w:val="20"/>
              </w:rPr>
            </w:pPr>
            <w:r w:rsidRPr="00A935AA">
              <w:rPr>
                <w:sz w:val="20"/>
                <w:szCs w:val="20"/>
              </w:rPr>
              <w:t>FILING DATE: 2</w:t>
            </w:r>
            <w:r w:rsidR="00851E56">
              <w:rPr>
                <w:sz w:val="20"/>
                <w:szCs w:val="20"/>
              </w:rPr>
              <w:t>5</w:t>
            </w:r>
            <w:r w:rsidRPr="00A935AA">
              <w:rPr>
                <w:sz w:val="20"/>
                <w:szCs w:val="20"/>
              </w:rPr>
              <w:t>.</w:t>
            </w:r>
            <w:r>
              <w:rPr>
                <w:sz w:val="20"/>
                <w:szCs w:val="20"/>
              </w:rPr>
              <w:t>11</w:t>
            </w:r>
            <w:r w:rsidRPr="00A935AA">
              <w:rPr>
                <w:sz w:val="20"/>
                <w:szCs w:val="20"/>
              </w:rPr>
              <w:t>.201</w:t>
            </w:r>
            <w:r>
              <w:rPr>
                <w:sz w:val="20"/>
                <w:szCs w:val="20"/>
              </w:rPr>
              <w:t>1</w:t>
            </w:r>
          </w:p>
          <w:p w:rsidR="001D718B" w:rsidRPr="00A935AA" w:rsidRDefault="00586706" w:rsidP="008C53A6">
            <w:pPr>
              <w:rPr>
                <w:sz w:val="20"/>
                <w:szCs w:val="20"/>
              </w:rPr>
            </w:pPr>
            <w:r w:rsidRPr="00586706">
              <w:rPr>
                <w:sz w:val="20"/>
                <w:szCs w:val="20"/>
                <w:lang w:val="fr-CA"/>
              </w:rPr>
              <w:pict>
                <v:rect id="_x0000_i1029" style="width:108pt;height:1pt" o:hrpct="0" o:hralign="center" o:hrstd="t" o:hrnoshade="t" o:hr="t" fillcolor="black [3213]" stroked="f"/>
              </w:pict>
            </w:r>
          </w:p>
        </w:tc>
        <w:tc>
          <w:tcPr>
            <w:tcW w:w="1181" w:type="dxa"/>
            <w:shd w:val="clear" w:color="auto" w:fill="auto"/>
          </w:tcPr>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tc>
        <w:tc>
          <w:tcPr>
            <w:tcW w:w="4320" w:type="dxa"/>
            <w:shd w:val="clear" w:color="auto" w:fill="auto"/>
          </w:tcPr>
          <w:p w:rsidR="001D718B" w:rsidRPr="00A935AA" w:rsidRDefault="001D718B" w:rsidP="008C53A6">
            <w:pPr>
              <w:keepNext/>
              <w:keepLines/>
              <w:tabs>
                <w:tab w:val="left" w:pos="-1440"/>
                <w:tab w:val="left" w:pos="-720"/>
              </w:tabs>
              <w:rPr>
                <w:sz w:val="20"/>
                <w:szCs w:val="20"/>
              </w:rPr>
            </w:pPr>
            <w:r w:rsidRPr="00A935AA">
              <w:rPr>
                <w:sz w:val="20"/>
                <w:szCs w:val="20"/>
              </w:rPr>
              <w:tab/>
            </w:r>
            <w:r w:rsidR="00851E56">
              <w:rPr>
                <w:sz w:val="20"/>
                <w:szCs w:val="20"/>
              </w:rPr>
              <w:t xml:space="preserve">Rocco Galati Law Firm Professional </w:t>
            </w:r>
            <w:r w:rsidR="00851E56">
              <w:rPr>
                <w:sz w:val="20"/>
                <w:szCs w:val="20"/>
              </w:rPr>
              <w:tab/>
              <w:t>Corporation</w:t>
            </w:r>
          </w:p>
          <w:p w:rsidR="001D718B" w:rsidRPr="00A935AA" w:rsidRDefault="001D718B" w:rsidP="008C53A6">
            <w:pPr>
              <w:keepNext/>
              <w:keepLines/>
              <w:tabs>
                <w:tab w:val="left" w:pos="-1440"/>
                <w:tab w:val="left" w:pos="-720"/>
              </w:tabs>
              <w:rPr>
                <w:sz w:val="20"/>
                <w:szCs w:val="20"/>
              </w:rPr>
            </w:pPr>
          </w:p>
          <w:p w:rsidR="001D718B" w:rsidRPr="00851E56" w:rsidRDefault="001D718B" w:rsidP="008C53A6">
            <w:pPr>
              <w:keepNext/>
              <w:keepLines/>
              <w:tabs>
                <w:tab w:val="left" w:pos="-1440"/>
                <w:tab w:val="left" w:pos="-720"/>
              </w:tabs>
              <w:rPr>
                <w:sz w:val="20"/>
                <w:szCs w:val="20"/>
              </w:rPr>
            </w:pPr>
            <w:r w:rsidRPr="00A935AA">
              <w:rPr>
                <w:sz w:val="20"/>
                <w:szCs w:val="20"/>
              </w:rPr>
              <w:tab/>
            </w:r>
            <w:r w:rsidRPr="00851E56">
              <w:rPr>
                <w:sz w:val="20"/>
                <w:szCs w:val="20"/>
              </w:rPr>
              <w:t>v. (3</w:t>
            </w:r>
            <w:r w:rsidR="00851E56">
              <w:rPr>
                <w:sz w:val="20"/>
                <w:szCs w:val="20"/>
              </w:rPr>
              <w:t>4</w:t>
            </w:r>
            <w:r w:rsidRPr="00851E56">
              <w:rPr>
                <w:sz w:val="20"/>
                <w:szCs w:val="20"/>
              </w:rPr>
              <w:t>5</w:t>
            </w:r>
            <w:r w:rsidR="00851E56">
              <w:rPr>
                <w:sz w:val="20"/>
                <w:szCs w:val="20"/>
              </w:rPr>
              <w:t>48</w:t>
            </w:r>
            <w:r w:rsidRPr="00851E56">
              <w:rPr>
                <w:sz w:val="20"/>
                <w:szCs w:val="20"/>
              </w:rPr>
              <w:t>)</w:t>
            </w:r>
          </w:p>
          <w:p w:rsidR="001D718B" w:rsidRPr="00851E56" w:rsidRDefault="001D718B" w:rsidP="008C53A6">
            <w:pPr>
              <w:keepNext/>
              <w:keepLines/>
              <w:tabs>
                <w:tab w:val="left" w:pos="-1440"/>
                <w:tab w:val="left" w:pos="-720"/>
              </w:tabs>
              <w:rPr>
                <w:sz w:val="20"/>
                <w:szCs w:val="20"/>
              </w:rPr>
            </w:pPr>
          </w:p>
          <w:p w:rsidR="001D718B" w:rsidRPr="00851E56" w:rsidRDefault="00851E56" w:rsidP="008C53A6">
            <w:pPr>
              <w:keepNext/>
              <w:keepLines/>
              <w:tabs>
                <w:tab w:val="left" w:pos="-1440"/>
                <w:tab w:val="left" w:pos="-720"/>
              </w:tabs>
              <w:rPr>
                <w:b/>
                <w:sz w:val="20"/>
                <w:szCs w:val="20"/>
              </w:rPr>
            </w:pPr>
            <w:r>
              <w:rPr>
                <w:b/>
                <w:sz w:val="20"/>
                <w:szCs w:val="20"/>
              </w:rPr>
              <w:t xml:space="preserve">Minister of Citizenship and Immigration </w:t>
            </w:r>
            <w:r w:rsidR="001D718B" w:rsidRPr="00851E56">
              <w:rPr>
                <w:b/>
                <w:sz w:val="20"/>
                <w:szCs w:val="20"/>
              </w:rPr>
              <w:t>(</w:t>
            </w:r>
            <w:r>
              <w:rPr>
                <w:b/>
                <w:sz w:val="20"/>
                <w:szCs w:val="20"/>
              </w:rPr>
              <w:t>F</w:t>
            </w:r>
            <w:r w:rsidR="001D718B" w:rsidRPr="00851E56">
              <w:rPr>
                <w:b/>
                <w:sz w:val="20"/>
                <w:szCs w:val="20"/>
              </w:rPr>
              <w:t>.</w:t>
            </w:r>
            <w:r>
              <w:rPr>
                <w:b/>
                <w:sz w:val="20"/>
                <w:szCs w:val="20"/>
              </w:rPr>
              <w:t>C.</w:t>
            </w:r>
            <w:r w:rsidR="001D718B" w:rsidRPr="00851E56">
              <w:rPr>
                <w:b/>
                <w:sz w:val="20"/>
                <w:szCs w:val="20"/>
              </w:rPr>
              <w:t>)</w:t>
            </w:r>
          </w:p>
          <w:p w:rsidR="001D718B" w:rsidRPr="00851E56" w:rsidRDefault="001D718B" w:rsidP="008C53A6">
            <w:pPr>
              <w:keepNext/>
              <w:keepLines/>
              <w:tabs>
                <w:tab w:val="left" w:pos="-1440"/>
                <w:tab w:val="left" w:pos="-720"/>
              </w:tabs>
              <w:rPr>
                <w:sz w:val="20"/>
                <w:szCs w:val="20"/>
              </w:rPr>
            </w:pPr>
            <w:r w:rsidRPr="00851E56">
              <w:rPr>
                <w:sz w:val="20"/>
                <w:szCs w:val="20"/>
              </w:rPr>
              <w:tab/>
            </w:r>
            <w:r w:rsidR="00851E56">
              <w:rPr>
                <w:sz w:val="20"/>
                <w:szCs w:val="20"/>
              </w:rPr>
              <w:t>Bernard Assan</w:t>
            </w:r>
          </w:p>
          <w:p w:rsidR="001D718B" w:rsidRPr="00851E56" w:rsidRDefault="001D718B" w:rsidP="008C53A6">
            <w:pPr>
              <w:keepNext/>
              <w:keepLines/>
              <w:tabs>
                <w:tab w:val="left" w:pos="-1440"/>
                <w:tab w:val="left" w:pos="-720"/>
              </w:tabs>
              <w:rPr>
                <w:sz w:val="20"/>
                <w:szCs w:val="20"/>
              </w:rPr>
            </w:pPr>
            <w:r w:rsidRPr="00851E56">
              <w:rPr>
                <w:sz w:val="20"/>
                <w:szCs w:val="20"/>
              </w:rPr>
              <w:tab/>
            </w:r>
            <w:r w:rsidR="00851E56">
              <w:rPr>
                <w:sz w:val="20"/>
                <w:szCs w:val="20"/>
              </w:rPr>
              <w:t>A.G. of Canada</w:t>
            </w:r>
          </w:p>
          <w:p w:rsidR="001D718B" w:rsidRPr="00851E56" w:rsidRDefault="001D718B" w:rsidP="008C53A6">
            <w:pPr>
              <w:keepNext/>
              <w:keepLines/>
              <w:tabs>
                <w:tab w:val="left" w:pos="-1440"/>
                <w:tab w:val="left" w:pos="-720"/>
              </w:tabs>
              <w:rPr>
                <w:sz w:val="20"/>
                <w:szCs w:val="20"/>
              </w:rPr>
            </w:pPr>
          </w:p>
          <w:p w:rsidR="001D718B" w:rsidRPr="00A935AA" w:rsidRDefault="001D718B" w:rsidP="00851E56">
            <w:pPr>
              <w:rPr>
                <w:sz w:val="20"/>
                <w:szCs w:val="20"/>
              </w:rPr>
            </w:pPr>
            <w:r w:rsidRPr="00A935AA">
              <w:rPr>
                <w:sz w:val="20"/>
                <w:szCs w:val="20"/>
              </w:rPr>
              <w:t>FILING DATE: 2</w:t>
            </w:r>
            <w:r w:rsidR="00851E56">
              <w:rPr>
                <w:sz w:val="20"/>
                <w:szCs w:val="20"/>
              </w:rPr>
              <w:t>9</w:t>
            </w:r>
            <w:r w:rsidRPr="00A935AA">
              <w:rPr>
                <w:sz w:val="20"/>
                <w:szCs w:val="20"/>
              </w:rPr>
              <w:t>.</w:t>
            </w:r>
            <w:r>
              <w:rPr>
                <w:sz w:val="20"/>
                <w:szCs w:val="20"/>
              </w:rPr>
              <w:t>11</w:t>
            </w:r>
            <w:r w:rsidRPr="00A935AA">
              <w:rPr>
                <w:sz w:val="20"/>
                <w:szCs w:val="20"/>
              </w:rPr>
              <w:t>.201</w:t>
            </w:r>
            <w:r>
              <w:rPr>
                <w:sz w:val="20"/>
                <w:szCs w:val="20"/>
              </w:rPr>
              <w:t>1</w:t>
            </w:r>
            <w:r w:rsidR="00586706" w:rsidRPr="00586706">
              <w:rPr>
                <w:sz w:val="20"/>
                <w:szCs w:val="20"/>
                <w:lang w:val="fr-CA"/>
              </w:rPr>
              <w:pict>
                <v:rect id="_x0000_i1030" style="width:108pt;height:1pt" o:hrpct="0" o:hralign="center" o:hrstd="t" o:hrnoshade="t" o:hr="t" fillcolor="black [3213]" stroked="f"/>
              </w:pict>
            </w:r>
          </w:p>
        </w:tc>
      </w:tr>
      <w:tr w:rsidR="001D718B" w:rsidRPr="00A935AA" w:rsidTr="003B3977">
        <w:trPr>
          <w:cantSplit/>
        </w:trPr>
        <w:tc>
          <w:tcPr>
            <w:tcW w:w="4320" w:type="dxa"/>
            <w:shd w:val="clear" w:color="auto" w:fill="auto"/>
          </w:tcPr>
          <w:p w:rsidR="001D718B" w:rsidRPr="00A935AA" w:rsidRDefault="00006742" w:rsidP="008C53A6">
            <w:pPr>
              <w:rPr>
                <w:b/>
                <w:sz w:val="20"/>
                <w:szCs w:val="20"/>
              </w:rPr>
            </w:pPr>
            <w:r>
              <w:rPr>
                <w:b/>
                <w:sz w:val="20"/>
                <w:szCs w:val="20"/>
              </w:rPr>
              <w:t>Anton Oleynik</w:t>
            </w:r>
          </w:p>
          <w:p w:rsidR="001D718B" w:rsidRPr="00A935AA" w:rsidRDefault="001D718B" w:rsidP="008C53A6">
            <w:pPr>
              <w:tabs>
                <w:tab w:val="left" w:pos="-1440"/>
                <w:tab w:val="left" w:pos="-720"/>
              </w:tabs>
              <w:rPr>
                <w:sz w:val="20"/>
                <w:szCs w:val="20"/>
              </w:rPr>
            </w:pPr>
            <w:r w:rsidRPr="00A935AA">
              <w:rPr>
                <w:sz w:val="20"/>
                <w:szCs w:val="20"/>
              </w:rPr>
              <w:tab/>
            </w:r>
            <w:r w:rsidR="00006742">
              <w:rPr>
                <w:sz w:val="20"/>
                <w:szCs w:val="20"/>
              </w:rPr>
              <w:t>Anton Oleynik</w:t>
            </w:r>
          </w:p>
          <w:p w:rsidR="001D718B" w:rsidRPr="00A935AA" w:rsidRDefault="001D718B" w:rsidP="008C53A6">
            <w:pPr>
              <w:tabs>
                <w:tab w:val="left" w:pos="-1440"/>
                <w:tab w:val="left" w:pos="-720"/>
              </w:tabs>
              <w:rPr>
                <w:sz w:val="20"/>
                <w:szCs w:val="20"/>
              </w:rPr>
            </w:pPr>
          </w:p>
          <w:p w:rsidR="001D718B" w:rsidRPr="00A935AA" w:rsidRDefault="001D718B" w:rsidP="008C53A6">
            <w:pPr>
              <w:tabs>
                <w:tab w:val="left" w:pos="-1440"/>
                <w:tab w:val="left" w:pos="-720"/>
              </w:tabs>
              <w:rPr>
                <w:sz w:val="20"/>
                <w:szCs w:val="20"/>
              </w:rPr>
            </w:pPr>
            <w:r w:rsidRPr="00A935AA">
              <w:rPr>
                <w:sz w:val="20"/>
                <w:szCs w:val="20"/>
              </w:rPr>
              <w:tab/>
              <w:t>v. (3</w:t>
            </w:r>
            <w:r w:rsidR="00006742">
              <w:rPr>
                <w:sz w:val="20"/>
                <w:szCs w:val="20"/>
              </w:rPr>
              <w:t>4</w:t>
            </w:r>
            <w:r>
              <w:rPr>
                <w:sz w:val="20"/>
                <w:szCs w:val="20"/>
              </w:rPr>
              <w:t>5</w:t>
            </w:r>
            <w:r w:rsidR="00006742">
              <w:rPr>
                <w:sz w:val="20"/>
                <w:szCs w:val="20"/>
              </w:rPr>
              <w:t>64</w:t>
            </w:r>
            <w:r w:rsidRPr="00A935AA">
              <w:rPr>
                <w:sz w:val="20"/>
                <w:szCs w:val="20"/>
              </w:rPr>
              <w:t>)</w:t>
            </w:r>
          </w:p>
          <w:p w:rsidR="001D718B" w:rsidRPr="00A935AA" w:rsidRDefault="001D718B" w:rsidP="008C53A6">
            <w:pPr>
              <w:tabs>
                <w:tab w:val="left" w:pos="-1440"/>
                <w:tab w:val="left" w:pos="-720"/>
              </w:tabs>
              <w:rPr>
                <w:sz w:val="20"/>
                <w:szCs w:val="20"/>
              </w:rPr>
            </w:pPr>
          </w:p>
          <w:p w:rsidR="001D718B" w:rsidRPr="00A935AA" w:rsidRDefault="00E55216" w:rsidP="008C53A6">
            <w:pPr>
              <w:tabs>
                <w:tab w:val="left" w:pos="-1440"/>
                <w:tab w:val="left" w:pos="-720"/>
              </w:tabs>
              <w:rPr>
                <w:b/>
                <w:sz w:val="20"/>
                <w:szCs w:val="20"/>
              </w:rPr>
            </w:pPr>
            <w:r>
              <w:rPr>
                <w:b/>
                <w:sz w:val="20"/>
                <w:szCs w:val="20"/>
              </w:rPr>
              <w:t xml:space="preserve">University of Calgary et al. </w:t>
            </w:r>
            <w:r w:rsidR="001D718B" w:rsidRPr="00A935AA">
              <w:rPr>
                <w:b/>
                <w:sz w:val="20"/>
                <w:szCs w:val="20"/>
              </w:rPr>
              <w:t>(</w:t>
            </w:r>
            <w:r>
              <w:rPr>
                <w:b/>
                <w:sz w:val="20"/>
                <w:szCs w:val="20"/>
              </w:rPr>
              <w:t>Alta</w:t>
            </w:r>
            <w:r w:rsidR="001D718B" w:rsidRPr="00A935AA">
              <w:rPr>
                <w:b/>
                <w:sz w:val="20"/>
                <w:szCs w:val="20"/>
              </w:rPr>
              <w:t>.)</w:t>
            </w:r>
          </w:p>
          <w:p w:rsidR="001D718B" w:rsidRPr="00A935AA" w:rsidRDefault="001D718B" w:rsidP="008C53A6">
            <w:pPr>
              <w:tabs>
                <w:tab w:val="left" w:pos="-1440"/>
                <w:tab w:val="left" w:pos="-720"/>
              </w:tabs>
              <w:rPr>
                <w:sz w:val="20"/>
                <w:szCs w:val="20"/>
              </w:rPr>
            </w:pPr>
            <w:r w:rsidRPr="00A935AA">
              <w:rPr>
                <w:sz w:val="20"/>
                <w:szCs w:val="20"/>
              </w:rPr>
              <w:tab/>
            </w:r>
            <w:r w:rsidR="00E55216">
              <w:rPr>
                <w:sz w:val="20"/>
                <w:szCs w:val="20"/>
              </w:rPr>
              <w:t>Jill W. Wilkie</w:t>
            </w:r>
          </w:p>
          <w:p w:rsidR="001D718B" w:rsidRPr="00A935AA" w:rsidRDefault="001D718B" w:rsidP="008C53A6">
            <w:pPr>
              <w:tabs>
                <w:tab w:val="left" w:pos="-1440"/>
                <w:tab w:val="left" w:pos="-720"/>
              </w:tabs>
              <w:rPr>
                <w:sz w:val="20"/>
                <w:szCs w:val="20"/>
              </w:rPr>
            </w:pPr>
            <w:r w:rsidRPr="00A935AA">
              <w:rPr>
                <w:sz w:val="20"/>
                <w:szCs w:val="20"/>
              </w:rPr>
              <w:tab/>
            </w:r>
            <w:r w:rsidR="00E55216">
              <w:rPr>
                <w:sz w:val="20"/>
                <w:szCs w:val="20"/>
              </w:rPr>
              <w:t>Miller Thomson LLP</w:t>
            </w:r>
          </w:p>
          <w:p w:rsidR="001D718B" w:rsidRPr="00A935AA" w:rsidRDefault="001D718B" w:rsidP="008C53A6">
            <w:pPr>
              <w:tabs>
                <w:tab w:val="left" w:pos="-1440"/>
                <w:tab w:val="left" w:pos="-720"/>
              </w:tabs>
              <w:rPr>
                <w:sz w:val="20"/>
                <w:szCs w:val="20"/>
              </w:rPr>
            </w:pPr>
          </w:p>
          <w:p w:rsidR="001D718B" w:rsidRPr="00A935AA" w:rsidRDefault="001D718B" w:rsidP="008C53A6">
            <w:pPr>
              <w:rPr>
                <w:sz w:val="20"/>
                <w:szCs w:val="20"/>
              </w:rPr>
            </w:pPr>
            <w:r w:rsidRPr="00A935AA">
              <w:rPr>
                <w:sz w:val="20"/>
                <w:szCs w:val="20"/>
              </w:rPr>
              <w:t xml:space="preserve">FILING DATE: </w:t>
            </w:r>
            <w:r w:rsidR="00E55216">
              <w:rPr>
                <w:sz w:val="20"/>
                <w:szCs w:val="20"/>
              </w:rPr>
              <w:t>30</w:t>
            </w:r>
            <w:r w:rsidRPr="00A935AA">
              <w:rPr>
                <w:sz w:val="20"/>
                <w:szCs w:val="20"/>
              </w:rPr>
              <w:t>.</w:t>
            </w:r>
            <w:r>
              <w:rPr>
                <w:sz w:val="20"/>
                <w:szCs w:val="20"/>
              </w:rPr>
              <w:t>11</w:t>
            </w:r>
            <w:r w:rsidRPr="00A935AA">
              <w:rPr>
                <w:sz w:val="20"/>
                <w:szCs w:val="20"/>
              </w:rPr>
              <w:t>.201</w:t>
            </w:r>
            <w:r>
              <w:rPr>
                <w:sz w:val="20"/>
                <w:szCs w:val="20"/>
              </w:rPr>
              <w:t>1</w:t>
            </w:r>
          </w:p>
          <w:p w:rsidR="001D718B" w:rsidRPr="00A935AA" w:rsidRDefault="00586706" w:rsidP="008C53A6">
            <w:pPr>
              <w:rPr>
                <w:sz w:val="20"/>
                <w:szCs w:val="20"/>
              </w:rPr>
            </w:pPr>
            <w:r w:rsidRPr="00586706">
              <w:rPr>
                <w:sz w:val="20"/>
                <w:szCs w:val="20"/>
                <w:lang w:val="fr-CA"/>
              </w:rPr>
              <w:pict>
                <v:rect id="_x0000_i1031" style="width:108pt;height:1pt" o:hrpct="0" o:hralign="center" o:hrstd="t" o:hrnoshade="t" o:hr="t" fillcolor="black [3213]" stroked="f"/>
              </w:pict>
            </w:r>
          </w:p>
        </w:tc>
        <w:tc>
          <w:tcPr>
            <w:tcW w:w="1181" w:type="dxa"/>
            <w:shd w:val="clear" w:color="auto" w:fill="auto"/>
          </w:tcPr>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tc>
        <w:tc>
          <w:tcPr>
            <w:tcW w:w="4320" w:type="dxa"/>
            <w:shd w:val="clear" w:color="auto" w:fill="auto"/>
          </w:tcPr>
          <w:p w:rsidR="001D718B" w:rsidRDefault="001D718B" w:rsidP="008C53A6">
            <w:pPr>
              <w:keepNext/>
              <w:keepLines/>
              <w:tabs>
                <w:tab w:val="left" w:pos="-1440"/>
                <w:tab w:val="left" w:pos="-720"/>
              </w:tabs>
              <w:rPr>
                <w:b/>
                <w:sz w:val="20"/>
                <w:szCs w:val="20"/>
              </w:rPr>
            </w:pPr>
          </w:p>
          <w:p w:rsidR="00E55216" w:rsidRPr="001551A4" w:rsidRDefault="00E55216" w:rsidP="008C53A6">
            <w:pPr>
              <w:keepNext/>
              <w:keepLines/>
              <w:tabs>
                <w:tab w:val="left" w:pos="-1440"/>
                <w:tab w:val="left" w:pos="-720"/>
              </w:tabs>
              <w:rPr>
                <w:b/>
                <w:sz w:val="20"/>
                <w:szCs w:val="20"/>
                <w:lang w:val="fr-CA"/>
              </w:rPr>
            </w:pPr>
            <w:r w:rsidRPr="001551A4">
              <w:rPr>
                <w:b/>
                <w:sz w:val="20"/>
                <w:szCs w:val="20"/>
                <w:lang w:val="fr-CA"/>
              </w:rPr>
              <w:t>Jacques Gagné</w:t>
            </w:r>
          </w:p>
          <w:p w:rsidR="001D718B" w:rsidRPr="001551A4" w:rsidRDefault="001D718B" w:rsidP="008C53A6">
            <w:pPr>
              <w:keepNext/>
              <w:keepLines/>
              <w:tabs>
                <w:tab w:val="left" w:pos="-1440"/>
                <w:tab w:val="left" w:pos="-720"/>
              </w:tabs>
              <w:rPr>
                <w:sz w:val="20"/>
                <w:szCs w:val="20"/>
                <w:lang w:val="fr-CA"/>
              </w:rPr>
            </w:pPr>
            <w:r w:rsidRPr="001551A4">
              <w:rPr>
                <w:sz w:val="20"/>
                <w:szCs w:val="20"/>
                <w:lang w:val="fr-CA"/>
              </w:rPr>
              <w:tab/>
            </w:r>
            <w:r w:rsidR="00E55216" w:rsidRPr="001551A4">
              <w:rPr>
                <w:sz w:val="20"/>
                <w:szCs w:val="20"/>
                <w:lang w:val="fr-CA"/>
              </w:rPr>
              <w:t>Donald Duperré</w:t>
            </w:r>
          </w:p>
          <w:p w:rsidR="001D718B" w:rsidRPr="001551A4" w:rsidRDefault="001D718B" w:rsidP="008C53A6">
            <w:pPr>
              <w:keepNext/>
              <w:keepLines/>
              <w:tabs>
                <w:tab w:val="left" w:pos="-1440"/>
                <w:tab w:val="left" w:pos="-720"/>
              </w:tabs>
              <w:rPr>
                <w:sz w:val="20"/>
                <w:szCs w:val="20"/>
                <w:lang w:val="fr-CA"/>
              </w:rPr>
            </w:pPr>
          </w:p>
          <w:p w:rsidR="001D718B" w:rsidRPr="00E55216" w:rsidRDefault="001D718B" w:rsidP="008C53A6">
            <w:pPr>
              <w:keepNext/>
              <w:keepLines/>
              <w:tabs>
                <w:tab w:val="left" w:pos="-1440"/>
                <w:tab w:val="left" w:pos="-720"/>
              </w:tabs>
              <w:rPr>
                <w:sz w:val="20"/>
                <w:szCs w:val="20"/>
                <w:lang w:val="fr-CA"/>
              </w:rPr>
            </w:pPr>
            <w:r w:rsidRPr="001551A4">
              <w:rPr>
                <w:sz w:val="20"/>
                <w:szCs w:val="20"/>
                <w:lang w:val="fr-CA"/>
              </w:rPr>
              <w:tab/>
            </w:r>
            <w:r w:rsidR="00E55216" w:rsidRPr="001551A4">
              <w:rPr>
                <w:sz w:val="20"/>
                <w:szCs w:val="20"/>
                <w:lang w:val="fr-CA"/>
              </w:rPr>
              <w:t>c</w:t>
            </w:r>
            <w:r w:rsidRPr="00E55216">
              <w:rPr>
                <w:sz w:val="20"/>
                <w:szCs w:val="20"/>
                <w:lang w:val="fr-CA"/>
              </w:rPr>
              <w:t>. (3</w:t>
            </w:r>
            <w:r w:rsidR="00E55216" w:rsidRPr="00E55216">
              <w:rPr>
                <w:sz w:val="20"/>
                <w:szCs w:val="20"/>
                <w:lang w:val="fr-CA"/>
              </w:rPr>
              <w:t>4</w:t>
            </w:r>
            <w:r w:rsidRPr="00E55216">
              <w:rPr>
                <w:sz w:val="20"/>
                <w:szCs w:val="20"/>
                <w:lang w:val="fr-CA"/>
              </w:rPr>
              <w:t>5</w:t>
            </w:r>
            <w:r w:rsidR="00E55216" w:rsidRPr="00E55216">
              <w:rPr>
                <w:sz w:val="20"/>
                <w:szCs w:val="20"/>
                <w:lang w:val="fr-CA"/>
              </w:rPr>
              <w:t>51</w:t>
            </w:r>
            <w:r w:rsidRPr="00E55216">
              <w:rPr>
                <w:sz w:val="20"/>
                <w:szCs w:val="20"/>
                <w:lang w:val="fr-CA"/>
              </w:rPr>
              <w:t>)</w:t>
            </w:r>
          </w:p>
          <w:p w:rsidR="001D718B" w:rsidRPr="00E55216" w:rsidRDefault="001D718B" w:rsidP="008C53A6">
            <w:pPr>
              <w:keepNext/>
              <w:keepLines/>
              <w:tabs>
                <w:tab w:val="left" w:pos="-1440"/>
                <w:tab w:val="left" w:pos="-720"/>
              </w:tabs>
              <w:rPr>
                <w:sz w:val="20"/>
                <w:szCs w:val="20"/>
                <w:lang w:val="fr-CA"/>
              </w:rPr>
            </w:pPr>
          </w:p>
          <w:p w:rsidR="001D718B" w:rsidRPr="00E55216" w:rsidRDefault="00E55216" w:rsidP="008C53A6">
            <w:pPr>
              <w:keepNext/>
              <w:keepLines/>
              <w:tabs>
                <w:tab w:val="left" w:pos="-1440"/>
                <w:tab w:val="left" w:pos="-720"/>
              </w:tabs>
              <w:rPr>
                <w:b/>
                <w:sz w:val="20"/>
                <w:szCs w:val="20"/>
                <w:lang w:val="fr-CA"/>
              </w:rPr>
            </w:pPr>
            <w:r w:rsidRPr="00E55216">
              <w:rPr>
                <w:b/>
                <w:sz w:val="20"/>
                <w:szCs w:val="20"/>
                <w:lang w:val="fr-CA"/>
              </w:rPr>
              <w:t xml:space="preserve">Sa Majesté la Reine </w:t>
            </w:r>
            <w:r w:rsidR="001D718B" w:rsidRPr="00E55216">
              <w:rPr>
                <w:b/>
                <w:sz w:val="20"/>
                <w:szCs w:val="20"/>
                <w:lang w:val="fr-CA"/>
              </w:rPr>
              <w:t>(</w:t>
            </w:r>
            <w:r w:rsidRPr="00E55216">
              <w:rPr>
                <w:b/>
                <w:sz w:val="20"/>
                <w:szCs w:val="20"/>
                <w:lang w:val="fr-CA"/>
              </w:rPr>
              <w:t>Qc</w:t>
            </w:r>
            <w:r w:rsidR="001D718B" w:rsidRPr="00E55216">
              <w:rPr>
                <w:b/>
                <w:sz w:val="20"/>
                <w:szCs w:val="20"/>
                <w:lang w:val="fr-CA"/>
              </w:rPr>
              <w:t>)</w:t>
            </w:r>
          </w:p>
          <w:p w:rsidR="001D718B" w:rsidRPr="00E55216" w:rsidRDefault="001D718B" w:rsidP="008C53A6">
            <w:pPr>
              <w:keepNext/>
              <w:keepLines/>
              <w:tabs>
                <w:tab w:val="left" w:pos="-1440"/>
                <w:tab w:val="left" w:pos="-720"/>
              </w:tabs>
              <w:rPr>
                <w:sz w:val="20"/>
                <w:szCs w:val="20"/>
                <w:lang w:val="fr-CA"/>
              </w:rPr>
            </w:pPr>
            <w:r w:rsidRPr="00E55216">
              <w:rPr>
                <w:sz w:val="20"/>
                <w:szCs w:val="20"/>
                <w:lang w:val="fr-CA"/>
              </w:rPr>
              <w:tab/>
            </w:r>
            <w:r w:rsidR="00E55216">
              <w:rPr>
                <w:sz w:val="20"/>
                <w:szCs w:val="20"/>
                <w:lang w:val="fr-CA"/>
              </w:rPr>
              <w:t>Michel F. Denis</w:t>
            </w:r>
          </w:p>
          <w:p w:rsidR="001D718B" w:rsidRPr="00E55216" w:rsidRDefault="001D718B" w:rsidP="008C53A6">
            <w:pPr>
              <w:keepNext/>
              <w:keepLines/>
              <w:tabs>
                <w:tab w:val="left" w:pos="-1440"/>
                <w:tab w:val="left" w:pos="-720"/>
              </w:tabs>
              <w:rPr>
                <w:sz w:val="20"/>
                <w:szCs w:val="20"/>
                <w:lang w:val="fr-CA"/>
              </w:rPr>
            </w:pPr>
            <w:r w:rsidRPr="00E55216">
              <w:rPr>
                <w:sz w:val="20"/>
                <w:szCs w:val="20"/>
                <w:lang w:val="fr-CA"/>
              </w:rPr>
              <w:tab/>
            </w:r>
            <w:r w:rsidR="00E55216">
              <w:rPr>
                <w:sz w:val="20"/>
                <w:szCs w:val="20"/>
                <w:lang w:val="fr-CA"/>
              </w:rPr>
              <w:t>Service des poursuites pénales du Canada</w:t>
            </w:r>
          </w:p>
          <w:p w:rsidR="001D718B" w:rsidRPr="00E55216" w:rsidRDefault="001D718B" w:rsidP="008C53A6">
            <w:pPr>
              <w:keepNext/>
              <w:keepLines/>
              <w:tabs>
                <w:tab w:val="left" w:pos="-1440"/>
                <w:tab w:val="left" w:pos="-720"/>
              </w:tabs>
              <w:rPr>
                <w:sz w:val="20"/>
                <w:szCs w:val="20"/>
                <w:lang w:val="fr-CA"/>
              </w:rPr>
            </w:pPr>
          </w:p>
          <w:p w:rsidR="001D718B" w:rsidRPr="00A935AA" w:rsidRDefault="001D718B" w:rsidP="00E55216">
            <w:pPr>
              <w:rPr>
                <w:sz w:val="20"/>
                <w:szCs w:val="20"/>
              </w:rPr>
            </w:pPr>
            <w:r w:rsidRPr="00A935AA">
              <w:rPr>
                <w:sz w:val="20"/>
                <w:szCs w:val="20"/>
              </w:rPr>
              <w:t>DATE</w:t>
            </w:r>
            <w:r w:rsidR="00E55216">
              <w:rPr>
                <w:sz w:val="20"/>
                <w:szCs w:val="20"/>
              </w:rPr>
              <w:t xml:space="preserve"> DE PRODUCTION </w:t>
            </w:r>
            <w:r w:rsidRPr="00A935AA">
              <w:rPr>
                <w:sz w:val="20"/>
                <w:szCs w:val="20"/>
              </w:rPr>
              <w:t xml:space="preserve">: </w:t>
            </w:r>
            <w:r w:rsidR="00E55216">
              <w:rPr>
                <w:sz w:val="20"/>
                <w:szCs w:val="20"/>
              </w:rPr>
              <w:t>01</w:t>
            </w:r>
            <w:r w:rsidRPr="00A935AA">
              <w:rPr>
                <w:sz w:val="20"/>
                <w:szCs w:val="20"/>
              </w:rPr>
              <w:t>.</w:t>
            </w:r>
            <w:r>
              <w:rPr>
                <w:sz w:val="20"/>
                <w:szCs w:val="20"/>
              </w:rPr>
              <w:t>1</w:t>
            </w:r>
            <w:r w:rsidR="00E55216">
              <w:rPr>
                <w:sz w:val="20"/>
                <w:szCs w:val="20"/>
              </w:rPr>
              <w:t>2</w:t>
            </w:r>
            <w:r w:rsidRPr="00A935AA">
              <w:rPr>
                <w:sz w:val="20"/>
                <w:szCs w:val="20"/>
              </w:rPr>
              <w:t>.201</w:t>
            </w:r>
            <w:r>
              <w:rPr>
                <w:sz w:val="20"/>
                <w:szCs w:val="20"/>
              </w:rPr>
              <w:t>1</w:t>
            </w:r>
            <w:r w:rsidR="00586706" w:rsidRPr="00586706">
              <w:rPr>
                <w:sz w:val="20"/>
                <w:szCs w:val="20"/>
                <w:lang w:val="fr-CA"/>
              </w:rPr>
              <w:pict>
                <v:rect id="_x0000_i1032" style="width:108pt;height:1pt" o:hrpct="0" o:hralign="center" o:hrstd="t" o:hrnoshade="t" o:hr="t" fillcolor="black [3213]" stroked="f"/>
              </w:pict>
            </w:r>
          </w:p>
        </w:tc>
      </w:tr>
      <w:tr w:rsidR="001D718B" w:rsidRPr="00A935AA" w:rsidTr="003B3977">
        <w:trPr>
          <w:cantSplit/>
        </w:trPr>
        <w:tc>
          <w:tcPr>
            <w:tcW w:w="4320" w:type="dxa"/>
            <w:shd w:val="clear" w:color="auto" w:fill="auto"/>
          </w:tcPr>
          <w:p w:rsidR="001D718B" w:rsidRPr="006E19F0" w:rsidRDefault="006E19F0" w:rsidP="008C53A6">
            <w:pPr>
              <w:rPr>
                <w:b/>
                <w:sz w:val="20"/>
                <w:szCs w:val="20"/>
                <w:lang w:val="fr-CA"/>
              </w:rPr>
            </w:pPr>
            <w:r w:rsidRPr="006E19F0">
              <w:rPr>
                <w:b/>
                <w:sz w:val="20"/>
                <w:szCs w:val="20"/>
                <w:lang w:val="fr-CA"/>
              </w:rPr>
              <w:lastRenderedPageBreak/>
              <w:t>Marc-André Rouet</w:t>
            </w:r>
          </w:p>
          <w:p w:rsidR="001D718B" w:rsidRPr="006E19F0" w:rsidRDefault="001D718B" w:rsidP="008C53A6">
            <w:pPr>
              <w:tabs>
                <w:tab w:val="left" w:pos="-1440"/>
                <w:tab w:val="left" w:pos="-720"/>
              </w:tabs>
              <w:rPr>
                <w:sz w:val="20"/>
                <w:szCs w:val="20"/>
                <w:lang w:val="fr-CA"/>
              </w:rPr>
            </w:pPr>
            <w:r w:rsidRPr="006E19F0">
              <w:rPr>
                <w:sz w:val="20"/>
                <w:szCs w:val="20"/>
                <w:lang w:val="fr-CA"/>
              </w:rPr>
              <w:tab/>
            </w:r>
            <w:r w:rsidR="006E19F0" w:rsidRPr="006E19F0">
              <w:rPr>
                <w:sz w:val="20"/>
                <w:szCs w:val="20"/>
                <w:lang w:val="fr-CA"/>
              </w:rPr>
              <w:t>Marc-André Rouet</w:t>
            </w:r>
          </w:p>
          <w:p w:rsidR="001D718B" w:rsidRPr="006E19F0" w:rsidRDefault="001D718B" w:rsidP="008C53A6">
            <w:pPr>
              <w:tabs>
                <w:tab w:val="left" w:pos="-1440"/>
                <w:tab w:val="left" w:pos="-720"/>
              </w:tabs>
              <w:rPr>
                <w:sz w:val="20"/>
                <w:szCs w:val="20"/>
                <w:lang w:val="fr-CA"/>
              </w:rPr>
            </w:pPr>
          </w:p>
          <w:p w:rsidR="001D718B" w:rsidRPr="006E19F0" w:rsidRDefault="001D718B" w:rsidP="008C53A6">
            <w:pPr>
              <w:tabs>
                <w:tab w:val="left" w:pos="-1440"/>
                <w:tab w:val="left" w:pos="-720"/>
              </w:tabs>
              <w:rPr>
                <w:sz w:val="20"/>
                <w:szCs w:val="20"/>
                <w:lang w:val="fr-CA"/>
              </w:rPr>
            </w:pPr>
            <w:r w:rsidRPr="006E19F0">
              <w:rPr>
                <w:sz w:val="20"/>
                <w:szCs w:val="20"/>
                <w:lang w:val="fr-CA"/>
              </w:rPr>
              <w:tab/>
            </w:r>
            <w:r w:rsidR="006E19F0">
              <w:rPr>
                <w:sz w:val="20"/>
                <w:szCs w:val="20"/>
                <w:lang w:val="fr-CA"/>
              </w:rPr>
              <w:t>c</w:t>
            </w:r>
            <w:r w:rsidRPr="006E19F0">
              <w:rPr>
                <w:sz w:val="20"/>
                <w:szCs w:val="20"/>
                <w:lang w:val="fr-CA"/>
              </w:rPr>
              <w:t>. (3</w:t>
            </w:r>
            <w:r w:rsidR="006E19F0" w:rsidRPr="006E19F0">
              <w:rPr>
                <w:sz w:val="20"/>
                <w:szCs w:val="20"/>
                <w:lang w:val="fr-CA"/>
              </w:rPr>
              <w:t>45</w:t>
            </w:r>
            <w:r w:rsidRPr="006E19F0">
              <w:rPr>
                <w:sz w:val="20"/>
                <w:szCs w:val="20"/>
                <w:lang w:val="fr-CA"/>
              </w:rPr>
              <w:t>5</w:t>
            </w:r>
            <w:r w:rsidR="006E19F0" w:rsidRPr="006E19F0">
              <w:rPr>
                <w:sz w:val="20"/>
                <w:szCs w:val="20"/>
                <w:lang w:val="fr-CA"/>
              </w:rPr>
              <w:t>6</w:t>
            </w:r>
            <w:r w:rsidRPr="006E19F0">
              <w:rPr>
                <w:sz w:val="20"/>
                <w:szCs w:val="20"/>
                <w:lang w:val="fr-CA"/>
              </w:rPr>
              <w:t>)</w:t>
            </w:r>
          </w:p>
          <w:p w:rsidR="001D718B" w:rsidRPr="006E19F0" w:rsidRDefault="001D718B" w:rsidP="008C53A6">
            <w:pPr>
              <w:tabs>
                <w:tab w:val="left" w:pos="-1440"/>
                <w:tab w:val="left" w:pos="-720"/>
              </w:tabs>
              <w:rPr>
                <w:sz w:val="20"/>
                <w:szCs w:val="20"/>
                <w:lang w:val="fr-CA"/>
              </w:rPr>
            </w:pPr>
          </w:p>
          <w:p w:rsidR="001D718B" w:rsidRPr="006E19F0" w:rsidRDefault="006E19F0" w:rsidP="008C53A6">
            <w:pPr>
              <w:tabs>
                <w:tab w:val="left" w:pos="-1440"/>
                <w:tab w:val="left" w:pos="-720"/>
              </w:tabs>
              <w:rPr>
                <w:b/>
                <w:sz w:val="20"/>
                <w:szCs w:val="20"/>
                <w:lang w:val="fr-CA"/>
              </w:rPr>
            </w:pPr>
            <w:r w:rsidRPr="006E19F0">
              <w:rPr>
                <w:b/>
                <w:sz w:val="20"/>
                <w:szCs w:val="20"/>
                <w:lang w:val="fr-CA"/>
              </w:rPr>
              <w:t xml:space="preserve">Harvey Cherow </w:t>
            </w:r>
            <w:r w:rsidR="001D718B" w:rsidRPr="006E19F0">
              <w:rPr>
                <w:b/>
                <w:sz w:val="20"/>
                <w:szCs w:val="20"/>
                <w:lang w:val="fr-CA"/>
              </w:rPr>
              <w:t>(</w:t>
            </w:r>
            <w:r w:rsidRPr="006E19F0">
              <w:rPr>
                <w:b/>
                <w:sz w:val="20"/>
                <w:szCs w:val="20"/>
                <w:lang w:val="fr-CA"/>
              </w:rPr>
              <w:t>Qc</w:t>
            </w:r>
            <w:r w:rsidR="001D718B" w:rsidRPr="006E19F0">
              <w:rPr>
                <w:b/>
                <w:sz w:val="20"/>
                <w:szCs w:val="20"/>
                <w:lang w:val="fr-CA"/>
              </w:rPr>
              <w:t>)</w:t>
            </w:r>
          </w:p>
          <w:p w:rsidR="001D718B" w:rsidRPr="006E19F0" w:rsidRDefault="001D718B" w:rsidP="008C53A6">
            <w:pPr>
              <w:tabs>
                <w:tab w:val="left" w:pos="-1440"/>
                <w:tab w:val="left" w:pos="-720"/>
              </w:tabs>
              <w:rPr>
                <w:sz w:val="20"/>
                <w:szCs w:val="20"/>
                <w:lang w:val="fr-CA"/>
              </w:rPr>
            </w:pPr>
            <w:r w:rsidRPr="006E19F0">
              <w:rPr>
                <w:sz w:val="20"/>
                <w:szCs w:val="20"/>
                <w:lang w:val="fr-CA"/>
              </w:rPr>
              <w:tab/>
            </w:r>
            <w:r w:rsidR="006E19F0" w:rsidRPr="006E19F0">
              <w:rPr>
                <w:sz w:val="20"/>
                <w:szCs w:val="20"/>
                <w:lang w:val="fr-CA"/>
              </w:rPr>
              <w:t>Richard Letendre</w:t>
            </w:r>
          </w:p>
          <w:p w:rsidR="001D718B" w:rsidRPr="006E19F0" w:rsidRDefault="001D718B" w:rsidP="008C53A6">
            <w:pPr>
              <w:tabs>
                <w:tab w:val="left" w:pos="-1440"/>
                <w:tab w:val="left" w:pos="-720"/>
              </w:tabs>
              <w:rPr>
                <w:sz w:val="20"/>
                <w:szCs w:val="20"/>
                <w:lang w:val="fr-CA"/>
              </w:rPr>
            </w:pPr>
          </w:p>
          <w:p w:rsidR="001D718B" w:rsidRPr="006E19F0" w:rsidRDefault="001D718B" w:rsidP="008C53A6">
            <w:pPr>
              <w:rPr>
                <w:sz w:val="20"/>
                <w:szCs w:val="20"/>
                <w:lang w:val="fr-CA"/>
              </w:rPr>
            </w:pPr>
            <w:r w:rsidRPr="006E19F0">
              <w:rPr>
                <w:sz w:val="20"/>
                <w:szCs w:val="20"/>
                <w:lang w:val="fr-CA"/>
              </w:rPr>
              <w:t>DATE</w:t>
            </w:r>
            <w:r w:rsidR="006E19F0" w:rsidRPr="006E19F0">
              <w:rPr>
                <w:sz w:val="20"/>
                <w:szCs w:val="20"/>
                <w:lang w:val="fr-CA"/>
              </w:rPr>
              <w:t xml:space="preserve"> DE PRODUCTION </w:t>
            </w:r>
            <w:r w:rsidRPr="006E19F0">
              <w:rPr>
                <w:sz w:val="20"/>
                <w:szCs w:val="20"/>
                <w:lang w:val="fr-CA"/>
              </w:rPr>
              <w:t xml:space="preserve">: </w:t>
            </w:r>
            <w:r w:rsidR="006E19F0" w:rsidRPr="006E19F0">
              <w:rPr>
                <w:sz w:val="20"/>
                <w:szCs w:val="20"/>
                <w:lang w:val="fr-CA"/>
              </w:rPr>
              <w:t>02</w:t>
            </w:r>
            <w:r w:rsidRPr="006E19F0">
              <w:rPr>
                <w:sz w:val="20"/>
                <w:szCs w:val="20"/>
                <w:lang w:val="fr-CA"/>
              </w:rPr>
              <w:t>.1</w:t>
            </w:r>
            <w:r w:rsidR="006E19F0" w:rsidRPr="006E19F0">
              <w:rPr>
                <w:sz w:val="20"/>
                <w:szCs w:val="20"/>
                <w:lang w:val="fr-CA"/>
              </w:rPr>
              <w:t>2</w:t>
            </w:r>
            <w:r w:rsidRPr="006E19F0">
              <w:rPr>
                <w:sz w:val="20"/>
                <w:szCs w:val="20"/>
                <w:lang w:val="fr-CA"/>
              </w:rPr>
              <w:t>.2011</w:t>
            </w:r>
          </w:p>
          <w:p w:rsidR="001D718B" w:rsidRDefault="00586706" w:rsidP="008C53A6">
            <w:pPr>
              <w:rPr>
                <w:sz w:val="20"/>
                <w:szCs w:val="20"/>
                <w:lang w:val="fr-CA"/>
              </w:rPr>
            </w:pPr>
            <w:r w:rsidRPr="00586706">
              <w:rPr>
                <w:sz w:val="20"/>
                <w:szCs w:val="20"/>
                <w:lang w:val="fr-CA"/>
              </w:rPr>
              <w:pict>
                <v:rect id="_x0000_i1033" style="width:108pt;height:1pt" o:hrpct="0" o:hralign="center" o:hrstd="t" o:hrnoshade="t" o:hr="t" fillcolor="black [3213]" stroked="f"/>
              </w:pict>
            </w:r>
          </w:p>
          <w:p w:rsidR="0028615A" w:rsidRDefault="0028615A" w:rsidP="008C53A6">
            <w:pPr>
              <w:rPr>
                <w:sz w:val="20"/>
                <w:szCs w:val="20"/>
                <w:lang w:val="fr-CA"/>
              </w:rPr>
            </w:pPr>
          </w:p>
          <w:p w:rsidR="0028615A" w:rsidRPr="00A935AA" w:rsidRDefault="0028615A" w:rsidP="0028615A">
            <w:pPr>
              <w:rPr>
                <w:sz w:val="20"/>
                <w:szCs w:val="20"/>
              </w:rPr>
            </w:pPr>
            <w:r>
              <w:rPr>
                <w:b/>
                <w:sz w:val="20"/>
                <w:szCs w:val="20"/>
              </w:rPr>
              <w:t xml:space="preserve">Perusahaan Pertambangan Minyak Dan Gas Bumi Negara et al. </w:t>
            </w:r>
          </w:p>
        </w:tc>
        <w:tc>
          <w:tcPr>
            <w:tcW w:w="1181" w:type="dxa"/>
            <w:shd w:val="clear" w:color="auto" w:fill="auto"/>
          </w:tcPr>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p w:rsidR="001D718B" w:rsidRPr="00A935AA" w:rsidRDefault="001D718B" w:rsidP="00242AEE">
            <w:pPr>
              <w:jc w:val="center"/>
              <w:rPr>
                <w:sz w:val="20"/>
                <w:szCs w:val="20"/>
              </w:rPr>
            </w:pPr>
          </w:p>
        </w:tc>
        <w:tc>
          <w:tcPr>
            <w:tcW w:w="4320" w:type="dxa"/>
            <w:shd w:val="clear" w:color="auto" w:fill="auto"/>
          </w:tcPr>
          <w:p w:rsidR="001D718B" w:rsidRPr="00A935AA" w:rsidRDefault="006E19F0" w:rsidP="008C53A6">
            <w:pPr>
              <w:keepNext/>
              <w:keepLines/>
              <w:tabs>
                <w:tab w:val="left" w:pos="-1440"/>
                <w:tab w:val="left" w:pos="-720"/>
              </w:tabs>
              <w:rPr>
                <w:b/>
                <w:sz w:val="20"/>
                <w:szCs w:val="20"/>
              </w:rPr>
            </w:pPr>
            <w:r>
              <w:rPr>
                <w:b/>
                <w:sz w:val="20"/>
                <w:szCs w:val="20"/>
              </w:rPr>
              <w:t>Tam Dong Le</w:t>
            </w:r>
          </w:p>
          <w:p w:rsidR="001D718B" w:rsidRPr="00A935AA" w:rsidRDefault="001D718B" w:rsidP="008C53A6">
            <w:pPr>
              <w:keepNext/>
              <w:keepLines/>
              <w:tabs>
                <w:tab w:val="left" w:pos="-1440"/>
                <w:tab w:val="left" w:pos="-720"/>
              </w:tabs>
              <w:rPr>
                <w:sz w:val="20"/>
                <w:szCs w:val="20"/>
              </w:rPr>
            </w:pPr>
            <w:r w:rsidRPr="00A935AA">
              <w:rPr>
                <w:sz w:val="20"/>
                <w:szCs w:val="20"/>
              </w:rPr>
              <w:tab/>
            </w:r>
            <w:r w:rsidR="006E19F0">
              <w:rPr>
                <w:sz w:val="20"/>
                <w:szCs w:val="20"/>
              </w:rPr>
              <w:t>Martin D. Glazer</w:t>
            </w:r>
          </w:p>
          <w:p w:rsidR="001D718B" w:rsidRDefault="0028615A" w:rsidP="008C53A6">
            <w:pPr>
              <w:keepNext/>
              <w:keepLines/>
              <w:tabs>
                <w:tab w:val="left" w:pos="-1440"/>
                <w:tab w:val="left" w:pos="-720"/>
              </w:tabs>
              <w:rPr>
                <w:sz w:val="20"/>
                <w:szCs w:val="20"/>
              </w:rPr>
            </w:pPr>
            <w:r>
              <w:rPr>
                <w:sz w:val="20"/>
                <w:szCs w:val="20"/>
              </w:rPr>
              <w:tab/>
              <w:t>Martin Glazer Law Office</w:t>
            </w:r>
          </w:p>
          <w:p w:rsidR="0028615A" w:rsidRPr="00A935AA" w:rsidRDefault="0028615A" w:rsidP="008C53A6">
            <w:pPr>
              <w:keepNext/>
              <w:keepLines/>
              <w:tabs>
                <w:tab w:val="left" w:pos="-1440"/>
                <w:tab w:val="left" w:pos="-720"/>
              </w:tabs>
              <w:rPr>
                <w:sz w:val="20"/>
                <w:szCs w:val="20"/>
              </w:rPr>
            </w:pPr>
          </w:p>
          <w:p w:rsidR="001D718B" w:rsidRPr="006E19F0" w:rsidRDefault="001D718B" w:rsidP="008C53A6">
            <w:pPr>
              <w:keepNext/>
              <w:keepLines/>
              <w:tabs>
                <w:tab w:val="left" w:pos="-1440"/>
                <w:tab w:val="left" w:pos="-720"/>
              </w:tabs>
              <w:rPr>
                <w:sz w:val="20"/>
                <w:szCs w:val="20"/>
              </w:rPr>
            </w:pPr>
            <w:r w:rsidRPr="00A935AA">
              <w:rPr>
                <w:sz w:val="20"/>
                <w:szCs w:val="20"/>
              </w:rPr>
              <w:tab/>
            </w:r>
            <w:r w:rsidRPr="006E19F0">
              <w:rPr>
                <w:sz w:val="20"/>
                <w:szCs w:val="20"/>
              </w:rPr>
              <w:t>v. (3</w:t>
            </w:r>
            <w:r w:rsidR="006E19F0">
              <w:rPr>
                <w:sz w:val="20"/>
                <w:szCs w:val="20"/>
              </w:rPr>
              <w:t>4</w:t>
            </w:r>
            <w:r w:rsidRPr="006E19F0">
              <w:rPr>
                <w:sz w:val="20"/>
                <w:szCs w:val="20"/>
              </w:rPr>
              <w:t>5</w:t>
            </w:r>
            <w:r w:rsidR="006E19F0">
              <w:rPr>
                <w:sz w:val="20"/>
                <w:szCs w:val="20"/>
              </w:rPr>
              <w:t>62</w:t>
            </w:r>
            <w:r w:rsidRPr="006E19F0">
              <w:rPr>
                <w:sz w:val="20"/>
                <w:szCs w:val="20"/>
              </w:rPr>
              <w:t>)</w:t>
            </w:r>
          </w:p>
          <w:p w:rsidR="001D718B" w:rsidRPr="006E19F0" w:rsidRDefault="001D718B" w:rsidP="008C53A6">
            <w:pPr>
              <w:keepNext/>
              <w:keepLines/>
              <w:tabs>
                <w:tab w:val="left" w:pos="-1440"/>
                <w:tab w:val="left" w:pos="-720"/>
              </w:tabs>
              <w:rPr>
                <w:sz w:val="20"/>
                <w:szCs w:val="20"/>
              </w:rPr>
            </w:pPr>
          </w:p>
          <w:p w:rsidR="001D718B" w:rsidRPr="006E19F0" w:rsidRDefault="006E19F0" w:rsidP="008C53A6">
            <w:pPr>
              <w:keepNext/>
              <w:keepLines/>
              <w:tabs>
                <w:tab w:val="left" w:pos="-1440"/>
                <w:tab w:val="left" w:pos="-720"/>
              </w:tabs>
              <w:rPr>
                <w:b/>
                <w:sz w:val="20"/>
                <w:szCs w:val="20"/>
              </w:rPr>
            </w:pPr>
            <w:r>
              <w:rPr>
                <w:b/>
                <w:sz w:val="20"/>
                <w:szCs w:val="20"/>
              </w:rPr>
              <w:t xml:space="preserve">Her Majesty the Queen </w:t>
            </w:r>
            <w:r w:rsidR="001D718B" w:rsidRPr="006E19F0">
              <w:rPr>
                <w:b/>
                <w:sz w:val="20"/>
                <w:szCs w:val="20"/>
              </w:rPr>
              <w:t>(</w:t>
            </w:r>
            <w:r>
              <w:rPr>
                <w:b/>
                <w:sz w:val="20"/>
                <w:szCs w:val="20"/>
              </w:rPr>
              <w:t>Ma</w:t>
            </w:r>
            <w:r w:rsidR="001D718B" w:rsidRPr="006E19F0">
              <w:rPr>
                <w:b/>
                <w:sz w:val="20"/>
                <w:szCs w:val="20"/>
              </w:rPr>
              <w:t>n.)</w:t>
            </w:r>
          </w:p>
          <w:p w:rsidR="001D718B" w:rsidRPr="006E19F0" w:rsidRDefault="001D718B" w:rsidP="008C53A6">
            <w:pPr>
              <w:keepNext/>
              <w:keepLines/>
              <w:tabs>
                <w:tab w:val="left" w:pos="-1440"/>
                <w:tab w:val="left" w:pos="-720"/>
              </w:tabs>
              <w:rPr>
                <w:sz w:val="20"/>
                <w:szCs w:val="20"/>
              </w:rPr>
            </w:pPr>
            <w:r w:rsidRPr="006E19F0">
              <w:rPr>
                <w:sz w:val="20"/>
                <w:szCs w:val="20"/>
              </w:rPr>
              <w:tab/>
            </w:r>
            <w:r w:rsidR="006E19F0">
              <w:rPr>
                <w:sz w:val="20"/>
                <w:szCs w:val="20"/>
              </w:rPr>
              <w:t>Elizabeth Thomson</w:t>
            </w:r>
          </w:p>
          <w:p w:rsidR="001D718B" w:rsidRPr="006E19F0" w:rsidRDefault="001D718B" w:rsidP="008C53A6">
            <w:pPr>
              <w:keepNext/>
              <w:keepLines/>
              <w:tabs>
                <w:tab w:val="left" w:pos="-1440"/>
                <w:tab w:val="left" w:pos="-720"/>
              </w:tabs>
              <w:rPr>
                <w:sz w:val="20"/>
                <w:szCs w:val="20"/>
              </w:rPr>
            </w:pPr>
            <w:r w:rsidRPr="006E19F0">
              <w:rPr>
                <w:sz w:val="20"/>
                <w:szCs w:val="20"/>
              </w:rPr>
              <w:tab/>
            </w:r>
            <w:r w:rsidR="006E19F0">
              <w:rPr>
                <w:sz w:val="20"/>
                <w:szCs w:val="20"/>
              </w:rPr>
              <w:t>A.G. of Manitoba</w:t>
            </w:r>
          </w:p>
          <w:p w:rsidR="001D718B" w:rsidRPr="006E19F0" w:rsidRDefault="001D718B" w:rsidP="008C53A6">
            <w:pPr>
              <w:keepNext/>
              <w:keepLines/>
              <w:tabs>
                <w:tab w:val="left" w:pos="-1440"/>
                <w:tab w:val="left" w:pos="-720"/>
              </w:tabs>
              <w:rPr>
                <w:sz w:val="20"/>
                <w:szCs w:val="20"/>
              </w:rPr>
            </w:pPr>
          </w:p>
          <w:p w:rsidR="001D718B" w:rsidRPr="00A935AA" w:rsidRDefault="001D718B" w:rsidP="006E19F0">
            <w:pPr>
              <w:rPr>
                <w:sz w:val="20"/>
                <w:szCs w:val="20"/>
              </w:rPr>
            </w:pPr>
            <w:r w:rsidRPr="00A935AA">
              <w:rPr>
                <w:sz w:val="20"/>
                <w:szCs w:val="20"/>
              </w:rPr>
              <w:t xml:space="preserve">FILING DATE: </w:t>
            </w:r>
            <w:r w:rsidR="006E19F0">
              <w:rPr>
                <w:sz w:val="20"/>
                <w:szCs w:val="20"/>
              </w:rPr>
              <w:t>0</w:t>
            </w:r>
            <w:r w:rsidRPr="00A935AA">
              <w:rPr>
                <w:sz w:val="20"/>
                <w:szCs w:val="20"/>
              </w:rPr>
              <w:t>2.</w:t>
            </w:r>
            <w:r>
              <w:rPr>
                <w:sz w:val="20"/>
                <w:szCs w:val="20"/>
              </w:rPr>
              <w:t>1</w:t>
            </w:r>
            <w:r w:rsidR="006E19F0">
              <w:rPr>
                <w:sz w:val="20"/>
                <w:szCs w:val="20"/>
              </w:rPr>
              <w:t>2</w:t>
            </w:r>
            <w:r w:rsidRPr="00A935AA">
              <w:rPr>
                <w:sz w:val="20"/>
                <w:szCs w:val="20"/>
              </w:rPr>
              <w:t>.201</w:t>
            </w:r>
            <w:r>
              <w:rPr>
                <w:sz w:val="20"/>
                <w:szCs w:val="20"/>
              </w:rPr>
              <w:t>1</w:t>
            </w:r>
            <w:r w:rsidR="00586706" w:rsidRPr="00586706">
              <w:rPr>
                <w:sz w:val="20"/>
                <w:szCs w:val="20"/>
                <w:lang w:val="fr-CA"/>
              </w:rPr>
              <w:pict>
                <v:rect id="_x0000_i1034" style="width:108pt;height:1pt" o:hrpct="0" o:hralign="center" o:hrstd="t" o:hrnoshade="t" o:hr="t" fillcolor="black [3213]" stroked="f"/>
              </w:pict>
            </w:r>
          </w:p>
        </w:tc>
      </w:tr>
      <w:tr w:rsidR="001D718B" w:rsidRPr="00A935AA" w:rsidTr="003B3977">
        <w:trPr>
          <w:cantSplit/>
        </w:trPr>
        <w:tc>
          <w:tcPr>
            <w:tcW w:w="4320" w:type="dxa"/>
            <w:shd w:val="clear" w:color="auto" w:fill="auto"/>
          </w:tcPr>
          <w:p w:rsidR="001D718B" w:rsidRPr="001975B6" w:rsidRDefault="001D718B" w:rsidP="008C53A6">
            <w:pPr>
              <w:tabs>
                <w:tab w:val="left" w:pos="-1440"/>
                <w:tab w:val="left" w:pos="-720"/>
              </w:tabs>
              <w:rPr>
                <w:sz w:val="20"/>
                <w:szCs w:val="20"/>
                <w:lang w:val="fr-CA"/>
              </w:rPr>
            </w:pPr>
            <w:r w:rsidRPr="001975B6">
              <w:rPr>
                <w:sz w:val="20"/>
                <w:szCs w:val="20"/>
                <w:lang w:val="fr-CA"/>
              </w:rPr>
              <w:tab/>
            </w:r>
            <w:r w:rsidR="006E19F0" w:rsidRPr="001975B6">
              <w:rPr>
                <w:sz w:val="20"/>
                <w:szCs w:val="20"/>
                <w:lang w:val="fr-CA"/>
              </w:rPr>
              <w:t>James E. Redmond, Q.C.</w:t>
            </w:r>
          </w:p>
          <w:p w:rsidR="001D718B" w:rsidRPr="001975B6" w:rsidRDefault="001D718B" w:rsidP="008C53A6">
            <w:pPr>
              <w:tabs>
                <w:tab w:val="left" w:pos="-1440"/>
                <w:tab w:val="left" w:pos="-720"/>
              </w:tabs>
              <w:rPr>
                <w:sz w:val="20"/>
                <w:szCs w:val="20"/>
                <w:lang w:val="fr-CA"/>
              </w:rPr>
            </w:pPr>
          </w:p>
          <w:p w:rsidR="001D718B" w:rsidRPr="00A935AA" w:rsidRDefault="001D718B" w:rsidP="008C53A6">
            <w:pPr>
              <w:tabs>
                <w:tab w:val="left" w:pos="-1440"/>
                <w:tab w:val="left" w:pos="-720"/>
              </w:tabs>
              <w:rPr>
                <w:sz w:val="20"/>
                <w:szCs w:val="20"/>
              </w:rPr>
            </w:pPr>
            <w:r w:rsidRPr="001975B6">
              <w:rPr>
                <w:sz w:val="20"/>
                <w:szCs w:val="20"/>
                <w:lang w:val="fr-CA"/>
              </w:rPr>
              <w:tab/>
            </w:r>
            <w:r w:rsidRPr="00A935AA">
              <w:rPr>
                <w:sz w:val="20"/>
                <w:szCs w:val="20"/>
              </w:rPr>
              <w:t>v. (3</w:t>
            </w:r>
            <w:r w:rsidR="006E19F0">
              <w:rPr>
                <w:sz w:val="20"/>
                <w:szCs w:val="20"/>
              </w:rPr>
              <w:t>45</w:t>
            </w:r>
            <w:r>
              <w:rPr>
                <w:sz w:val="20"/>
                <w:szCs w:val="20"/>
              </w:rPr>
              <w:t>5</w:t>
            </w:r>
            <w:r w:rsidR="006E19F0">
              <w:rPr>
                <w:sz w:val="20"/>
                <w:szCs w:val="20"/>
              </w:rPr>
              <w:t>4</w:t>
            </w:r>
            <w:r w:rsidRPr="00A935AA">
              <w:rPr>
                <w:sz w:val="20"/>
                <w:szCs w:val="20"/>
              </w:rPr>
              <w:t>)</w:t>
            </w:r>
          </w:p>
          <w:p w:rsidR="001D718B" w:rsidRPr="00A935AA" w:rsidRDefault="001D718B" w:rsidP="008C53A6">
            <w:pPr>
              <w:tabs>
                <w:tab w:val="left" w:pos="-1440"/>
                <w:tab w:val="left" w:pos="-720"/>
              </w:tabs>
              <w:rPr>
                <w:sz w:val="20"/>
                <w:szCs w:val="20"/>
              </w:rPr>
            </w:pPr>
          </w:p>
          <w:p w:rsidR="001D718B" w:rsidRPr="00A935AA" w:rsidRDefault="006E19F0" w:rsidP="008C53A6">
            <w:pPr>
              <w:tabs>
                <w:tab w:val="left" w:pos="-1440"/>
                <w:tab w:val="left" w:pos="-720"/>
              </w:tabs>
              <w:rPr>
                <w:b/>
                <w:sz w:val="20"/>
                <w:szCs w:val="20"/>
              </w:rPr>
            </w:pPr>
            <w:r>
              <w:rPr>
                <w:b/>
                <w:sz w:val="20"/>
                <w:szCs w:val="20"/>
              </w:rPr>
              <w:t xml:space="preserve">Karaha Bodas Company, L.L.C. </w:t>
            </w:r>
            <w:r w:rsidR="001D718B" w:rsidRPr="00A935AA">
              <w:rPr>
                <w:b/>
                <w:sz w:val="20"/>
                <w:szCs w:val="20"/>
              </w:rPr>
              <w:t>(</w:t>
            </w:r>
            <w:r>
              <w:rPr>
                <w:b/>
                <w:sz w:val="20"/>
                <w:szCs w:val="20"/>
              </w:rPr>
              <w:t>Alta</w:t>
            </w:r>
            <w:r w:rsidR="001D718B" w:rsidRPr="00A935AA">
              <w:rPr>
                <w:b/>
                <w:sz w:val="20"/>
                <w:szCs w:val="20"/>
              </w:rPr>
              <w:t>.)</w:t>
            </w:r>
          </w:p>
          <w:p w:rsidR="001D718B" w:rsidRPr="00A935AA" w:rsidRDefault="001D718B" w:rsidP="008C53A6">
            <w:pPr>
              <w:tabs>
                <w:tab w:val="left" w:pos="-1440"/>
                <w:tab w:val="left" w:pos="-720"/>
              </w:tabs>
              <w:rPr>
                <w:sz w:val="20"/>
                <w:szCs w:val="20"/>
              </w:rPr>
            </w:pPr>
            <w:r w:rsidRPr="00A935AA">
              <w:rPr>
                <w:sz w:val="20"/>
                <w:szCs w:val="20"/>
              </w:rPr>
              <w:tab/>
            </w:r>
            <w:r w:rsidR="006E19F0">
              <w:rPr>
                <w:sz w:val="20"/>
                <w:szCs w:val="20"/>
              </w:rPr>
              <w:t>Stephen L. Livingstone</w:t>
            </w:r>
          </w:p>
          <w:p w:rsidR="001D718B" w:rsidRPr="00A935AA" w:rsidRDefault="001D718B" w:rsidP="008C53A6">
            <w:pPr>
              <w:tabs>
                <w:tab w:val="left" w:pos="-1440"/>
                <w:tab w:val="left" w:pos="-720"/>
              </w:tabs>
              <w:rPr>
                <w:sz w:val="20"/>
                <w:szCs w:val="20"/>
              </w:rPr>
            </w:pPr>
            <w:r w:rsidRPr="00A935AA">
              <w:rPr>
                <w:sz w:val="20"/>
                <w:szCs w:val="20"/>
              </w:rPr>
              <w:tab/>
            </w:r>
            <w:r w:rsidR="006E19F0">
              <w:rPr>
                <w:sz w:val="20"/>
                <w:szCs w:val="20"/>
              </w:rPr>
              <w:t>McLennan Ross</w:t>
            </w:r>
            <w:r w:rsidR="0028615A">
              <w:rPr>
                <w:sz w:val="20"/>
                <w:szCs w:val="20"/>
              </w:rPr>
              <w:t xml:space="preserve"> LLP</w:t>
            </w:r>
          </w:p>
          <w:p w:rsidR="001D718B" w:rsidRPr="00A935AA" w:rsidRDefault="001D718B" w:rsidP="008C53A6">
            <w:pPr>
              <w:tabs>
                <w:tab w:val="left" w:pos="-1440"/>
                <w:tab w:val="left" w:pos="-720"/>
              </w:tabs>
              <w:rPr>
                <w:sz w:val="20"/>
                <w:szCs w:val="20"/>
              </w:rPr>
            </w:pPr>
          </w:p>
          <w:p w:rsidR="001D718B" w:rsidRPr="00A935AA" w:rsidRDefault="001D718B" w:rsidP="008C53A6">
            <w:pPr>
              <w:rPr>
                <w:sz w:val="20"/>
                <w:szCs w:val="20"/>
              </w:rPr>
            </w:pPr>
            <w:r w:rsidRPr="00A935AA">
              <w:rPr>
                <w:sz w:val="20"/>
                <w:szCs w:val="20"/>
              </w:rPr>
              <w:t xml:space="preserve">FILING DATE: </w:t>
            </w:r>
            <w:r w:rsidR="006E19F0">
              <w:rPr>
                <w:sz w:val="20"/>
                <w:szCs w:val="20"/>
              </w:rPr>
              <w:t>05</w:t>
            </w:r>
            <w:r w:rsidRPr="00A935AA">
              <w:rPr>
                <w:sz w:val="20"/>
                <w:szCs w:val="20"/>
              </w:rPr>
              <w:t>.</w:t>
            </w:r>
            <w:r>
              <w:rPr>
                <w:sz w:val="20"/>
                <w:szCs w:val="20"/>
              </w:rPr>
              <w:t>1</w:t>
            </w:r>
            <w:r w:rsidR="006E19F0">
              <w:rPr>
                <w:sz w:val="20"/>
                <w:szCs w:val="20"/>
              </w:rPr>
              <w:t>2</w:t>
            </w:r>
            <w:r w:rsidRPr="00A935AA">
              <w:rPr>
                <w:sz w:val="20"/>
                <w:szCs w:val="20"/>
              </w:rPr>
              <w:t>.201</w:t>
            </w:r>
            <w:r>
              <w:rPr>
                <w:sz w:val="20"/>
                <w:szCs w:val="20"/>
              </w:rPr>
              <w:t>1</w:t>
            </w:r>
          </w:p>
          <w:p w:rsidR="001D718B" w:rsidRDefault="00586706" w:rsidP="008C53A6">
            <w:pPr>
              <w:rPr>
                <w:sz w:val="20"/>
                <w:szCs w:val="20"/>
                <w:lang w:val="fr-CA"/>
              </w:rPr>
            </w:pPr>
            <w:r w:rsidRPr="00586706">
              <w:rPr>
                <w:sz w:val="20"/>
                <w:szCs w:val="20"/>
                <w:lang w:val="fr-CA"/>
              </w:rPr>
              <w:pict>
                <v:rect id="_x0000_i1035" style="width:108pt;height:1pt" o:hrpct="0" o:hralign="center" o:hrstd="t" o:hrnoshade="t" o:hr="t" fillcolor="black [3213]" stroked="f"/>
              </w:pict>
            </w:r>
          </w:p>
          <w:p w:rsidR="0028615A" w:rsidRDefault="0028615A" w:rsidP="008C53A6">
            <w:pPr>
              <w:rPr>
                <w:sz w:val="20"/>
                <w:szCs w:val="20"/>
                <w:lang w:val="fr-CA"/>
              </w:rPr>
            </w:pPr>
          </w:p>
          <w:p w:rsidR="0028615A" w:rsidRPr="001975B6" w:rsidRDefault="0028615A" w:rsidP="0028615A">
            <w:pPr>
              <w:rPr>
                <w:sz w:val="20"/>
                <w:szCs w:val="20"/>
                <w:lang w:val="fr-CA"/>
              </w:rPr>
            </w:pPr>
            <w:r w:rsidRPr="00E371B3">
              <w:rPr>
                <w:b/>
                <w:sz w:val="20"/>
                <w:szCs w:val="20"/>
                <w:lang w:val="fr-CA"/>
              </w:rPr>
              <w:t>Coastal Contacts Inc. et autre</w:t>
            </w:r>
          </w:p>
        </w:tc>
        <w:tc>
          <w:tcPr>
            <w:tcW w:w="1181" w:type="dxa"/>
            <w:shd w:val="clear" w:color="auto" w:fill="auto"/>
          </w:tcPr>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p w:rsidR="001D718B" w:rsidRPr="001975B6" w:rsidRDefault="001D718B" w:rsidP="00242AEE">
            <w:pPr>
              <w:jc w:val="center"/>
              <w:rPr>
                <w:sz w:val="20"/>
                <w:szCs w:val="20"/>
                <w:lang w:val="fr-CA"/>
              </w:rPr>
            </w:pPr>
          </w:p>
        </w:tc>
        <w:tc>
          <w:tcPr>
            <w:tcW w:w="4320" w:type="dxa"/>
            <w:shd w:val="clear" w:color="auto" w:fill="auto"/>
          </w:tcPr>
          <w:p w:rsidR="006E19F0" w:rsidRPr="00A935AA" w:rsidRDefault="006E19F0" w:rsidP="008C53A6">
            <w:pPr>
              <w:keepNext/>
              <w:keepLines/>
              <w:tabs>
                <w:tab w:val="left" w:pos="-1440"/>
                <w:tab w:val="left" w:pos="-720"/>
              </w:tabs>
              <w:rPr>
                <w:b/>
                <w:sz w:val="20"/>
                <w:szCs w:val="20"/>
              </w:rPr>
            </w:pPr>
            <w:r>
              <w:rPr>
                <w:b/>
                <w:sz w:val="20"/>
                <w:szCs w:val="20"/>
              </w:rPr>
              <w:t>United Mexican States</w:t>
            </w:r>
          </w:p>
          <w:p w:rsidR="001D718B" w:rsidRPr="00A935AA" w:rsidRDefault="001D718B" w:rsidP="008C53A6">
            <w:pPr>
              <w:keepNext/>
              <w:keepLines/>
              <w:tabs>
                <w:tab w:val="left" w:pos="-1440"/>
                <w:tab w:val="left" w:pos="-720"/>
              </w:tabs>
              <w:rPr>
                <w:sz w:val="20"/>
                <w:szCs w:val="20"/>
              </w:rPr>
            </w:pPr>
            <w:r w:rsidRPr="00A935AA">
              <w:rPr>
                <w:sz w:val="20"/>
                <w:szCs w:val="20"/>
              </w:rPr>
              <w:tab/>
            </w:r>
            <w:r w:rsidR="006E19F0">
              <w:rPr>
                <w:sz w:val="20"/>
                <w:szCs w:val="20"/>
              </w:rPr>
              <w:t>Patrick G. Foy, Q.C.</w:t>
            </w:r>
          </w:p>
          <w:p w:rsidR="001D718B" w:rsidRPr="00A935AA" w:rsidRDefault="001D718B" w:rsidP="008C53A6">
            <w:pPr>
              <w:keepNext/>
              <w:keepLines/>
              <w:tabs>
                <w:tab w:val="left" w:pos="-1440"/>
                <w:tab w:val="left" w:pos="-720"/>
              </w:tabs>
              <w:rPr>
                <w:sz w:val="20"/>
                <w:szCs w:val="20"/>
              </w:rPr>
            </w:pPr>
            <w:r w:rsidRPr="00A935AA">
              <w:rPr>
                <w:sz w:val="20"/>
                <w:szCs w:val="20"/>
              </w:rPr>
              <w:tab/>
            </w:r>
            <w:r w:rsidR="006E19F0">
              <w:rPr>
                <w:sz w:val="20"/>
                <w:szCs w:val="20"/>
              </w:rPr>
              <w:t>Borden Ladner Gervais LLP</w:t>
            </w:r>
          </w:p>
          <w:p w:rsidR="001D718B" w:rsidRPr="00A935AA" w:rsidRDefault="001D718B" w:rsidP="008C53A6">
            <w:pPr>
              <w:keepNext/>
              <w:keepLines/>
              <w:tabs>
                <w:tab w:val="left" w:pos="-1440"/>
                <w:tab w:val="left" w:pos="-720"/>
              </w:tabs>
              <w:rPr>
                <w:sz w:val="20"/>
                <w:szCs w:val="20"/>
              </w:rPr>
            </w:pPr>
          </w:p>
          <w:p w:rsidR="001D718B" w:rsidRPr="006E19F0" w:rsidRDefault="001D718B" w:rsidP="008C53A6">
            <w:pPr>
              <w:keepNext/>
              <w:keepLines/>
              <w:tabs>
                <w:tab w:val="left" w:pos="-1440"/>
                <w:tab w:val="left" w:pos="-720"/>
              </w:tabs>
              <w:rPr>
                <w:sz w:val="20"/>
                <w:szCs w:val="20"/>
              </w:rPr>
            </w:pPr>
            <w:r w:rsidRPr="00A935AA">
              <w:rPr>
                <w:sz w:val="20"/>
                <w:szCs w:val="20"/>
              </w:rPr>
              <w:tab/>
            </w:r>
            <w:r w:rsidRPr="006E19F0">
              <w:rPr>
                <w:sz w:val="20"/>
                <w:szCs w:val="20"/>
              </w:rPr>
              <w:t>v. (3</w:t>
            </w:r>
            <w:r w:rsidR="006E19F0">
              <w:rPr>
                <w:sz w:val="20"/>
                <w:szCs w:val="20"/>
              </w:rPr>
              <w:t>45</w:t>
            </w:r>
            <w:r w:rsidRPr="006E19F0">
              <w:rPr>
                <w:sz w:val="20"/>
                <w:szCs w:val="20"/>
              </w:rPr>
              <w:t>5</w:t>
            </w:r>
            <w:r w:rsidR="006E19F0">
              <w:rPr>
                <w:sz w:val="20"/>
                <w:szCs w:val="20"/>
              </w:rPr>
              <w:t>9</w:t>
            </w:r>
            <w:r w:rsidRPr="006E19F0">
              <w:rPr>
                <w:sz w:val="20"/>
                <w:szCs w:val="20"/>
              </w:rPr>
              <w:t>)</w:t>
            </w:r>
          </w:p>
          <w:p w:rsidR="001D718B" w:rsidRPr="006E19F0" w:rsidRDefault="001D718B" w:rsidP="008C53A6">
            <w:pPr>
              <w:keepNext/>
              <w:keepLines/>
              <w:tabs>
                <w:tab w:val="left" w:pos="-1440"/>
                <w:tab w:val="left" w:pos="-720"/>
              </w:tabs>
              <w:rPr>
                <w:sz w:val="20"/>
                <w:szCs w:val="20"/>
              </w:rPr>
            </w:pPr>
          </w:p>
          <w:p w:rsidR="001D718B" w:rsidRPr="006E19F0" w:rsidRDefault="006E19F0" w:rsidP="008C53A6">
            <w:pPr>
              <w:keepNext/>
              <w:keepLines/>
              <w:tabs>
                <w:tab w:val="left" w:pos="-1440"/>
                <w:tab w:val="left" w:pos="-720"/>
              </w:tabs>
              <w:rPr>
                <w:b/>
                <w:sz w:val="20"/>
                <w:szCs w:val="20"/>
              </w:rPr>
            </w:pPr>
            <w:r>
              <w:rPr>
                <w:b/>
                <w:sz w:val="20"/>
                <w:szCs w:val="20"/>
              </w:rPr>
              <w:t xml:space="preserve">Cargill, Incorporated </w:t>
            </w:r>
            <w:r w:rsidR="001D718B" w:rsidRPr="006E19F0">
              <w:rPr>
                <w:b/>
                <w:sz w:val="20"/>
                <w:szCs w:val="20"/>
              </w:rPr>
              <w:t>(Ont.)</w:t>
            </w:r>
          </w:p>
          <w:p w:rsidR="001D718B" w:rsidRPr="006E19F0" w:rsidRDefault="001D718B" w:rsidP="008C53A6">
            <w:pPr>
              <w:keepNext/>
              <w:keepLines/>
              <w:tabs>
                <w:tab w:val="left" w:pos="-1440"/>
                <w:tab w:val="left" w:pos="-720"/>
              </w:tabs>
              <w:rPr>
                <w:sz w:val="20"/>
                <w:szCs w:val="20"/>
              </w:rPr>
            </w:pPr>
            <w:r w:rsidRPr="006E19F0">
              <w:rPr>
                <w:sz w:val="20"/>
                <w:szCs w:val="20"/>
              </w:rPr>
              <w:tab/>
            </w:r>
            <w:r w:rsidR="006E19F0">
              <w:rPr>
                <w:sz w:val="20"/>
                <w:szCs w:val="20"/>
              </w:rPr>
              <w:t>John Terry</w:t>
            </w:r>
          </w:p>
          <w:p w:rsidR="001D718B" w:rsidRPr="006E19F0" w:rsidRDefault="001D718B" w:rsidP="008C53A6">
            <w:pPr>
              <w:keepNext/>
              <w:keepLines/>
              <w:tabs>
                <w:tab w:val="left" w:pos="-1440"/>
                <w:tab w:val="left" w:pos="-720"/>
              </w:tabs>
              <w:rPr>
                <w:sz w:val="20"/>
                <w:szCs w:val="20"/>
              </w:rPr>
            </w:pPr>
            <w:r w:rsidRPr="006E19F0">
              <w:rPr>
                <w:sz w:val="20"/>
                <w:szCs w:val="20"/>
              </w:rPr>
              <w:tab/>
            </w:r>
            <w:r w:rsidR="006E19F0">
              <w:rPr>
                <w:sz w:val="20"/>
                <w:szCs w:val="20"/>
              </w:rPr>
              <w:t>Torys LLP</w:t>
            </w:r>
          </w:p>
          <w:p w:rsidR="001D718B" w:rsidRPr="006E19F0" w:rsidRDefault="001D718B" w:rsidP="008C53A6">
            <w:pPr>
              <w:keepNext/>
              <w:keepLines/>
              <w:tabs>
                <w:tab w:val="left" w:pos="-1440"/>
                <w:tab w:val="left" w:pos="-720"/>
              </w:tabs>
              <w:rPr>
                <w:sz w:val="20"/>
                <w:szCs w:val="20"/>
              </w:rPr>
            </w:pPr>
          </w:p>
          <w:p w:rsidR="001D718B" w:rsidRPr="00A935AA" w:rsidRDefault="001D718B" w:rsidP="006E19F0">
            <w:pPr>
              <w:rPr>
                <w:sz w:val="20"/>
                <w:szCs w:val="20"/>
              </w:rPr>
            </w:pPr>
            <w:r w:rsidRPr="00A935AA">
              <w:rPr>
                <w:sz w:val="20"/>
                <w:szCs w:val="20"/>
              </w:rPr>
              <w:t xml:space="preserve">FILING DATE: </w:t>
            </w:r>
            <w:r w:rsidR="006E19F0">
              <w:rPr>
                <w:sz w:val="20"/>
                <w:szCs w:val="20"/>
              </w:rPr>
              <w:t>05</w:t>
            </w:r>
            <w:r w:rsidRPr="00A935AA">
              <w:rPr>
                <w:sz w:val="20"/>
                <w:szCs w:val="20"/>
              </w:rPr>
              <w:t>.</w:t>
            </w:r>
            <w:r>
              <w:rPr>
                <w:sz w:val="20"/>
                <w:szCs w:val="20"/>
              </w:rPr>
              <w:t>1</w:t>
            </w:r>
            <w:r w:rsidR="006E19F0">
              <w:rPr>
                <w:sz w:val="20"/>
                <w:szCs w:val="20"/>
              </w:rPr>
              <w:t>2</w:t>
            </w:r>
            <w:r w:rsidRPr="00A935AA">
              <w:rPr>
                <w:sz w:val="20"/>
                <w:szCs w:val="20"/>
              </w:rPr>
              <w:t>.201</w:t>
            </w:r>
            <w:r>
              <w:rPr>
                <w:sz w:val="20"/>
                <w:szCs w:val="20"/>
              </w:rPr>
              <w:t>1</w:t>
            </w:r>
            <w:r w:rsidR="00586706" w:rsidRPr="00586706">
              <w:rPr>
                <w:sz w:val="20"/>
                <w:szCs w:val="20"/>
                <w:lang w:val="fr-CA"/>
              </w:rPr>
              <w:pict>
                <v:rect id="_x0000_i1036" style="width:108pt;height:1pt" o:hrpct="0" o:hralign="center" o:hrstd="t" o:hrnoshade="t" o:hr="t" fillcolor="black [3213]" stroked="f"/>
              </w:pict>
            </w:r>
          </w:p>
        </w:tc>
      </w:tr>
      <w:tr w:rsidR="001D718B" w:rsidRPr="004061E0" w:rsidTr="003B3977">
        <w:trPr>
          <w:cantSplit/>
        </w:trPr>
        <w:tc>
          <w:tcPr>
            <w:tcW w:w="4320" w:type="dxa"/>
            <w:shd w:val="clear" w:color="auto" w:fill="auto"/>
          </w:tcPr>
          <w:p w:rsidR="001D718B" w:rsidRPr="00E371B3" w:rsidRDefault="001D718B" w:rsidP="008C53A6">
            <w:pPr>
              <w:tabs>
                <w:tab w:val="left" w:pos="-1440"/>
                <w:tab w:val="left" w:pos="-720"/>
              </w:tabs>
              <w:rPr>
                <w:sz w:val="20"/>
                <w:szCs w:val="20"/>
                <w:lang w:val="fr-CA"/>
              </w:rPr>
            </w:pPr>
            <w:r w:rsidRPr="00E371B3">
              <w:rPr>
                <w:sz w:val="20"/>
                <w:szCs w:val="20"/>
                <w:lang w:val="fr-CA"/>
              </w:rPr>
              <w:tab/>
            </w:r>
            <w:r w:rsidR="00E371B3" w:rsidRPr="00E371B3">
              <w:rPr>
                <w:sz w:val="20"/>
                <w:szCs w:val="20"/>
                <w:lang w:val="fr-CA"/>
              </w:rPr>
              <w:t>Sylvain Poirier</w:t>
            </w:r>
          </w:p>
          <w:p w:rsidR="001D718B" w:rsidRPr="001975B6" w:rsidRDefault="001D718B" w:rsidP="008C53A6">
            <w:pPr>
              <w:tabs>
                <w:tab w:val="left" w:pos="-1440"/>
                <w:tab w:val="left" w:pos="-720"/>
              </w:tabs>
              <w:rPr>
                <w:sz w:val="20"/>
                <w:szCs w:val="20"/>
                <w:lang w:val="fr-CA"/>
              </w:rPr>
            </w:pPr>
            <w:r w:rsidRPr="00E371B3">
              <w:rPr>
                <w:sz w:val="20"/>
                <w:szCs w:val="20"/>
                <w:lang w:val="fr-CA"/>
              </w:rPr>
              <w:tab/>
            </w:r>
            <w:r w:rsidR="00E371B3" w:rsidRPr="001975B6">
              <w:rPr>
                <w:sz w:val="20"/>
                <w:szCs w:val="20"/>
                <w:lang w:val="fr-CA"/>
              </w:rPr>
              <w:t>Heenan Blaikie s.r.l.</w:t>
            </w:r>
          </w:p>
          <w:p w:rsidR="001D718B" w:rsidRPr="001975B6" w:rsidRDefault="001D718B" w:rsidP="008C53A6">
            <w:pPr>
              <w:tabs>
                <w:tab w:val="left" w:pos="-1440"/>
                <w:tab w:val="left" w:pos="-720"/>
              </w:tabs>
              <w:rPr>
                <w:sz w:val="20"/>
                <w:szCs w:val="20"/>
                <w:lang w:val="fr-CA"/>
              </w:rPr>
            </w:pPr>
          </w:p>
          <w:p w:rsidR="001D718B" w:rsidRPr="00FD31B7" w:rsidRDefault="001D718B" w:rsidP="008C53A6">
            <w:pPr>
              <w:tabs>
                <w:tab w:val="left" w:pos="-1440"/>
                <w:tab w:val="left" w:pos="-720"/>
              </w:tabs>
              <w:rPr>
                <w:sz w:val="20"/>
                <w:szCs w:val="20"/>
                <w:lang w:val="fr-CA"/>
              </w:rPr>
            </w:pPr>
            <w:r w:rsidRPr="001975B6">
              <w:rPr>
                <w:sz w:val="20"/>
                <w:szCs w:val="20"/>
                <w:lang w:val="fr-CA"/>
              </w:rPr>
              <w:tab/>
            </w:r>
            <w:r w:rsidR="00696F93" w:rsidRPr="00FD31B7">
              <w:rPr>
                <w:sz w:val="20"/>
                <w:szCs w:val="20"/>
                <w:lang w:val="fr-CA"/>
              </w:rPr>
              <w:t>c</w:t>
            </w:r>
            <w:r w:rsidRPr="00FD31B7">
              <w:rPr>
                <w:sz w:val="20"/>
                <w:szCs w:val="20"/>
                <w:lang w:val="fr-CA"/>
              </w:rPr>
              <w:t>. (3</w:t>
            </w:r>
            <w:r w:rsidR="00E371B3" w:rsidRPr="00FD31B7">
              <w:rPr>
                <w:sz w:val="20"/>
                <w:szCs w:val="20"/>
                <w:lang w:val="fr-CA"/>
              </w:rPr>
              <w:t>4</w:t>
            </w:r>
            <w:r w:rsidRPr="00FD31B7">
              <w:rPr>
                <w:sz w:val="20"/>
                <w:szCs w:val="20"/>
                <w:lang w:val="fr-CA"/>
              </w:rPr>
              <w:t>5</w:t>
            </w:r>
            <w:r w:rsidR="00E371B3" w:rsidRPr="00FD31B7">
              <w:rPr>
                <w:sz w:val="20"/>
                <w:szCs w:val="20"/>
                <w:lang w:val="fr-CA"/>
              </w:rPr>
              <w:t>63</w:t>
            </w:r>
            <w:r w:rsidRPr="00FD31B7">
              <w:rPr>
                <w:sz w:val="20"/>
                <w:szCs w:val="20"/>
                <w:lang w:val="fr-CA"/>
              </w:rPr>
              <w:t>)</w:t>
            </w:r>
          </w:p>
          <w:p w:rsidR="001D718B" w:rsidRPr="00FD31B7" w:rsidRDefault="001D718B" w:rsidP="008C53A6">
            <w:pPr>
              <w:tabs>
                <w:tab w:val="left" w:pos="-1440"/>
                <w:tab w:val="left" w:pos="-720"/>
              </w:tabs>
              <w:rPr>
                <w:sz w:val="20"/>
                <w:szCs w:val="20"/>
                <w:lang w:val="fr-CA"/>
              </w:rPr>
            </w:pPr>
          </w:p>
          <w:p w:rsidR="001D718B" w:rsidRPr="00E371B3" w:rsidRDefault="0028615A" w:rsidP="008C53A6">
            <w:pPr>
              <w:tabs>
                <w:tab w:val="left" w:pos="-1440"/>
                <w:tab w:val="left" w:pos="-720"/>
              </w:tabs>
              <w:rPr>
                <w:b/>
                <w:sz w:val="20"/>
                <w:szCs w:val="20"/>
                <w:lang w:val="fr-CA"/>
              </w:rPr>
            </w:pPr>
            <w:r>
              <w:rPr>
                <w:b/>
                <w:sz w:val="20"/>
                <w:szCs w:val="20"/>
                <w:lang w:val="fr-CA"/>
              </w:rPr>
              <w:t>Ordre des optométristes du Québec</w:t>
            </w:r>
            <w:r w:rsidR="00E371B3" w:rsidRPr="00E371B3">
              <w:rPr>
                <w:b/>
                <w:sz w:val="20"/>
                <w:szCs w:val="20"/>
                <w:lang w:val="fr-CA"/>
              </w:rPr>
              <w:t xml:space="preserve"> </w:t>
            </w:r>
            <w:r w:rsidR="001D718B" w:rsidRPr="00E371B3">
              <w:rPr>
                <w:b/>
                <w:sz w:val="20"/>
                <w:szCs w:val="20"/>
                <w:lang w:val="fr-CA"/>
              </w:rPr>
              <w:t>(</w:t>
            </w:r>
            <w:r w:rsidR="00E371B3" w:rsidRPr="00E371B3">
              <w:rPr>
                <w:b/>
                <w:sz w:val="20"/>
                <w:szCs w:val="20"/>
                <w:lang w:val="fr-CA"/>
              </w:rPr>
              <w:t>Qc</w:t>
            </w:r>
            <w:r w:rsidR="001D718B" w:rsidRPr="00E371B3">
              <w:rPr>
                <w:b/>
                <w:sz w:val="20"/>
                <w:szCs w:val="20"/>
                <w:lang w:val="fr-CA"/>
              </w:rPr>
              <w:t>)</w:t>
            </w:r>
          </w:p>
          <w:p w:rsidR="001D718B" w:rsidRPr="00E371B3" w:rsidRDefault="001D718B" w:rsidP="008C53A6">
            <w:pPr>
              <w:tabs>
                <w:tab w:val="left" w:pos="-1440"/>
                <w:tab w:val="left" w:pos="-720"/>
              </w:tabs>
              <w:rPr>
                <w:sz w:val="20"/>
                <w:szCs w:val="20"/>
                <w:lang w:val="fr-CA"/>
              </w:rPr>
            </w:pPr>
            <w:r w:rsidRPr="00E371B3">
              <w:rPr>
                <w:sz w:val="20"/>
                <w:szCs w:val="20"/>
                <w:lang w:val="fr-CA"/>
              </w:rPr>
              <w:tab/>
            </w:r>
            <w:r w:rsidR="00E371B3" w:rsidRPr="00E371B3">
              <w:rPr>
                <w:sz w:val="20"/>
                <w:szCs w:val="20"/>
                <w:lang w:val="fr-CA"/>
              </w:rPr>
              <w:t>Marc Simard</w:t>
            </w:r>
          </w:p>
          <w:p w:rsidR="001D718B" w:rsidRPr="00E371B3" w:rsidRDefault="001D718B" w:rsidP="008C53A6">
            <w:pPr>
              <w:tabs>
                <w:tab w:val="left" w:pos="-1440"/>
                <w:tab w:val="left" w:pos="-720"/>
              </w:tabs>
              <w:rPr>
                <w:sz w:val="20"/>
                <w:szCs w:val="20"/>
                <w:lang w:val="fr-CA"/>
              </w:rPr>
            </w:pPr>
            <w:r w:rsidRPr="00E371B3">
              <w:rPr>
                <w:sz w:val="20"/>
                <w:szCs w:val="20"/>
                <w:lang w:val="fr-CA"/>
              </w:rPr>
              <w:tab/>
            </w:r>
            <w:r w:rsidR="00E371B3" w:rsidRPr="00E371B3">
              <w:rPr>
                <w:sz w:val="20"/>
                <w:szCs w:val="20"/>
                <w:lang w:val="fr-CA"/>
              </w:rPr>
              <w:t>Bélanger, Sauvé</w:t>
            </w:r>
          </w:p>
          <w:p w:rsidR="001D718B" w:rsidRPr="00E371B3" w:rsidRDefault="001D718B" w:rsidP="008C53A6">
            <w:pPr>
              <w:tabs>
                <w:tab w:val="left" w:pos="-1440"/>
                <w:tab w:val="left" w:pos="-720"/>
              </w:tabs>
              <w:rPr>
                <w:sz w:val="20"/>
                <w:szCs w:val="20"/>
                <w:lang w:val="fr-CA"/>
              </w:rPr>
            </w:pPr>
          </w:p>
          <w:p w:rsidR="001D718B" w:rsidRPr="00FD31B7" w:rsidRDefault="001D718B" w:rsidP="008C53A6">
            <w:pPr>
              <w:rPr>
                <w:sz w:val="20"/>
                <w:szCs w:val="20"/>
                <w:lang w:val="fr-CA"/>
              </w:rPr>
            </w:pPr>
            <w:r w:rsidRPr="00FD31B7">
              <w:rPr>
                <w:sz w:val="20"/>
                <w:szCs w:val="20"/>
                <w:lang w:val="fr-CA"/>
              </w:rPr>
              <w:t>DATE</w:t>
            </w:r>
            <w:r w:rsidR="00696F93" w:rsidRPr="00FD31B7">
              <w:rPr>
                <w:sz w:val="20"/>
                <w:szCs w:val="20"/>
                <w:lang w:val="fr-CA"/>
              </w:rPr>
              <w:t xml:space="preserve"> DE PRODUCTION </w:t>
            </w:r>
            <w:r w:rsidRPr="00FD31B7">
              <w:rPr>
                <w:sz w:val="20"/>
                <w:szCs w:val="20"/>
                <w:lang w:val="fr-CA"/>
              </w:rPr>
              <w:t xml:space="preserve">: </w:t>
            </w:r>
            <w:r w:rsidR="00E371B3" w:rsidRPr="00FD31B7">
              <w:rPr>
                <w:sz w:val="20"/>
                <w:szCs w:val="20"/>
                <w:lang w:val="fr-CA"/>
              </w:rPr>
              <w:t>05</w:t>
            </w:r>
            <w:r w:rsidRPr="00FD31B7">
              <w:rPr>
                <w:sz w:val="20"/>
                <w:szCs w:val="20"/>
                <w:lang w:val="fr-CA"/>
              </w:rPr>
              <w:t>.1</w:t>
            </w:r>
            <w:r w:rsidR="00E371B3" w:rsidRPr="00FD31B7">
              <w:rPr>
                <w:sz w:val="20"/>
                <w:szCs w:val="20"/>
                <w:lang w:val="fr-CA"/>
              </w:rPr>
              <w:t>2</w:t>
            </w:r>
            <w:r w:rsidRPr="00FD31B7">
              <w:rPr>
                <w:sz w:val="20"/>
                <w:szCs w:val="20"/>
                <w:lang w:val="fr-CA"/>
              </w:rPr>
              <w:t>.2011</w:t>
            </w:r>
          </w:p>
          <w:p w:rsidR="001D718B" w:rsidRPr="00A935AA" w:rsidRDefault="00586706" w:rsidP="008C53A6">
            <w:pPr>
              <w:rPr>
                <w:sz w:val="20"/>
                <w:szCs w:val="20"/>
              </w:rPr>
            </w:pPr>
            <w:r w:rsidRPr="00586706">
              <w:rPr>
                <w:sz w:val="20"/>
                <w:szCs w:val="20"/>
                <w:lang w:val="fr-CA"/>
              </w:rPr>
              <w:pict>
                <v:rect id="_x0000_i1037" style="width:108pt;height:1pt" o:hrpct="0" o:hralign="center" o:hrstd="t" o:hrnoshade="t" o:hr="t" fillcolor="black [3213]" stroked="f"/>
              </w:pict>
            </w:r>
          </w:p>
        </w:tc>
        <w:tc>
          <w:tcPr>
            <w:tcW w:w="1181" w:type="dxa"/>
            <w:shd w:val="clear" w:color="auto" w:fill="auto"/>
          </w:tcPr>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Default="001D718B" w:rsidP="00242AEE">
            <w:pPr>
              <w:jc w:val="center"/>
              <w:rPr>
                <w:sz w:val="20"/>
                <w:szCs w:val="20"/>
              </w:rPr>
            </w:pPr>
          </w:p>
          <w:p w:rsidR="001D718B" w:rsidRPr="00A935AA" w:rsidRDefault="001D718B" w:rsidP="00242AEE">
            <w:pPr>
              <w:jc w:val="center"/>
              <w:rPr>
                <w:sz w:val="20"/>
                <w:szCs w:val="20"/>
              </w:rPr>
            </w:pPr>
          </w:p>
        </w:tc>
        <w:tc>
          <w:tcPr>
            <w:tcW w:w="4320" w:type="dxa"/>
            <w:shd w:val="clear" w:color="auto" w:fill="auto"/>
          </w:tcPr>
          <w:p w:rsidR="00972939" w:rsidRDefault="00972939" w:rsidP="008C53A6">
            <w:pPr>
              <w:keepNext/>
              <w:keepLines/>
              <w:tabs>
                <w:tab w:val="left" w:pos="-1440"/>
                <w:tab w:val="left" w:pos="-720"/>
              </w:tabs>
              <w:rPr>
                <w:b/>
                <w:sz w:val="20"/>
                <w:szCs w:val="20"/>
                <w:lang w:val="fr-CA"/>
              </w:rPr>
            </w:pPr>
          </w:p>
          <w:p w:rsidR="001D718B" w:rsidRPr="00E371B3" w:rsidRDefault="00E371B3" w:rsidP="008C53A6">
            <w:pPr>
              <w:keepNext/>
              <w:keepLines/>
              <w:tabs>
                <w:tab w:val="left" w:pos="-1440"/>
                <w:tab w:val="left" w:pos="-720"/>
              </w:tabs>
              <w:rPr>
                <w:b/>
                <w:sz w:val="20"/>
                <w:szCs w:val="20"/>
                <w:lang w:val="fr-CA"/>
              </w:rPr>
            </w:pPr>
            <w:r w:rsidRPr="00E371B3">
              <w:rPr>
                <w:b/>
                <w:sz w:val="20"/>
                <w:szCs w:val="20"/>
                <w:lang w:val="fr-CA"/>
              </w:rPr>
              <w:t>Hughette Lepage et autre</w:t>
            </w:r>
          </w:p>
          <w:p w:rsidR="001D718B" w:rsidRPr="00E371B3" w:rsidRDefault="001D718B" w:rsidP="008C53A6">
            <w:pPr>
              <w:keepNext/>
              <w:keepLines/>
              <w:tabs>
                <w:tab w:val="left" w:pos="-1440"/>
                <w:tab w:val="left" w:pos="-720"/>
              </w:tabs>
              <w:rPr>
                <w:sz w:val="20"/>
                <w:szCs w:val="20"/>
                <w:lang w:val="fr-CA"/>
              </w:rPr>
            </w:pPr>
            <w:r w:rsidRPr="00E371B3">
              <w:rPr>
                <w:sz w:val="20"/>
                <w:szCs w:val="20"/>
                <w:lang w:val="fr-CA"/>
              </w:rPr>
              <w:tab/>
            </w:r>
            <w:r w:rsidR="00E371B3" w:rsidRPr="00E371B3">
              <w:rPr>
                <w:sz w:val="20"/>
                <w:szCs w:val="20"/>
                <w:lang w:val="fr-CA"/>
              </w:rPr>
              <w:t>Martin Courville</w:t>
            </w:r>
          </w:p>
          <w:p w:rsidR="001D718B" w:rsidRPr="00E371B3" w:rsidRDefault="001D718B" w:rsidP="008C53A6">
            <w:pPr>
              <w:keepNext/>
              <w:keepLines/>
              <w:tabs>
                <w:tab w:val="left" w:pos="-1440"/>
                <w:tab w:val="left" w:pos="-720"/>
              </w:tabs>
              <w:rPr>
                <w:sz w:val="20"/>
                <w:szCs w:val="20"/>
                <w:lang w:val="fr-CA"/>
              </w:rPr>
            </w:pPr>
            <w:r w:rsidRPr="00E371B3">
              <w:rPr>
                <w:sz w:val="20"/>
                <w:szCs w:val="20"/>
                <w:lang w:val="fr-CA"/>
              </w:rPr>
              <w:tab/>
            </w:r>
            <w:r w:rsidR="00E371B3">
              <w:rPr>
                <w:sz w:val="20"/>
                <w:szCs w:val="20"/>
                <w:lang w:val="fr-CA"/>
              </w:rPr>
              <w:t>De Chantal, D’Amour, Fortier</w:t>
            </w:r>
          </w:p>
          <w:p w:rsidR="001D718B" w:rsidRPr="00E371B3" w:rsidRDefault="001D718B" w:rsidP="008C53A6">
            <w:pPr>
              <w:keepNext/>
              <w:keepLines/>
              <w:tabs>
                <w:tab w:val="left" w:pos="-1440"/>
                <w:tab w:val="left" w:pos="-720"/>
              </w:tabs>
              <w:rPr>
                <w:sz w:val="20"/>
                <w:szCs w:val="20"/>
                <w:lang w:val="fr-CA"/>
              </w:rPr>
            </w:pPr>
          </w:p>
          <w:p w:rsidR="001D718B" w:rsidRPr="00696F93" w:rsidRDefault="001D718B" w:rsidP="008C53A6">
            <w:pPr>
              <w:keepNext/>
              <w:keepLines/>
              <w:tabs>
                <w:tab w:val="left" w:pos="-1440"/>
                <w:tab w:val="left" w:pos="-720"/>
              </w:tabs>
              <w:rPr>
                <w:sz w:val="20"/>
                <w:szCs w:val="20"/>
                <w:lang w:val="fr-CA"/>
              </w:rPr>
            </w:pPr>
            <w:r w:rsidRPr="00E371B3">
              <w:rPr>
                <w:sz w:val="20"/>
                <w:szCs w:val="20"/>
                <w:lang w:val="fr-CA"/>
              </w:rPr>
              <w:tab/>
            </w:r>
            <w:r w:rsidR="00696F93">
              <w:rPr>
                <w:sz w:val="20"/>
                <w:szCs w:val="20"/>
                <w:lang w:val="fr-CA"/>
              </w:rPr>
              <w:t>c</w:t>
            </w:r>
            <w:r w:rsidRPr="00696F93">
              <w:rPr>
                <w:sz w:val="20"/>
                <w:szCs w:val="20"/>
                <w:lang w:val="fr-CA"/>
              </w:rPr>
              <w:t>. (3</w:t>
            </w:r>
            <w:r w:rsidR="00696F93">
              <w:rPr>
                <w:sz w:val="20"/>
                <w:szCs w:val="20"/>
                <w:lang w:val="fr-CA"/>
              </w:rPr>
              <w:t>4</w:t>
            </w:r>
            <w:r w:rsidRPr="00696F93">
              <w:rPr>
                <w:sz w:val="20"/>
                <w:szCs w:val="20"/>
                <w:lang w:val="fr-CA"/>
              </w:rPr>
              <w:t>5</w:t>
            </w:r>
            <w:r w:rsidR="00696F93">
              <w:rPr>
                <w:sz w:val="20"/>
                <w:szCs w:val="20"/>
                <w:lang w:val="fr-CA"/>
              </w:rPr>
              <w:t>65</w:t>
            </w:r>
            <w:r w:rsidRPr="00696F93">
              <w:rPr>
                <w:sz w:val="20"/>
                <w:szCs w:val="20"/>
                <w:lang w:val="fr-CA"/>
              </w:rPr>
              <w:t>)</w:t>
            </w:r>
          </w:p>
          <w:p w:rsidR="001D718B" w:rsidRPr="00696F93" w:rsidRDefault="001D718B" w:rsidP="008C53A6">
            <w:pPr>
              <w:keepNext/>
              <w:keepLines/>
              <w:tabs>
                <w:tab w:val="left" w:pos="-1440"/>
                <w:tab w:val="left" w:pos="-720"/>
              </w:tabs>
              <w:rPr>
                <w:sz w:val="20"/>
                <w:szCs w:val="20"/>
                <w:lang w:val="fr-CA"/>
              </w:rPr>
            </w:pPr>
          </w:p>
          <w:p w:rsidR="001D718B" w:rsidRPr="00696F93" w:rsidRDefault="00696F93" w:rsidP="008C53A6">
            <w:pPr>
              <w:keepNext/>
              <w:keepLines/>
              <w:tabs>
                <w:tab w:val="left" w:pos="-1440"/>
                <w:tab w:val="left" w:pos="-720"/>
              </w:tabs>
              <w:rPr>
                <w:b/>
                <w:sz w:val="20"/>
                <w:szCs w:val="20"/>
                <w:lang w:val="fr-CA"/>
              </w:rPr>
            </w:pPr>
            <w:r w:rsidRPr="00696F93">
              <w:rPr>
                <w:b/>
                <w:sz w:val="20"/>
                <w:szCs w:val="20"/>
                <w:lang w:val="fr-CA"/>
              </w:rPr>
              <w:t>Valeurs mobilières Desjardins Inc.</w:t>
            </w:r>
            <w:r>
              <w:rPr>
                <w:b/>
                <w:sz w:val="20"/>
                <w:szCs w:val="20"/>
                <w:lang w:val="fr-CA"/>
              </w:rPr>
              <w:t xml:space="preserve"> et autre </w:t>
            </w:r>
            <w:r w:rsidR="001D718B" w:rsidRPr="00696F93">
              <w:rPr>
                <w:b/>
                <w:sz w:val="20"/>
                <w:szCs w:val="20"/>
                <w:lang w:val="fr-CA"/>
              </w:rPr>
              <w:t>(</w:t>
            </w:r>
            <w:r>
              <w:rPr>
                <w:b/>
                <w:sz w:val="20"/>
                <w:szCs w:val="20"/>
                <w:lang w:val="fr-CA"/>
              </w:rPr>
              <w:t>Qc</w:t>
            </w:r>
            <w:r w:rsidR="001D718B" w:rsidRPr="00696F93">
              <w:rPr>
                <w:b/>
                <w:sz w:val="20"/>
                <w:szCs w:val="20"/>
                <w:lang w:val="fr-CA"/>
              </w:rPr>
              <w:t>)</w:t>
            </w:r>
          </w:p>
          <w:p w:rsidR="001D718B" w:rsidRPr="00696F93" w:rsidRDefault="001D718B" w:rsidP="008C53A6">
            <w:pPr>
              <w:keepNext/>
              <w:keepLines/>
              <w:tabs>
                <w:tab w:val="left" w:pos="-1440"/>
                <w:tab w:val="left" w:pos="-720"/>
              </w:tabs>
              <w:rPr>
                <w:sz w:val="20"/>
                <w:szCs w:val="20"/>
                <w:lang w:val="fr-CA"/>
              </w:rPr>
            </w:pPr>
            <w:r w:rsidRPr="00696F93">
              <w:rPr>
                <w:sz w:val="20"/>
                <w:szCs w:val="20"/>
                <w:lang w:val="fr-CA"/>
              </w:rPr>
              <w:tab/>
            </w:r>
            <w:r w:rsidR="00696F93">
              <w:rPr>
                <w:sz w:val="20"/>
                <w:szCs w:val="20"/>
                <w:lang w:val="fr-CA"/>
              </w:rPr>
              <w:t>Julie Martine Loranger</w:t>
            </w:r>
          </w:p>
          <w:p w:rsidR="001D718B" w:rsidRPr="00696F93" w:rsidRDefault="001D718B" w:rsidP="008C53A6">
            <w:pPr>
              <w:keepNext/>
              <w:keepLines/>
              <w:tabs>
                <w:tab w:val="left" w:pos="-1440"/>
                <w:tab w:val="left" w:pos="-720"/>
              </w:tabs>
              <w:rPr>
                <w:sz w:val="20"/>
                <w:szCs w:val="20"/>
                <w:lang w:val="fr-CA"/>
              </w:rPr>
            </w:pPr>
            <w:r w:rsidRPr="00696F93">
              <w:rPr>
                <w:sz w:val="20"/>
                <w:szCs w:val="20"/>
                <w:lang w:val="fr-CA"/>
              </w:rPr>
              <w:tab/>
            </w:r>
            <w:r w:rsidR="00696F93">
              <w:rPr>
                <w:sz w:val="20"/>
                <w:szCs w:val="20"/>
                <w:lang w:val="fr-CA"/>
              </w:rPr>
              <w:t>Gowling, Lafleur, Henderson</w:t>
            </w:r>
          </w:p>
          <w:p w:rsidR="001D718B" w:rsidRPr="00696F93" w:rsidRDefault="001D718B" w:rsidP="008C53A6">
            <w:pPr>
              <w:keepNext/>
              <w:keepLines/>
              <w:tabs>
                <w:tab w:val="left" w:pos="-1440"/>
                <w:tab w:val="left" w:pos="-720"/>
              </w:tabs>
              <w:rPr>
                <w:sz w:val="20"/>
                <w:szCs w:val="20"/>
                <w:lang w:val="fr-CA"/>
              </w:rPr>
            </w:pPr>
          </w:p>
          <w:p w:rsidR="001D718B" w:rsidRPr="00696F93" w:rsidRDefault="001D718B" w:rsidP="00696F93">
            <w:pPr>
              <w:rPr>
                <w:sz w:val="20"/>
                <w:szCs w:val="20"/>
                <w:lang w:val="fr-CA"/>
              </w:rPr>
            </w:pPr>
            <w:r w:rsidRPr="00696F93">
              <w:rPr>
                <w:sz w:val="20"/>
                <w:szCs w:val="20"/>
                <w:lang w:val="fr-CA"/>
              </w:rPr>
              <w:t>DATE</w:t>
            </w:r>
            <w:r w:rsidR="00696F93" w:rsidRPr="00696F93">
              <w:rPr>
                <w:sz w:val="20"/>
                <w:szCs w:val="20"/>
                <w:lang w:val="fr-CA"/>
              </w:rPr>
              <w:t xml:space="preserve"> DE PRODUCTION </w:t>
            </w:r>
            <w:r w:rsidRPr="00696F93">
              <w:rPr>
                <w:sz w:val="20"/>
                <w:szCs w:val="20"/>
                <w:lang w:val="fr-CA"/>
              </w:rPr>
              <w:t xml:space="preserve">: </w:t>
            </w:r>
            <w:r w:rsidR="00696F93" w:rsidRPr="00696F93">
              <w:rPr>
                <w:sz w:val="20"/>
                <w:szCs w:val="20"/>
                <w:lang w:val="fr-CA"/>
              </w:rPr>
              <w:t>05</w:t>
            </w:r>
            <w:r w:rsidRPr="00696F93">
              <w:rPr>
                <w:sz w:val="20"/>
                <w:szCs w:val="20"/>
                <w:lang w:val="fr-CA"/>
              </w:rPr>
              <w:t>.1</w:t>
            </w:r>
            <w:r w:rsidR="00696F93" w:rsidRPr="00696F93">
              <w:rPr>
                <w:sz w:val="20"/>
                <w:szCs w:val="20"/>
                <w:lang w:val="fr-CA"/>
              </w:rPr>
              <w:t>2</w:t>
            </w:r>
            <w:r w:rsidRPr="00696F93">
              <w:rPr>
                <w:sz w:val="20"/>
                <w:szCs w:val="20"/>
                <w:lang w:val="fr-CA"/>
              </w:rPr>
              <w:t>.2011</w:t>
            </w:r>
            <w:r w:rsidR="00586706" w:rsidRPr="00586706">
              <w:rPr>
                <w:sz w:val="20"/>
                <w:szCs w:val="20"/>
                <w:lang w:val="fr-CA"/>
              </w:rPr>
              <w:pict>
                <v:rect id="_x0000_i1038" style="width:108pt;height:1pt" o:hrpct="0" o:hralign="center" o:hrstd="t" o:hrnoshade="t" o:hr="t" fillcolor="black [3213]" stroked="f"/>
              </w:pict>
            </w:r>
          </w:p>
        </w:tc>
      </w:tr>
    </w:tbl>
    <w:p w:rsidR="006C3F47" w:rsidRPr="00FD31B7" w:rsidRDefault="006C3F47" w:rsidP="0095096B">
      <w:pPr>
        <w:tabs>
          <w:tab w:val="right" w:pos="9360"/>
        </w:tabs>
        <w:rPr>
          <w:sz w:val="20"/>
          <w:szCs w:val="20"/>
          <w:lang w:val="fr-CA"/>
        </w:rPr>
      </w:pPr>
    </w:p>
    <w:p w:rsidR="00242AEE" w:rsidRPr="00FD31B7" w:rsidRDefault="00242AEE" w:rsidP="0095096B">
      <w:pPr>
        <w:tabs>
          <w:tab w:val="right" w:pos="9360"/>
        </w:tabs>
        <w:rPr>
          <w:sz w:val="20"/>
          <w:szCs w:val="20"/>
          <w:lang w:val="fr-CA"/>
        </w:rPr>
      </w:pPr>
    </w:p>
    <w:p w:rsidR="00242AEE" w:rsidRPr="00FD31B7" w:rsidRDefault="00242AEE" w:rsidP="0095096B">
      <w:pPr>
        <w:tabs>
          <w:tab w:val="right" w:pos="9360"/>
        </w:tabs>
        <w:rPr>
          <w:sz w:val="20"/>
          <w:szCs w:val="20"/>
          <w:lang w:val="fr-CA"/>
        </w:rPr>
        <w:sectPr w:rsidR="00242AEE" w:rsidRPr="00FD31B7" w:rsidSect="00FA2699">
          <w:headerReference w:type="default" r:id="rId15"/>
          <w:footerReference w:type="default" r:id="rId16"/>
          <w:headerReference w:type="first" r:id="rId17"/>
          <w:footerReference w:type="first" r:id="rId18"/>
          <w:pgSz w:w="12240" w:h="15840"/>
          <w:pgMar w:top="720" w:right="965" w:bottom="1080" w:left="1656" w:header="706" w:footer="706" w:gutter="0"/>
          <w:pgNumType w:start="1913"/>
          <w:cols w:space="708"/>
          <w:titlePg/>
          <w:docGrid w:linePitch="360"/>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2E2327" w:rsidRPr="004061E0"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lastRenderedPageBreak/>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D0D5F">
              <w:rPr>
                <w:b/>
                <w:szCs w:val="24"/>
                <w:lang w:val="fr-CA"/>
              </w:rPr>
              <w:t>DEMANDES SOUMISES À LA COUR DEPUIS LA DERNIÈRE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4B7F60" w:rsidRPr="00C50A5C" w:rsidRDefault="00496102" w:rsidP="004B7F60">
      <w:pPr>
        <w:widowControl w:val="0"/>
        <w:rPr>
          <w:b/>
          <w:sz w:val="20"/>
          <w:szCs w:val="20"/>
        </w:rPr>
      </w:pPr>
      <w:r>
        <w:rPr>
          <w:b/>
          <w:sz w:val="20"/>
          <w:szCs w:val="20"/>
        </w:rPr>
        <w:t>DECEMB</w:t>
      </w:r>
      <w:r w:rsidR="004B7F60">
        <w:rPr>
          <w:b/>
          <w:sz w:val="20"/>
          <w:szCs w:val="20"/>
        </w:rPr>
        <w:t>ER</w:t>
      </w:r>
      <w:r w:rsidR="004B7F60" w:rsidRPr="00C50A5C">
        <w:rPr>
          <w:b/>
          <w:sz w:val="20"/>
          <w:szCs w:val="20"/>
        </w:rPr>
        <w:t xml:space="preserve"> </w:t>
      </w:r>
      <w:r>
        <w:rPr>
          <w:b/>
          <w:sz w:val="20"/>
          <w:szCs w:val="20"/>
        </w:rPr>
        <w:t>19</w:t>
      </w:r>
      <w:r w:rsidR="004B7F60" w:rsidRPr="00C50A5C">
        <w:rPr>
          <w:b/>
          <w:sz w:val="20"/>
          <w:szCs w:val="20"/>
        </w:rPr>
        <w:t>, 201</w:t>
      </w:r>
      <w:r w:rsidR="004B7F60">
        <w:rPr>
          <w:b/>
          <w:sz w:val="20"/>
          <w:szCs w:val="20"/>
        </w:rPr>
        <w:t>1</w:t>
      </w:r>
      <w:r w:rsidR="004B7F60" w:rsidRPr="00C50A5C">
        <w:rPr>
          <w:b/>
          <w:sz w:val="20"/>
          <w:szCs w:val="20"/>
        </w:rPr>
        <w:t xml:space="preserve"> / LE </w:t>
      </w:r>
      <w:r>
        <w:rPr>
          <w:b/>
          <w:sz w:val="20"/>
          <w:szCs w:val="20"/>
        </w:rPr>
        <w:t>19 DÉC</w:t>
      </w:r>
      <w:r w:rsidR="004B7F60">
        <w:rPr>
          <w:b/>
          <w:sz w:val="20"/>
          <w:szCs w:val="20"/>
        </w:rPr>
        <w:t>EMBRE</w:t>
      </w:r>
      <w:r w:rsidR="004B7F60" w:rsidRPr="00C50A5C">
        <w:rPr>
          <w:b/>
          <w:sz w:val="20"/>
          <w:szCs w:val="20"/>
        </w:rPr>
        <w:t xml:space="preserve"> 201</w:t>
      </w:r>
      <w:r w:rsidR="004B7F60">
        <w:rPr>
          <w:b/>
          <w:sz w:val="20"/>
          <w:szCs w:val="20"/>
        </w:rPr>
        <w:t>1</w:t>
      </w:r>
    </w:p>
    <w:p w:rsidR="004B7F60" w:rsidRPr="00C50A5C" w:rsidRDefault="004B7F60" w:rsidP="004B7F60">
      <w:pPr>
        <w:widowControl w:val="0"/>
        <w:rPr>
          <w:b/>
          <w:sz w:val="20"/>
          <w:szCs w:val="20"/>
        </w:rPr>
      </w:pPr>
    </w:p>
    <w:p w:rsidR="004B7F60" w:rsidRPr="00C50A5C" w:rsidRDefault="004B7F60" w:rsidP="004B7F60">
      <w:pPr>
        <w:widowControl w:val="0"/>
        <w:jc w:val="center"/>
        <w:rPr>
          <w:b/>
          <w:sz w:val="20"/>
          <w:szCs w:val="20"/>
        </w:rPr>
      </w:pPr>
      <w:r w:rsidRPr="00C50A5C">
        <w:rPr>
          <w:b/>
          <w:sz w:val="20"/>
          <w:szCs w:val="20"/>
        </w:rPr>
        <w:t xml:space="preserve">CORAM:  Chief Justice McLachlin and </w:t>
      </w:r>
      <w:r>
        <w:rPr>
          <w:b/>
          <w:sz w:val="20"/>
          <w:szCs w:val="20"/>
        </w:rPr>
        <w:t>Rothstein</w:t>
      </w:r>
      <w:r w:rsidRPr="00C50A5C">
        <w:rPr>
          <w:b/>
          <w:sz w:val="20"/>
          <w:szCs w:val="20"/>
        </w:rPr>
        <w:t xml:space="preserve"> and </w:t>
      </w:r>
      <w:r>
        <w:rPr>
          <w:b/>
          <w:sz w:val="20"/>
          <w:szCs w:val="20"/>
        </w:rPr>
        <w:t>Moldaver</w:t>
      </w:r>
      <w:r w:rsidRPr="00C50A5C">
        <w:rPr>
          <w:b/>
          <w:sz w:val="20"/>
          <w:szCs w:val="20"/>
        </w:rPr>
        <w:t xml:space="preserve"> JJ.</w:t>
      </w:r>
    </w:p>
    <w:p w:rsidR="004B7F60" w:rsidRPr="00C50A5C" w:rsidRDefault="004B7F60" w:rsidP="004B7F60">
      <w:pPr>
        <w:widowControl w:val="0"/>
        <w:jc w:val="center"/>
        <w:rPr>
          <w:sz w:val="20"/>
          <w:szCs w:val="20"/>
          <w:lang w:val="fr-CA"/>
        </w:rPr>
      </w:pPr>
      <w:r w:rsidRPr="00C50A5C">
        <w:rPr>
          <w:b/>
          <w:sz w:val="20"/>
          <w:szCs w:val="20"/>
          <w:lang w:val="fr-CA"/>
        </w:rPr>
        <w:t xml:space="preserve">La juge en chef McLachlin et les juges </w:t>
      </w:r>
      <w:r>
        <w:rPr>
          <w:b/>
          <w:sz w:val="20"/>
          <w:szCs w:val="20"/>
          <w:lang w:val="fr-CA"/>
        </w:rPr>
        <w:t>Rothstein</w:t>
      </w:r>
      <w:r w:rsidRPr="00C50A5C">
        <w:rPr>
          <w:b/>
          <w:sz w:val="20"/>
          <w:szCs w:val="20"/>
          <w:lang w:val="fr-CA"/>
        </w:rPr>
        <w:t xml:space="preserve"> et </w:t>
      </w:r>
      <w:r>
        <w:rPr>
          <w:b/>
          <w:sz w:val="20"/>
          <w:szCs w:val="20"/>
          <w:lang w:val="fr-CA"/>
        </w:rPr>
        <w:t>Moldaver</w:t>
      </w:r>
    </w:p>
    <w:p w:rsidR="004B7F60" w:rsidRPr="00C50A5C" w:rsidRDefault="004B7F60" w:rsidP="004B7F60">
      <w:pPr>
        <w:widowControl w:val="0"/>
        <w:rPr>
          <w:sz w:val="20"/>
          <w:szCs w:val="20"/>
          <w:lang w:val="fr-CA"/>
        </w:rPr>
      </w:pPr>
    </w:p>
    <w:p w:rsidR="004B7F60" w:rsidRPr="00C50A5C" w:rsidRDefault="009957C9" w:rsidP="004B7F60">
      <w:pPr>
        <w:pStyle w:val="ListParagraph"/>
        <w:widowControl w:val="0"/>
        <w:numPr>
          <w:ilvl w:val="0"/>
          <w:numId w:val="1"/>
        </w:numPr>
        <w:ind w:hanging="720"/>
        <w:jc w:val="both"/>
        <w:rPr>
          <w:sz w:val="20"/>
          <w:szCs w:val="20"/>
        </w:rPr>
      </w:pPr>
      <w:r w:rsidRPr="009957C9">
        <w:rPr>
          <w:i/>
          <w:sz w:val="20"/>
          <w:szCs w:val="20"/>
        </w:rPr>
        <w:t>Sonny Singh Rai v. Her Majesty the Queen</w:t>
      </w:r>
      <w:r w:rsidRPr="00B105AC">
        <w:rPr>
          <w:sz w:val="20"/>
          <w:szCs w:val="20"/>
        </w:rPr>
        <w:t xml:space="preserve"> (B.C.) (Crim</w:t>
      </w:r>
      <w:r>
        <w:rPr>
          <w:sz w:val="20"/>
          <w:szCs w:val="20"/>
        </w:rPr>
        <w:t>.</w:t>
      </w:r>
      <w:r w:rsidRPr="00B105AC">
        <w:rPr>
          <w:sz w:val="20"/>
          <w:szCs w:val="20"/>
        </w:rPr>
        <w:t>) (By Leave)</w:t>
      </w:r>
      <w:r w:rsidRPr="00C50A5C">
        <w:rPr>
          <w:sz w:val="20"/>
          <w:szCs w:val="20"/>
        </w:rPr>
        <w:t xml:space="preserve"> </w:t>
      </w:r>
      <w:r w:rsidR="004B7F60" w:rsidRPr="00C50A5C">
        <w:rPr>
          <w:sz w:val="20"/>
          <w:szCs w:val="20"/>
        </w:rPr>
        <w:t>(3</w:t>
      </w:r>
      <w:r w:rsidR="004B7F60">
        <w:rPr>
          <w:sz w:val="20"/>
          <w:szCs w:val="20"/>
        </w:rPr>
        <w:t>44</w:t>
      </w:r>
      <w:r>
        <w:rPr>
          <w:sz w:val="20"/>
          <w:szCs w:val="20"/>
        </w:rPr>
        <w:t>89</w:t>
      </w:r>
      <w:r w:rsidR="004B7F60" w:rsidRPr="00C50A5C">
        <w:rPr>
          <w:sz w:val="20"/>
          <w:szCs w:val="20"/>
        </w:rPr>
        <w:t>)</w:t>
      </w:r>
    </w:p>
    <w:p w:rsidR="004B7F60" w:rsidRPr="00C50A5C" w:rsidRDefault="004B7F60" w:rsidP="004B7F60">
      <w:pPr>
        <w:widowControl w:val="0"/>
        <w:jc w:val="both"/>
        <w:rPr>
          <w:sz w:val="20"/>
          <w:szCs w:val="20"/>
        </w:rPr>
      </w:pPr>
    </w:p>
    <w:p w:rsidR="004B7F60" w:rsidRPr="00C612D0" w:rsidRDefault="009957C9" w:rsidP="004B7F60">
      <w:pPr>
        <w:pStyle w:val="ListParagraph"/>
        <w:widowControl w:val="0"/>
        <w:numPr>
          <w:ilvl w:val="0"/>
          <w:numId w:val="1"/>
        </w:numPr>
        <w:ind w:hanging="720"/>
        <w:jc w:val="both"/>
        <w:rPr>
          <w:sz w:val="20"/>
          <w:szCs w:val="20"/>
        </w:rPr>
      </w:pPr>
      <w:r w:rsidRPr="009957C9">
        <w:rPr>
          <w:i/>
          <w:sz w:val="20"/>
          <w:szCs w:val="20"/>
        </w:rPr>
        <w:t>Public Mobile v. Globalive Wireless Management Corp. et al.</w:t>
      </w:r>
      <w:r w:rsidRPr="00B105AC">
        <w:rPr>
          <w:sz w:val="20"/>
          <w:szCs w:val="20"/>
        </w:rPr>
        <w:t xml:space="preserve"> (F</w:t>
      </w:r>
      <w:r>
        <w:rPr>
          <w:sz w:val="20"/>
          <w:szCs w:val="20"/>
        </w:rPr>
        <w:t>.</w:t>
      </w:r>
      <w:r w:rsidRPr="00B105AC">
        <w:rPr>
          <w:sz w:val="20"/>
          <w:szCs w:val="20"/>
        </w:rPr>
        <w:t>C</w:t>
      </w:r>
      <w:r>
        <w:rPr>
          <w:sz w:val="20"/>
          <w:szCs w:val="20"/>
        </w:rPr>
        <w:t>.</w:t>
      </w:r>
      <w:r w:rsidRPr="00B105AC">
        <w:rPr>
          <w:sz w:val="20"/>
          <w:szCs w:val="20"/>
        </w:rPr>
        <w:t>) (Civil) (By Leave)</w:t>
      </w:r>
      <w:r w:rsidRPr="00C612D0">
        <w:rPr>
          <w:sz w:val="20"/>
          <w:szCs w:val="20"/>
        </w:rPr>
        <w:t xml:space="preserve"> </w:t>
      </w:r>
      <w:r w:rsidR="004B7F60" w:rsidRPr="00C612D0">
        <w:rPr>
          <w:sz w:val="20"/>
          <w:szCs w:val="20"/>
        </w:rPr>
        <w:t>(344</w:t>
      </w:r>
      <w:r>
        <w:rPr>
          <w:sz w:val="20"/>
          <w:szCs w:val="20"/>
        </w:rPr>
        <w:t>18</w:t>
      </w:r>
      <w:r w:rsidR="004B7F60" w:rsidRPr="00C612D0">
        <w:rPr>
          <w:sz w:val="20"/>
          <w:szCs w:val="20"/>
        </w:rPr>
        <w:t>)</w:t>
      </w:r>
    </w:p>
    <w:p w:rsidR="004B7F60" w:rsidRPr="00C612D0" w:rsidRDefault="004B7F60" w:rsidP="004B7F60">
      <w:pPr>
        <w:widowControl w:val="0"/>
        <w:jc w:val="both"/>
        <w:rPr>
          <w:sz w:val="20"/>
          <w:szCs w:val="20"/>
        </w:rPr>
      </w:pPr>
    </w:p>
    <w:p w:rsidR="004B7F60" w:rsidRPr="00C50A5C" w:rsidRDefault="009957C9" w:rsidP="004B7F60">
      <w:pPr>
        <w:pStyle w:val="ListParagraph"/>
        <w:widowControl w:val="0"/>
        <w:numPr>
          <w:ilvl w:val="0"/>
          <w:numId w:val="1"/>
        </w:numPr>
        <w:ind w:hanging="720"/>
        <w:jc w:val="both"/>
        <w:rPr>
          <w:sz w:val="20"/>
          <w:szCs w:val="20"/>
        </w:rPr>
      </w:pPr>
      <w:r w:rsidRPr="009957C9">
        <w:rPr>
          <w:i/>
          <w:sz w:val="20"/>
          <w:szCs w:val="20"/>
          <w:lang w:val="fr-CA"/>
        </w:rPr>
        <w:t>Pfizer Canada Inc. et al. v. Apotex Inc. et al.</w:t>
      </w:r>
      <w:r w:rsidRPr="009957C9">
        <w:rPr>
          <w:sz w:val="20"/>
          <w:szCs w:val="20"/>
          <w:lang w:val="fr-CA"/>
        </w:rPr>
        <w:t xml:space="preserve"> </w:t>
      </w:r>
      <w:r w:rsidRPr="00B105AC">
        <w:rPr>
          <w:sz w:val="20"/>
          <w:szCs w:val="20"/>
        </w:rPr>
        <w:t>(F</w:t>
      </w:r>
      <w:r>
        <w:rPr>
          <w:sz w:val="20"/>
          <w:szCs w:val="20"/>
        </w:rPr>
        <w:t>.</w:t>
      </w:r>
      <w:r w:rsidRPr="00B105AC">
        <w:rPr>
          <w:sz w:val="20"/>
          <w:szCs w:val="20"/>
        </w:rPr>
        <w:t>C</w:t>
      </w:r>
      <w:r>
        <w:rPr>
          <w:sz w:val="20"/>
          <w:szCs w:val="20"/>
        </w:rPr>
        <w:t>.</w:t>
      </w:r>
      <w:r w:rsidRPr="00B105AC">
        <w:rPr>
          <w:sz w:val="20"/>
          <w:szCs w:val="20"/>
        </w:rPr>
        <w:t>) (Civil) (By Leave)</w:t>
      </w:r>
      <w:r w:rsidRPr="00940CAD">
        <w:rPr>
          <w:sz w:val="20"/>
          <w:szCs w:val="20"/>
        </w:rPr>
        <w:t xml:space="preserve"> </w:t>
      </w:r>
      <w:r w:rsidR="004B7F60" w:rsidRPr="00940CAD">
        <w:rPr>
          <w:sz w:val="20"/>
          <w:szCs w:val="20"/>
        </w:rPr>
        <w:t>(34</w:t>
      </w:r>
      <w:r>
        <w:rPr>
          <w:sz w:val="20"/>
          <w:szCs w:val="20"/>
        </w:rPr>
        <w:t>4</w:t>
      </w:r>
      <w:r w:rsidR="004B7F60" w:rsidRPr="00940CAD">
        <w:rPr>
          <w:sz w:val="20"/>
          <w:szCs w:val="20"/>
        </w:rPr>
        <w:t>9</w:t>
      </w:r>
      <w:r>
        <w:rPr>
          <w:sz w:val="20"/>
          <w:szCs w:val="20"/>
        </w:rPr>
        <w:t>7</w:t>
      </w:r>
      <w:r w:rsidR="004B7F60" w:rsidRPr="00940CAD">
        <w:rPr>
          <w:sz w:val="20"/>
          <w:szCs w:val="20"/>
        </w:rPr>
        <w:t>)</w:t>
      </w:r>
    </w:p>
    <w:p w:rsidR="004B7F60" w:rsidRPr="00C50A5C" w:rsidRDefault="004B7F60" w:rsidP="004B7F60">
      <w:pPr>
        <w:widowControl w:val="0"/>
        <w:rPr>
          <w:sz w:val="20"/>
          <w:szCs w:val="20"/>
        </w:rPr>
      </w:pPr>
    </w:p>
    <w:p w:rsidR="004B7F60" w:rsidRPr="00C50A5C" w:rsidRDefault="009957C9" w:rsidP="004B7F60">
      <w:pPr>
        <w:pStyle w:val="ListParagraph"/>
        <w:widowControl w:val="0"/>
        <w:numPr>
          <w:ilvl w:val="0"/>
          <w:numId w:val="1"/>
        </w:numPr>
        <w:ind w:hanging="720"/>
        <w:jc w:val="both"/>
        <w:rPr>
          <w:sz w:val="20"/>
          <w:szCs w:val="20"/>
        </w:rPr>
      </w:pPr>
      <w:r w:rsidRPr="001432AD">
        <w:rPr>
          <w:i/>
          <w:sz w:val="20"/>
          <w:szCs w:val="20"/>
        </w:rPr>
        <w:t xml:space="preserve">Patricia Blizman </w:t>
      </w:r>
      <w:r w:rsidR="001432AD" w:rsidRPr="001432AD">
        <w:rPr>
          <w:i/>
          <w:sz w:val="20"/>
          <w:szCs w:val="20"/>
        </w:rPr>
        <w:t>v. Her Majesty the Queen in Right of Canada et al.</w:t>
      </w:r>
      <w:r w:rsidR="001432AD" w:rsidRPr="00B105AC">
        <w:rPr>
          <w:sz w:val="20"/>
          <w:szCs w:val="20"/>
        </w:rPr>
        <w:t xml:space="preserve"> </w:t>
      </w:r>
      <w:r w:rsidRPr="00B105AC">
        <w:rPr>
          <w:sz w:val="20"/>
          <w:szCs w:val="20"/>
        </w:rPr>
        <w:t>(F</w:t>
      </w:r>
      <w:r>
        <w:rPr>
          <w:sz w:val="20"/>
          <w:szCs w:val="20"/>
        </w:rPr>
        <w:t>.</w:t>
      </w:r>
      <w:r w:rsidRPr="00B105AC">
        <w:rPr>
          <w:sz w:val="20"/>
          <w:szCs w:val="20"/>
        </w:rPr>
        <w:t>C</w:t>
      </w:r>
      <w:r>
        <w:rPr>
          <w:sz w:val="20"/>
          <w:szCs w:val="20"/>
        </w:rPr>
        <w:t>.</w:t>
      </w:r>
      <w:r w:rsidRPr="00B105AC">
        <w:rPr>
          <w:sz w:val="20"/>
          <w:szCs w:val="20"/>
        </w:rPr>
        <w:t>) (Civil) (By Leave)</w:t>
      </w:r>
      <w:r>
        <w:rPr>
          <w:sz w:val="20"/>
          <w:szCs w:val="20"/>
        </w:rPr>
        <w:t xml:space="preserve"> </w:t>
      </w:r>
      <w:r w:rsidR="004B7F60" w:rsidRPr="00C50A5C">
        <w:rPr>
          <w:sz w:val="20"/>
          <w:szCs w:val="20"/>
        </w:rPr>
        <w:t>(3</w:t>
      </w:r>
      <w:r w:rsidR="004B7F60">
        <w:rPr>
          <w:sz w:val="20"/>
          <w:szCs w:val="20"/>
        </w:rPr>
        <w:t>4</w:t>
      </w:r>
      <w:r>
        <w:rPr>
          <w:sz w:val="20"/>
          <w:szCs w:val="20"/>
        </w:rPr>
        <w:t>520</w:t>
      </w:r>
      <w:r w:rsidR="004B7F60" w:rsidRPr="00C50A5C">
        <w:rPr>
          <w:sz w:val="20"/>
          <w:szCs w:val="20"/>
        </w:rPr>
        <w:t>)</w:t>
      </w:r>
    </w:p>
    <w:p w:rsidR="004B7F60" w:rsidRDefault="004B7F60" w:rsidP="004B7F60">
      <w:pPr>
        <w:widowControl w:val="0"/>
        <w:jc w:val="both"/>
        <w:rPr>
          <w:sz w:val="20"/>
          <w:szCs w:val="20"/>
        </w:rPr>
      </w:pPr>
    </w:p>
    <w:p w:rsidR="004B7F60" w:rsidRDefault="004B7F60" w:rsidP="004B7F60">
      <w:pPr>
        <w:widowControl w:val="0"/>
        <w:jc w:val="both"/>
        <w:rPr>
          <w:sz w:val="20"/>
          <w:szCs w:val="20"/>
        </w:rPr>
      </w:pPr>
    </w:p>
    <w:p w:rsidR="004B7F60" w:rsidRPr="00C50A5C" w:rsidRDefault="004B7F60" w:rsidP="004B7F60">
      <w:pPr>
        <w:widowControl w:val="0"/>
        <w:jc w:val="center"/>
        <w:rPr>
          <w:b/>
          <w:sz w:val="20"/>
          <w:szCs w:val="20"/>
        </w:rPr>
      </w:pPr>
      <w:r w:rsidRPr="00C50A5C">
        <w:rPr>
          <w:b/>
          <w:sz w:val="20"/>
          <w:szCs w:val="20"/>
        </w:rPr>
        <w:t xml:space="preserve">CORAM: </w:t>
      </w:r>
      <w:r>
        <w:rPr>
          <w:b/>
          <w:sz w:val="20"/>
          <w:szCs w:val="20"/>
        </w:rPr>
        <w:t>LeBel</w:t>
      </w:r>
      <w:r w:rsidRPr="00C50A5C">
        <w:rPr>
          <w:b/>
          <w:sz w:val="20"/>
          <w:szCs w:val="20"/>
        </w:rPr>
        <w:t xml:space="preserve">, </w:t>
      </w:r>
      <w:r>
        <w:rPr>
          <w:b/>
          <w:sz w:val="20"/>
          <w:szCs w:val="20"/>
        </w:rPr>
        <w:t>Abella</w:t>
      </w:r>
      <w:r w:rsidRPr="00C50A5C">
        <w:rPr>
          <w:b/>
          <w:sz w:val="20"/>
          <w:szCs w:val="20"/>
        </w:rPr>
        <w:t xml:space="preserve"> and </w:t>
      </w:r>
      <w:r>
        <w:rPr>
          <w:b/>
          <w:sz w:val="20"/>
          <w:szCs w:val="20"/>
        </w:rPr>
        <w:t>Cromwell</w:t>
      </w:r>
      <w:r w:rsidRPr="00C50A5C">
        <w:rPr>
          <w:b/>
          <w:sz w:val="20"/>
          <w:szCs w:val="20"/>
        </w:rPr>
        <w:t xml:space="preserve"> JJ.</w:t>
      </w:r>
    </w:p>
    <w:p w:rsidR="004B7F60" w:rsidRPr="00C50A5C" w:rsidRDefault="004B7F60" w:rsidP="004B7F60">
      <w:pPr>
        <w:widowControl w:val="0"/>
        <w:jc w:val="center"/>
        <w:rPr>
          <w:b/>
          <w:sz w:val="20"/>
          <w:szCs w:val="20"/>
          <w:lang w:val="fr-CA"/>
        </w:rPr>
      </w:pPr>
      <w:r w:rsidRPr="00C50A5C">
        <w:rPr>
          <w:b/>
          <w:sz w:val="20"/>
          <w:szCs w:val="20"/>
          <w:lang w:val="fr-CA"/>
        </w:rPr>
        <w:t xml:space="preserve">Les juges </w:t>
      </w:r>
      <w:r>
        <w:rPr>
          <w:b/>
          <w:sz w:val="20"/>
          <w:szCs w:val="20"/>
          <w:lang w:val="fr-CA"/>
        </w:rPr>
        <w:t>LeBel</w:t>
      </w:r>
      <w:r w:rsidRPr="00C50A5C">
        <w:rPr>
          <w:b/>
          <w:sz w:val="20"/>
          <w:szCs w:val="20"/>
          <w:lang w:val="fr-CA"/>
        </w:rPr>
        <w:t xml:space="preserve">, </w:t>
      </w:r>
      <w:r>
        <w:rPr>
          <w:b/>
          <w:sz w:val="20"/>
          <w:szCs w:val="20"/>
          <w:lang w:val="fr-CA"/>
        </w:rPr>
        <w:t>Abella</w:t>
      </w:r>
      <w:r w:rsidRPr="00C50A5C">
        <w:rPr>
          <w:b/>
          <w:sz w:val="20"/>
          <w:szCs w:val="20"/>
          <w:lang w:val="fr-CA"/>
        </w:rPr>
        <w:t xml:space="preserve"> et </w:t>
      </w:r>
      <w:r>
        <w:rPr>
          <w:b/>
          <w:sz w:val="20"/>
          <w:szCs w:val="20"/>
          <w:lang w:val="fr-CA"/>
        </w:rPr>
        <w:t>Cr</w:t>
      </w:r>
      <w:r w:rsidRPr="00C50A5C">
        <w:rPr>
          <w:b/>
          <w:sz w:val="20"/>
          <w:szCs w:val="20"/>
          <w:lang w:val="fr-CA"/>
        </w:rPr>
        <w:t>o</w:t>
      </w:r>
      <w:r>
        <w:rPr>
          <w:b/>
          <w:sz w:val="20"/>
          <w:szCs w:val="20"/>
          <w:lang w:val="fr-CA"/>
        </w:rPr>
        <w:t>mw</w:t>
      </w:r>
      <w:r w:rsidRPr="00C50A5C">
        <w:rPr>
          <w:b/>
          <w:sz w:val="20"/>
          <w:szCs w:val="20"/>
          <w:lang w:val="fr-CA"/>
        </w:rPr>
        <w:t>e</w:t>
      </w:r>
      <w:r>
        <w:rPr>
          <w:b/>
          <w:sz w:val="20"/>
          <w:szCs w:val="20"/>
          <w:lang w:val="fr-CA"/>
        </w:rPr>
        <w:t>ll</w:t>
      </w:r>
    </w:p>
    <w:p w:rsidR="004B7F60" w:rsidRPr="00C16CB3" w:rsidRDefault="004B7F60" w:rsidP="004B7F60">
      <w:pPr>
        <w:widowControl w:val="0"/>
        <w:jc w:val="both"/>
        <w:rPr>
          <w:sz w:val="20"/>
          <w:szCs w:val="20"/>
          <w:lang w:val="fr-CA"/>
        </w:rPr>
      </w:pPr>
    </w:p>
    <w:p w:rsidR="004B7F60" w:rsidRPr="001432AD" w:rsidRDefault="001432AD" w:rsidP="004B7F60">
      <w:pPr>
        <w:pStyle w:val="ListParagraph"/>
        <w:widowControl w:val="0"/>
        <w:numPr>
          <w:ilvl w:val="0"/>
          <w:numId w:val="1"/>
        </w:numPr>
        <w:ind w:hanging="720"/>
        <w:jc w:val="both"/>
        <w:rPr>
          <w:sz w:val="20"/>
          <w:szCs w:val="20"/>
        </w:rPr>
      </w:pPr>
      <w:r w:rsidRPr="001432AD">
        <w:rPr>
          <w:i/>
          <w:sz w:val="20"/>
          <w:szCs w:val="20"/>
        </w:rPr>
        <w:t>Roger Obonsawin v. Her Majesty the Queen</w:t>
      </w:r>
      <w:r w:rsidRPr="00B105AC">
        <w:rPr>
          <w:sz w:val="20"/>
          <w:szCs w:val="20"/>
        </w:rPr>
        <w:t xml:space="preserve"> (F</w:t>
      </w:r>
      <w:r>
        <w:rPr>
          <w:sz w:val="20"/>
          <w:szCs w:val="20"/>
        </w:rPr>
        <w:t>.</w:t>
      </w:r>
      <w:r w:rsidRPr="00B105AC">
        <w:rPr>
          <w:sz w:val="20"/>
          <w:szCs w:val="20"/>
        </w:rPr>
        <w:t>C</w:t>
      </w:r>
      <w:r>
        <w:rPr>
          <w:sz w:val="20"/>
          <w:szCs w:val="20"/>
        </w:rPr>
        <w:t>.</w:t>
      </w:r>
      <w:r w:rsidRPr="00B105AC">
        <w:rPr>
          <w:sz w:val="20"/>
          <w:szCs w:val="20"/>
        </w:rPr>
        <w:t>) (Civil) (By Leave)</w:t>
      </w:r>
      <w:r w:rsidRPr="001432AD">
        <w:rPr>
          <w:sz w:val="20"/>
          <w:szCs w:val="20"/>
        </w:rPr>
        <w:t xml:space="preserve"> </w:t>
      </w:r>
      <w:r w:rsidR="004B7F60" w:rsidRPr="001432AD">
        <w:rPr>
          <w:sz w:val="20"/>
          <w:szCs w:val="20"/>
        </w:rPr>
        <w:t>(3434</w:t>
      </w:r>
      <w:r w:rsidR="009957C9" w:rsidRPr="001432AD">
        <w:rPr>
          <w:sz w:val="20"/>
          <w:szCs w:val="20"/>
        </w:rPr>
        <w:t>1</w:t>
      </w:r>
      <w:r w:rsidR="004B7F60" w:rsidRPr="001432AD">
        <w:rPr>
          <w:sz w:val="20"/>
          <w:szCs w:val="20"/>
        </w:rPr>
        <w:t>)</w:t>
      </w:r>
    </w:p>
    <w:p w:rsidR="004B7F60" w:rsidRPr="001432AD" w:rsidRDefault="004B7F60" w:rsidP="004B7F60">
      <w:pPr>
        <w:widowControl w:val="0"/>
        <w:rPr>
          <w:sz w:val="20"/>
          <w:szCs w:val="20"/>
        </w:rPr>
      </w:pPr>
    </w:p>
    <w:p w:rsidR="004B7F60" w:rsidRPr="001432AD" w:rsidRDefault="001432AD" w:rsidP="004B7F60">
      <w:pPr>
        <w:pStyle w:val="ListParagraph"/>
        <w:widowControl w:val="0"/>
        <w:numPr>
          <w:ilvl w:val="0"/>
          <w:numId w:val="1"/>
        </w:numPr>
        <w:ind w:hanging="720"/>
        <w:jc w:val="both"/>
        <w:rPr>
          <w:sz w:val="20"/>
          <w:szCs w:val="20"/>
        </w:rPr>
      </w:pPr>
      <w:r w:rsidRPr="001432AD">
        <w:rPr>
          <w:i/>
          <w:sz w:val="20"/>
          <w:szCs w:val="20"/>
        </w:rPr>
        <w:t>Norman B. Lipson et al. v. Gentra Canada Investments Inc.</w:t>
      </w:r>
      <w:r w:rsidRPr="00B105AC">
        <w:rPr>
          <w:sz w:val="20"/>
          <w:szCs w:val="20"/>
        </w:rPr>
        <w:t xml:space="preserve"> (Ont.) (Civil) (By Leave)</w:t>
      </w:r>
      <w:r w:rsidRPr="001432AD">
        <w:rPr>
          <w:sz w:val="20"/>
          <w:szCs w:val="20"/>
        </w:rPr>
        <w:t xml:space="preserve"> </w:t>
      </w:r>
      <w:r w:rsidR="004B7F60" w:rsidRPr="001432AD">
        <w:rPr>
          <w:sz w:val="20"/>
          <w:szCs w:val="20"/>
        </w:rPr>
        <w:t>(343</w:t>
      </w:r>
      <w:r w:rsidR="009957C9" w:rsidRPr="001432AD">
        <w:rPr>
          <w:sz w:val="20"/>
          <w:szCs w:val="20"/>
        </w:rPr>
        <w:t>5</w:t>
      </w:r>
      <w:r w:rsidR="004B7F60" w:rsidRPr="001432AD">
        <w:rPr>
          <w:sz w:val="20"/>
          <w:szCs w:val="20"/>
        </w:rPr>
        <w:t>5)</w:t>
      </w:r>
    </w:p>
    <w:p w:rsidR="004B7F60" w:rsidRPr="001432AD" w:rsidRDefault="004B7F60" w:rsidP="004B7F60">
      <w:pPr>
        <w:widowControl w:val="0"/>
        <w:jc w:val="both"/>
        <w:rPr>
          <w:sz w:val="20"/>
          <w:szCs w:val="20"/>
        </w:rPr>
      </w:pPr>
    </w:p>
    <w:p w:rsidR="00B105AC" w:rsidRPr="001432AD" w:rsidRDefault="00B105AC" w:rsidP="004B7F60">
      <w:pPr>
        <w:widowControl w:val="0"/>
        <w:jc w:val="both"/>
        <w:rPr>
          <w:sz w:val="20"/>
          <w:szCs w:val="20"/>
        </w:rPr>
      </w:pPr>
    </w:p>
    <w:p w:rsidR="00B105AC" w:rsidRPr="00C50A5C" w:rsidRDefault="00B105AC" w:rsidP="00B105AC">
      <w:pPr>
        <w:widowControl w:val="0"/>
        <w:jc w:val="center"/>
        <w:rPr>
          <w:b/>
          <w:sz w:val="20"/>
          <w:szCs w:val="20"/>
        </w:rPr>
      </w:pPr>
      <w:r w:rsidRPr="00C50A5C">
        <w:rPr>
          <w:b/>
          <w:sz w:val="20"/>
          <w:szCs w:val="20"/>
        </w:rPr>
        <w:t xml:space="preserve">CORAM: </w:t>
      </w:r>
      <w:r>
        <w:rPr>
          <w:b/>
          <w:sz w:val="20"/>
          <w:szCs w:val="20"/>
        </w:rPr>
        <w:t>LeBel</w:t>
      </w:r>
      <w:r w:rsidRPr="00C50A5C">
        <w:rPr>
          <w:b/>
          <w:sz w:val="20"/>
          <w:szCs w:val="20"/>
        </w:rPr>
        <w:t xml:space="preserve">, </w:t>
      </w:r>
      <w:r>
        <w:rPr>
          <w:b/>
          <w:sz w:val="20"/>
          <w:szCs w:val="20"/>
        </w:rPr>
        <w:t>Fish</w:t>
      </w:r>
      <w:r w:rsidRPr="00C50A5C">
        <w:rPr>
          <w:b/>
          <w:sz w:val="20"/>
          <w:szCs w:val="20"/>
        </w:rPr>
        <w:t xml:space="preserve"> and </w:t>
      </w:r>
      <w:r>
        <w:rPr>
          <w:b/>
          <w:sz w:val="20"/>
          <w:szCs w:val="20"/>
        </w:rPr>
        <w:t>Cromwell</w:t>
      </w:r>
      <w:r w:rsidRPr="00C50A5C">
        <w:rPr>
          <w:b/>
          <w:sz w:val="20"/>
          <w:szCs w:val="20"/>
        </w:rPr>
        <w:t xml:space="preserve"> JJ.</w:t>
      </w:r>
    </w:p>
    <w:p w:rsidR="00B105AC" w:rsidRPr="00C50A5C" w:rsidRDefault="00B105AC" w:rsidP="00B105AC">
      <w:pPr>
        <w:widowControl w:val="0"/>
        <w:jc w:val="center"/>
        <w:rPr>
          <w:b/>
          <w:sz w:val="20"/>
          <w:szCs w:val="20"/>
          <w:lang w:val="fr-CA"/>
        </w:rPr>
      </w:pPr>
      <w:r w:rsidRPr="00C50A5C">
        <w:rPr>
          <w:b/>
          <w:sz w:val="20"/>
          <w:szCs w:val="20"/>
          <w:lang w:val="fr-CA"/>
        </w:rPr>
        <w:t xml:space="preserve">Les juges </w:t>
      </w:r>
      <w:r>
        <w:rPr>
          <w:b/>
          <w:sz w:val="20"/>
          <w:szCs w:val="20"/>
          <w:lang w:val="fr-CA"/>
        </w:rPr>
        <w:t>LeBel</w:t>
      </w:r>
      <w:r w:rsidRPr="00C50A5C">
        <w:rPr>
          <w:b/>
          <w:sz w:val="20"/>
          <w:szCs w:val="20"/>
          <w:lang w:val="fr-CA"/>
        </w:rPr>
        <w:t xml:space="preserve">, </w:t>
      </w:r>
      <w:r>
        <w:rPr>
          <w:b/>
          <w:sz w:val="20"/>
          <w:szCs w:val="20"/>
          <w:lang w:val="fr-CA"/>
        </w:rPr>
        <w:t>Fish</w:t>
      </w:r>
      <w:r w:rsidRPr="00C50A5C">
        <w:rPr>
          <w:b/>
          <w:sz w:val="20"/>
          <w:szCs w:val="20"/>
          <w:lang w:val="fr-CA"/>
        </w:rPr>
        <w:t xml:space="preserve"> et </w:t>
      </w:r>
      <w:r>
        <w:rPr>
          <w:b/>
          <w:sz w:val="20"/>
          <w:szCs w:val="20"/>
          <w:lang w:val="fr-CA"/>
        </w:rPr>
        <w:t>Cr</w:t>
      </w:r>
      <w:r w:rsidRPr="00C50A5C">
        <w:rPr>
          <w:b/>
          <w:sz w:val="20"/>
          <w:szCs w:val="20"/>
          <w:lang w:val="fr-CA"/>
        </w:rPr>
        <w:t>o</w:t>
      </w:r>
      <w:r>
        <w:rPr>
          <w:b/>
          <w:sz w:val="20"/>
          <w:szCs w:val="20"/>
          <w:lang w:val="fr-CA"/>
        </w:rPr>
        <w:t>mw</w:t>
      </w:r>
      <w:r w:rsidRPr="00C50A5C">
        <w:rPr>
          <w:b/>
          <w:sz w:val="20"/>
          <w:szCs w:val="20"/>
          <w:lang w:val="fr-CA"/>
        </w:rPr>
        <w:t>e</w:t>
      </w:r>
      <w:r>
        <w:rPr>
          <w:b/>
          <w:sz w:val="20"/>
          <w:szCs w:val="20"/>
          <w:lang w:val="fr-CA"/>
        </w:rPr>
        <w:t>ll</w:t>
      </w:r>
    </w:p>
    <w:p w:rsidR="00B105AC" w:rsidRPr="00115C9E" w:rsidRDefault="00B105AC" w:rsidP="004B7F60">
      <w:pPr>
        <w:widowControl w:val="0"/>
        <w:jc w:val="both"/>
        <w:rPr>
          <w:sz w:val="20"/>
          <w:szCs w:val="20"/>
          <w:lang w:val="fr-CA"/>
        </w:rPr>
      </w:pPr>
    </w:p>
    <w:p w:rsidR="004B7F60" w:rsidRPr="001432AD" w:rsidRDefault="001432AD" w:rsidP="004B7F60">
      <w:pPr>
        <w:pStyle w:val="ListParagraph"/>
        <w:widowControl w:val="0"/>
        <w:numPr>
          <w:ilvl w:val="0"/>
          <w:numId w:val="1"/>
        </w:numPr>
        <w:ind w:hanging="720"/>
        <w:jc w:val="both"/>
        <w:rPr>
          <w:sz w:val="20"/>
          <w:szCs w:val="20"/>
        </w:rPr>
      </w:pPr>
      <w:r w:rsidRPr="00DC2A08">
        <w:rPr>
          <w:i/>
          <w:sz w:val="20"/>
          <w:szCs w:val="20"/>
        </w:rPr>
        <w:t xml:space="preserve">Annapolis County District School Board et al. </w:t>
      </w:r>
      <w:r w:rsidR="00DC2A08" w:rsidRPr="00DC2A08">
        <w:rPr>
          <w:i/>
          <w:sz w:val="20"/>
          <w:szCs w:val="20"/>
        </w:rPr>
        <w:t>v. Johnathan Lee Marshall, represented by his Guardian, Vaughan Caldwell</w:t>
      </w:r>
      <w:r w:rsidR="00DC2A08" w:rsidRPr="00B105AC">
        <w:rPr>
          <w:sz w:val="20"/>
          <w:szCs w:val="20"/>
        </w:rPr>
        <w:t xml:space="preserve"> </w:t>
      </w:r>
      <w:r w:rsidRPr="00B105AC">
        <w:rPr>
          <w:sz w:val="20"/>
          <w:szCs w:val="20"/>
        </w:rPr>
        <w:t>(N.S.) (Civil) (By Leave/Cross-Appeal)</w:t>
      </w:r>
      <w:r w:rsidRPr="001432AD">
        <w:rPr>
          <w:sz w:val="20"/>
          <w:szCs w:val="20"/>
        </w:rPr>
        <w:t xml:space="preserve"> </w:t>
      </w:r>
      <w:r w:rsidR="004B7F60" w:rsidRPr="001432AD">
        <w:rPr>
          <w:sz w:val="20"/>
          <w:szCs w:val="20"/>
        </w:rPr>
        <w:t>(34</w:t>
      </w:r>
      <w:r w:rsidR="009957C9" w:rsidRPr="001432AD">
        <w:rPr>
          <w:sz w:val="20"/>
          <w:szCs w:val="20"/>
        </w:rPr>
        <w:t>189</w:t>
      </w:r>
      <w:r w:rsidR="004B7F60" w:rsidRPr="001432AD">
        <w:rPr>
          <w:sz w:val="20"/>
          <w:szCs w:val="20"/>
        </w:rPr>
        <w:t>)</w:t>
      </w:r>
    </w:p>
    <w:p w:rsidR="004B7F60" w:rsidRPr="001432AD" w:rsidRDefault="004B7F60" w:rsidP="004B7F60">
      <w:pPr>
        <w:widowControl w:val="0"/>
        <w:jc w:val="both"/>
        <w:rPr>
          <w:sz w:val="20"/>
          <w:szCs w:val="20"/>
        </w:rPr>
      </w:pPr>
    </w:p>
    <w:p w:rsidR="004B7F60" w:rsidRPr="00DC2A08" w:rsidRDefault="00DC2A08" w:rsidP="004B7F60">
      <w:pPr>
        <w:pStyle w:val="ListParagraph"/>
        <w:widowControl w:val="0"/>
        <w:numPr>
          <w:ilvl w:val="0"/>
          <w:numId w:val="1"/>
        </w:numPr>
        <w:ind w:hanging="720"/>
        <w:jc w:val="both"/>
        <w:rPr>
          <w:sz w:val="20"/>
          <w:szCs w:val="20"/>
        </w:rPr>
      </w:pPr>
      <w:r w:rsidRPr="00DC2A08">
        <w:rPr>
          <w:i/>
          <w:sz w:val="20"/>
          <w:szCs w:val="20"/>
        </w:rPr>
        <w:t>United Steelworkers v. Morneau Sobeco Limited Partnership et al.</w:t>
      </w:r>
      <w:r w:rsidRPr="00B105AC">
        <w:rPr>
          <w:sz w:val="20"/>
          <w:szCs w:val="20"/>
        </w:rPr>
        <w:t xml:space="preserve"> (Ont.) (Civil) (By Leave)</w:t>
      </w:r>
      <w:r w:rsidRPr="00DC2A08">
        <w:rPr>
          <w:sz w:val="20"/>
          <w:szCs w:val="20"/>
        </w:rPr>
        <w:t xml:space="preserve"> </w:t>
      </w:r>
      <w:r w:rsidR="004B7F60" w:rsidRPr="00DC2A08">
        <w:rPr>
          <w:sz w:val="20"/>
          <w:szCs w:val="20"/>
        </w:rPr>
        <w:t>(343</w:t>
      </w:r>
      <w:r w:rsidR="009957C9" w:rsidRPr="00DC2A08">
        <w:rPr>
          <w:sz w:val="20"/>
          <w:szCs w:val="20"/>
        </w:rPr>
        <w:t>08</w:t>
      </w:r>
      <w:r w:rsidR="004B7F60" w:rsidRPr="00DC2A08">
        <w:rPr>
          <w:sz w:val="20"/>
          <w:szCs w:val="20"/>
        </w:rPr>
        <w:t>)</w:t>
      </w:r>
    </w:p>
    <w:p w:rsidR="004B7F60" w:rsidRPr="00DC2A08" w:rsidRDefault="004B7F60" w:rsidP="004B7F60">
      <w:pPr>
        <w:widowControl w:val="0"/>
        <w:rPr>
          <w:sz w:val="20"/>
          <w:szCs w:val="20"/>
        </w:rPr>
      </w:pPr>
    </w:p>
    <w:p w:rsidR="004B7F60" w:rsidRPr="00DC2A08" w:rsidRDefault="004B7F60" w:rsidP="004B7F60">
      <w:pPr>
        <w:widowControl w:val="0"/>
        <w:rPr>
          <w:sz w:val="20"/>
          <w:szCs w:val="20"/>
        </w:rPr>
      </w:pPr>
    </w:p>
    <w:p w:rsidR="004B7F60" w:rsidRPr="00C50A5C" w:rsidRDefault="004B7F60" w:rsidP="004B7F60">
      <w:pPr>
        <w:widowControl w:val="0"/>
        <w:jc w:val="center"/>
        <w:rPr>
          <w:b/>
          <w:sz w:val="20"/>
          <w:szCs w:val="20"/>
        </w:rPr>
      </w:pPr>
      <w:r w:rsidRPr="00C50A5C">
        <w:rPr>
          <w:b/>
          <w:sz w:val="20"/>
          <w:szCs w:val="20"/>
        </w:rPr>
        <w:t xml:space="preserve">CORAM: </w:t>
      </w:r>
      <w:r>
        <w:rPr>
          <w:b/>
          <w:sz w:val="20"/>
          <w:szCs w:val="20"/>
        </w:rPr>
        <w:t>Deschamps</w:t>
      </w:r>
      <w:r w:rsidRPr="00C50A5C">
        <w:rPr>
          <w:b/>
          <w:sz w:val="20"/>
          <w:szCs w:val="20"/>
        </w:rPr>
        <w:t xml:space="preserve">, </w:t>
      </w:r>
      <w:r>
        <w:rPr>
          <w:b/>
          <w:sz w:val="20"/>
          <w:szCs w:val="20"/>
        </w:rPr>
        <w:t>Fish</w:t>
      </w:r>
      <w:r w:rsidRPr="00C50A5C">
        <w:rPr>
          <w:b/>
          <w:sz w:val="20"/>
          <w:szCs w:val="20"/>
        </w:rPr>
        <w:t xml:space="preserve"> and </w:t>
      </w:r>
      <w:r>
        <w:rPr>
          <w:b/>
          <w:sz w:val="20"/>
          <w:szCs w:val="20"/>
        </w:rPr>
        <w:t>Karakatsanis</w:t>
      </w:r>
      <w:r w:rsidRPr="00C50A5C">
        <w:rPr>
          <w:b/>
          <w:sz w:val="20"/>
          <w:szCs w:val="20"/>
        </w:rPr>
        <w:t xml:space="preserve"> JJ.</w:t>
      </w:r>
    </w:p>
    <w:p w:rsidR="004B7F60" w:rsidRPr="00C50A5C" w:rsidRDefault="004B7F60" w:rsidP="004B7F60">
      <w:pPr>
        <w:widowControl w:val="0"/>
        <w:jc w:val="center"/>
        <w:rPr>
          <w:b/>
          <w:sz w:val="20"/>
          <w:szCs w:val="20"/>
          <w:lang w:val="fr-CA"/>
        </w:rPr>
      </w:pPr>
      <w:r w:rsidRPr="00C50A5C">
        <w:rPr>
          <w:b/>
          <w:sz w:val="20"/>
          <w:szCs w:val="20"/>
          <w:lang w:val="fr-CA"/>
        </w:rPr>
        <w:t xml:space="preserve">Les juges </w:t>
      </w:r>
      <w:r>
        <w:rPr>
          <w:b/>
          <w:sz w:val="20"/>
          <w:szCs w:val="20"/>
          <w:lang w:val="fr-CA"/>
        </w:rPr>
        <w:t>Deschamps</w:t>
      </w:r>
      <w:r w:rsidRPr="00C50A5C">
        <w:rPr>
          <w:b/>
          <w:sz w:val="20"/>
          <w:szCs w:val="20"/>
          <w:lang w:val="fr-CA"/>
        </w:rPr>
        <w:t xml:space="preserve">, </w:t>
      </w:r>
      <w:r>
        <w:rPr>
          <w:b/>
          <w:sz w:val="20"/>
          <w:szCs w:val="20"/>
          <w:lang w:val="fr-CA"/>
        </w:rPr>
        <w:t>Fish</w:t>
      </w:r>
      <w:r w:rsidRPr="00C50A5C">
        <w:rPr>
          <w:b/>
          <w:sz w:val="20"/>
          <w:szCs w:val="20"/>
          <w:lang w:val="fr-CA"/>
        </w:rPr>
        <w:t xml:space="preserve"> et </w:t>
      </w:r>
      <w:r>
        <w:rPr>
          <w:b/>
          <w:sz w:val="20"/>
          <w:szCs w:val="20"/>
          <w:lang w:val="fr-CA"/>
        </w:rPr>
        <w:t>Karakatsanis</w:t>
      </w:r>
    </w:p>
    <w:p w:rsidR="004B7F60" w:rsidRPr="00C50A5C" w:rsidRDefault="004B7F60" w:rsidP="004B7F60">
      <w:pPr>
        <w:widowControl w:val="0"/>
        <w:rPr>
          <w:sz w:val="20"/>
          <w:szCs w:val="20"/>
          <w:lang w:val="fr-CA"/>
        </w:rPr>
      </w:pPr>
    </w:p>
    <w:p w:rsidR="004B7F60" w:rsidRPr="00DC2A08" w:rsidRDefault="00DC2A08" w:rsidP="004B7F60">
      <w:pPr>
        <w:pStyle w:val="ListParagraph"/>
        <w:widowControl w:val="0"/>
        <w:numPr>
          <w:ilvl w:val="0"/>
          <w:numId w:val="1"/>
        </w:numPr>
        <w:ind w:hanging="720"/>
        <w:jc w:val="both"/>
        <w:rPr>
          <w:sz w:val="20"/>
          <w:szCs w:val="20"/>
        </w:rPr>
      </w:pPr>
      <w:r w:rsidRPr="00DC2A08">
        <w:rPr>
          <w:i/>
          <w:sz w:val="20"/>
          <w:szCs w:val="20"/>
          <w:lang w:val="fr-CA"/>
        </w:rPr>
        <w:t>V.I. Fabrikant v. M. Eisenberg et al.</w:t>
      </w:r>
      <w:r w:rsidRPr="00DC2A08">
        <w:rPr>
          <w:sz w:val="20"/>
          <w:szCs w:val="20"/>
          <w:lang w:val="fr-CA"/>
        </w:rPr>
        <w:t xml:space="preserve"> </w:t>
      </w:r>
      <w:r w:rsidRPr="00DC2A08">
        <w:rPr>
          <w:sz w:val="20"/>
          <w:szCs w:val="20"/>
        </w:rPr>
        <w:t xml:space="preserve">(Que.) </w:t>
      </w:r>
      <w:r w:rsidRPr="009957C9">
        <w:rPr>
          <w:sz w:val="20"/>
          <w:szCs w:val="20"/>
        </w:rPr>
        <w:t>(Civil) (By Leave)</w:t>
      </w:r>
      <w:r w:rsidRPr="00DC2A08">
        <w:rPr>
          <w:sz w:val="20"/>
          <w:szCs w:val="20"/>
        </w:rPr>
        <w:t xml:space="preserve"> </w:t>
      </w:r>
      <w:r w:rsidR="004B7F60" w:rsidRPr="00DC2A08">
        <w:rPr>
          <w:sz w:val="20"/>
          <w:szCs w:val="20"/>
        </w:rPr>
        <w:t>(344</w:t>
      </w:r>
      <w:r w:rsidR="009957C9" w:rsidRPr="00DC2A08">
        <w:rPr>
          <w:sz w:val="20"/>
          <w:szCs w:val="20"/>
        </w:rPr>
        <w:t>88</w:t>
      </w:r>
      <w:r w:rsidR="004B7F60" w:rsidRPr="00DC2A08">
        <w:rPr>
          <w:sz w:val="20"/>
          <w:szCs w:val="20"/>
        </w:rPr>
        <w:t>)</w:t>
      </w:r>
    </w:p>
    <w:p w:rsidR="004B7F60" w:rsidRPr="00DC2A08" w:rsidRDefault="004B7F60" w:rsidP="004B7F60">
      <w:pPr>
        <w:widowControl w:val="0"/>
        <w:jc w:val="both"/>
        <w:rPr>
          <w:sz w:val="20"/>
          <w:szCs w:val="20"/>
        </w:rPr>
      </w:pPr>
    </w:p>
    <w:p w:rsidR="004B7F60" w:rsidRPr="00115C9E" w:rsidRDefault="00DC2A08" w:rsidP="004B7F60">
      <w:pPr>
        <w:pStyle w:val="ListParagraph"/>
        <w:widowControl w:val="0"/>
        <w:numPr>
          <w:ilvl w:val="0"/>
          <w:numId w:val="1"/>
        </w:numPr>
        <w:ind w:hanging="720"/>
        <w:jc w:val="both"/>
        <w:rPr>
          <w:sz w:val="20"/>
          <w:szCs w:val="20"/>
        </w:rPr>
      </w:pPr>
      <w:r w:rsidRPr="00DC2A08">
        <w:rPr>
          <w:i/>
          <w:sz w:val="20"/>
          <w:szCs w:val="20"/>
          <w:lang w:val="fr-CA"/>
        </w:rPr>
        <w:t>Jean-Robert Lacroix, représentant de Canadevim Ltée en vertu du paragraphe 38(1) de la loi sur la faillite et l'insolvabilité c. Sa Majesté la Reine</w:t>
      </w:r>
      <w:r w:rsidRPr="00B105AC">
        <w:rPr>
          <w:sz w:val="20"/>
          <w:szCs w:val="20"/>
          <w:lang w:val="fr-CA"/>
        </w:rPr>
        <w:t xml:space="preserve"> (C</w:t>
      </w:r>
      <w:r>
        <w:rPr>
          <w:sz w:val="20"/>
          <w:szCs w:val="20"/>
          <w:lang w:val="fr-CA"/>
        </w:rPr>
        <w:t>.</w:t>
      </w:r>
      <w:r w:rsidRPr="00B105AC">
        <w:rPr>
          <w:sz w:val="20"/>
          <w:szCs w:val="20"/>
          <w:lang w:val="fr-CA"/>
        </w:rPr>
        <w:t>F</w:t>
      </w:r>
      <w:r>
        <w:rPr>
          <w:sz w:val="20"/>
          <w:szCs w:val="20"/>
          <w:lang w:val="fr-CA"/>
        </w:rPr>
        <w:t>.</w:t>
      </w:r>
      <w:r w:rsidRPr="00B105AC">
        <w:rPr>
          <w:sz w:val="20"/>
          <w:szCs w:val="20"/>
          <w:lang w:val="fr-CA"/>
        </w:rPr>
        <w:t>) (Civile) (Autorisation)</w:t>
      </w:r>
      <w:r>
        <w:rPr>
          <w:sz w:val="20"/>
          <w:szCs w:val="20"/>
        </w:rPr>
        <w:t xml:space="preserve"> </w:t>
      </w:r>
      <w:r w:rsidR="009957C9">
        <w:rPr>
          <w:sz w:val="20"/>
          <w:szCs w:val="20"/>
        </w:rPr>
        <w:t>(343</w:t>
      </w:r>
      <w:r w:rsidR="004B7F60" w:rsidRPr="00115C9E">
        <w:rPr>
          <w:sz w:val="20"/>
          <w:szCs w:val="20"/>
        </w:rPr>
        <w:t>0</w:t>
      </w:r>
      <w:r w:rsidR="009957C9">
        <w:rPr>
          <w:sz w:val="20"/>
          <w:szCs w:val="20"/>
        </w:rPr>
        <w:t>1</w:t>
      </w:r>
      <w:r w:rsidR="004B7F60" w:rsidRPr="00115C9E">
        <w:rPr>
          <w:sz w:val="20"/>
          <w:szCs w:val="20"/>
        </w:rPr>
        <w:t>)</w:t>
      </w:r>
    </w:p>
    <w:p w:rsidR="004B7F60" w:rsidRPr="00115C9E" w:rsidRDefault="004B7F60" w:rsidP="004B7F60">
      <w:pPr>
        <w:widowControl w:val="0"/>
        <w:jc w:val="both"/>
        <w:rPr>
          <w:sz w:val="20"/>
          <w:szCs w:val="20"/>
        </w:rPr>
      </w:pPr>
    </w:p>
    <w:p w:rsidR="004B7F60" w:rsidRPr="00115C9E" w:rsidRDefault="00DC2A08" w:rsidP="004B7F60">
      <w:pPr>
        <w:pStyle w:val="ListParagraph"/>
        <w:widowControl w:val="0"/>
        <w:numPr>
          <w:ilvl w:val="0"/>
          <w:numId w:val="1"/>
        </w:numPr>
        <w:ind w:hanging="720"/>
        <w:jc w:val="both"/>
        <w:rPr>
          <w:sz w:val="20"/>
          <w:szCs w:val="20"/>
        </w:rPr>
      </w:pPr>
      <w:r w:rsidRPr="00DC2A08">
        <w:rPr>
          <w:i/>
          <w:sz w:val="20"/>
          <w:szCs w:val="20"/>
        </w:rPr>
        <w:t>T.O. v. S.W.</w:t>
      </w:r>
      <w:r w:rsidRPr="00DC2A08">
        <w:rPr>
          <w:sz w:val="20"/>
          <w:szCs w:val="20"/>
        </w:rPr>
        <w:t xml:space="preserve"> (Que.) </w:t>
      </w:r>
      <w:r w:rsidRPr="00B105AC">
        <w:rPr>
          <w:sz w:val="20"/>
          <w:szCs w:val="20"/>
        </w:rPr>
        <w:t>(Civil) (By Leave)</w:t>
      </w:r>
      <w:r w:rsidRPr="00115C9E">
        <w:rPr>
          <w:sz w:val="20"/>
          <w:szCs w:val="20"/>
        </w:rPr>
        <w:t xml:space="preserve"> </w:t>
      </w:r>
      <w:r w:rsidR="004B7F60" w:rsidRPr="00115C9E">
        <w:rPr>
          <w:sz w:val="20"/>
          <w:szCs w:val="20"/>
        </w:rPr>
        <w:t>(34</w:t>
      </w:r>
      <w:r w:rsidR="009957C9">
        <w:rPr>
          <w:sz w:val="20"/>
          <w:szCs w:val="20"/>
        </w:rPr>
        <w:t>555</w:t>
      </w:r>
      <w:r w:rsidR="004B7F60" w:rsidRPr="00115C9E">
        <w:rPr>
          <w:sz w:val="20"/>
          <w:szCs w:val="20"/>
        </w:rPr>
        <w:t>)</w:t>
      </w:r>
    </w:p>
    <w:p w:rsidR="004B7F60" w:rsidRPr="00115C9E" w:rsidRDefault="004B7F60" w:rsidP="004B7F60">
      <w:pPr>
        <w:widowControl w:val="0"/>
        <w:jc w:val="both"/>
        <w:rPr>
          <w:sz w:val="20"/>
          <w:szCs w:val="20"/>
        </w:rPr>
      </w:pPr>
    </w:p>
    <w:p w:rsidR="004B7F60" w:rsidRDefault="00DC2A08" w:rsidP="004B7F60">
      <w:pPr>
        <w:pStyle w:val="ListParagraph"/>
        <w:widowControl w:val="0"/>
        <w:numPr>
          <w:ilvl w:val="0"/>
          <w:numId w:val="1"/>
        </w:numPr>
        <w:ind w:hanging="720"/>
        <w:jc w:val="both"/>
        <w:rPr>
          <w:sz w:val="20"/>
          <w:szCs w:val="20"/>
        </w:rPr>
      </w:pPr>
      <w:r w:rsidRPr="00DC2A08">
        <w:rPr>
          <w:i/>
          <w:sz w:val="20"/>
          <w:szCs w:val="20"/>
        </w:rPr>
        <w:t>Savitri Ramsaroop v. McGill University Health Centre et al.</w:t>
      </w:r>
      <w:r w:rsidRPr="00B105AC">
        <w:rPr>
          <w:sz w:val="20"/>
          <w:szCs w:val="20"/>
        </w:rPr>
        <w:t xml:space="preserve"> (Que.) (Civil) (By Leave)</w:t>
      </w:r>
      <w:r w:rsidRPr="00C50A5C">
        <w:rPr>
          <w:sz w:val="20"/>
          <w:szCs w:val="20"/>
        </w:rPr>
        <w:t xml:space="preserve"> </w:t>
      </w:r>
      <w:r w:rsidR="004B7F60" w:rsidRPr="00C50A5C">
        <w:rPr>
          <w:sz w:val="20"/>
          <w:szCs w:val="20"/>
        </w:rPr>
        <w:t>(3</w:t>
      </w:r>
      <w:r w:rsidR="004B7F60">
        <w:rPr>
          <w:sz w:val="20"/>
          <w:szCs w:val="20"/>
        </w:rPr>
        <w:t>442</w:t>
      </w:r>
      <w:r w:rsidR="009957C9">
        <w:rPr>
          <w:sz w:val="20"/>
          <w:szCs w:val="20"/>
        </w:rPr>
        <w:t>7</w:t>
      </w:r>
      <w:r w:rsidR="004B7F60" w:rsidRPr="00C50A5C">
        <w:rPr>
          <w:sz w:val="20"/>
          <w:szCs w:val="20"/>
        </w:rPr>
        <w:t>)</w:t>
      </w:r>
    </w:p>
    <w:p w:rsidR="004B7F60" w:rsidRDefault="004B7F60" w:rsidP="004B7F60">
      <w:pPr>
        <w:widowControl w:val="0"/>
        <w:rPr>
          <w:sz w:val="20"/>
          <w:szCs w:val="20"/>
        </w:rPr>
      </w:pPr>
    </w:p>
    <w:p w:rsidR="002E2327" w:rsidRPr="001B157C" w:rsidRDefault="002E2327" w:rsidP="002E2327">
      <w:pPr>
        <w:widowControl w:val="0"/>
        <w:rPr>
          <w:sz w:val="20"/>
          <w:szCs w:val="20"/>
        </w:rPr>
      </w:pPr>
    </w:p>
    <w:p w:rsidR="00A935AA" w:rsidRPr="009957C9" w:rsidRDefault="009957C9" w:rsidP="002E2327">
      <w:pPr>
        <w:widowControl w:val="0"/>
        <w:rPr>
          <w:b/>
          <w:sz w:val="20"/>
          <w:szCs w:val="20"/>
          <w:lang w:val="fr-CA"/>
        </w:rPr>
      </w:pPr>
      <w:r w:rsidRPr="009957C9">
        <w:rPr>
          <w:b/>
          <w:sz w:val="20"/>
          <w:szCs w:val="20"/>
          <w:lang w:val="fr-CA"/>
        </w:rPr>
        <w:t>MOTION FOR RECONSIDERATION /  DEMANDE DE RÉEXAMEN</w:t>
      </w:r>
    </w:p>
    <w:p w:rsidR="009957C9" w:rsidRDefault="009957C9">
      <w:pPr>
        <w:rPr>
          <w:sz w:val="20"/>
          <w:szCs w:val="20"/>
          <w:lang w:val="fr-CA"/>
        </w:rPr>
      </w:pPr>
    </w:p>
    <w:p w:rsidR="009957C9" w:rsidRPr="00C50A5C" w:rsidRDefault="009957C9" w:rsidP="009957C9">
      <w:pPr>
        <w:widowControl w:val="0"/>
        <w:jc w:val="center"/>
        <w:rPr>
          <w:b/>
          <w:sz w:val="20"/>
          <w:szCs w:val="20"/>
        </w:rPr>
      </w:pPr>
      <w:r w:rsidRPr="00C50A5C">
        <w:rPr>
          <w:b/>
          <w:sz w:val="20"/>
          <w:szCs w:val="20"/>
        </w:rPr>
        <w:t xml:space="preserve">CORAM:  Chief Justice McLachlin and </w:t>
      </w:r>
      <w:r>
        <w:rPr>
          <w:b/>
          <w:sz w:val="20"/>
          <w:szCs w:val="20"/>
        </w:rPr>
        <w:t>Abella</w:t>
      </w:r>
      <w:r w:rsidRPr="00C50A5C">
        <w:rPr>
          <w:b/>
          <w:sz w:val="20"/>
          <w:szCs w:val="20"/>
        </w:rPr>
        <w:t xml:space="preserve"> and </w:t>
      </w:r>
      <w:r>
        <w:rPr>
          <w:b/>
          <w:sz w:val="20"/>
          <w:szCs w:val="20"/>
        </w:rPr>
        <w:t>Cromwell</w:t>
      </w:r>
      <w:r w:rsidRPr="00C50A5C">
        <w:rPr>
          <w:b/>
          <w:sz w:val="20"/>
          <w:szCs w:val="20"/>
        </w:rPr>
        <w:t xml:space="preserve"> JJ.</w:t>
      </w:r>
    </w:p>
    <w:p w:rsidR="009957C9" w:rsidRPr="00C50A5C" w:rsidRDefault="009957C9" w:rsidP="009957C9">
      <w:pPr>
        <w:widowControl w:val="0"/>
        <w:jc w:val="center"/>
        <w:rPr>
          <w:sz w:val="20"/>
          <w:szCs w:val="20"/>
          <w:lang w:val="fr-CA"/>
        </w:rPr>
      </w:pPr>
      <w:r w:rsidRPr="00C50A5C">
        <w:rPr>
          <w:b/>
          <w:sz w:val="20"/>
          <w:szCs w:val="20"/>
          <w:lang w:val="fr-CA"/>
        </w:rPr>
        <w:t xml:space="preserve">La juge en chef McLachlin et les juges </w:t>
      </w:r>
      <w:r>
        <w:rPr>
          <w:b/>
          <w:sz w:val="20"/>
          <w:szCs w:val="20"/>
          <w:lang w:val="fr-CA"/>
        </w:rPr>
        <w:t>Abella</w:t>
      </w:r>
      <w:r w:rsidRPr="00C50A5C">
        <w:rPr>
          <w:b/>
          <w:sz w:val="20"/>
          <w:szCs w:val="20"/>
          <w:lang w:val="fr-CA"/>
        </w:rPr>
        <w:t xml:space="preserve"> et </w:t>
      </w:r>
      <w:r>
        <w:rPr>
          <w:b/>
          <w:sz w:val="20"/>
          <w:szCs w:val="20"/>
          <w:lang w:val="fr-CA"/>
        </w:rPr>
        <w:t>Cromwell</w:t>
      </w:r>
    </w:p>
    <w:p w:rsidR="009957C9" w:rsidRDefault="009957C9">
      <w:pPr>
        <w:rPr>
          <w:sz w:val="20"/>
          <w:szCs w:val="20"/>
          <w:lang w:val="fr-CA"/>
        </w:rPr>
      </w:pPr>
    </w:p>
    <w:p w:rsidR="002E2327" w:rsidRPr="00DC2A08" w:rsidRDefault="00DC2A08" w:rsidP="00C50A5C">
      <w:pPr>
        <w:pStyle w:val="ListParagraph"/>
        <w:widowControl w:val="0"/>
        <w:numPr>
          <w:ilvl w:val="0"/>
          <w:numId w:val="1"/>
        </w:numPr>
        <w:ind w:hanging="720"/>
        <w:jc w:val="both"/>
        <w:rPr>
          <w:sz w:val="20"/>
          <w:szCs w:val="20"/>
        </w:rPr>
      </w:pPr>
      <w:r w:rsidRPr="00DC2A08">
        <w:rPr>
          <w:i/>
          <w:sz w:val="20"/>
          <w:szCs w:val="20"/>
        </w:rPr>
        <w:t>Paul Antle v. Her Majesty the Queen</w:t>
      </w:r>
      <w:r w:rsidRPr="00B105AC">
        <w:rPr>
          <w:sz w:val="20"/>
          <w:szCs w:val="20"/>
        </w:rPr>
        <w:t xml:space="preserve"> (F</w:t>
      </w:r>
      <w:r>
        <w:rPr>
          <w:sz w:val="20"/>
          <w:szCs w:val="20"/>
        </w:rPr>
        <w:t>.</w:t>
      </w:r>
      <w:r w:rsidRPr="00B105AC">
        <w:rPr>
          <w:sz w:val="20"/>
          <w:szCs w:val="20"/>
        </w:rPr>
        <w:t>C</w:t>
      </w:r>
      <w:r>
        <w:rPr>
          <w:sz w:val="20"/>
          <w:szCs w:val="20"/>
        </w:rPr>
        <w:t>.</w:t>
      </w:r>
      <w:r w:rsidRPr="00B105AC">
        <w:rPr>
          <w:sz w:val="20"/>
          <w:szCs w:val="20"/>
        </w:rPr>
        <w:t>) (Civil) (By Leave)</w:t>
      </w:r>
      <w:r w:rsidRPr="00DC2A08">
        <w:rPr>
          <w:sz w:val="20"/>
          <w:szCs w:val="20"/>
        </w:rPr>
        <w:t xml:space="preserve"> </w:t>
      </w:r>
      <w:r w:rsidR="002E2327" w:rsidRPr="00DC2A08">
        <w:rPr>
          <w:sz w:val="20"/>
          <w:szCs w:val="20"/>
        </w:rPr>
        <w:t>(33</w:t>
      </w:r>
      <w:r w:rsidR="009957C9" w:rsidRPr="00DC2A08">
        <w:rPr>
          <w:sz w:val="20"/>
          <w:szCs w:val="20"/>
        </w:rPr>
        <w:t>979</w:t>
      </w:r>
      <w:r w:rsidR="002E2327" w:rsidRPr="00DC2A08">
        <w:rPr>
          <w:sz w:val="20"/>
          <w:szCs w:val="20"/>
        </w:rPr>
        <w:t>)</w:t>
      </w:r>
    </w:p>
    <w:p w:rsidR="002E2327" w:rsidRDefault="002E2327" w:rsidP="00C50A5C">
      <w:pPr>
        <w:widowControl w:val="0"/>
        <w:jc w:val="both"/>
        <w:rPr>
          <w:sz w:val="20"/>
          <w:szCs w:val="20"/>
        </w:rPr>
      </w:pPr>
    </w:p>
    <w:p w:rsidR="00DC2A08" w:rsidRDefault="00DC2A08">
      <w:pPr>
        <w:rPr>
          <w:sz w:val="20"/>
          <w:szCs w:val="20"/>
        </w:rPr>
      </w:pPr>
      <w:r>
        <w:rPr>
          <w:sz w:val="20"/>
          <w:szCs w:val="20"/>
        </w:rPr>
        <w:br w:type="page"/>
      </w:r>
    </w:p>
    <w:p w:rsidR="002E2327" w:rsidRPr="00DC2A08" w:rsidRDefault="00DC2A08" w:rsidP="00C50A5C">
      <w:pPr>
        <w:pStyle w:val="ListParagraph"/>
        <w:widowControl w:val="0"/>
        <w:numPr>
          <w:ilvl w:val="0"/>
          <w:numId w:val="1"/>
        </w:numPr>
        <w:ind w:hanging="720"/>
        <w:jc w:val="both"/>
        <w:rPr>
          <w:sz w:val="20"/>
          <w:szCs w:val="20"/>
        </w:rPr>
      </w:pPr>
      <w:r w:rsidRPr="00DC2A08">
        <w:rPr>
          <w:i/>
          <w:sz w:val="20"/>
          <w:szCs w:val="20"/>
        </w:rPr>
        <w:lastRenderedPageBreak/>
        <w:t>Renée Marquis-Antle Spousal Trust v. Her Majesty the Queen</w:t>
      </w:r>
      <w:r w:rsidRPr="00DC2A08">
        <w:rPr>
          <w:sz w:val="20"/>
          <w:szCs w:val="20"/>
        </w:rPr>
        <w:t xml:space="preserve"> (F.C.) </w:t>
      </w:r>
      <w:r w:rsidRPr="00B105AC">
        <w:rPr>
          <w:sz w:val="20"/>
          <w:szCs w:val="20"/>
        </w:rPr>
        <w:t>(Civil) (By Leave)</w:t>
      </w:r>
      <w:r>
        <w:rPr>
          <w:sz w:val="20"/>
          <w:szCs w:val="20"/>
        </w:rPr>
        <w:t xml:space="preserve"> </w:t>
      </w:r>
      <w:r w:rsidR="00496102" w:rsidRPr="00DC2A08">
        <w:rPr>
          <w:sz w:val="20"/>
          <w:szCs w:val="20"/>
        </w:rPr>
        <w:t>(</w:t>
      </w:r>
      <w:r w:rsidR="002E2327" w:rsidRPr="00DC2A08">
        <w:rPr>
          <w:sz w:val="20"/>
          <w:szCs w:val="20"/>
        </w:rPr>
        <w:t>33</w:t>
      </w:r>
      <w:r w:rsidR="009957C9" w:rsidRPr="00DC2A08">
        <w:rPr>
          <w:sz w:val="20"/>
          <w:szCs w:val="20"/>
        </w:rPr>
        <w:t>987</w:t>
      </w:r>
      <w:r w:rsidR="002E2327" w:rsidRPr="00DC2A08">
        <w:rPr>
          <w:sz w:val="20"/>
          <w:szCs w:val="20"/>
        </w:rPr>
        <w:t>)</w:t>
      </w:r>
    </w:p>
    <w:p w:rsidR="002E2327" w:rsidRPr="00DC2A08" w:rsidRDefault="002E2327" w:rsidP="002E2327">
      <w:pPr>
        <w:widowControl w:val="0"/>
        <w:rPr>
          <w:sz w:val="20"/>
          <w:szCs w:val="20"/>
        </w:rPr>
      </w:pPr>
    </w:p>
    <w:p w:rsidR="002E2327" w:rsidRPr="00C50A5C" w:rsidRDefault="00586706" w:rsidP="002E2327">
      <w:pPr>
        <w:widowControl w:val="0"/>
        <w:rPr>
          <w:sz w:val="20"/>
          <w:szCs w:val="20"/>
        </w:rPr>
      </w:pPr>
      <w:r w:rsidRPr="00586706">
        <w:rPr>
          <w:sz w:val="20"/>
          <w:szCs w:val="20"/>
        </w:rPr>
        <w:pict>
          <v:rect id="_x0000_i1041" style="width:2in;height:1pt" o:hrpct="0" o:hralign="center" o:hrstd="t" o:hrnoshade="t" o:hr="t" fillcolor="black [3213]" stroked="f"/>
        </w:pict>
      </w:r>
    </w:p>
    <w:p w:rsidR="0044776A" w:rsidRPr="00C50A5C" w:rsidRDefault="0044776A" w:rsidP="002E2327">
      <w:pPr>
        <w:widowControl w:val="0"/>
        <w:spacing w:line="0" w:lineRule="atLeast"/>
        <w:rPr>
          <w:sz w:val="20"/>
          <w:szCs w:val="20"/>
        </w:rPr>
        <w:sectPr w:rsidR="0044776A" w:rsidRPr="00C50A5C" w:rsidSect="0044776A">
          <w:headerReference w:type="default" r:id="rId19"/>
          <w:footerReference w:type="default" r:id="rId20"/>
          <w:headerReference w:type="first" r:id="rId21"/>
          <w:footerReference w:type="first" r:id="rId22"/>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8D292F" w:rsidRPr="004061E0" w:rsidTr="00ED7E83">
        <w:tc>
          <w:tcPr>
            <w:tcW w:w="4200" w:type="dxa"/>
            <w:tcMar>
              <w:left w:w="0" w:type="dxa"/>
              <w:right w:w="0" w:type="dxa"/>
            </w:tcMar>
          </w:tcPr>
          <w:p w:rsidR="008D292F" w:rsidRPr="001D0D5F" w:rsidRDefault="008D292F" w:rsidP="00ED7E83">
            <w:pPr>
              <w:keepNext/>
              <w:keepLines/>
              <w:jc w:val="both"/>
              <w:rPr>
                <w:b/>
                <w:szCs w:val="24"/>
              </w:rPr>
            </w:pPr>
            <w:bookmarkStart w:id="0" w:name="QuickMark_1"/>
            <w:bookmarkEnd w:id="0"/>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8D292F" w:rsidRPr="00C50A5C" w:rsidRDefault="00347478" w:rsidP="008D292F">
      <w:pPr>
        <w:rPr>
          <w:b/>
          <w:sz w:val="20"/>
          <w:szCs w:val="20"/>
        </w:rPr>
      </w:pPr>
      <w:r>
        <w:rPr>
          <w:b/>
          <w:sz w:val="20"/>
          <w:szCs w:val="20"/>
        </w:rPr>
        <w:t>DECEMBER 22</w:t>
      </w:r>
      <w:r w:rsidR="008D292F" w:rsidRPr="00C50A5C">
        <w:rPr>
          <w:b/>
          <w:sz w:val="20"/>
          <w:szCs w:val="20"/>
        </w:rPr>
        <w:t>, 201</w:t>
      </w:r>
      <w:r>
        <w:rPr>
          <w:b/>
          <w:sz w:val="20"/>
          <w:szCs w:val="20"/>
        </w:rPr>
        <w:t>1</w:t>
      </w:r>
      <w:r w:rsidR="008D292F" w:rsidRPr="00C50A5C">
        <w:rPr>
          <w:b/>
          <w:sz w:val="20"/>
          <w:szCs w:val="20"/>
        </w:rPr>
        <w:t xml:space="preserve"> / LE 2</w:t>
      </w:r>
      <w:r>
        <w:rPr>
          <w:b/>
          <w:sz w:val="20"/>
          <w:szCs w:val="20"/>
        </w:rPr>
        <w:t>2 DÉCEMBRE</w:t>
      </w:r>
      <w:r w:rsidR="008D292F" w:rsidRPr="00C50A5C">
        <w:rPr>
          <w:b/>
          <w:sz w:val="20"/>
          <w:szCs w:val="20"/>
        </w:rPr>
        <w:t xml:space="preserve"> 201</w:t>
      </w:r>
      <w:r>
        <w:rPr>
          <w:b/>
          <w:sz w:val="20"/>
          <w:szCs w:val="20"/>
        </w:rPr>
        <w:t>1</w:t>
      </w:r>
    </w:p>
    <w:p w:rsidR="008D292F" w:rsidRDefault="008D292F" w:rsidP="008D292F">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967B3E" w:rsidRPr="0080601F" w:rsidTr="000202E0">
        <w:trPr>
          <w:cantSplit/>
        </w:trPr>
        <w:tc>
          <w:tcPr>
            <w:tcW w:w="1458" w:type="dxa"/>
          </w:tcPr>
          <w:p w:rsidR="00967B3E" w:rsidRPr="0080601F" w:rsidRDefault="00967B3E" w:rsidP="000202E0">
            <w:pPr>
              <w:rPr>
                <w:sz w:val="20"/>
                <w:szCs w:val="20"/>
              </w:rPr>
            </w:pPr>
            <w:r w:rsidRPr="0080601F">
              <w:rPr>
                <w:rStyle w:val="SCCFileNumberChar"/>
                <w:sz w:val="20"/>
                <w:szCs w:val="20"/>
              </w:rPr>
              <w:t>33568</w:t>
            </w:r>
          </w:p>
          <w:p w:rsidR="00967B3E" w:rsidRPr="0080601F" w:rsidRDefault="00967B3E" w:rsidP="000202E0">
            <w:pPr>
              <w:rPr>
                <w:b/>
                <w:sz w:val="20"/>
                <w:szCs w:val="20"/>
                <w:lang w:val="fr-CA"/>
              </w:rPr>
            </w:pPr>
          </w:p>
        </w:tc>
        <w:tc>
          <w:tcPr>
            <w:tcW w:w="8118" w:type="dxa"/>
          </w:tcPr>
          <w:p w:rsidR="00967B3E" w:rsidRPr="0080601F" w:rsidRDefault="00967B3E" w:rsidP="000202E0">
            <w:pPr>
              <w:rPr>
                <w:sz w:val="20"/>
                <w:szCs w:val="20"/>
              </w:rPr>
            </w:pPr>
            <w:r w:rsidRPr="0080601F">
              <w:rPr>
                <w:rStyle w:val="SCCLsocChar"/>
                <w:sz w:val="20"/>
                <w:szCs w:val="20"/>
                <w:lang w:val="en-CA"/>
              </w:rPr>
              <w:t>Marcus A. Wide</w:t>
            </w:r>
            <w:r>
              <w:rPr>
                <w:rStyle w:val="SCCLsocChar"/>
                <w:sz w:val="20"/>
                <w:szCs w:val="20"/>
                <w:lang w:val="en-CA"/>
              </w:rPr>
              <w:t xml:space="preserve"> and</w:t>
            </w:r>
            <w:r w:rsidRPr="0080601F">
              <w:rPr>
                <w:rStyle w:val="SCCLsocChar"/>
                <w:sz w:val="20"/>
                <w:szCs w:val="20"/>
                <w:lang w:val="en-CA"/>
              </w:rPr>
              <w:t xml:space="preserve"> Hugh Dickson v. Ralph S. Janvey</w:t>
            </w:r>
            <w:r w:rsidRPr="0080601F">
              <w:rPr>
                <w:sz w:val="20"/>
                <w:szCs w:val="20"/>
              </w:rPr>
              <w:t xml:space="preserve"> (Que.) (Civil) (By Leave)</w:t>
            </w:r>
          </w:p>
          <w:p w:rsidR="00967B3E" w:rsidRPr="0080601F" w:rsidRDefault="00967B3E" w:rsidP="000202E0">
            <w:pPr>
              <w:rPr>
                <w:sz w:val="20"/>
                <w:szCs w:val="20"/>
              </w:rPr>
            </w:pPr>
          </w:p>
        </w:tc>
      </w:tr>
      <w:tr w:rsidR="00967B3E" w:rsidRPr="0080601F" w:rsidTr="000202E0">
        <w:trPr>
          <w:cantSplit/>
        </w:trPr>
        <w:tc>
          <w:tcPr>
            <w:tcW w:w="1458" w:type="dxa"/>
          </w:tcPr>
          <w:p w:rsidR="00967B3E" w:rsidRPr="0080601F" w:rsidRDefault="00967B3E" w:rsidP="000202E0">
            <w:pPr>
              <w:rPr>
                <w:sz w:val="20"/>
                <w:szCs w:val="20"/>
              </w:rPr>
            </w:pPr>
            <w:r w:rsidRPr="0080601F">
              <w:rPr>
                <w:sz w:val="20"/>
                <w:szCs w:val="20"/>
              </w:rPr>
              <w:t>Coram :</w:t>
            </w:r>
          </w:p>
        </w:tc>
        <w:tc>
          <w:tcPr>
            <w:tcW w:w="8118" w:type="dxa"/>
          </w:tcPr>
          <w:p w:rsidR="00967B3E" w:rsidRPr="0080601F" w:rsidRDefault="00967B3E" w:rsidP="000202E0">
            <w:pPr>
              <w:rPr>
                <w:sz w:val="20"/>
                <w:szCs w:val="20"/>
              </w:rPr>
            </w:pPr>
            <w:r w:rsidRPr="0080601F">
              <w:rPr>
                <w:rStyle w:val="SCCCoramChar"/>
                <w:sz w:val="20"/>
                <w:szCs w:val="20"/>
                <w:lang w:val="en-CA"/>
              </w:rPr>
              <w:t>LeBel, Abella and Cromwell JJ.</w:t>
            </w:r>
          </w:p>
          <w:p w:rsidR="00967B3E" w:rsidRPr="0080601F" w:rsidRDefault="00967B3E" w:rsidP="000202E0">
            <w:pPr>
              <w:rPr>
                <w:sz w:val="20"/>
                <w:szCs w:val="20"/>
                <w:u w:val="single"/>
              </w:rPr>
            </w:pPr>
          </w:p>
        </w:tc>
      </w:tr>
      <w:tr w:rsidR="00967B3E" w:rsidRPr="004061E0" w:rsidTr="000202E0">
        <w:trPr>
          <w:cantSplit/>
        </w:trPr>
        <w:tc>
          <w:tcPr>
            <w:tcW w:w="9576" w:type="dxa"/>
            <w:gridSpan w:val="2"/>
          </w:tcPr>
          <w:p w:rsidR="00967B3E" w:rsidRPr="0080601F" w:rsidRDefault="00967B3E" w:rsidP="000202E0">
            <w:pPr>
              <w:pStyle w:val="SCCShortJudgment"/>
              <w:rPr>
                <w:szCs w:val="20"/>
              </w:rPr>
            </w:pPr>
            <w:r w:rsidRPr="0080601F">
              <w:rPr>
                <w:szCs w:val="20"/>
              </w:rPr>
              <w:t>The application for leave to appeal from the judgment of the Court of Appeal of Quebec (Montréal), Number 500-09-020001-095, 2009 QCCA 2475, dated December 17, 2009, is dismissed with costs to the respondent and intervener.</w:t>
            </w:r>
          </w:p>
          <w:p w:rsidR="00967B3E" w:rsidRPr="0080601F" w:rsidRDefault="00967B3E" w:rsidP="000202E0">
            <w:pPr>
              <w:pStyle w:val="SCCShortJudgment"/>
              <w:ind w:firstLine="0"/>
              <w:rPr>
                <w:szCs w:val="20"/>
              </w:rPr>
            </w:pPr>
          </w:p>
          <w:p w:rsidR="00967B3E" w:rsidRPr="0080601F" w:rsidRDefault="00967B3E" w:rsidP="000202E0">
            <w:pPr>
              <w:pStyle w:val="SCCShortJudgment"/>
              <w:rPr>
                <w:szCs w:val="20"/>
                <w:lang w:val="fr-CA"/>
              </w:rPr>
            </w:pPr>
            <w:r w:rsidRPr="0080601F">
              <w:rPr>
                <w:szCs w:val="20"/>
                <w:lang w:val="fr-CA"/>
              </w:rPr>
              <w:t>La demande d’autorisation d’appel de l’arrêt de la Cour d’appel du Québec (Montréal), numéro 500-09-020001-095, 2009 QCCA 2475, daté du 17 décembre 2009, est rejetée avec dépens en faveur de l’intimé et de l’intervenante.</w:t>
            </w:r>
          </w:p>
        </w:tc>
      </w:tr>
    </w:tbl>
    <w:p w:rsidR="008C53A6" w:rsidRPr="009B58BA" w:rsidRDefault="008C53A6"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345FB" w:rsidRPr="001D4A68" w:rsidTr="00EA4658">
        <w:tc>
          <w:tcPr>
            <w:tcW w:w="5000" w:type="pct"/>
            <w:gridSpan w:val="3"/>
          </w:tcPr>
          <w:p w:rsidR="00D345FB" w:rsidRPr="001D4A68" w:rsidRDefault="00D345FB" w:rsidP="00EA4658">
            <w:pPr>
              <w:jc w:val="both"/>
              <w:rPr>
                <w:sz w:val="20"/>
                <w:szCs w:val="20"/>
              </w:rPr>
            </w:pPr>
            <w:r w:rsidRPr="001D4A68">
              <w:rPr>
                <w:sz w:val="20"/>
                <w:szCs w:val="20"/>
              </w:rPr>
              <w:t xml:space="preserve">Bankruptcy and insolvency — Foreign representative — Foreign proceeding — Recognition — Real and substantial connection — Principles of equity — Whether United States securities legislation or the common law of receiverships constitute “a law relating to bankruptcy or insolvency” for the purposes of the definition of “foreign proceeding” found in Part XIII of the </w:t>
            </w:r>
            <w:r w:rsidRPr="001D4A68">
              <w:rPr>
                <w:i/>
                <w:sz w:val="20"/>
                <w:szCs w:val="20"/>
              </w:rPr>
              <w:t>Bankruptcy and Insolvency Act</w:t>
            </w:r>
            <w:r w:rsidRPr="001D4A68">
              <w:rPr>
                <w:sz w:val="20"/>
                <w:szCs w:val="20"/>
              </w:rPr>
              <w:t xml:space="preserve"> — Whether,  in the context of a cross</w:t>
            </w:r>
            <w:r w:rsidRPr="001D4A68">
              <w:rPr>
                <w:sz w:val="20"/>
                <w:szCs w:val="20"/>
              </w:rPr>
              <w:noBreakHyphen/>
              <w:t xml:space="preserve">border insolvency, a real and substantial connection can be found between a debtor and a given jurisdiction on the basis of factors that are objectively unascertainable by the debtor’s creditors — Whether the Superior Court of Quebec and the Court of Appeal of Quebec, exercising their jurisdiction under the </w:t>
            </w:r>
            <w:r w:rsidRPr="001D4A68">
              <w:rPr>
                <w:i/>
                <w:sz w:val="20"/>
                <w:szCs w:val="20"/>
              </w:rPr>
              <w:t>Bankruptcy and Insolvency Act</w:t>
            </w:r>
            <w:r w:rsidRPr="001D4A68">
              <w:rPr>
                <w:sz w:val="20"/>
                <w:szCs w:val="20"/>
              </w:rPr>
              <w:t xml:space="preserve">, can apply principles of equity that form no part of the civil law of the province of Quebec — </w:t>
            </w:r>
            <w:r w:rsidRPr="001D4A68">
              <w:rPr>
                <w:i/>
                <w:sz w:val="20"/>
                <w:szCs w:val="20"/>
              </w:rPr>
              <w:t>Bankruptcy and Insolvency Act</w:t>
            </w:r>
            <w:r w:rsidRPr="001D4A68">
              <w:rPr>
                <w:sz w:val="20"/>
                <w:szCs w:val="20"/>
              </w:rPr>
              <w:t>, R.S.C. 1985, c. B</w:t>
            </w:r>
            <w:r w:rsidRPr="001D4A68">
              <w:rPr>
                <w:sz w:val="20"/>
                <w:szCs w:val="20"/>
              </w:rPr>
              <w:noBreakHyphen/>
              <w:t>3.</w:t>
            </w:r>
          </w:p>
        </w:tc>
      </w:tr>
      <w:tr w:rsidR="00D345FB" w:rsidRPr="001D4A68" w:rsidTr="00EA4658">
        <w:tc>
          <w:tcPr>
            <w:tcW w:w="5000" w:type="pct"/>
            <w:gridSpan w:val="3"/>
          </w:tcPr>
          <w:p w:rsidR="00D345FB" w:rsidRPr="001D4A68" w:rsidRDefault="00D345FB" w:rsidP="00EA4658">
            <w:pPr>
              <w:jc w:val="both"/>
              <w:rPr>
                <w:sz w:val="20"/>
                <w:szCs w:val="20"/>
              </w:rPr>
            </w:pPr>
          </w:p>
        </w:tc>
      </w:tr>
      <w:tr w:rsidR="00D345FB" w:rsidRPr="001D4A68" w:rsidTr="00EA4658">
        <w:tc>
          <w:tcPr>
            <w:tcW w:w="5000" w:type="pct"/>
            <w:gridSpan w:val="3"/>
          </w:tcPr>
          <w:p w:rsidR="00D345FB" w:rsidRPr="001D4A68" w:rsidRDefault="00D345FB" w:rsidP="00EA4658">
            <w:pPr>
              <w:widowControl w:val="0"/>
              <w:jc w:val="both"/>
              <w:rPr>
                <w:sz w:val="20"/>
                <w:szCs w:val="20"/>
              </w:rPr>
            </w:pPr>
            <w:r w:rsidRPr="001D4A68">
              <w:rPr>
                <w:sz w:val="20"/>
                <w:szCs w:val="20"/>
              </w:rPr>
              <w:t>The applicants seek leave to appeal a decision of the Quebec Court of Appeal which affirmed two judgments of the Superior Court of Quebec.  The first judgment dismissed a motion by Antiguan liquidators appointed by the High Court of Antigua and Barbuda as liquidators of Stanford International Bank Limited for recognition of that order, of their status and functions as foreign representative of an estate in a foreign proceeding and of their powers as joint liquidators.  The Superior Court held that the conduct of the Antiguan liquidators rendered their motion inadmissible (“</w:t>
            </w:r>
            <w:r w:rsidRPr="001D4A68">
              <w:rPr>
                <w:i/>
                <w:sz w:val="20"/>
                <w:szCs w:val="20"/>
              </w:rPr>
              <w:t>irrecevable</w:t>
            </w:r>
            <w:r w:rsidRPr="001D4A68">
              <w:rPr>
                <w:sz w:val="20"/>
                <w:szCs w:val="20"/>
              </w:rPr>
              <w:t xml:space="preserve">”).  The second judgment allowed a motion by the respondent seeking recognition of the proceedings in the U.S. District Court for the Northern District of Texas appointing him as receiver over the assets of Stanford International Bank Limited, therefore recognizing him as the foreign representative and recognizing the U.S. Receivership as a “foreign proceeding”. </w:t>
            </w:r>
          </w:p>
          <w:p w:rsidR="00D345FB" w:rsidRPr="001D4A68" w:rsidRDefault="00D345FB" w:rsidP="00EA4658">
            <w:pPr>
              <w:widowControl w:val="0"/>
              <w:jc w:val="both"/>
              <w:rPr>
                <w:sz w:val="20"/>
                <w:szCs w:val="20"/>
              </w:rPr>
            </w:pPr>
          </w:p>
        </w:tc>
      </w:tr>
      <w:tr w:rsidR="00D345FB" w:rsidRPr="001D4A68" w:rsidTr="00EA4658">
        <w:tc>
          <w:tcPr>
            <w:tcW w:w="2427" w:type="pct"/>
          </w:tcPr>
          <w:p w:rsidR="00D345FB" w:rsidRPr="001D4A68" w:rsidRDefault="00D345FB" w:rsidP="00EA4658">
            <w:pPr>
              <w:rPr>
                <w:sz w:val="20"/>
                <w:szCs w:val="20"/>
              </w:rPr>
            </w:pPr>
            <w:r w:rsidRPr="001D4A68">
              <w:rPr>
                <w:sz w:val="20"/>
                <w:szCs w:val="20"/>
              </w:rPr>
              <w:t>September 11, 2009</w:t>
            </w:r>
          </w:p>
          <w:p w:rsidR="00D345FB" w:rsidRPr="001D4A68" w:rsidRDefault="00D345FB" w:rsidP="00EA4658">
            <w:pPr>
              <w:rPr>
                <w:sz w:val="20"/>
                <w:szCs w:val="20"/>
              </w:rPr>
            </w:pPr>
            <w:r w:rsidRPr="001D4A68">
              <w:rPr>
                <w:sz w:val="20"/>
                <w:szCs w:val="20"/>
              </w:rPr>
              <w:t>Superior Court of Quebec</w:t>
            </w:r>
          </w:p>
          <w:p w:rsidR="00D345FB" w:rsidRPr="001D4A68" w:rsidRDefault="00D345FB" w:rsidP="00EA4658">
            <w:pPr>
              <w:rPr>
                <w:sz w:val="20"/>
                <w:szCs w:val="20"/>
              </w:rPr>
            </w:pPr>
            <w:r w:rsidRPr="001D4A68">
              <w:rPr>
                <w:sz w:val="20"/>
                <w:szCs w:val="20"/>
              </w:rPr>
              <w:t>(Auclair J.)</w:t>
            </w:r>
          </w:p>
          <w:p w:rsidR="00D345FB" w:rsidRPr="001D4A68" w:rsidRDefault="00D345FB" w:rsidP="00EA4658">
            <w:pPr>
              <w:rPr>
                <w:sz w:val="20"/>
                <w:szCs w:val="20"/>
              </w:rPr>
            </w:pPr>
            <w:r w:rsidRPr="001D4A68">
              <w:rPr>
                <w:sz w:val="20"/>
                <w:szCs w:val="20"/>
              </w:rPr>
              <w:t>2009 QCCS 4106</w:t>
            </w:r>
          </w:p>
          <w:p w:rsidR="00D345FB" w:rsidRPr="001D4A68" w:rsidRDefault="00D345FB" w:rsidP="00EA4658">
            <w:pPr>
              <w:rPr>
                <w:sz w:val="20"/>
                <w:szCs w:val="20"/>
              </w:rPr>
            </w:pPr>
          </w:p>
        </w:tc>
        <w:tc>
          <w:tcPr>
            <w:tcW w:w="243" w:type="pct"/>
          </w:tcPr>
          <w:p w:rsidR="00D345FB" w:rsidRPr="001D4A68" w:rsidRDefault="00D345FB" w:rsidP="00EA4658">
            <w:pPr>
              <w:rPr>
                <w:sz w:val="20"/>
                <w:szCs w:val="20"/>
              </w:rPr>
            </w:pPr>
          </w:p>
        </w:tc>
        <w:tc>
          <w:tcPr>
            <w:tcW w:w="2330" w:type="pct"/>
          </w:tcPr>
          <w:p w:rsidR="00D345FB" w:rsidRPr="001D4A68" w:rsidRDefault="00D345FB" w:rsidP="00EA4658">
            <w:pPr>
              <w:jc w:val="both"/>
              <w:rPr>
                <w:sz w:val="20"/>
                <w:szCs w:val="20"/>
              </w:rPr>
            </w:pPr>
            <w:r w:rsidRPr="001D4A68">
              <w:rPr>
                <w:sz w:val="20"/>
                <w:szCs w:val="20"/>
              </w:rPr>
              <w:t>Motion by Antiguan liquidators for recognition of foreign proceeding and foreign representative dismissed</w:t>
            </w:r>
          </w:p>
          <w:p w:rsidR="00D345FB" w:rsidRPr="001D4A68" w:rsidRDefault="00D345FB" w:rsidP="00EA4658">
            <w:pPr>
              <w:jc w:val="both"/>
              <w:rPr>
                <w:sz w:val="20"/>
                <w:szCs w:val="20"/>
              </w:rPr>
            </w:pPr>
          </w:p>
        </w:tc>
      </w:tr>
      <w:tr w:rsidR="00D345FB" w:rsidRPr="001D4A68" w:rsidTr="00EA4658">
        <w:tc>
          <w:tcPr>
            <w:tcW w:w="2427" w:type="pct"/>
          </w:tcPr>
          <w:p w:rsidR="00D345FB" w:rsidRPr="001D4A68" w:rsidRDefault="00D345FB" w:rsidP="00EA4658">
            <w:pPr>
              <w:rPr>
                <w:sz w:val="20"/>
                <w:szCs w:val="20"/>
              </w:rPr>
            </w:pPr>
            <w:r w:rsidRPr="001D4A68">
              <w:rPr>
                <w:sz w:val="20"/>
                <w:szCs w:val="20"/>
              </w:rPr>
              <w:t>September 11, 2009</w:t>
            </w:r>
          </w:p>
          <w:p w:rsidR="00D345FB" w:rsidRPr="001D4A68" w:rsidRDefault="00D345FB" w:rsidP="00EA4658">
            <w:pPr>
              <w:rPr>
                <w:sz w:val="20"/>
                <w:szCs w:val="20"/>
              </w:rPr>
            </w:pPr>
            <w:r w:rsidRPr="001D4A68">
              <w:rPr>
                <w:sz w:val="20"/>
                <w:szCs w:val="20"/>
              </w:rPr>
              <w:t>Superior Court of Quebec</w:t>
            </w:r>
          </w:p>
          <w:p w:rsidR="00D345FB" w:rsidRPr="001D4A68" w:rsidRDefault="00D345FB" w:rsidP="00EA4658">
            <w:pPr>
              <w:rPr>
                <w:sz w:val="20"/>
                <w:szCs w:val="20"/>
              </w:rPr>
            </w:pPr>
            <w:r w:rsidRPr="001D4A68">
              <w:rPr>
                <w:sz w:val="20"/>
                <w:szCs w:val="20"/>
              </w:rPr>
              <w:t>(Auclair J.)</w:t>
            </w:r>
          </w:p>
          <w:p w:rsidR="00D345FB" w:rsidRPr="001D4A68" w:rsidRDefault="00D345FB" w:rsidP="00EA4658">
            <w:pPr>
              <w:rPr>
                <w:sz w:val="20"/>
                <w:szCs w:val="20"/>
              </w:rPr>
            </w:pPr>
            <w:r w:rsidRPr="001D4A68">
              <w:rPr>
                <w:sz w:val="20"/>
                <w:szCs w:val="20"/>
              </w:rPr>
              <w:t>2009 QCCS 4109</w:t>
            </w:r>
          </w:p>
          <w:p w:rsidR="00D345FB" w:rsidRPr="001D4A68" w:rsidRDefault="00D345FB" w:rsidP="00EA4658">
            <w:pPr>
              <w:rPr>
                <w:sz w:val="20"/>
                <w:szCs w:val="20"/>
              </w:rPr>
            </w:pPr>
          </w:p>
        </w:tc>
        <w:tc>
          <w:tcPr>
            <w:tcW w:w="243" w:type="pct"/>
          </w:tcPr>
          <w:p w:rsidR="00D345FB" w:rsidRPr="001D4A68" w:rsidRDefault="00D345FB" w:rsidP="00EA4658">
            <w:pPr>
              <w:rPr>
                <w:sz w:val="20"/>
                <w:szCs w:val="20"/>
              </w:rPr>
            </w:pPr>
          </w:p>
        </w:tc>
        <w:tc>
          <w:tcPr>
            <w:tcW w:w="2330" w:type="pct"/>
          </w:tcPr>
          <w:p w:rsidR="00D345FB" w:rsidRPr="001D4A68" w:rsidRDefault="00D345FB" w:rsidP="00EA4658">
            <w:pPr>
              <w:jc w:val="both"/>
              <w:rPr>
                <w:sz w:val="20"/>
                <w:szCs w:val="20"/>
              </w:rPr>
            </w:pPr>
            <w:r w:rsidRPr="001D4A68">
              <w:rPr>
                <w:sz w:val="20"/>
                <w:szCs w:val="20"/>
              </w:rPr>
              <w:t>Motion by respondent for recognition  of foreign proceeding and foreign representative granted</w:t>
            </w:r>
          </w:p>
        </w:tc>
      </w:tr>
      <w:tr w:rsidR="00D345FB" w:rsidRPr="001D4A68" w:rsidTr="00967B3E">
        <w:trPr>
          <w:cantSplit/>
        </w:trPr>
        <w:tc>
          <w:tcPr>
            <w:tcW w:w="2427" w:type="pct"/>
          </w:tcPr>
          <w:p w:rsidR="00D345FB" w:rsidRPr="001D4A68" w:rsidRDefault="00D345FB" w:rsidP="00EA4658">
            <w:pPr>
              <w:rPr>
                <w:sz w:val="20"/>
                <w:szCs w:val="20"/>
              </w:rPr>
            </w:pPr>
            <w:r w:rsidRPr="001D4A68">
              <w:rPr>
                <w:sz w:val="20"/>
                <w:szCs w:val="20"/>
              </w:rPr>
              <w:lastRenderedPageBreak/>
              <w:t>December 17, 2009</w:t>
            </w:r>
          </w:p>
          <w:p w:rsidR="00D345FB" w:rsidRPr="001D4A68" w:rsidRDefault="00D345FB" w:rsidP="00EA4658">
            <w:pPr>
              <w:rPr>
                <w:sz w:val="20"/>
                <w:szCs w:val="20"/>
              </w:rPr>
            </w:pPr>
            <w:r w:rsidRPr="001D4A68">
              <w:rPr>
                <w:sz w:val="20"/>
                <w:szCs w:val="20"/>
              </w:rPr>
              <w:t>Court of Appeal of Quebec (Montréal)</w:t>
            </w:r>
          </w:p>
          <w:p w:rsidR="00D345FB" w:rsidRPr="001D4A68" w:rsidRDefault="00D345FB" w:rsidP="00EA4658">
            <w:pPr>
              <w:rPr>
                <w:sz w:val="20"/>
                <w:szCs w:val="20"/>
              </w:rPr>
            </w:pPr>
            <w:r w:rsidRPr="001D4A68">
              <w:rPr>
                <w:sz w:val="20"/>
                <w:szCs w:val="20"/>
              </w:rPr>
              <w:t>(Chamberland, Forget and Morissette JJ.A.)</w:t>
            </w:r>
          </w:p>
          <w:p w:rsidR="00D345FB" w:rsidRPr="001D4A68" w:rsidRDefault="00D345FB" w:rsidP="00EA4658">
            <w:pPr>
              <w:rPr>
                <w:sz w:val="20"/>
                <w:szCs w:val="20"/>
              </w:rPr>
            </w:pPr>
            <w:r w:rsidRPr="001D4A68">
              <w:rPr>
                <w:sz w:val="20"/>
                <w:szCs w:val="20"/>
              </w:rPr>
              <w:t>2009 QCCA 2475</w:t>
            </w:r>
          </w:p>
          <w:p w:rsidR="00D345FB" w:rsidRPr="001D4A68" w:rsidRDefault="00D345FB" w:rsidP="00EA4658">
            <w:pPr>
              <w:rPr>
                <w:sz w:val="20"/>
                <w:szCs w:val="20"/>
              </w:rPr>
            </w:pPr>
          </w:p>
        </w:tc>
        <w:tc>
          <w:tcPr>
            <w:tcW w:w="243" w:type="pct"/>
          </w:tcPr>
          <w:p w:rsidR="00D345FB" w:rsidRPr="001D4A68" w:rsidRDefault="00D345FB" w:rsidP="00EA4658">
            <w:pPr>
              <w:rPr>
                <w:sz w:val="20"/>
                <w:szCs w:val="20"/>
              </w:rPr>
            </w:pPr>
          </w:p>
        </w:tc>
        <w:tc>
          <w:tcPr>
            <w:tcW w:w="2330" w:type="pct"/>
          </w:tcPr>
          <w:p w:rsidR="00D345FB" w:rsidRPr="001D4A68" w:rsidRDefault="00D345FB" w:rsidP="00EA4658">
            <w:pPr>
              <w:jc w:val="both"/>
              <w:rPr>
                <w:sz w:val="20"/>
                <w:szCs w:val="20"/>
              </w:rPr>
            </w:pPr>
            <w:r w:rsidRPr="001D4A68">
              <w:rPr>
                <w:sz w:val="20"/>
                <w:szCs w:val="20"/>
              </w:rPr>
              <w:t xml:space="preserve">Motion by respondent to dismiss the appeal granted and appeal dismissed; </w:t>
            </w:r>
            <w:r w:rsidRPr="001D4A68">
              <w:rPr>
                <w:i/>
                <w:sz w:val="20"/>
                <w:szCs w:val="20"/>
              </w:rPr>
              <w:t xml:space="preserve">de bene esse </w:t>
            </w:r>
            <w:r w:rsidRPr="001D4A68">
              <w:rPr>
                <w:sz w:val="20"/>
                <w:szCs w:val="20"/>
              </w:rPr>
              <w:t>application by Antiguan liquidators for leave to appeal dismissed</w:t>
            </w:r>
          </w:p>
        </w:tc>
      </w:tr>
      <w:tr w:rsidR="00D345FB" w:rsidRPr="001D4A68" w:rsidTr="00967B3E">
        <w:trPr>
          <w:cantSplit/>
        </w:trPr>
        <w:tc>
          <w:tcPr>
            <w:tcW w:w="2427" w:type="pct"/>
          </w:tcPr>
          <w:p w:rsidR="00D345FB" w:rsidRPr="001D4A68" w:rsidRDefault="00D345FB" w:rsidP="00EA4658">
            <w:pPr>
              <w:rPr>
                <w:sz w:val="20"/>
                <w:szCs w:val="20"/>
              </w:rPr>
            </w:pPr>
            <w:r w:rsidRPr="001D4A68">
              <w:rPr>
                <w:sz w:val="20"/>
                <w:szCs w:val="20"/>
              </w:rPr>
              <w:t>February 15, 2010</w:t>
            </w:r>
          </w:p>
          <w:p w:rsidR="00D345FB" w:rsidRPr="001D4A68" w:rsidRDefault="00D345FB" w:rsidP="00EA4658">
            <w:pPr>
              <w:rPr>
                <w:sz w:val="20"/>
                <w:szCs w:val="20"/>
              </w:rPr>
            </w:pPr>
            <w:r w:rsidRPr="001D4A68">
              <w:rPr>
                <w:sz w:val="20"/>
                <w:szCs w:val="20"/>
              </w:rPr>
              <w:t>Supreme Court of Canada</w:t>
            </w:r>
          </w:p>
          <w:p w:rsidR="00D345FB" w:rsidRPr="001D4A68" w:rsidRDefault="00D345FB" w:rsidP="00EA4658">
            <w:pPr>
              <w:rPr>
                <w:sz w:val="20"/>
                <w:szCs w:val="20"/>
              </w:rPr>
            </w:pPr>
          </w:p>
        </w:tc>
        <w:tc>
          <w:tcPr>
            <w:tcW w:w="243" w:type="pct"/>
          </w:tcPr>
          <w:p w:rsidR="00D345FB" w:rsidRPr="001D4A68" w:rsidRDefault="00D345FB" w:rsidP="00EA4658">
            <w:pPr>
              <w:rPr>
                <w:sz w:val="20"/>
                <w:szCs w:val="20"/>
              </w:rPr>
            </w:pPr>
          </w:p>
        </w:tc>
        <w:tc>
          <w:tcPr>
            <w:tcW w:w="2330" w:type="pct"/>
          </w:tcPr>
          <w:p w:rsidR="00D345FB" w:rsidRPr="001D4A68" w:rsidRDefault="00D345FB" w:rsidP="00EA4658">
            <w:pPr>
              <w:jc w:val="both"/>
              <w:rPr>
                <w:sz w:val="20"/>
                <w:szCs w:val="20"/>
              </w:rPr>
            </w:pPr>
            <w:r w:rsidRPr="001D4A68">
              <w:rPr>
                <w:sz w:val="20"/>
                <w:szCs w:val="20"/>
              </w:rPr>
              <w:t>Application for leave to appeal filed</w:t>
            </w:r>
          </w:p>
          <w:p w:rsidR="00D345FB" w:rsidRPr="001D4A68" w:rsidRDefault="00D345FB" w:rsidP="00EA4658">
            <w:pPr>
              <w:jc w:val="both"/>
              <w:rPr>
                <w:sz w:val="20"/>
                <w:szCs w:val="20"/>
              </w:rPr>
            </w:pPr>
          </w:p>
        </w:tc>
      </w:tr>
      <w:tr w:rsidR="00D345FB" w:rsidRPr="001D4A68" w:rsidTr="00967B3E">
        <w:trPr>
          <w:cantSplit/>
          <w:trHeight w:val="288"/>
        </w:trPr>
        <w:tc>
          <w:tcPr>
            <w:tcW w:w="2427" w:type="pct"/>
          </w:tcPr>
          <w:p w:rsidR="00D345FB" w:rsidRPr="001D4A68" w:rsidRDefault="00D345FB" w:rsidP="00EA4658">
            <w:pPr>
              <w:rPr>
                <w:sz w:val="20"/>
                <w:szCs w:val="20"/>
              </w:rPr>
            </w:pPr>
            <w:r w:rsidRPr="001D4A68">
              <w:rPr>
                <w:sz w:val="20"/>
                <w:szCs w:val="20"/>
              </w:rPr>
              <w:t>September 16, 2011</w:t>
            </w:r>
          </w:p>
          <w:p w:rsidR="00D345FB" w:rsidRPr="001D4A68" w:rsidRDefault="00D345FB" w:rsidP="00EA4658">
            <w:pPr>
              <w:rPr>
                <w:sz w:val="20"/>
                <w:szCs w:val="20"/>
              </w:rPr>
            </w:pPr>
            <w:r w:rsidRPr="001D4A68">
              <w:rPr>
                <w:sz w:val="20"/>
                <w:szCs w:val="20"/>
              </w:rPr>
              <w:t>Supreme Court of Canada</w:t>
            </w:r>
          </w:p>
        </w:tc>
        <w:tc>
          <w:tcPr>
            <w:tcW w:w="243" w:type="pct"/>
          </w:tcPr>
          <w:p w:rsidR="00D345FB" w:rsidRPr="001D4A68" w:rsidRDefault="00D345FB" w:rsidP="00EA4658">
            <w:pPr>
              <w:rPr>
                <w:sz w:val="20"/>
                <w:szCs w:val="20"/>
              </w:rPr>
            </w:pPr>
          </w:p>
        </w:tc>
        <w:tc>
          <w:tcPr>
            <w:tcW w:w="2330" w:type="pct"/>
          </w:tcPr>
          <w:p w:rsidR="00D345FB" w:rsidRPr="001D4A68" w:rsidRDefault="00D345FB" w:rsidP="00EA4658">
            <w:pPr>
              <w:jc w:val="both"/>
              <w:rPr>
                <w:sz w:val="20"/>
                <w:szCs w:val="20"/>
              </w:rPr>
            </w:pPr>
            <w:r w:rsidRPr="001D4A68">
              <w:rPr>
                <w:sz w:val="20"/>
                <w:szCs w:val="20"/>
              </w:rPr>
              <w:t>Amended application for leave to appeal filed</w:t>
            </w:r>
          </w:p>
        </w:tc>
      </w:tr>
    </w:tbl>
    <w:p w:rsidR="009B58BA" w:rsidRPr="00D345FB"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44"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4"/>
        <w:gridCol w:w="463"/>
        <w:gridCol w:w="4440"/>
      </w:tblGrid>
      <w:tr w:rsidR="00D345FB" w:rsidRPr="00AB361D" w:rsidTr="00EA4658">
        <w:tc>
          <w:tcPr>
            <w:tcW w:w="5000" w:type="pct"/>
            <w:gridSpan w:val="3"/>
          </w:tcPr>
          <w:p w:rsidR="00D345FB" w:rsidRPr="001D4A68" w:rsidRDefault="00D345FB" w:rsidP="00EA4658">
            <w:pPr>
              <w:jc w:val="both"/>
              <w:rPr>
                <w:rFonts w:eastAsia="Calibri"/>
                <w:sz w:val="20"/>
                <w:szCs w:val="20"/>
                <w:lang w:val="fr-CA"/>
              </w:rPr>
            </w:pPr>
            <w:r w:rsidRPr="001D4A68">
              <w:rPr>
                <w:rFonts w:eastAsia="Calibri"/>
                <w:sz w:val="20"/>
                <w:szCs w:val="20"/>
                <w:lang w:val="fr-CA"/>
              </w:rPr>
              <w:t>Faillite et insolvabilité — Représentant étranger — Instances étrangères — Reconnaissance — Lien réel et substantiel — Principes d'équité — La loi des États</w:t>
            </w:r>
            <w:r w:rsidRPr="001D4A68">
              <w:rPr>
                <w:rFonts w:eastAsia="Calibri"/>
                <w:sz w:val="20"/>
                <w:szCs w:val="20"/>
                <w:lang w:val="fr-CA"/>
              </w:rPr>
              <w:noBreakHyphen/>
              <w:t>Unis régissant les valeurs mobilières ou la common law relative aux mises sous séquestre constituent</w:t>
            </w:r>
            <w:r w:rsidRPr="001D4A68">
              <w:rPr>
                <w:rFonts w:eastAsia="Calibri"/>
                <w:sz w:val="20"/>
                <w:szCs w:val="20"/>
                <w:lang w:val="fr-CA"/>
              </w:rPr>
              <w:noBreakHyphen/>
              <w:t>elles « une loi relative à la faillite ou à l'insolvabilité » aux fins de la définition d’ « instances étrangères » que l'on trouve à la Partie XIII de la</w:t>
            </w:r>
            <w:r w:rsidRPr="001D4A68">
              <w:rPr>
                <w:rFonts w:eastAsia="Calibri"/>
                <w:i/>
                <w:sz w:val="20"/>
                <w:szCs w:val="20"/>
                <w:lang w:val="fr-CA"/>
              </w:rPr>
              <w:t xml:space="preserve"> Loi sur la faillite et l'insolvabilité</w:t>
            </w:r>
            <w:r w:rsidRPr="001D4A68">
              <w:rPr>
                <w:rFonts w:eastAsia="Calibri"/>
                <w:sz w:val="20"/>
                <w:szCs w:val="20"/>
                <w:lang w:val="fr-CA"/>
              </w:rPr>
              <w:t>?</w:t>
            </w:r>
            <w:r w:rsidRPr="001D4A68">
              <w:rPr>
                <w:rFonts w:eastAsia="Calibri"/>
                <w:i/>
                <w:sz w:val="20"/>
                <w:szCs w:val="20"/>
                <w:lang w:val="fr-CA"/>
              </w:rPr>
              <w:t xml:space="preserve"> </w:t>
            </w:r>
            <w:r w:rsidRPr="001D4A68">
              <w:rPr>
                <w:rFonts w:eastAsia="Calibri"/>
                <w:sz w:val="20"/>
                <w:szCs w:val="20"/>
                <w:lang w:val="fr-CA"/>
              </w:rPr>
              <w:t>— Dans le contexte d'une insolvabilité transfrontalière, peut</w:t>
            </w:r>
            <w:r w:rsidRPr="001D4A68">
              <w:rPr>
                <w:rFonts w:eastAsia="Calibri"/>
                <w:sz w:val="20"/>
                <w:szCs w:val="20"/>
                <w:lang w:val="fr-CA"/>
              </w:rPr>
              <w:noBreakHyphen/>
              <w:t>on conclure à un lien réel et substantiel entre le débiteur et un ressort donné sur le fondement de facteurs qui ne sont pas objectivement constatables par les créanciers du débiteur? — La Cour supérieure du Québec et la Cour d'appel du Québec, exerçant leurs compétences sous le régime de la</w:t>
            </w:r>
            <w:r w:rsidRPr="001D4A68">
              <w:rPr>
                <w:rFonts w:eastAsia="Calibri"/>
                <w:i/>
                <w:sz w:val="20"/>
                <w:szCs w:val="20"/>
                <w:lang w:val="fr-CA"/>
              </w:rPr>
              <w:t xml:space="preserve"> Loi sur la faillite et l'insolvabilité</w:t>
            </w:r>
            <w:r w:rsidRPr="001D4A68">
              <w:rPr>
                <w:rFonts w:eastAsia="Calibri"/>
                <w:sz w:val="20"/>
                <w:szCs w:val="20"/>
                <w:lang w:val="fr-CA"/>
              </w:rPr>
              <w:t>, peuvent</w:t>
            </w:r>
            <w:r w:rsidRPr="001D4A68">
              <w:rPr>
                <w:rFonts w:eastAsia="Calibri"/>
                <w:sz w:val="20"/>
                <w:szCs w:val="20"/>
                <w:lang w:val="fr-CA"/>
              </w:rPr>
              <w:noBreakHyphen/>
              <w:t xml:space="preserve">elles </w:t>
            </w:r>
            <w:proofErr w:type="gramStart"/>
            <w:r w:rsidRPr="001D4A68">
              <w:rPr>
                <w:rFonts w:eastAsia="Calibri"/>
                <w:sz w:val="20"/>
                <w:szCs w:val="20"/>
                <w:lang w:val="fr-CA"/>
              </w:rPr>
              <w:t>appliquer</w:t>
            </w:r>
            <w:proofErr w:type="gramEnd"/>
            <w:r w:rsidRPr="001D4A68">
              <w:rPr>
                <w:rFonts w:eastAsia="Calibri"/>
                <w:sz w:val="20"/>
                <w:szCs w:val="20"/>
                <w:lang w:val="fr-CA"/>
              </w:rPr>
              <w:t xml:space="preserve"> des principes d'équité qui ne font pas partie du droit civil de la province de Québec? —</w:t>
            </w:r>
            <w:r w:rsidRPr="001D4A68">
              <w:rPr>
                <w:rFonts w:eastAsia="Calibri"/>
                <w:i/>
                <w:sz w:val="20"/>
                <w:szCs w:val="20"/>
                <w:lang w:val="fr-CA"/>
              </w:rPr>
              <w:t xml:space="preserve"> Loi sur la faillite et l'insolvabilité</w:t>
            </w:r>
            <w:r w:rsidRPr="001D4A68">
              <w:rPr>
                <w:rFonts w:eastAsia="Calibri"/>
                <w:sz w:val="20"/>
                <w:szCs w:val="20"/>
                <w:lang w:val="fr-CA"/>
              </w:rPr>
              <w:t>, L.R.C. 1985, ch. B</w:t>
            </w:r>
            <w:r w:rsidRPr="001D4A68">
              <w:rPr>
                <w:rFonts w:eastAsia="Calibri"/>
                <w:sz w:val="20"/>
                <w:szCs w:val="20"/>
                <w:lang w:val="fr-CA"/>
              </w:rPr>
              <w:noBreakHyphen/>
              <w:t>3.</w:t>
            </w:r>
          </w:p>
        </w:tc>
      </w:tr>
      <w:tr w:rsidR="00D345FB" w:rsidRPr="00AB361D" w:rsidTr="00EA4658">
        <w:tc>
          <w:tcPr>
            <w:tcW w:w="5000" w:type="pct"/>
            <w:gridSpan w:val="3"/>
          </w:tcPr>
          <w:p w:rsidR="00D345FB" w:rsidRPr="001D4A68" w:rsidRDefault="00D345FB" w:rsidP="00EA4658">
            <w:pPr>
              <w:jc w:val="both"/>
              <w:rPr>
                <w:rFonts w:eastAsia="Calibri"/>
                <w:sz w:val="20"/>
                <w:szCs w:val="20"/>
                <w:lang w:val="fr-CA"/>
              </w:rPr>
            </w:pPr>
          </w:p>
        </w:tc>
      </w:tr>
      <w:tr w:rsidR="00D345FB" w:rsidRPr="004061E0" w:rsidTr="00EA4658">
        <w:tc>
          <w:tcPr>
            <w:tcW w:w="5000" w:type="pct"/>
            <w:gridSpan w:val="3"/>
          </w:tcPr>
          <w:p w:rsidR="00D345FB" w:rsidRPr="001D4A68" w:rsidRDefault="00D345FB" w:rsidP="00EA4658">
            <w:pPr>
              <w:widowControl w:val="0"/>
              <w:jc w:val="both"/>
              <w:rPr>
                <w:rFonts w:eastAsia="Calibri"/>
                <w:sz w:val="20"/>
                <w:szCs w:val="20"/>
                <w:lang w:val="fr-CA"/>
              </w:rPr>
            </w:pPr>
            <w:r w:rsidRPr="001D4A68">
              <w:rPr>
                <w:rFonts w:eastAsia="Calibri"/>
                <w:sz w:val="20"/>
                <w:szCs w:val="20"/>
                <w:lang w:val="fr-CA"/>
              </w:rPr>
              <w:t>Les demandeurs cherchent à obtenir l'autorisation d'en appeler d'une décision de la Cour d'appel du Québec qui a confirmé deux jugements de la Cour supérieure du Québec.  Dans le premier jugement, le tribunal a rejeté une requête de liquidateurs antiguais nommés par la High Court of Antigua and Barbuda pour procéder à la liquidation de Stanford International Bank Limited en vue de faire reconnaître cette ordonnance, leur statut et leur fonction en tant que représentants étrangers de l’actif dans une instance étrangère et leurs pouvoirs en tant que liquidateurs conjoints.  La Cour supérieure a statué que la conduite des liquidateurs antiguais rendait leur requête irrecevable.  Dans le deuxième jugement, le tribunal a accueilli une requête de l'intimé en vue de faire reconnaître l'instance dans le U.S. District Court for the Northern District of Texas, de le nommer séquestre des actifs de Stanford International Bank Limited, le reconnaissant ainsi comme le représentant étranger et reconnaissant la mise sous séquestre aux États</w:t>
            </w:r>
            <w:r w:rsidRPr="001D4A68">
              <w:rPr>
                <w:rFonts w:eastAsia="Calibri"/>
                <w:sz w:val="20"/>
                <w:szCs w:val="20"/>
                <w:lang w:val="fr-CA"/>
              </w:rPr>
              <w:noBreakHyphen/>
              <w:t xml:space="preserve">Unis comme « instance étrangère ». </w:t>
            </w:r>
          </w:p>
          <w:p w:rsidR="00D345FB" w:rsidRPr="001D4A68" w:rsidRDefault="00D345FB" w:rsidP="00EA4658">
            <w:pPr>
              <w:widowControl w:val="0"/>
              <w:jc w:val="both"/>
              <w:rPr>
                <w:rFonts w:eastAsia="Calibri"/>
                <w:sz w:val="20"/>
                <w:szCs w:val="20"/>
                <w:lang w:val="fr-CA"/>
              </w:rPr>
            </w:pPr>
          </w:p>
        </w:tc>
      </w:tr>
      <w:tr w:rsidR="00D345FB" w:rsidRPr="004061E0" w:rsidTr="00EA4658">
        <w:tc>
          <w:tcPr>
            <w:tcW w:w="2427"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11 septembre 2009</w:t>
            </w:r>
          </w:p>
          <w:p w:rsidR="00D345FB" w:rsidRPr="001D4A68" w:rsidRDefault="00D345FB" w:rsidP="00EA4658">
            <w:pPr>
              <w:jc w:val="both"/>
              <w:rPr>
                <w:rFonts w:eastAsia="Calibri"/>
                <w:sz w:val="20"/>
                <w:szCs w:val="20"/>
                <w:lang w:val="fr-CA"/>
              </w:rPr>
            </w:pPr>
            <w:r w:rsidRPr="001D4A68">
              <w:rPr>
                <w:rFonts w:eastAsia="Calibri"/>
                <w:sz w:val="20"/>
                <w:szCs w:val="20"/>
                <w:lang w:val="fr-CA"/>
              </w:rPr>
              <w:t>Cour supérieure du Québec</w:t>
            </w:r>
          </w:p>
          <w:p w:rsidR="00D345FB" w:rsidRPr="001D4A68" w:rsidRDefault="00D345FB" w:rsidP="00EA4658">
            <w:pPr>
              <w:jc w:val="both"/>
              <w:rPr>
                <w:rFonts w:eastAsia="Calibri"/>
                <w:sz w:val="20"/>
                <w:szCs w:val="20"/>
                <w:lang w:val="fr-CA"/>
              </w:rPr>
            </w:pPr>
            <w:r w:rsidRPr="001D4A68">
              <w:rPr>
                <w:rFonts w:eastAsia="Calibri"/>
                <w:sz w:val="20"/>
                <w:szCs w:val="20"/>
                <w:lang w:val="fr-CA"/>
              </w:rPr>
              <w:t>(Juge Auclair)</w:t>
            </w:r>
          </w:p>
          <w:p w:rsidR="00D345FB" w:rsidRPr="001D4A68" w:rsidRDefault="00D345FB" w:rsidP="00EA4658">
            <w:pPr>
              <w:jc w:val="both"/>
              <w:rPr>
                <w:rFonts w:eastAsia="Calibri"/>
                <w:sz w:val="20"/>
                <w:szCs w:val="20"/>
                <w:lang w:val="fr-CA"/>
              </w:rPr>
            </w:pPr>
            <w:r w:rsidRPr="001D4A68">
              <w:rPr>
                <w:rFonts w:eastAsia="Calibri"/>
                <w:sz w:val="20"/>
                <w:szCs w:val="20"/>
                <w:lang w:val="fr-CA"/>
              </w:rPr>
              <w:t>2009 QCCS 4106</w:t>
            </w:r>
          </w:p>
          <w:p w:rsidR="00D345FB" w:rsidRPr="001D4A68" w:rsidRDefault="00D345FB" w:rsidP="00EA4658">
            <w:pPr>
              <w:jc w:val="both"/>
              <w:rPr>
                <w:rFonts w:eastAsia="Calibri"/>
                <w:sz w:val="20"/>
                <w:szCs w:val="20"/>
                <w:lang w:val="fr-CA"/>
              </w:rPr>
            </w:pPr>
          </w:p>
        </w:tc>
        <w:tc>
          <w:tcPr>
            <w:tcW w:w="243" w:type="pct"/>
          </w:tcPr>
          <w:p w:rsidR="00D345FB" w:rsidRPr="001D4A68" w:rsidRDefault="00D345FB" w:rsidP="00EA4658">
            <w:pPr>
              <w:jc w:val="both"/>
              <w:rPr>
                <w:rFonts w:eastAsia="Calibri"/>
                <w:sz w:val="20"/>
                <w:szCs w:val="20"/>
                <w:lang w:val="fr-CA"/>
              </w:rPr>
            </w:pPr>
          </w:p>
        </w:tc>
        <w:tc>
          <w:tcPr>
            <w:tcW w:w="233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Requête des liquidateurs antiguais en reconnaissance de l'instance étrangère et du représentant étranger, rejetée</w:t>
            </w:r>
          </w:p>
          <w:p w:rsidR="00D345FB" w:rsidRPr="001D4A68" w:rsidRDefault="00D345FB" w:rsidP="00EA4658">
            <w:pPr>
              <w:jc w:val="both"/>
              <w:rPr>
                <w:rFonts w:eastAsia="Calibri"/>
                <w:sz w:val="20"/>
                <w:szCs w:val="20"/>
                <w:lang w:val="fr-CA"/>
              </w:rPr>
            </w:pPr>
          </w:p>
        </w:tc>
      </w:tr>
      <w:tr w:rsidR="00D345FB" w:rsidRPr="004061E0" w:rsidTr="00EA4658">
        <w:tc>
          <w:tcPr>
            <w:tcW w:w="2427"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11 septembre 2009</w:t>
            </w:r>
          </w:p>
          <w:p w:rsidR="00D345FB" w:rsidRPr="001D4A68" w:rsidRDefault="00D345FB" w:rsidP="00EA4658">
            <w:pPr>
              <w:jc w:val="both"/>
              <w:rPr>
                <w:rFonts w:eastAsia="Calibri"/>
                <w:sz w:val="20"/>
                <w:szCs w:val="20"/>
                <w:lang w:val="fr-CA"/>
              </w:rPr>
            </w:pPr>
            <w:r w:rsidRPr="001D4A68">
              <w:rPr>
                <w:rFonts w:eastAsia="Calibri"/>
                <w:sz w:val="20"/>
                <w:szCs w:val="20"/>
                <w:lang w:val="fr-CA"/>
              </w:rPr>
              <w:t>Cour supérieure du Québec</w:t>
            </w:r>
          </w:p>
          <w:p w:rsidR="00D345FB" w:rsidRPr="001D4A68" w:rsidRDefault="00D345FB" w:rsidP="00EA4658">
            <w:pPr>
              <w:jc w:val="both"/>
              <w:rPr>
                <w:rFonts w:eastAsia="Calibri"/>
                <w:sz w:val="20"/>
                <w:szCs w:val="20"/>
                <w:lang w:val="fr-CA"/>
              </w:rPr>
            </w:pPr>
            <w:r w:rsidRPr="001D4A68">
              <w:rPr>
                <w:rFonts w:eastAsia="Calibri"/>
                <w:sz w:val="20"/>
                <w:szCs w:val="20"/>
                <w:lang w:val="fr-CA"/>
              </w:rPr>
              <w:t>(Juge Auclair)</w:t>
            </w:r>
          </w:p>
          <w:p w:rsidR="00D345FB" w:rsidRPr="001D4A68" w:rsidRDefault="00D345FB" w:rsidP="00EA4658">
            <w:pPr>
              <w:jc w:val="both"/>
              <w:rPr>
                <w:rFonts w:eastAsia="Calibri"/>
                <w:sz w:val="20"/>
                <w:szCs w:val="20"/>
                <w:lang w:val="fr-CA"/>
              </w:rPr>
            </w:pPr>
            <w:r w:rsidRPr="001D4A68">
              <w:rPr>
                <w:rFonts w:eastAsia="Calibri"/>
                <w:sz w:val="20"/>
                <w:szCs w:val="20"/>
                <w:lang w:val="fr-CA"/>
              </w:rPr>
              <w:t>2009 QCCS 4109</w:t>
            </w:r>
          </w:p>
          <w:p w:rsidR="00D345FB" w:rsidRPr="001D4A68" w:rsidRDefault="00D345FB" w:rsidP="00EA4658">
            <w:pPr>
              <w:jc w:val="both"/>
              <w:rPr>
                <w:rFonts w:eastAsia="Calibri"/>
                <w:sz w:val="20"/>
                <w:szCs w:val="20"/>
                <w:lang w:val="fr-CA"/>
              </w:rPr>
            </w:pPr>
          </w:p>
        </w:tc>
        <w:tc>
          <w:tcPr>
            <w:tcW w:w="243" w:type="pct"/>
          </w:tcPr>
          <w:p w:rsidR="00D345FB" w:rsidRPr="001D4A68" w:rsidRDefault="00D345FB" w:rsidP="00EA4658">
            <w:pPr>
              <w:jc w:val="both"/>
              <w:rPr>
                <w:rFonts w:eastAsia="Calibri"/>
                <w:sz w:val="20"/>
                <w:szCs w:val="20"/>
                <w:lang w:val="fr-CA"/>
              </w:rPr>
            </w:pPr>
          </w:p>
        </w:tc>
        <w:tc>
          <w:tcPr>
            <w:tcW w:w="233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Requête de l'intimé en reconnaissance de l'instance étrangère et du représentant étranger, accueillie</w:t>
            </w:r>
          </w:p>
        </w:tc>
      </w:tr>
      <w:tr w:rsidR="00D345FB" w:rsidRPr="004061E0" w:rsidTr="00967B3E">
        <w:trPr>
          <w:cantSplit/>
        </w:trPr>
        <w:tc>
          <w:tcPr>
            <w:tcW w:w="2427"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lastRenderedPageBreak/>
              <w:t>17 décembre 2009</w:t>
            </w:r>
          </w:p>
          <w:p w:rsidR="00D345FB" w:rsidRPr="001D4A68" w:rsidRDefault="00D345FB" w:rsidP="00EA4658">
            <w:pPr>
              <w:jc w:val="both"/>
              <w:rPr>
                <w:rFonts w:eastAsia="Calibri"/>
                <w:sz w:val="20"/>
                <w:szCs w:val="20"/>
                <w:lang w:val="fr-CA"/>
              </w:rPr>
            </w:pPr>
            <w:r w:rsidRPr="001D4A68">
              <w:rPr>
                <w:rFonts w:eastAsia="Calibri"/>
                <w:sz w:val="20"/>
                <w:szCs w:val="20"/>
                <w:lang w:val="fr-CA"/>
              </w:rPr>
              <w:t>Cour d'appel du Québec (Montréal)</w:t>
            </w:r>
          </w:p>
          <w:p w:rsidR="00D345FB" w:rsidRPr="001D4A68" w:rsidRDefault="00D345FB" w:rsidP="00EA4658">
            <w:pPr>
              <w:jc w:val="both"/>
              <w:rPr>
                <w:rFonts w:eastAsia="Calibri"/>
                <w:sz w:val="20"/>
                <w:szCs w:val="20"/>
                <w:lang w:val="fr-CA"/>
              </w:rPr>
            </w:pPr>
            <w:r w:rsidRPr="001D4A68">
              <w:rPr>
                <w:rFonts w:eastAsia="Calibri"/>
                <w:sz w:val="20"/>
                <w:szCs w:val="20"/>
                <w:lang w:val="fr-CA"/>
              </w:rPr>
              <w:t>(Juges Chamberland, Forget et Morissette)</w:t>
            </w:r>
          </w:p>
          <w:p w:rsidR="00D345FB" w:rsidRPr="001D4A68" w:rsidRDefault="00D345FB" w:rsidP="00EA4658">
            <w:pPr>
              <w:jc w:val="both"/>
              <w:rPr>
                <w:rFonts w:eastAsia="Calibri"/>
                <w:sz w:val="20"/>
                <w:szCs w:val="20"/>
                <w:lang w:val="fr-CA"/>
              </w:rPr>
            </w:pPr>
            <w:r w:rsidRPr="001D4A68">
              <w:rPr>
                <w:rFonts w:eastAsia="Calibri"/>
                <w:sz w:val="20"/>
                <w:szCs w:val="20"/>
                <w:lang w:val="fr-CA"/>
              </w:rPr>
              <w:t>2009 QCCA 2475</w:t>
            </w:r>
          </w:p>
          <w:p w:rsidR="00D345FB" w:rsidRPr="001D4A68" w:rsidRDefault="00D345FB" w:rsidP="00EA4658">
            <w:pPr>
              <w:jc w:val="both"/>
              <w:rPr>
                <w:rFonts w:eastAsia="Calibri"/>
                <w:sz w:val="20"/>
                <w:szCs w:val="20"/>
                <w:lang w:val="fr-CA"/>
              </w:rPr>
            </w:pPr>
          </w:p>
        </w:tc>
        <w:tc>
          <w:tcPr>
            <w:tcW w:w="243" w:type="pct"/>
          </w:tcPr>
          <w:p w:rsidR="00D345FB" w:rsidRPr="001D4A68" w:rsidRDefault="00D345FB" w:rsidP="00EA4658">
            <w:pPr>
              <w:jc w:val="both"/>
              <w:rPr>
                <w:rFonts w:eastAsia="Calibri"/>
                <w:sz w:val="20"/>
                <w:szCs w:val="20"/>
                <w:lang w:val="fr-CA"/>
              </w:rPr>
            </w:pPr>
          </w:p>
        </w:tc>
        <w:tc>
          <w:tcPr>
            <w:tcW w:w="233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 xml:space="preserve">Requête de l'intimé en rejet de l'appel, accueillie et appel rejeté; demande </w:t>
            </w:r>
            <w:r w:rsidRPr="001D4A68">
              <w:rPr>
                <w:rFonts w:eastAsia="Calibri"/>
                <w:i/>
                <w:sz w:val="20"/>
                <w:szCs w:val="20"/>
                <w:lang w:val="fr-CA"/>
              </w:rPr>
              <w:t>de bene esse</w:t>
            </w:r>
            <w:r w:rsidRPr="001D4A68">
              <w:rPr>
                <w:rFonts w:eastAsia="Calibri"/>
                <w:sz w:val="20"/>
                <w:szCs w:val="20"/>
                <w:lang w:val="fr-CA"/>
              </w:rPr>
              <w:t xml:space="preserve"> des liquidateurs antiguais en autorisation d'appel, rejetée</w:t>
            </w:r>
          </w:p>
        </w:tc>
      </w:tr>
      <w:tr w:rsidR="00D345FB" w:rsidRPr="001D4A68" w:rsidTr="00967B3E">
        <w:trPr>
          <w:cantSplit/>
        </w:trPr>
        <w:tc>
          <w:tcPr>
            <w:tcW w:w="2427"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15 février 2010</w:t>
            </w:r>
          </w:p>
          <w:p w:rsidR="00D345FB" w:rsidRPr="001D4A68" w:rsidRDefault="00D345FB" w:rsidP="00EA4658">
            <w:pPr>
              <w:jc w:val="both"/>
              <w:rPr>
                <w:rFonts w:eastAsia="Calibri"/>
                <w:sz w:val="20"/>
                <w:szCs w:val="20"/>
                <w:lang w:val="fr-CA"/>
              </w:rPr>
            </w:pPr>
            <w:r w:rsidRPr="001D4A68">
              <w:rPr>
                <w:rFonts w:eastAsia="Calibri"/>
                <w:sz w:val="20"/>
                <w:szCs w:val="20"/>
                <w:lang w:val="fr-CA"/>
              </w:rPr>
              <w:t>Cour suprême du Canada</w:t>
            </w:r>
          </w:p>
          <w:p w:rsidR="00D345FB" w:rsidRPr="001D4A68" w:rsidRDefault="00D345FB" w:rsidP="00EA4658">
            <w:pPr>
              <w:jc w:val="both"/>
              <w:rPr>
                <w:rFonts w:eastAsia="Calibri"/>
                <w:sz w:val="20"/>
                <w:szCs w:val="20"/>
                <w:lang w:val="fr-CA"/>
              </w:rPr>
            </w:pPr>
          </w:p>
        </w:tc>
        <w:tc>
          <w:tcPr>
            <w:tcW w:w="243" w:type="pct"/>
          </w:tcPr>
          <w:p w:rsidR="00D345FB" w:rsidRPr="001D4A68" w:rsidRDefault="00D345FB" w:rsidP="00EA4658">
            <w:pPr>
              <w:jc w:val="both"/>
              <w:rPr>
                <w:rFonts w:eastAsia="Calibri"/>
                <w:sz w:val="20"/>
                <w:szCs w:val="20"/>
                <w:lang w:val="fr-CA"/>
              </w:rPr>
            </w:pPr>
          </w:p>
        </w:tc>
        <w:tc>
          <w:tcPr>
            <w:tcW w:w="233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Demande d'autorisation d'appel, déposée</w:t>
            </w:r>
          </w:p>
          <w:p w:rsidR="00D345FB" w:rsidRPr="001D4A68" w:rsidRDefault="00D345FB" w:rsidP="00EA4658">
            <w:pPr>
              <w:jc w:val="both"/>
              <w:rPr>
                <w:rFonts w:eastAsia="Calibri"/>
                <w:sz w:val="20"/>
                <w:szCs w:val="20"/>
                <w:lang w:val="fr-CA"/>
              </w:rPr>
            </w:pPr>
          </w:p>
        </w:tc>
      </w:tr>
      <w:tr w:rsidR="00D345FB" w:rsidRPr="004061E0" w:rsidTr="00967B3E">
        <w:trPr>
          <w:cantSplit/>
        </w:trPr>
        <w:tc>
          <w:tcPr>
            <w:tcW w:w="2427"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16 septembre 2011</w:t>
            </w:r>
          </w:p>
          <w:p w:rsidR="00D345FB" w:rsidRPr="001D4A68" w:rsidRDefault="00D345FB" w:rsidP="00EA4658">
            <w:pPr>
              <w:jc w:val="both"/>
              <w:rPr>
                <w:rFonts w:eastAsia="Calibri"/>
                <w:sz w:val="20"/>
                <w:szCs w:val="20"/>
                <w:lang w:val="fr-CA"/>
              </w:rPr>
            </w:pPr>
            <w:r w:rsidRPr="001D4A68">
              <w:rPr>
                <w:rFonts w:eastAsia="Calibri"/>
                <w:sz w:val="20"/>
                <w:szCs w:val="20"/>
                <w:lang w:val="fr-CA"/>
              </w:rPr>
              <w:t>Cour suprême du Canada</w:t>
            </w:r>
          </w:p>
        </w:tc>
        <w:tc>
          <w:tcPr>
            <w:tcW w:w="243" w:type="pct"/>
          </w:tcPr>
          <w:p w:rsidR="00D345FB" w:rsidRPr="001D4A68" w:rsidRDefault="00D345FB" w:rsidP="00EA4658">
            <w:pPr>
              <w:jc w:val="both"/>
              <w:rPr>
                <w:rFonts w:eastAsia="Calibri"/>
                <w:sz w:val="20"/>
                <w:szCs w:val="20"/>
                <w:lang w:val="fr-CA"/>
              </w:rPr>
            </w:pPr>
          </w:p>
        </w:tc>
        <w:tc>
          <w:tcPr>
            <w:tcW w:w="233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Demande modifiée d'autorisation d'appel, déposée</w:t>
            </w: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45"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967B3E" w:rsidRPr="0080601F" w:rsidTr="000202E0">
        <w:trPr>
          <w:cantSplit/>
        </w:trPr>
        <w:tc>
          <w:tcPr>
            <w:tcW w:w="1458" w:type="dxa"/>
          </w:tcPr>
          <w:p w:rsidR="00967B3E" w:rsidRPr="0080601F" w:rsidRDefault="00967B3E" w:rsidP="000202E0">
            <w:pPr>
              <w:rPr>
                <w:sz w:val="20"/>
                <w:szCs w:val="20"/>
              </w:rPr>
            </w:pPr>
            <w:r w:rsidRPr="0080601F">
              <w:rPr>
                <w:rStyle w:val="SCCFileNumberChar"/>
                <w:sz w:val="20"/>
                <w:szCs w:val="20"/>
              </w:rPr>
              <w:t>34260</w:t>
            </w:r>
          </w:p>
          <w:p w:rsidR="00967B3E" w:rsidRPr="0080601F" w:rsidRDefault="00967B3E" w:rsidP="000202E0">
            <w:pPr>
              <w:rPr>
                <w:b/>
                <w:sz w:val="20"/>
                <w:szCs w:val="20"/>
                <w:lang w:val="fr-CA"/>
              </w:rPr>
            </w:pPr>
          </w:p>
        </w:tc>
        <w:tc>
          <w:tcPr>
            <w:tcW w:w="8118" w:type="dxa"/>
          </w:tcPr>
          <w:p w:rsidR="00967B3E" w:rsidRPr="0080601F" w:rsidRDefault="00967B3E" w:rsidP="000202E0">
            <w:pPr>
              <w:rPr>
                <w:sz w:val="20"/>
                <w:szCs w:val="20"/>
              </w:rPr>
            </w:pPr>
            <w:r w:rsidRPr="0080601F">
              <w:rPr>
                <w:rStyle w:val="SCCLsocChar"/>
                <w:sz w:val="20"/>
                <w:szCs w:val="20"/>
                <w:lang w:val="en-CA"/>
              </w:rPr>
              <w:t>Dustin Joseph Paul v. Her Majesty the Queen</w:t>
            </w:r>
            <w:r w:rsidRPr="0080601F">
              <w:rPr>
                <w:sz w:val="20"/>
                <w:szCs w:val="20"/>
              </w:rPr>
              <w:t xml:space="preserve"> (B.C.) (Criminal) (By Leave)</w:t>
            </w:r>
          </w:p>
          <w:p w:rsidR="00967B3E" w:rsidRPr="0080601F" w:rsidRDefault="00967B3E" w:rsidP="000202E0">
            <w:pPr>
              <w:rPr>
                <w:sz w:val="20"/>
                <w:szCs w:val="20"/>
              </w:rPr>
            </w:pPr>
          </w:p>
        </w:tc>
      </w:tr>
      <w:tr w:rsidR="00967B3E" w:rsidRPr="0080601F" w:rsidTr="000202E0">
        <w:trPr>
          <w:cantSplit/>
        </w:trPr>
        <w:tc>
          <w:tcPr>
            <w:tcW w:w="1458" w:type="dxa"/>
          </w:tcPr>
          <w:p w:rsidR="00967B3E" w:rsidRPr="0080601F" w:rsidRDefault="00967B3E" w:rsidP="000202E0">
            <w:pPr>
              <w:rPr>
                <w:sz w:val="20"/>
                <w:szCs w:val="20"/>
              </w:rPr>
            </w:pPr>
            <w:r w:rsidRPr="0080601F">
              <w:rPr>
                <w:sz w:val="20"/>
                <w:szCs w:val="20"/>
              </w:rPr>
              <w:t>Coram :</w:t>
            </w:r>
          </w:p>
        </w:tc>
        <w:tc>
          <w:tcPr>
            <w:tcW w:w="8118" w:type="dxa"/>
          </w:tcPr>
          <w:p w:rsidR="00967B3E" w:rsidRPr="0080601F" w:rsidRDefault="00967B3E" w:rsidP="000202E0">
            <w:pPr>
              <w:rPr>
                <w:sz w:val="20"/>
                <w:szCs w:val="20"/>
              </w:rPr>
            </w:pPr>
            <w:r w:rsidRPr="0080601F">
              <w:rPr>
                <w:rStyle w:val="SCCCoramChar"/>
                <w:sz w:val="20"/>
                <w:szCs w:val="20"/>
                <w:lang w:val="en-CA"/>
              </w:rPr>
              <w:t xml:space="preserve">McLachlin C.J. and </w:t>
            </w:r>
            <w:r w:rsidR="007503AD">
              <w:rPr>
                <w:rStyle w:val="SCCCoramChar"/>
                <w:sz w:val="20"/>
                <w:szCs w:val="20"/>
                <w:lang w:val="en-CA"/>
              </w:rPr>
              <w:t xml:space="preserve">LeBel and </w:t>
            </w:r>
            <w:r w:rsidRPr="0080601F">
              <w:rPr>
                <w:rStyle w:val="SCCCoramChar"/>
                <w:sz w:val="20"/>
                <w:szCs w:val="20"/>
                <w:lang w:val="en-CA"/>
              </w:rPr>
              <w:t>Deschamps JJ.</w:t>
            </w:r>
          </w:p>
          <w:p w:rsidR="00967B3E" w:rsidRPr="0080601F" w:rsidRDefault="00967B3E" w:rsidP="000202E0">
            <w:pPr>
              <w:rPr>
                <w:sz w:val="20"/>
                <w:szCs w:val="20"/>
                <w:u w:val="single"/>
              </w:rPr>
            </w:pPr>
          </w:p>
        </w:tc>
      </w:tr>
      <w:tr w:rsidR="00967B3E" w:rsidRPr="004061E0" w:rsidTr="000202E0">
        <w:trPr>
          <w:cantSplit/>
        </w:trPr>
        <w:tc>
          <w:tcPr>
            <w:tcW w:w="9576" w:type="dxa"/>
            <w:gridSpan w:val="2"/>
          </w:tcPr>
          <w:p w:rsidR="00967B3E" w:rsidRPr="0080601F" w:rsidRDefault="00967B3E" w:rsidP="000202E0">
            <w:pPr>
              <w:pStyle w:val="SCCShortJudgment"/>
              <w:rPr>
                <w:szCs w:val="20"/>
              </w:rPr>
            </w:pPr>
            <w:r w:rsidRPr="0080601F">
              <w:rPr>
                <w:szCs w:val="20"/>
              </w:rPr>
              <w:t>The application for an extension of time to serve and file the application for leave to appeal is granted. The application for leave to appeal from the judgment of the Court of Appeal for British Columbia (Vancouver), Number CA035034, 2011 BCCA 46, dated February 4, 2011, is dismissed without costs.</w:t>
            </w:r>
          </w:p>
          <w:p w:rsidR="00967B3E" w:rsidRPr="0080601F" w:rsidRDefault="00967B3E" w:rsidP="000202E0">
            <w:pPr>
              <w:pStyle w:val="SCCShortJudgment"/>
              <w:ind w:firstLine="0"/>
              <w:rPr>
                <w:szCs w:val="20"/>
              </w:rPr>
            </w:pPr>
          </w:p>
          <w:p w:rsidR="00967B3E" w:rsidRPr="0080601F" w:rsidRDefault="00967B3E" w:rsidP="000202E0">
            <w:pPr>
              <w:pStyle w:val="SCCShortJudgment"/>
              <w:rPr>
                <w:szCs w:val="20"/>
                <w:lang w:val="fr-CA"/>
              </w:rPr>
            </w:pPr>
            <w:r w:rsidRPr="0080601F">
              <w:rPr>
                <w:szCs w:val="20"/>
                <w:lang w:val="fr-CA"/>
              </w:rPr>
              <w:t>La demande en prorogation du délai de signification et de dépôt de la demande d’autorisation d’appel est accueillie. La demande d’autorisation d’appel de l’arrêt de la Cour d’appel de la Colombie-Britannique (Vancouver), numéro CA035034, 2011 BCCA 46, daté du 4 février 2011, est rejetée sans dépens.</w:t>
            </w:r>
          </w:p>
        </w:tc>
      </w:tr>
    </w:tbl>
    <w:p w:rsidR="00D345FB" w:rsidRPr="00967B3E" w:rsidRDefault="00D345FB"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554"/>
        <w:gridCol w:w="514"/>
        <w:gridCol w:w="4459"/>
      </w:tblGrid>
      <w:tr w:rsidR="00D345FB" w:rsidRPr="001D4A68" w:rsidTr="00EA4658">
        <w:tc>
          <w:tcPr>
            <w:tcW w:w="5000" w:type="pct"/>
            <w:gridSpan w:val="3"/>
          </w:tcPr>
          <w:p w:rsidR="00D345FB" w:rsidRPr="001D4A68" w:rsidRDefault="00D345FB" w:rsidP="00EA4658">
            <w:pPr>
              <w:jc w:val="both"/>
              <w:rPr>
                <w:rFonts w:eastAsia="Calibri"/>
                <w:sz w:val="20"/>
                <w:szCs w:val="20"/>
              </w:rPr>
            </w:pPr>
            <w:r w:rsidRPr="001D4A68">
              <w:rPr>
                <w:rFonts w:eastAsia="Calibri"/>
                <w:sz w:val="20"/>
                <w:szCs w:val="20"/>
              </w:rPr>
              <w:t xml:space="preserve">Criminal Law </w:t>
            </w:r>
            <w:r w:rsidRPr="001D4A68">
              <w:rPr>
                <w:rFonts w:eastAsia="Calibri"/>
                <w:sz w:val="20"/>
                <w:szCs w:val="20"/>
              </w:rPr>
              <w:noBreakHyphen/>
              <w:t xml:space="preserve"> Charge to Jury </w:t>
            </w:r>
            <w:r w:rsidRPr="001D4A68">
              <w:rPr>
                <w:rFonts w:eastAsia="Calibri"/>
                <w:sz w:val="20"/>
                <w:szCs w:val="20"/>
              </w:rPr>
              <w:noBreakHyphen/>
              <w:t xml:space="preserve"> Mental disorder </w:t>
            </w:r>
            <w:r w:rsidRPr="001D4A68">
              <w:rPr>
                <w:rFonts w:eastAsia="Calibri"/>
                <w:sz w:val="20"/>
                <w:szCs w:val="20"/>
              </w:rPr>
              <w:noBreakHyphen/>
              <w:t xml:space="preserve"> Offences </w:t>
            </w:r>
            <w:r w:rsidRPr="001D4A68">
              <w:rPr>
                <w:rFonts w:eastAsia="Calibri"/>
                <w:sz w:val="20"/>
                <w:szCs w:val="20"/>
              </w:rPr>
              <w:noBreakHyphen/>
              <w:t xml:space="preserve"> Elements of offence </w:t>
            </w:r>
            <w:r w:rsidRPr="001D4A68">
              <w:rPr>
                <w:rFonts w:eastAsia="Calibri"/>
                <w:sz w:val="20"/>
                <w:szCs w:val="20"/>
              </w:rPr>
              <w:noBreakHyphen/>
              <w:t xml:space="preserve"> Intent for murder </w:t>
            </w:r>
            <w:r w:rsidRPr="001D4A68">
              <w:rPr>
                <w:rFonts w:eastAsia="Calibri"/>
                <w:sz w:val="20"/>
                <w:szCs w:val="20"/>
              </w:rPr>
              <w:noBreakHyphen/>
              <w:t xml:space="preserve"> Mental capacity required for criminal culpability </w:t>
            </w:r>
            <w:r w:rsidRPr="001D4A68">
              <w:rPr>
                <w:rFonts w:eastAsia="Calibri"/>
                <w:sz w:val="20"/>
                <w:szCs w:val="20"/>
              </w:rPr>
              <w:noBreakHyphen/>
              <w:t xml:space="preserve"> Freeing a jury to give verdicts on included charges </w:t>
            </w:r>
            <w:r w:rsidRPr="001D4A68">
              <w:rPr>
                <w:rFonts w:eastAsia="Calibri"/>
                <w:sz w:val="20"/>
                <w:szCs w:val="20"/>
              </w:rPr>
              <w:noBreakHyphen/>
              <w:t xml:space="preserve"> Telling jurors a new trial will be ordered if they are unable to agree on a verdict </w:t>
            </w:r>
            <w:r w:rsidRPr="001D4A68">
              <w:rPr>
                <w:rFonts w:eastAsia="Calibri"/>
                <w:sz w:val="20"/>
                <w:szCs w:val="20"/>
              </w:rPr>
              <w:noBreakHyphen/>
              <w:t xml:space="preserve"> Indicating to jurors that their duty is to decide guilt or innocence </w:t>
            </w:r>
            <w:r w:rsidRPr="001D4A68">
              <w:rPr>
                <w:rFonts w:eastAsia="Calibri"/>
                <w:sz w:val="20"/>
                <w:szCs w:val="20"/>
              </w:rPr>
              <w:noBreakHyphen/>
              <w:t xml:space="preserve"> Responses to jury reports of a stalemate </w:t>
            </w:r>
            <w:r w:rsidRPr="001D4A68">
              <w:rPr>
                <w:rFonts w:eastAsia="Calibri"/>
                <w:sz w:val="20"/>
                <w:szCs w:val="20"/>
              </w:rPr>
              <w:noBreakHyphen/>
              <w:t xml:space="preserve"> Requirement to consider each count individually </w:t>
            </w:r>
          </w:p>
        </w:tc>
      </w:tr>
      <w:tr w:rsidR="00D345FB" w:rsidRPr="001D4A68" w:rsidTr="00EA4658">
        <w:tc>
          <w:tcPr>
            <w:tcW w:w="5000" w:type="pct"/>
            <w:gridSpan w:val="3"/>
          </w:tcPr>
          <w:p w:rsidR="00D345FB" w:rsidRPr="001D4A68" w:rsidRDefault="00D345FB" w:rsidP="00EA4658">
            <w:pPr>
              <w:jc w:val="both"/>
              <w:rPr>
                <w:rFonts w:eastAsia="Calibri"/>
                <w:sz w:val="20"/>
                <w:szCs w:val="20"/>
              </w:rPr>
            </w:pPr>
          </w:p>
        </w:tc>
      </w:tr>
      <w:tr w:rsidR="00D345FB" w:rsidRPr="001D4A68" w:rsidTr="00EA4658">
        <w:tc>
          <w:tcPr>
            <w:tcW w:w="5000" w:type="pct"/>
            <w:gridSpan w:val="3"/>
          </w:tcPr>
          <w:p w:rsidR="00D345FB" w:rsidRPr="001D4A68" w:rsidRDefault="00D345FB" w:rsidP="00EA4658">
            <w:pPr>
              <w:jc w:val="both"/>
              <w:rPr>
                <w:rFonts w:eastAsia="Calibri"/>
                <w:sz w:val="20"/>
                <w:szCs w:val="20"/>
              </w:rPr>
            </w:pPr>
            <w:r w:rsidRPr="001D4A68">
              <w:rPr>
                <w:rFonts w:eastAsia="Calibri"/>
                <w:sz w:val="20"/>
                <w:szCs w:val="20"/>
              </w:rPr>
              <w:t xml:space="preserve">The applicant was convicted by a jury of three counts of second degree murder and two counts of attempted murder.  The applicant shot five men at a party, killing three of them and wounding the other two.  Expert opinion evidence indicates that at the time of the shooting, he was in a transient psychotic state brought about by a prolonged period of significant consumption of alcohol, cocaine and marihuana.  He testified that he had an auditory hallucination of a voice telling him to “wake up”, which he took to mean to kill himself to wake up to a better life, and telling him to take other people with him so that he would not wake up alone.  An expert for the defence </w:t>
            </w:r>
            <w:r w:rsidRPr="001D4A68">
              <w:rPr>
                <w:rFonts w:eastAsia="Calibri"/>
                <w:iCs/>
                <w:color w:val="000000"/>
                <w:sz w:val="20"/>
                <w:szCs w:val="20"/>
              </w:rPr>
              <w:t xml:space="preserve">testified that </w:t>
            </w:r>
            <w:r w:rsidRPr="001D4A68">
              <w:rPr>
                <w:rFonts w:eastAsia="Calibri"/>
                <w:color w:val="000000"/>
                <w:sz w:val="20"/>
                <w:szCs w:val="20"/>
              </w:rPr>
              <w:t xml:space="preserve">the applicant was acutely and transiently psychotic at the time of the shootings.  The expert </w:t>
            </w:r>
            <w:r w:rsidRPr="001D4A68">
              <w:rPr>
                <w:rFonts w:eastAsia="Calibri"/>
                <w:sz w:val="20"/>
                <w:szCs w:val="20"/>
              </w:rPr>
              <w:t xml:space="preserve">opinion evidence indicates that </w:t>
            </w:r>
            <w:r w:rsidRPr="001D4A68">
              <w:rPr>
                <w:rFonts w:eastAsia="Calibri"/>
                <w:color w:val="000000"/>
                <w:sz w:val="20"/>
                <w:szCs w:val="20"/>
              </w:rPr>
              <w:t>the psychosis was self</w:t>
            </w:r>
            <w:r w:rsidRPr="001D4A68">
              <w:rPr>
                <w:rFonts w:eastAsia="Calibri"/>
                <w:color w:val="000000"/>
                <w:sz w:val="20"/>
                <w:szCs w:val="20"/>
              </w:rPr>
              <w:noBreakHyphen/>
              <w:t xml:space="preserve">induced, caused by consumption of drugs and alcohol, and it was not caused by an underlying mental disease or disorder.  </w:t>
            </w:r>
            <w:r w:rsidRPr="001D4A68">
              <w:rPr>
                <w:rFonts w:eastAsia="Calibri"/>
                <w:sz w:val="20"/>
                <w:szCs w:val="20"/>
              </w:rPr>
              <w:t xml:space="preserve">The defence’s expert also testified that capacity to form intention requires </w:t>
            </w:r>
            <w:r w:rsidRPr="001D4A68">
              <w:rPr>
                <w:rFonts w:eastAsia="Calibri"/>
                <w:color w:val="000000"/>
                <w:sz w:val="20"/>
                <w:szCs w:val="20"/>
              </w:rPr>
              <w:t xml:space="preserve">having an actual, realistic goal and the applicant could not form intent because he sought a psychotic outcome.  On appeal to the Court of Appeal, the applicant argued that the defence of Not Criminally Responsible by Reason of Mental Disorder should have been put to the jury.  He also challenged aspects of the charge to the jury and he challenged responses by the trial judge to queries from the jury during deliberations. </w:t>
            </w:r>
            <w:r w:rsidRPr="001D4A68">
              <w:rPr>
                <w:rFonts w:eastAsia="Calibri"/>
                <w:sz w:val="20"/>
                <w:szCs w:val="20"/>
              </w:rPr>
              <w:t xml:space="preserve"> The Court of Appeal dismissed an appeal from the convictions.</w:t>
            </w:r>
          </w:p>
          <w:p w:rsidR="00D345FB" w:rsidRPr="001D4A68" w:rsidRDefault="00D345FB" w:rsidP="00EA4658">
            <w:pPr>
              <w:jc w:val="both"/>
              <w:rPr>
                <w:rFonts w:eastAsia="Calibri"/>
                <w:sz w:val="20"/>
                <w:szCs w:val="20"/>
              </w:rPr>
            </w:pPr>
          </w:p>
        </w:tc>
      </w:tr>
      <w:tr w:rsidR="00D345FB" w:rsidRPr="001D4A68" w:rsidTr="00967B3E">
        <w:tblPrEx>
          <w:tblCellMar>
            <w:bottom w:w="0" w:type="dxa"/>
          </w:tblCellMar>
        </w:tblPrEx>
        <w:trPr>
          <w:cantSplit/>
        </w:trPr>
        <w:tc>
          <w:tcPr>
            <w:tcW w:w="2390" w:type="pct"/>
          </w:tcPr>
          <w:p w:rsidR="00D345FB" w:rsidRPr="001D4A68" w:rsidRDefault="00D345FB" w:rsidP="00EA4658">
            <w:pPr>
              <w:jc w:val="both"/>
              <w:rPr>
                <w:rFonts w:eastAsia="Calibri"/>
                <w:sz w:val="20"/>
                <w:szCs w:val="20"/>
              </w:rPr>
            </w:pPr>
            <w:r w:rsidRPr="001D4A68">
              <w:rPr>
                <w:rFonts w:eastAsia="Calibri"/>
                <w:sz w:val="20"/>
                <w:szCs w:val="20"/>
              </w:rPr>
              <w:lastRenderedPageBreak/>
              <w:t>September 13, 2006</w:t>
            </w:r>
          </w:p>
          <w:p w:rsidR="00D345FB" w:rsidRPr="001D4A68" w:rsidRDefault="00D345FB" w:rsidP="00EA4658">
            <w:pPr>
              <w:jc w:val="both"/>
              <w:rPr>
                <w:rFonts w:eastAsia="Calibri"/>
                <w:sz w:val="20"/>
                <w:szCs w:val="20"/>
              </w:rPr>
            </w:pPr>
            <w:r w:rsidRPr="001D4A68">
              <w:rPr>
                <w:rFonts w:eastAsia="Calibri"/>
                <w:sz w:val="20"/>
                <w:szCs w:val="20"/>
              </w:rPr>
              <w:t>Supreme Court of British Columbia</w:t>
            </w:r>
          </w:p>
          <w:p w:rsidR="00D345FB" w:rsidRPr="001D4A68" w:rsidRDefault="00D345FB" w:rsidP="00EA4658">
            <w:pPr>
              <w:jc w:val="both"/>
              <w:rPr>
                <w:rFonts w:eastAsia="Calibri"/>
                <w:sz w:val="20"/>
                <w:szCs w:val="20"/>
              </w:rPr>
            </w:pPr>
            <w:r w:rsidRPr="001D4A68">
              <w:rPr>
                <w:rFonts w:eastAsia="Calibri"/>
                <w:sz w:val="20"/>
                <w:szCs w:val="20"/>
              </w:rPr>
              <w:t>(Shaw J.)</w:t>
            </w:r>
          </w:p>
          <w:p w:rsidR="00D345FB" w:rsidRPr="001D4A68" w:rsidRDefault="00D345FB" w:rsidP="00EA4658">
            <w:pPr>
              <w:jc w:val="both"/>
              <w:rPr>
                <w:rFonts w:eastAsia="Calibri"/>
                <w:sz w:val="20"/>
                <w:szCs w:val="20"/>
              </w:rPr>
            </w:pPr>
          </w:p>
        </w:tc>
        <w:tc>
          <w:tcPr>
            <w:tcW w:w="270" w:type="pct"/>
          </w:tcPr>
          <w:p w:rsidR="00D345FB" w:rsidRPr="001D4A68" w:rsidRDefault="00D345FB" w:rsidP="00EA4658">
            <w:pPr>
              <w:jc w:val="both"/>
              <w:rPr>
                <w:rFonts w:eastAsia="Calibri"/>
                <w:sz w:val="20"/>
                <w:szCs w:val="20"/>
              </w:rPr>
            </w:pPr>
          </w:p>
        </w:tc>
        <w:tc>
          <w:tcPr>
            <w:tcW w:w="2340" w:type="pct"/>
          </w:tcPr>
          <w:p w:rsidR="00D345FB" w:rsidRPr="001D4A68" w:rsidRDefault="00D345FB" w:rsidP="00EA4658">
            <w:pPr>
              <w:jc w:val="both"/>
              <w:rPr>
                <w:rFonts w:eastAsia="Calibri"/>
                <w:sz w:val="20"/>
                <w:szCs w:val="20"/>
              </w:rPr>
            </w:pPr>
            <w:r w:rsidRPr="001D4A68">
              <w:rPr>
                <w:rFonts w:eastAsia="Calibri"/>
                <w:sz w:val="20"/>
                <w:szCs w:val="20"/>
              </w:rPr>
              <w:t xml:space="preserve">Applicant convicted by jury of </w:t>
            </w:r>
            <w:r w:rsidRPr="001D4A68">
              <w:rPr>
                <w:rFonts w:eastAsia="Calibri"/>
                <w:color w:val="000000"/>
                <w:sz w:val="20"/>
                <w:szCs w:val="20"/>
              </w:rPr>
              <w:t>three counts of second degree murder and two counts of attempted murder</w:t>
            </w:r>
          </w:p>
          <w:p w:rsidR="00D345FB" w:rsidRPr="001D4A68" w:rsidRDefault="00D345FB" w:rsidP="00EA4658">
            <w:pPr>
              <w:jc w:val="both"/>
              <w:rPr>
                <w:rFonts w:eastAsia="Calibri"/>
                <w:sz w:val="20"/>
                <w:szCs w:val="20"/>
              </w:rPr>
            </w:pPr>
          </w:p>
        </w:tc>
      </w:tr>
      <w:tr w:rsidR="00D345FB" w:rsidRPr="001D4A68" w:rsidTr="00967B3E">
        <w:tblPrEx>
          <w:tblCellMar>
            <w:bottom w:w="0" w:type="dxa"/>
          </w:tblCellMar>
        </w:tblPrEx>
        <w:trPr>
          <w:cantSplit/>
        </w:trPr>
        <w:tc>
          <w:tcPr>
            <w:tcW w:w="2390" w:type="pct"/>
          </w:tcPr>
          <w:p w:rsidR="00D345FB" w:rsidRPr="001D4A68" w:rsidRDefault="00D345FB" w:rsidP="00EA4658">
            <w:pPr>
              <w:jc w:val="both"/>
              <w:rPr>
                <w:rFonts w:eastAsia="Calibri"/>
                <w:sz w:val="20"/>
                <w:szCs w:val="20"/>
              </w:rPr>
            </w:pPr>
            <w:r w:rsidRPr="001D4A68">
              <w:rPr>
                <w:rFonts w:eastAsia="Calibri"/>
                <w:sz w:val="20"/>
                <w:szCs w:val="20"/>
              </w:rPr>
              <w:t>February 4, 2011</w:t>
            </w:r>
          </w:p>
          <w:p w:rsidR="00D345FB" w:rsidRPr="001D4A68" w:rsidRDefault="00D345FB" w:rsidP="00EA4658">
            <w:pPr>
              <w:jc w:val="both"/>
              <w:rPr>
                <w:rFonts w:eastAsia="Calibri"/>
                <w:sz w:val="20"/>
                <w:szCs w:val="20"/>
              </w:rPr>
            </w:pPr>
            <w:r w:rsidRPr="001D4A68">
              <w:rPr>
                <w:rFonts w:eastAsia="Calibri"/>
                <w:sz w:val="20"/>
                <w:szCs w:val="20"/>
              </w:rPr>
              <w:t>Court of Appeal for British Columbia (Vancouver)</w:t>
            </w:r>
          </w:p>
          <w:p w:rsidR="00D345FB" w:rsidRPr="001D4A68" w:rsidRDefault="00D345FB" w:rsidP="00EA4658">
            <w:pPr>
              <w:jc w:val="both"/>
              <w:rPr>
                <w:rFonts w:eastAsia="Calibri"/>
                <w:sz w:val="20"/>
                <w:szCs w:val="20"/>
              </w:rPr>
            </w:pPr>
            <w:r w:rsidRPr="001D4A68">
              <w:rPr>
                <w:rFonts w:eastAsia="Calibri"/>
                <w:sz w:val="20"/>
                <w:szCs w:val="20"/>
              </w:rPr>
              <w:t xml:space="preserve">(Ryan, Newbury, Tysoe JJ.A.) </w:t>
            </w:r>
          </w:p>
          <w:p w:rsidR="00D345FB" w:rsidRPr="001D4A68" w:rsidRDefault="00D345FB" w:rsidP="00EA4658">
            <w:pPr>
              <w:jc w:val="both"/>
              <w:rPr>
                <w:rFonts w:eastAsia="Calibri"/>
                <w:sz w:val="20"/>
                <w:szCs w:val="20"/>
              </w:rPr>
            </w:pPr>
            <w:r w:rsidRPr="001D4A68">
              <w:rPr>
                <w:rFonts w:eastAsia="Calibri"/>
                <w:sz w:val="20"/>
                <w:szCs w:val="20"/>
              </w:rPr>
              <w:t>2011 BCCA 46; CA035034</w:t>
            </w:r>
          </w:p>
          <w:p w:rsidR="00D345FB" w:rsidRPr="001D4A68" w:rsidRDefault="00D345FB" w:rsidP="00EA4658">
            <w:pPr>
              <w:jc w:val="both"/>
              <w:rPr>
                <w:rFonts w:eastAsia="Calibri"/>
                <w:sz w:val="20"/>
                <w:szCs w:val="20"/>
              </w:rPr>
            </w:pPr>
          </w:p>
        </w:tc>
        <w:tc>
          <w:tcPr>
            <w:tcW w:w="270" w:type="pct"/>
          </w:tcPr>
          <w:p w:rsidR="00D345FB" w:rsidRPr="001D4A68" w:rsidRDefault="00D345FB" w:rsidP="00EA4658">
            <w:pPr>
              <w:jc w:val="both"/>
              <w:rPr>
                <w:rFonts w:eastAsia="Calibri"/>
                <w:sz w:val="20"/>
                <w:szCs w:val="20"/>
              </w:rPr>
            </w:pPr>
          </w:p>
        </w:tc>
        <w:tc>
          <w:tcPr>
            <w:tcW w:w="2340" w:type="pct"/>
          </w:tcPr>
          <w:p w:rsidR="00D345FB" w:rsidRPr="001D4A68" w:rsidRDefault="00D345FB" w:rsidP="00EA4658">
            <w:pPr>
              <w:jc w:val="both"/>
              <w:rPr>
                <w:rFonts w:eastAsia="Calibri"/>
                <w:sz w:val="20"/>
                <w:szCs w:val="20"/>
              </w:rPr>
            </w:pPr>
            <w:r w:rsidRPr="001D4A68">
              <w:rPr>
                <w:rFonts w:eastAsia="Calibri"/>
                <w:sz w:val="20"/>
                <w:szCs w:val="20"/>
              </w:rPr>
              <w:t>Appeal dismissed</w:t>
            </w:r>
          </w:p>
          <w:p w:rsidR="00D345FB" w:rsidRPr="001D4A68" w:rsidRDefault="00D345FB" w:rsidP="00EA4658">
            <w:pPr>
              <w:jc w:val="both"/>
              <w:rPr>
                <w:rFonts w:eastAsia="Calibri"/>
                <w:sz w:val="20"/>
                <w:szCs w:val="20"/>
              </w:rPr>
            </w:pPr>
          </w:p>
        </w:tc>
      </w:tr>
      <w:tr w:rsidR="00D345FB" w:rsidRPr="001D4A68" w:rsidTr="00967B3E">
        <w:tblPrEx>
          <w:tblCellMar>
            <w:bottom w:w="0" w:type="dxa"/>
          </w:tblCellMar>
        </w:tblPrEx>
        <w:trPr>
          <w:cantSplit/>
        </w:trPr>
        <w:tc>
          <w:tcPr>
            <w:tcW w:w="2390" w:type="pct"/>
          </w:tcPr>
          <w:p w:rsidR="00D345FB" w:rsidRPr="001D4A68" w:rsidRDefault="00D345FB" w:rsidP="00EA4658">
            <w:pPr>
              <w:jc w:val="both"/>
              <w:rPr>
                <w:rFonts w:eastAsia="Calibri"/>
                <w:sz w:val="20"/>
                <w:szCs w:val="20"/>
              </w:rPr>
            </w:pPr>
            <w:r w:rsidRPr="001D4A68">
              <w:rPr>
                <w:rFonts w:eastAsia="Calibri"/>
                <w:sz w:val="20"/>
                <w:szCs w:val="20"/>
              </w:rPr>
              <w:t>May 17, 2011</w:t>
            </w:r>
          </w:p>
          <w:p w:rsidR="00D345FB" w:rsidRPr="001D4A68" w:rsidRDefault="00D345FB" w:rsidP="00EA4658">
            <w:pPr>
              <w:jc w:val="both"/>
              <w:rPr>
                <w:rFonts w:eastAsia="Calibri"/>
                <w:sz w:val="20"/>
                <w:szCs w:val="20"/>
              </w:rPr>
            </w:pPr>
            <w:r w:rsidRPr="001D4A68">
              <w:rPr>
                <w:rFonts w:eastAsia="Calibri"/>
                <w:sz w:val="20"/>
                <w:szCs w:val="20"/>
              </w:rPr>
              <w:t>Supreme Court of Canada</w:t>
            </w:r>
          </w:p>
        </w:tc>
        <w:tc>
          <w:tcPr>
            <w:tcW w:w="270" w:type="pct"/>
          </w:tcPr>
          <w:p w:rsidR="00D345FB" w:rsidRPr="001D4A68" w:rsidRDefault="00D345FB" w:rsidP="00EA4658">
            <w:pPr>
              <w:jc w:val="both"/>
              <w:rPr>
                <w:rFonts w:eastAsia="Calibri"/>
                <w:sz w:val="20"/>
                <w:szCs w:val="20"/>
              </w:rPr>
            </w:pPr>
          </w:p>
        </w:tc>
        <w:tc>
          <w:tcPr>
            <w:tcW w:w="2340" w:type="pct"/>
          </w:tcPr>
          <w:p w:rsidR="00D345FB" w:rsidRPr="001D4A68" w:rsidRDefault="00D345FB" w:rsidP="00EA4658">
            <w:pPr>
              <w:jc w:val="both"/>
              <w:rPr>
                <w:rFonts w:eastAsia="Calibri"/>
                <w:sz w:val="20"/>
                <w:szCs w:val="20"/>
              </w:rPr>
            </w:pPr>
            <w:r w:rsidRPr="001D4A68">
              <w:rPr>
                <w:rFonts w:eastAsia="Calibri"/>
                <w:sz w:val="20"/>
                <w:szCs w:val="20"/>
              </w:rPr>
              <w:t>Application for extension of time to serve and file application for leave to appeal and Application for leave to appeal filed</w:t>
            </w:r>
          </w:p>
        </w:tc>
      </w:tr>
    </w:tbl>
    <w:p w:rsidR="009B58BA" w:rsidRPr="00D345FB"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46"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554"/>
        <w:gridCol w:w="514"/>
        <w:gridCol w:w="4459"/>
      </w:tblGrid>
      <w:tr w:rsidR="00D345FB" w:rsidRPr="004061E0" w:rsidTr="00EA4658">
        <w:tc>
          <w:tcPr>
            <w:tcW w:w="5000" w:type="pct"/>
            <w:gridSpan w:val="3"/>
          </w:tcPr>
          <w:p w:rsidR="00D345FB" w:rsidRPr="001D4A68" w:rsidRDefault="00D345FB" w:rsidP="00EA4658">
            <w:pPr>
              <w:jc w:val="both"/>
              <w:rPr>
                <w:rFonts w:eastAsia="Calibri"/>
                <w:sz w:val="20"/>
                <w:szCs w:val="20"/>
                <w:lang w:val="fr-CA"/>
              </w:rPr>
            </w:pPr>
            <w:r w:rsidRPr="001D4A68">
              <w:rPr>
                <w:rFonts w:eastAsia="Calibri"/>
                <w:sz w:val="20"/>
                <w:szCs w:val="20"/>
                <w:lang w:val="fr-CA"/>
              </w:rPr>
              <w:t xml:space="preserve">Droit criminel </w:t>
            </w:r>
            <w:r w:rsidRPr="001D4A68">
              <w:rPr>
                <w:rFonts w:eastAsia="Calibri"/>
                <w:sz w:val="20"/>
                <w:szCs w:val="20"/>
                <w:lang w:val="fr-CA"/>
              </w:rPr>
              <w:noBreakHyphen/>
              <w:t xml:space="preserve"> Exposé au jury </w:t>
            </w:r>
            <w:r w:rsidRPr="001D4A68">
              <w:rPr>
                <w:rFonts w:eastAsia="Calibri"/>
                <w:sz w:val="20"/>
                <w:szCs w:val="20"/>
                <w:lang w:val="fr-CA"/>
              </w:rPr>
              <w:noBreakHyphen/>
              <w:t xml:space="preserve"> Troubles mentaux </w:t>
            </w:r>
            <w:r w:rsidRPr="001D4A68">
              <w:rPr>
                <w:rFonts w:eastAsia="Calibri"/>
                <w:sz w:val="20"/>
                <w:szCs w:val="20"/>
                <w:lang w:val="fr-CA"/>
              </w:rPr>
              <w:noBreakHyphen/>
              <w:t xml:space="preserve"> Infractions </w:t>
            </w:r>
            <w:r w:rsidRPr="001D4A68">
              <w:rPr>
                <w:rFonts w:eastAsia="Calibri"/>
                <w:sz w:val="20"/>
                <w:szCs w:val="20"/>
                <w:lang w:val="fr-CA"/>
              </w:rPr>
              <w:noBreakHyphen/>
              <w:t xml:space="preserve"> Éléments de l’infraction </w:t>
            </w:r>
            <w:r w:rsidRPr="001D4A68">
              <w:rPr>
                <w:rFonts w:eastAsia="Calibri"/>
                <w:sz w:val="20"/>
                <w:szCs w:val="20"/>
                <w:lang w:val="fr-CA"/>
              </w:rPr>
              <w:noBreakHyphen/>
              <w:t xml:space="preserve"> Intention de commettre un meurtre </w:t>
            </w:r>
            <w:r w:rsidRPr="001D4A68">
              <w:rPr>
                <w:rFonts w:eastAsia="Calibri"/>
                <w:sz w:val="20"/>
                <w:szCs w:val="20"/>
                <w:lang w:val="fr-CA"/>
              </w:rPr>
              <w:noBreakHyphen/>
              <w:t xml:space="preserve"> Capacité mentale nécessaire pour la culpabilité criminelle </w:t>
            </w:r>
            <w:r w:rsidRPr="001D4A68">
              <w:rPr>
                <w:rFonts w:eastAsia="Calibri"/>
                <w:sz w:val="20"/>
                <w:szCs w:val="20"/>
                <w:lang w:val="fr-CA"/>
              </w:rPr>
              <w:noBreakHyphen/>
              <w:t xml:space="preserve"> Fait de permettre à un jury de rendre des verdicts sur des accusations incluses </w:t>
            </w:r>
            <w:r w:rsidRPr="001D4A68">
              <w:rPr>
                <w:rFonts w:eastAsia="Calibri"/>
                <w:sz w:val="20"/>
                <w:szCs w:val="20"/>
                <w:lang w:val="fr-CA"/>
              </w:rPr>
              <w:noBreakHyphen/>
              <w:t xml:space="preserve"> Fait de dire aux jurés qu’un nouveau procès sera ordonné s’ils sont incapables de s’entendre sur un verdict </w:t>
            </w:r>
            <w:r w:rsidRPr="001D4A68">
              <w:rPr>
                <w:rFonts w:eastAsia="Calibri"/>
                <w:sz w:val="20"/>
                <w:szCs w:val="20"/>
                <w:lang w:val="fr-CA"/>
              </w:rPr>
              <w:noBreakHyphen/>
              <w:t xml:space="preserve"> Fait de dire aux jurés qu’il leur appartient de décider de la culpabilité ou de l’innocence </w:t>
            </w:r>
            <w:r w:rsidRPr="001D4A68">
              <w:rPr>
                <w:rFonts w:eastAsia="Calibri"/>
                <w:sz w:val="20"/>
                <w:szCs w:val="20"/>
                <w:lang w:val="fr-CA"/>
              </w:rPr>
              <w:noBreakHyphen/>
              <w:t xml:space="preserve"> Réactions aux rapports du jury indiquant qui il y avait impasse </w:t>
            </w:r>
            <w:r w:rsidRPr="001D4A68">
              <w:rPr>
                <w:rFonts w:eastAsia="Calibri"/>
                <w:sz w:val="20"/>
                <w:szCs w:val="20"/>
                <w:lang w:val="fr-CA"/>
              </w:rPr>
              <w:noBreakHyphen/>
              <w:t xml:space="preserve"> Obligation de considérer chaque chef individuellement</w:t>
            </w:r>
          </w:p>
        </w:tc>
      </w:tr>
      <w:tr w:rsidR="00D345FB" w:rsidRPr="004061E0" w:rsidTr="00EA4658">
        <w:tc>
          <w:tcPr>
            <w:tcW w:w="5000" w:type="pct"/>
            <w:gridSpan w:val="3"/>
          </w:tcPr>
          <w:p w:rsidR="00D345FB" w:rsidRPr="001D4A68" w:rsidRDefault="00D345FB" w:rsidP="00EA4658">
            <w:pPr>
              <w:jc w:val="both"/>
              <w:rPr>
                <w:rFonts w:eastAsia="Calibri"/>
                <w:sz w:val="20"/>
                <w:szCs w:val="20"/>
                <w:lang w:val="fr-CA"/>
              </w:rPr>
            </w:pPr>
          </w:p>
        </w:tc>
      </w:tr>
      <w:tr w:rsidR="00D345FB" w:rsidRPr="004061E0" w:rsidTr="00EA4658">
        <w:tc>
          <w:tcPr>
            <w:tcW w:w="5000" w:type="pct"/>
            <w:gridSpan w:val="3"/>
          </w:tcPr>
          <w:p w:rsidR="00D345FB" w:rsidRPr="001D4A68" w:rsidRDefault="00D345FB" w:rsidP="00EA4658">
            <w:pPr>
              <w:jc w:val="both"/>
              <w:rPr>
                <w:rFonts w:eastAsia="Calibri"/>
                <w:sz w:val="20"/>
                <w:szCs w:val="20"/>
                <w:lang w:val="fr-CA"/>
              </w:rPr>
            </w:pPr>
            <w:r w:rsidRPr="001D4A68">
              <w:rPr>
                <w:rFonts w:eastAsia="Calibri"/>
                <w:sz w:val="20"/>
                <w:szCs w:val="20"/>
                <w:lang w:val="fr-CA"/>
              </w:rPr>
              <w:t>Le demandeur a été déclaré coupable par un jury sous trois chefs d’accusation de meurtre au deuxième degré et deux chefs d’accusation de tentative de meurtre.  Le demandeur a tiré sur cinq hommes à une fête, tuant trois d’entre eux et blessant les deux autres.  Selon une preuve d’expert, au moment de la fusillade, le demandeur se trouvait dans un état psychotique passager induit par une période prolongée de consommation importante d’alcool, de cocaïne et de marijuana.  Dans son témoignage, le demandeur a affirmé avoir eu l’hallucination auditive d’une voix lui disant de « se réveiller » qu’il interprétait comme voulant dire de se tuer pour se réveiller dans une vie meilleure et lui disant d’amener d’autres personnes avec lui pour qu’il n’ait pas à se réveiller seul.  Un expert pour la défense a affirmé dans son témoignage que le demandeur souffrait d’une psychose aiguë et passagère au moment de la fusillade</w:t>
            </w:r>
            <w:r w:rsidRPr="001D4A68">
              <w:rPr>
                <w:rFonts w:eastAsia="Calibri"/>
                <w:color w:val="000000"/>
                <w:sz w:val="20"/>
                <w:szCs w:val="20"/>
                <w:lang w:val="fr-CA"/>
              </w:rPr>
              <w:t>.  Selon la preuve d’expert, la psychose était due à son propre fait, causée par la consommation de drogues et d’alcool, et qu’elle n’avait pas été causée par une maladie ou un trouble mental sous</w:t>
            </w:r>
            <w:r w:rsidRPr="001D4A68">
              <w:rPr>
                <w:rFonts w:eastAsia="Calibri"/>
                <w:color w:val="000000"/>
                <w:sz w:val="20"/>
                <w:szCs w:val="20"/>
                <w:lang w:val="fr-CA"/>
              </w:rPr>
              <w:noBreakHyphen/>
              <w:t>jacent.</w:t>
            </w:r>
            <w:r w:rsidRPr="001D4A68">
              <w:rPr>
                <w:rFonts w:eastAsia="Calibri"/>
                <w:sz w:val="20"/>
                <w:szCs w:val="20"/>
                <w:lang w:val="fr-CA"/>
              </w:rPr>
              <w:t xml:space="preserve"> L’expert de la défense a également affirmé que pour être capable de former une intention, il faut avoir un objectif véritable et réaliste et que le demandeur ne pouvait pas former une intention, puisqu’il recherchait un résultat psychotique</w:t>
            </w:r>
            <w:r w:rsidRPr="001D4A68">
              <w:rPr>
                <w:rFonts w:eastAsia="Calibri"/>
                <w:color w:val="000000"/>
                <w:sz w:val="20"/>
                <w:szCs w:val="20"/>
                <w:lang w:val="fr-CA"/>
              </w:rPr>
              <w:t>.  En appel à la Cour d’appel, le demandeur a plaidé que le moyen de défense de la non</w:t>
            </w:r>
            <w:r w:rsidRPr="001D4A68">
              <w:rPr>
                <w:rFonts w:eastAsia="Calibri"/>
                <w:color w:val="000000"/>
                <w:sz w:val="20"/>
                <w:szCs w:val="20"/>
                <w:lang w:val="fr-CA"/>
              </w:rPr>
              <w:noBreakHyphen/>
              <w:t>responsabilité criminelle pour cause de troubles mentaux aurait dû être présenté au jury.  Il a également contesté certains aspects de l’exposé au jury et les réponses du juge du procès aux questions du jury pendant les délibérations.</w:t>
            </w:r>
            <w:r w:rsidRPr="001D4A68">
              <w:rPr>
                <w:rFonts w:eastAsia="Calibri"/>
                <w:sz w:val="20"/>
                <w:szCs w:val="20"/>
                <w:lang w:val="fr-CA"/>
              </w:rPr>
              <w:t xml:space="preserve">  La Cour d’appel a rejeté l’appel des déclarations de culpabilité.</w:t>
            </w:r>
          </w:p>
          <w:p w:rsidR="00D345FB" w:rsidRPr="001D4A68" w:rsidRDefault="00D345FB" w:rsidP="00EA4658">
            <w:pPr>
              <w:jc w:val="both"/>
              <w:rPr>
                <w:rFonts w:eastAsia="Calibri"/>
                <w:sz w:val="20"/>
                <w:szCs w:val="20"/>
                <w:lang w:val="fr-CA"/>
              </w:rPr>
            </w:pPr>
          </w:p>
        </w:tc>
      </w:tr>
      <w:tr w:rsidR="00D345FB" w:rsidRPr="004061E0" w:rsidTr="00EA4658">
        <w:tblPrEx>
          <w:tblCellMar>
            <w:bottom w:w="0" w:type="dxa"/>
          </w:tblCellMar>
        </w:tblPrEx>
        <w:tc>
          <w:tcPr>
            <w:tcW w:w="239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13 septembre 2006</w:t>
            </w:r>
          </w:p>
          <w:p w:rsidR="00D345FB" w:rsidRPr="001D4A68" w:rsidRDefault="00D345FB" w:rsidP="00EA4658">
            <w:pPr>
              <w:jc w:val="both"/>
              <w:rPr>
                <w:rFonts w:eastAsia="Calibri"/>
                <w:sz w:val="20"/>
                <w:szCs w:val="20"/>
                <w:lang w:val="fr-CA"/>
              </w:rPr>
            </w:pPr>
            <w:r w:rsidRPr="001D4A68">
              <w:rPr>
                <w:rFonts w:eastAsia="Calibri"/>
                <w:sz w:val="20"/>
                <w:szCs w:val="20"/>
                <w:lang w:val="fr-CA"/>
              </w:rPr>
              <w:t>Cour suprême de la Colombie</w:t>
            </w:r>
            <w:r w:rsidRPr="001D4A68">
              <w:rPr>
                <w:rFonts w:eastAsia="Calibri"/>
                <w:sz w:val="20"/>
                <w:szCs w:val="20"/>
                <w:lang w:val="fr-CA"/>
              </w:rPr>
              <w:noBreakHyphen/>
              <w:t xml:space="preserve">Britannique </w:t>
            </w:r>
          </w:p>
          <w:p w:rsidR="00D345FB" w:rsidRPr="001D4A68" w:rsidRDefault="00D345FB" w:rsidP="00EA4658">
            <w:pPr>
              <w:jc w:val="both"/>
              <w:rPr>
                <w:rFonts w:eastAsia="Calibri"/>
                <w:sz w:val="20"/>
                <w:szCs w:val="20"/>
                <w:lang w:val="fr-CA"/>
              </w:rPr>
            </w:pPr>
            <w:r w:rsidRPr="001D4A68">
              <w:rPr>
                <w:rFonts w:eastAsia="Calibri"/>
                <w:sz w:val="20"/>
                <w:szCs w:val="20"/>
                <w:lang w:val="fr-CA"/>
              </w:rPr>
              <w:t>(Juge Shaw)</w:t>
            </w:r>
          </w:p>
        </w:tc>
        <w:tc>
          <w:tcPr>
            <w:tcW w:w="270" w:type="pct"/>
          </w:tcPr>
          <w:p w:rsidR="00D345FB" w:rsidRPr="001D4A68" w:rsidRDefault="00D345FB" w:rsidP="00EA4658">
            <w:pPr>
              <w:jc w:val="both"/>
              <w:rPr>
                <w:rFonts w:eastAsia="Calibri"/>
                <w:sz w:val="20"/>
                <w:szCs w:val="20"/>
                <w:lang w:val="fr-CA"/>
              </w:rPr>
            </w:pPr>
          </w:p>
        </w:tc>
        <w:tc>
          <w:tcPr>
            <w:tcW w:w="234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Demandeur déclaré coupable par un jury sous trois chefs d’accusation de meurtre au deuxième degré et deux chefs d’accusation de tentative de meurtre</w:t>
            </w:r>
          </w:p>
          <w:p w:rsidR="00D345FB" w:rsidRPr="001D4A68" w:rsidRDefault="00D345FB" w:rsidP="00EA4658">
            <w:pPr>
              <w:jc w:val="both"/>
              <w:rPr>
                <w:rFonts w:eastAsia="Calibri"/>
                <w:sz w:val="20"/>
                <w:szCs w:val="20"/>
                <w:lang w:val="fr-CA"/>
              </w:rPr>
            </w:pPr>
          </w:p>
        </w:tc>
      </w:tr>
      <w:tr w:rsidR="00D345FB" w:rsidRPr="001D4A68" w:rsidTr="00EA4658">
        <w:tblPrEx>
          <w:tblCellMar>
            <w:bottom w:w="0" w:type="dxa"/>
          </w:tblCellMar>
        </w:tblPrEx>
        <w:tc>
          <w:tcPr>
            <w:tcW w:w="239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4 février 2011</w:t>
            </w:r>
          </w:p>
          <w:p w:rsidR="00D345FB" w:rsidRPr="001D4A68" w:rsidRDefault="00D345FB" w:rsidP="00EA4658">
            <w:pPr>
              <w:jc w:val="both"/>
              <w:rPr>
                <w:rFonts w:eastAsia="Calibri"/>
                <w:sz w:val="20"/>
                <w:szCs w:val="20"/>
                <w:lang w:val="fr-CA"/>
              </w:rPr>
            </w:pPr>
            <w:r w:rsidRPr="001D4A68">
              <w:rPr>
                <w:rFonts w:eastAsia="Calibri"/>
                <w:sz w:val="20"/>
                <w:szCs w:val="20"/>
                <w:lang w:val="fr-CA"/>
              </w:rPr>
              <w:t>Cour d’appel de la Colombie</w:t>
            </w:r>
            <w:r w:rsidRPr="001D4A68">
              <w:rPr>
                <w:rFonts w:eastAsia="Calibri"/>
                <w:sz w:val="20"/>
                <w:szCs w:val="20"/>
                <w:lang w:val="fr-CA"/>
              </w:rPr>
              <w:noBreakHyphen/>
              <w:t>Britannique (Vancouver)</w:t>
            </w:r>
          </w:p>
          <w:p w:rsidR="00D345FB" w:rsidRPr="001D4A68" w:rsidRDefault="00D345FB" w:rsidP="00EA4658">
            <w:pPr>
              <w:jc w:val="both"/>
              <w:rPr>
                <w:rFonts w:eastAsia="Calibri"/>
                <w:sz w:val="20"/>
                <w:szCs w:val="20"/>
                <w:lang w:val="fr-CA"/>
              </w:rPr>
            </w:pPr>
            <w:r w:rsidRPr="001D4A68">
              <w:rPr>
                <w:rFonts w:eastAsia="Calibri"/>
                <w:sz w:val="20"/>
                <w:szCs w:val="20"/>
                <w:lang w:val="fr-CA"/>
              </w:rPr>
              <w:t xml:space="preserve">(Juges Ryan, Newbury et Tysoe) </w:t>
            </w:r>
          </w:p>
          <w:p w:rsidR="00D345FB" w:rsidRPr="001D4A68" w:rsidRDefault="00D345FB" w:rsidP="00EA4658">
            <w:pPr>
              <w:jc w:val="both"/>
              <w:rPr>
                <w:rFonts w:eastAsia="Calibri"/>
                <w:sz w:val="20"/>
                <w:szCs w:val="20"/>
                <w:lang w:val="fr-CA"/>
              </w:rPr>
            </w:pPr>
            <w:r w:rsidRPr="001D4A68">
              <w:rPr>
                <w:rFonts w:eastAsia="Calibri"/>
                <w:sz w:val="20"/>
                <w:szCs w:val="20"/>
                <w:lang w:val="fr-CA"/>
              </w:rPr>
              <w:t>2011 BCCA 46; CA035034</w:t>
            </w:r>
          </w:p>
          <w:p w:rsidR="00D345FB" w:rsidRPr="001D4A68" w:rsidRDefault="00D345FB" w:rsidP="00EA4658">
            <w:pPr>
              <w:jc w:val="both"/>
              <w:rPr>
                <w:rFonts w:eastAsia="Calibri"/>
                <w:sz w:val="20"/>
                <w:szCs w:val="20"/>
                <w:lang w:val="fr-CA"/>
              </w:rPr>
            </w:pPr>
          </w:p>
        </w:tc>
        <w:tc>
          <w:tcPr>
            <w:tcW w:w="270" w:type="pct"/>
          </w:tcPr>
          <w:p w:rsidR="00D345FB" w:rsidRPr="001D4A68" w:rsidRDefault="00D345FB" w:rsidP="00EA4658">
            <w:pPr>
              <w:jc w:val="both"/>
              <w:rPr>
                <w:rFonts w:eastAsia="Calibri"/>
                <w:sz w:val="20"/>
                <w:szCs w:val="20"/>
                <w:lang w:val="fr-CA"/>
              </w:rPr>
            </w:pPr>
          </w:p>
        </w:tc>
        <w:tc>
          <w:tcPr>
            <w:tcW w:w="234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Appel rejeté</w:t>
            </w:r>
          </w:p>
          <w:p w:rsidR="00D345FB" w:rsidRPr="001D4A68" w:rsidRDefault="00D345FB" w:rsidP="00EA4658">
            <w:pPr>
              <w:jc w:val="both"/>
              <w:rPr>
                <w:rFonts w:eastAsia="Calibri"/>
                <w:sz w:val="20"/>
                <w:szCs w:val="20"/>
                <w:lang w:val="fr-CA"/>
              </w:rPr>
            </w:pPr>
          </w:p>
        </w:tc>
      </w:tr>
    </w:tbl>
    <w:p w:rsidR="00967B3E" w:rsidRDefault="00967B3E"/>
    <w:p w:rsidR="00967B3E" w:rsidRDefault="00967B3E">
      <w:r>
        <w:br w:type="page"/>
      </w:r>
    </w:p>
    <w:tbl>
      <w:tblPr>
        <w:tblW w:w="4952" w:type="pct"/>
        <w:tblLayout w:type="fixed"/>
        <w:tblCellMar>
          <w:left w:w="0" w:type="dxa"/>
          <w:right w:w="0" w:type="dxa"/>
        </w:tblCellMar>
        <w:tblLook w:val="00A0"/>
      </w:tblPr>
      <w:tblGrid>
        <w:gridCol w:w="4554"/>
        <w:gridCol w:w="514"/>
        <w:gridCol w:w="4459"/>
      </w:tblGrid>
      <w:tr w:rsidR="00D345FB" w:rsidRPr="004061E0" w:rsidTr="00967B3E">
        <w:trPr>
          <w:cantSplit/>
        </w:trPr>
        <w:tc>
          <w:tcPr>
            <w:tcW w:w="239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lastRenderedPageBreak/>
              <w:t>17 mai 2011</w:t>
            </w:r>
          </w:p>
          <w:p w:rsidR="00D345FB" w:rsidRPr="001D4A68" w:rsidRDefault="00D345FB" w:rsidP="00EA4658">
            <w:pPr>
              <w:jc w:val="both"/>
              <w:rPr>
                <w:rFonts w:eastAsia="Calibri"/>
                <w:sz w:val="20"/>
                <w:szCs w:val="20"/>
                <w:lang w:val="fr-CA"/>
              </w:rPr>
            </w:pPr>
            <w:r w:rsidRPr="001D4A68">
              <w:rPr>
                <w:rFonts w:eastAsia="Calibri"/>
                <w:sz w:val="20"/>
                <w:szCs w:val="20"/>
                <w:lang w:val="fr-CA"/>
              </w:rPr>
              <w:t>Cour suprême du Canada</w:t>
            </w:r>
          </w:p>
        </w:tc>
        <w:tc>
          <w:tcPr>
            <w:tcW w:w="270" w:type="pct"/>
          </w:tcPr>
          <w:p w:rsidR="00D345FB" w:rsidRPr="001D4A68" w:rsidRDefault="00D345FB" w:rsidP="00EA4658">
            <w:pPr>
              <w:jc w:val="both"/>
              <w:rPr>
                <w:rFonts w:eastAsia="Calibri"/>
                <w:sz w:val="20"/>
                <w:szCs w:val="20"/>
                <w:lang w:val="fr-CA"/>
              </w:rPr>
            </w:pPr>
          </w:p>
        </w:tc>
        <w:tc>
          <w:tcPr>
            <w:tcW w:w="2340" w:type="pct"/>
          </w:tcPr>
          <w:p w:rsidR="00D345FB" w:rsidRPr="001D4A68" w:rsidRDefault="00D345FB" w:rsidP="00EA4658">
            <w:pPr>
              <w:jc w:val="both"/>
              <w:rPr>
                <w:rFonts w:eastAsia="Calibri"/>
                <w:sz w:val="20"/>
                <w:szCs w:val="20"/>
                <w:lang w:val="fr-CA"/>
              </w:rPr>
            </w:pPr>
            <w:r w:rsidRPr="001D4A68">
              <w:rPr>
                <w:rFonts w:eastAsia="Calibri"/>
                <w:sz w:val="20"/>
                <w:szCs w:val="20"/>
                <w:lang w:val="fr-CA"/>
              </w:rPr>
              <w:t>Demande de prorogation du délai de signification et de dépôt de la demande d’autorisation d’appel et demande d’autorisation d’appel, déposées</w:t>
            </w: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47"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64D8F" w:rsidRPr="004061E0" w:rsidTr="000202E0">
        <w:trPr>
          <w:cantSplit/>
        </w:trPr>
        <w:tc>
          <w:tcPr>
            <w:tcW w:w="1458" w:type="dxa"/>
          </w:tcPr>
          <w:p w:rsidR="00C64D8F" w:rsidRPr="0080601F" w:rsidRDefault="00C64D8F" w:rsidP="000202E0">
            <w:pPr>
              <w:rPr>
                <w:sz w:val="20"/>
                <w:szCs w:val="20"/>
              </w:rPr>
            </w:pPr>
            <w:r w:rsidRPr="0080601F">
              <w:rPr>
                <w:rStyle w:val="SCCFileNumberChar"/>
                <w:sz w:val="20"/>
                <w:szCs w:val="20"/>
              </w:rPr>
              <w:t>34339</w:t>
            </w:r>
          </w:p>
          <w:p w:rsidR="00C64D8F" w:rsidRPr="0080601F" w:rsidRDefault="00C64D8F" w:rsidP="000202E0">
            <w:pPr>
              <w:rPr>
                <w:b/>
                <w:sz w:val="20"/>
                <w:szCs w:val="20"/>
                <w:lang w:val="fr-CA"/>
              </w:rPr>
            </w:pPr>
          </w:p>
        </w:tc>
        <w:tc>
          <w:tcPr>
            <w:tcW w:w="8118" w:type="dxa"/>
          </w:tcPr>
          <w:p w:rsidR="00C64D8F" w:rsidRPr="0080601F" w:rsidRDefault="00C64D8F" w:rsidP="000202E0">
            <w:pPr>
              <w:rPr>
                <w:sz w:val="20"/>
                <w:szCs w:val="20"/>
                <w:lang w:val="fr-CA"/>
              </w:rPr>
            </w:pPr>
            <w:r w:rsidRPr="0080601F">
              <w:rPr>
                <w:rStyle w:val="SCCLsocChar"/>
                <w:sz w:val="20"/>
                <w:szCs w:val="20"/>
              </w:rPr>
              <w:t>L.M. c. E.A.</w:t>
            </w:r>
            <w:r w:rsidRPr="0080601F">
              <w:rPr>
                <w:sz w:val="20"/>
                <w:szCs w:val="20"/>
                <w:lang w:val="fr-CA"/>
              </w:rPr>
              <w:t xml:space="preserve"> (Qc) (Civile) (Autorisation)</w:t>
            </w:r>
          </w:p>
          <w:p w:rsidR="00C64D8F" w:rsidRPr="0080601F" w:rsidRDefault="00C64D8F" w:rsidP="000202E0">
            <w:pPr>
              <w:rPr>
                <w:sz w:val="20"/>
                <w:szCs w:val="20"/>
                <w:lang w:val="fr-CA"/>
              </w:rPr>
            </w:pPr>
          </w:p>
        </w:tc>
      </w:tr>
      <w:tr w:rsidR="00C64D8F" w:rsidRPr="004061E0" w:rsidTr="000202E0">
        <w:trPr>
          <w:cantSplit/>
        </w:trPr>
        <w:tc>
          <w:tcPr>
            <w:tcW w:w="1458" w:type="dxa"/>
          </w:tcPr>
          <w:p w:rsidR="00C64D8F" w:rsidRPr="0080601F" w:rsidRDefault="00C64D8F" w:rsidP="000202E0">
            <w:pPr>
              <w:rPr>
                <w:sz w:val="20"/>
                <w:szCs w:val="20"/>
              </w:rPr>
            </w:pPr>
            <w:r w:rsidRPr="0080601F">
              <w:rPr>
                <w:sz w:val="20"/>
                <w:szCs w:val="20"/>
              </w:rPr>
              <w:t>Coram :</w:t>
            </w:r>
          </w:p>
        </w:tc>
        <w:tc>
          <w:tcPr>
            <w:tcW w:w="8118" w:type="dxa"/>
          </w:tcPr>
          <w:p w:rsidR="00C64D8F" w:rsidRPr="0080601F" w:rsidRDefault="00C64D8F" w:rsidP="000202E0">
            <w:pPr>
              <w:rPr>
                <w:sz w:val="20"/>
                <w:szCs w:val="20"/>
                <w:lang w:val="fr-CA"/>
              </w:rPr>
            </w:pPr>
            <w:r w:rsidRPr="0080601F">
              <w:rPr>
                <w:rStyle w:val="SCCCoramChar"/>
                <w:sz w:val="20"/>
                <w:szCs w:val="20"/>
              </w:rPr>
              <w:t>Les juges LeBel, Abella et Cromwell</w:t>
            </w:r>
          </w:p>
          <w:p w:rsidR="00C64D8F" w:rsidRPr="0080601F" w:rsidRDefault="00C64D8F" w:rsidP="000202E0">
            <w:pPr>
              <w:rPr>
                <w:sz w:val="20"/>
                <w:szCs w:val="20"/>
                <w:u w:val="single"/>
                <w:lang w:val="fr-CA"/>
              </w:rPr>
            </w:pPr>
          </w:p>
        </w:tc>
      </w:tr>
      <w:tr w:rsidR="00C64D8F" w:rsidRPr="0080601F" w:rsidTr="000202E0">
        <w:trPr>
          <w:cantSplit/>
        </w:trPr>
        <w:tc>
          <w:tcPr>
            <w:tcW w:w="9576" w:type="dxa"/>
            <w:gridSpan w:val="2"/>
          </w:tcPr>
          <w:p w:rsidR="00C64D8F" w:rsidRPr="0080601F" w:rsidRDefault="00C64D8F" w:rsidP="000202E0">
            <w:pPr>
              <w:pStyle w:val="SCCShortJudgment"/>
              <w:rPr>
                <w:szCs w:val="20"/>
                <w:lang w:val="fr-CA"/>
              </w:rPr>
            </w:pPr>
            <w:r w:rsidRPr="0080601F">
              <w:rPr>
                <w:szCs w:val="20"/>
                <w:lang w:val="fr-CA"/>
              </w:rPr>
              <w:t>La requête en prorogation du délai de signification et de dépôt de la demande d’autorisation d’appel est accueillie. La demande d’autorisation d’appel de l’arrêt de la Cour d’appel du Québec (Montréal), numéro 500-09-021100-102, 2011 QCCA 729, daté du 14 avril 2011, est rejetée sans dépens.</w:t>
            </w:r>
          </w:p>
          <w:p w:rsidR="00C64D8F" w:rsidRPr="0080601F" w:rsidRDefault="00C64D8F" w:rsidP="000202E0">
            <w:pPr>
              <w:pStyle w:val="SCCShortJudgment"/>
              <w:ind w:firstLine="0"/>
              <w:rPr>
                <w:szCs w:val="20"/>
                <w:lang w:val="fr-CA"/>
              </w:rPr>
            </w:pPr>
          </w:p>
          <w:p w:rsidR="00C64D8F" w:rsidRPr="0080601F" w:rsidRDefault="00C64D8F" w:rsidP="000202E0">
            <w:pPr>
              <w:pStyle w:val="SCCShortJudgment"/>
              <w:rPr>
                <w:szCs w:val="20"/>
              </w:rPr>
            </w:pPr>
            <w:r w:rsidRPr="0080601F">
              <w:rPr>
                <w:szCs w:val="20"/>
              </w:rPr>
              <w:t>The motion for an extension of time to serve and file the application for leave to appeal is granted. The application for leave to appeal from the judgment of the Court of Appeal of Quebec (Montréal), Number 500-09-021100-102, 2011 QCCA 729, dated April 14, 2011, is dismissed without costs.</w:t>
            </w:r>
          </w:p>
        </w:tc>
      </w:tr>
    </w:tbl>
    <w:p w:rsidR="00D84A52" w:rsidRPr="00C64D8F" w:rsidRDefault="00D84A52" w:rsidP="009B58BA">
      <w:pPr>
        <w:rPr>
          <w:sz w:val="20"/>
          <w:szCs w:val="20"/>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84A52" w:rsidRPr="001D4A68" w:rsidTr="00EA4658">
        <w:tc>
          <w:tcPr>
            <w:tcW w:w="5000" w:type="pct"/>
            <w:gridSpan w:val="3"/>
          </w:tcPr>
          <w:p w:rsidR="00D84A52" w:rsidRPr="001D4A68" w:rsidRDefault="00D84A52" w:rsidP="00EA4658">
            <w:pPr>
              <w:jc w:val="both"/>
              <w:rPr>
                <w:rFonts w:eastAsia="Calibri"/>
                <w:smallCaps/>
                <w:sz w:val="20"/>
                <w:szCs w:val="20"/>
              </w:rPr>
            </w:pPr>
            <w:r w:rsidRPr="001D4A68">
              <w:rPr>
                <w:rFonts w:eastAsia="Calibri"/>
                <w:smallCaps/>
                <w:sz w:val="20"/>
                <w:szCs w:val="20"/>
              </w:rPr>
              <w:t>(Publication Ban on Parties)</w:t>
            </w:r>
          </w:p>
          <w:p w:rsidR="00D84A52" w:rsidRPr="001D4A68" w:rsidRDefault="00D84A52" w:rsidP="00EA4658">
            <w:pPr>
              <w:jc w:val="both"/>
              <w:rPr>
                <w:rFonts w:eastAsia="Calibri"/>
                <w:sz w:val="20"/>
                <w:szCs w:val="20"/>
              </w:rPr>
            </w:pPr>
          </w:p>
          <w:p w:rsidR="00D84A52" w:rsidRPr="001D4A68" w:rsidRDefault="00D84A52" w:rsidP="00EA4658">
            <w:pPr>
              <w:jc w:val="both"/>
              <w:rPr>
                <w:rFonts w:eastAsia="Calibri"/>
                <w:sz w:val="20"/>
                <w:szCs w:val="20"/>
              </w:rPr>
            </w:pPr>
            <w:r w:rsidRPr="001D4A68">
              <w:rPr>
                <w:rFonts w:eastAsia="Calibri"/>
                <w:sz w:val="20"/>
                <w:szCs w:val="20"/>
              </w:rPr>
              <w:t xml:space="preserve">Private international law — Incompatible custody rights — Refugee claim made by custodial mother arriving in Canada with child — Change of custody granted </w:t>
            </w:r>
            <w:r w:rsidRPr="001D4A68">
              <w:rPr>
                <w:rFonts w:eastAsia="Calibri"/>
                <w:i/>
                <w:sz w:val="20"/>
                <w:szCs w:val="20"/>
              </w:rPr>
              <w:t>ex parte</w:t>
            </w:r>
            <w:r w:rsidRPr="001D4A68">
              <w:rPr>
                <w:rFonts w:eastAsia="Calibri"/>
                <w:sz w:val="20"/>
                <w:szCs w:val="20"/>
              </w:rPr>
              <w:t xml:space="preserve"> to father in Mexico shortly thereafter based on mother’s homosexual liaison — Mother found guilty in Mexico of crime of corruption of child — Whether Court of Appeal wrongly upheld overly broad interpretation of exception for grave risk to child — Whether Court of Appeal neglected to take account of quashing of Mexican criminal conviction through review of constitutionality (</w:t>
            </w:r>
            <w:r w:rsidRPr="001D4A68">
              <w:rPr>
                <w:rFonts w:eastAsia="Calibri"/>
                <w:i/>
                <w:sz w:val="20"/>
                <w:szCs w:val="20"/>
              </w:rPr>
              <w:t>Amparo</w:t>
            </w:r>
            <w:r w:rsidRPr="001D4A68">
              <w:rPr>
                <w:rFonts w:eastAsia="Calibri"/>
                <w:sz w:val="20"/>
                <w:szCs w:val="20"/>
              </w:rPr>
              <w:t xml:space="preserve">) prior to its decision — Whether Court of Appeal underestimated legal capacity of Mexican courts — </w:t>
            </w:r>
            <w:r w:rsidRPr="001D4A68">
              <w:rPr>
                <w:rFonts w:eastAsia="Calibri"/>
                <w:i/>
                <w:sz w:val="20"/>
                <w:szCs w:val="20"/>
              </w:rPr>
              <w:t>Convention on the Civil Aspects of International Child Abduction</w:t>
            </w:r>
            <w:r w:rsidRPr="001D4A68">
              <w:rPr>
                <w:rFonts w:eastAsia="Calibri"/>
                <w:sz w:val="20"/>
                <w:szCs w:val="20"/>
              </w:rPr>
              <w:t xml:space="preserve">, UN No. 22514, arts. 13, 20 — </w:t>
            </w:r>
            <w:r w:rsidRPr="001D4A68">
              <w:rPr>
                <w:rFonts w:eastAsia="Calibri"/>
                <w:i/>
                <w:sz w:val="20"/>
                <w:szCs w:val="20"/>
              </w:rPr>
              <w:t>Act respecting the civil aspects of international and interprovincial child abduction</w:t>
            </w:r>
            <w:r w:rsidRPr="001D4A68">
              <w:rPr>
                <w:rFonts w:eastAsia="Calibri"/>
                <w:sz w:val="20"/>
                <w:szCs w:val="20"/>
              </w:rPr>
              <w:t>, R.S.Q. c. A</w:t>
            </w:r>
            <w:r w:rsidRPr="001D4A68">
              <w:rPr>
                <w:rFonts w:eastAsia="Calibri"/>
                <w:sz w:val="20"/>
                <w:szCs w:val="20"/>
              </w:rPr>
              <w:noBreakHyphen/>
              <w:t xml:space="preserve">23.01, ss. 21, 22 — </w:t>
            </w:r>
            <w:r w:rsidRPr="001D4A68">
              <w:rPr>
                <w:rFonts w:eastAsia="Calibri"/>
                <w:i/>
                <w:sz w:val="20"/>
                <w:szCs w:val="20"/>
              </w:rPr>
              <w:t>Charter of human rights and freedoms</w:t>
            </w:r>
            <w:r w:rsidRPr="001D4A68">
              <w:rPr>
                <w:rFonts w:eastAsia="Calibri"/>
                <w:sz w:val="20"/>
                <w:szCs w:val="20"/>
              </w:rPr>
              <w:t>, R.S.Q. c. C</w:t>
            </w:r>
            <w:r w:rsidRPr="001D4A68">
              <w:rPr>
                <w:rFonts w:eastAsia="Calibri"/>
                <w:sz w:val="20"/>
                <w:szCs w:val="20"/>
              </w:rPr>
              <w:noBreakHyphen/>
              <w:t>12, ss. 10, 39.</w:t>
            </w:r>
          </w:p>
        </w:tc>
      </w:tr>
      <w:tr w:rsidR="00D84A52" w:rsidRPr="001D4A68" w:rsidTr="00EA4658">
        <w:tc>
          <w:tcPr>
            <w:tcW w:w="5000" w:type="pct"/>
            <w:gridSpan w:val="3"/>
          </w:tcPr>
          <w:p w:rsidR="00D84A52" w:rsidRPr="001D4A68" w:rsidRDefault="00D84A52" w:rsidP="00EA4658">
            <w:pPr>
              <w:jc w:val="both"/>
              <w:rPr>
                <w:rFonts w:eastAsia="Calibri"/>
                <w:sz w:val="20"/>
                <w:szCs w:val="20"/>
              </w:rPr>
            </w:pPr>
          </w:p>
        </w:tc>
      </w:tr>
      <w:tr w:rsidR="00D84A52" w:rsidRPr="001D4A68" w:rsidTr="00EA4658">
        <w:tc>
          <w:tcPr>
            <w:tcW w:w="5000" w:type="pct"/>
            <w:gridSpan w:val="3"/>
          </w:tcPr>
          <w:p w:rsidR="00D84A52" w:rsidRPr="001D4A68" w:rsidRDefault="00D84A52" w:rsidP="00EA4658">
            <w:pPr>
              <w:jc w:val="both"/>
              <w:rPr>
                <w:rFonts w:eastAsia="Calibri"/>
                <w:sz w:val="20"/>
                <w:szCs w:val="20"/>
              </w:rPr>
            </w:pPr>
            <w:r w:rsidRPr="001D4A68">
              <w:rPr>
                <w:rFonts w:eastAsia="Calibri"/>
                <w:sz w:val="20"/>
                <w:szCs w:val="20"/>
              </w:rPr>
              <w:t>The applicant and the respondent were married in Mexico in 2004, had a daughter in 2005 and separated in 2006.  In March 2007, the mother was awarded custody of the child.  At the end of the same year, the father filed a complaint against the mother for corruption of a minor, alleging that the child was exposed to the mother’s homosexuality.  He sought and obtained custody of the child on that ground in September 2008, eight days after the mother and child arrived in Quebec.  In March 2009, the mother instituted proceedings in Quebec seeking custody of the child.  In April 2009, after an acquittal was appealed by the prosecution, a Mexican court found the mother guilty of corruption of a minor, a crime punishable by two to ten years of imprisonment.  An arrest warrant was issued.  In Montréal, the mother obtained temporary custody of the child; however, the father filed a motion seeking the child’s return.  Between the Superior Court’s judgment on that motion and the judgment of the Court of Appeal, a Mexican decision was rendered quashing the mother’s conviction through a constitutional review (</w:t>
            </w:r>
            <w:r w:rsidRPr="001D4A68">
              <w:rPr>
                <w:rFonts w:eastAsia="Calibri"/>
                <w:i/>
                <w:sz w:val="20"/>
                <w:szCs w:val="20"/>
              </w:rPr>
              <w:t>Amparo</w:t>
            </w:r>
            <w:r w:rsidRPr="001D4A68">
              <w:rPr>
                <w:rFonts w:eastAsia="Calibri"/>
                <w:sz w:val="20"/>
                <w:szCs w:val="20"/>
              </w:rPr>
              <w:t>).</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September 17, 2010</w:t>
            </w:r>
          </w:p>
          <w:p w:rsidR="00D84A52" w:rsidRPr="001D4A68" w:rsidRDefault="00D84A52" w:rsidP="00EA4658">
            <w:pPr>
              <w:jc w:val="both"/>
              <w:rPr>
                <w:rFonts w:eastAsia="Calibri"/>
                <w:sz w:val="20"/>
                <w:szCs w:val="20"/>
              </w:rPr>
            </w:pPr>
            <w:r w:rsidRPr="001D4A68">
              <w:rPr>
                <w:rFonts w:eastAsia="Calibri"/>
                <w:sz w:val="20"/>
                <w:szCs w:val="20"/>
              </w:rPr>
              <w:t>Quebec Superior Court</w:t>
            </w:r>
          </w:p>
          <w:p w:rsidR="00D84A52" w:rsidRPr="001D4A68" w:rsidRDefault="00D84A52" w:rsidP="00EA4658">
            <w:pPr>
              <w:jc w:val="both"/>
              <w:rPr>
                <w:rFonts w:eastAsia="Calibri"/>
                <w:sz w:val="20"/>
                <w:szCs w:val="20"/>
              </w:rPr>
            </w:pPr>
            <w:r w:rsidRPr="001D4A68">
              <w:rPr>
                <w:rFonts w:eastAsia="Calibri"/>
                <w:sz w:val="20"/>
                <w:szCs w:val="20"/>
              </w:rPr>
              <w:t>(Petras J.)</w:t>
            </w:r>
          </w:p>
          <w:p w:rsidR="00D84A52" w:rsidRPr="001D4A68" w:rsidRDefault="00D84A52" w:rsidP="00EA4658">
            <w:pPr>
              <w:jc w:val="both"/>
              <w:rPr>
                <w:rFonts w:eastAsia="Calibri"/>
                <w:sz w:val="20"/>
                <w:szCs w:val="20"/>
              </w:rPr>
            </w:pPr>
            <w:r w:rsidRPr="001D4A68">
              <w:rPr>
                <w:rFonts w:eastAsia="Calibri"/>
                <w:sz w:val="20"/>
                <w:szCs w:val="20"/>
              </w:rPr>
              <w:t>Neutral citation: 2010 QCCS 4390</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Applicant’s motion dismissed; respondent’s offer to pay applicant’s fare so he could see child twice a year confirmed; applicant’s rights reserved with respect to merits</w:t>
            </w:r>
          </w:p>
        </w:tc>
      </w:tr>
      <w:tr w:rsidR="00D84A52" w:rsidRPr="001D4A68" w:rsidTr="00C64D8F">
        <w:trPr>
          <w:cantSplit/>
        </w:trPr>
        <w:tc>
          <w:tcPr>
            <w:tcW w:w="2427" w:type="pct"/>
          </w:tcPr>
          <w:p w:rsidR="00D84A52" w:rsidRPr="001D4A68" w:rsidRDefault="00D84A52" w:rsidP="00EA4658">
            <w:pPr>
              <w:jc w:val="both"/>
              <w:rPr>
                <w:rFonts w:eastAsia="Calibri"/>
                <w:sz w:val="20"/>
                <w:szCs w:val="20"/>
              </w:rPr>
            </w:pPr>
            <w:r w:rsidRPr="001D4A68">
              <w:rPr>
                <w:rFonts w:eastAsia="Calibri"/>
                <w:sz w:val="20"/>
                <w:szCs w:val="20"/>
              </w:rPr>
              <w:lastRenderedPageBreak/>
              <w:t>April 14, 2011</w:t>
            </w:r>
          </w:p>
          <w:p w:rsidR="00D84A52" w:rsidRPr="001D4A68" w:rsidRDefault="00D84A52" w:rsidP="00EA4658">
            <w:pPr>
              <w:jc w:val="both"/>
              <w:rPr>
                <w:rFonts w:eastAsia="Calibri"/>
                <w:sz w:val="20"/>
                <w:szCs w:val="20"/>
              </w:rPr>
            </w:pPr>
            <w:r w:rsidRPr="001D4A68">
              <w:rPr>
                <w:rFonts w:eastAsia="Calibri"/>
                <w:sz w:val="20"/>
                <w:szCs w:val="20"/>
              </w:rPr>
              <w:t>Quebec Court of Appeal (Montréal)</w:t>
            </w:r>
          </w:p>
          <w:p w:rsidR="00D84A52" w:rsidRPr="001D4A68" w:rsidRDefault="00D84A52" w:rsidP="00EA4658">
            <w:pPr>
              <w:jc w:val="both"/>
              <w:rPr>
                <w:rFonts w:eastAsia="Calibri"/>
                <w:sz w:val="20"/>
                <w:szCs w:val="20"/>
              </w:rPr>
            </w:pPr>
            <w:r w:rsidRPr="001D4A68">
              <w:rPr>
                <w:rFonts w:eastAsia="Calibri"/>
                <w:sz w:val="20"/>
                <w:szCs w:val="20"/>
              </w:rPr>
              <w:t>(Dalphond, Bich and Duval Hesler JJ.A.)</w:t>
            </w:r>
          </w:p>
          <w:p w:rsidR="00D84A52" w:rsidRPr="001D4A68" w:rsidRDefault="00D84A52" w:rsidP="00EA4658">
            <w:pPr>
              <w:jc w:val="both"/>
              <w:rPr>
                <w:rFonts w:eastAsia="Calibri"/>
                <w:sz w:val="20"/>
                <w:szCs w:val="20"/>
              </w:rPr>
            </w:pPr>
            <w:r w:rsidRPr="001D4A68">
              <w:rPr>
                <w:rFonts w:eastAsia="Calibri"/>
                <w:sz w:val="20"/>
                <w:szCs w:val="20"/>
              </w:rPr>
              <w:t>Neutral citation: 2011 QCCA 729</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Appeal dismissed</w:t>
            </w:r>
          </w:p>
        </w:tc>
      </w:tr>
      <w:tr w:rsidR="00D84A52" w:rsidRPr="001D4A68" w:rsidTr="00C64D8F">
        <w:trPr>
          <w:cantSplit/>
        </w:trPr>
        <w:tc>
          <w:tcPr>
            <w:tcW w:w="2427" w:type="pct"/>
          </w:tcPr>
          <w:p w:rsidR="00D84A52" w:rsidRPr="001D4A68" w:rsidRDefault="00D84A52" w:rsidP="00EA4658">
            <w:pPr>
              <w:jc w:val="both"/>
              <w:rPr>
                <w:rFonts w:eastAsia="Calibri"/>
                <w:sz w:val="20"/>
                <w:szCs w:val="20"/>
              </w:rPr>
            </w:pPr>
            <w:r w:rsidRPr="001D4A68">
              <w:rPr>
                <w:rFonts w:eastAsia="Calibri"/>
                <w:sz w:val="20"/>
                <w:szCs w:val="20"/>
              </w:rPr>
              <w:t>June 30, 2011</w:t>
            </w:r>
          </w:p>
          <w:p w:rsidR="00D84A52" w:rsidRPr="001D4A68" w:rsidRDefault="00D84A52" w:rsidP="00EA4658">
            <w:pPr>
              <w:jc w:val="both"/>
              <w:rPr>
                <w:rFonts w:eastAsia="Calibri"/>
                <w:sz w:val="20"/>
                <w:szCs w:val="20"/>
              </w:rPr>
            </w:pPr>
            <w:r w:rsidRPr="001D4A68">
              <w:rPr>
                <w:rFonts w:eastAsia="Calibri"/>
                <w:sz w:val="20"/>
                <w:szCs w:val="20"/>
              </w:rPr>
              <w:t>Supreme Court of Canada</w:t>
            </w: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Application for leave to appeal and motion by applicant to extend time filed</w:t>
            </w:r>
          </w:p>
        </w:tc>
      </w:tr>
    </w:tbl>
    <w:p w:rsidR="009B58BA" w:rsidRPr="00D84A52"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48"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84A52" w:rsidRPr="001D4A68" w:rsidTr="00EA4658">
        <w:tc>
          <w:tcPr>
            <w:tcW w:w="5000" w:type="pct"/>
            <w:gridSpan w:val="3"/>
          </w:tcPr>
          <w:p w:rsidR="00D84A52" w:rsidRPr="001D4A68" w:rsidRDefault="00D84A52" w:rsidP="00EA4658">
            <w:pPr>
              <w:jc w:val="both"/>
              <w:rPr>
                <w:rFonts w:eastAsia="Calibri"/>
                <w:smallCaps/>
                <w:sz w:val="20"/>
                <w:szCs w:val="20"/>
                <w:lang w:val="fr-CA"/>
              </w:rPr>
            </w:pPr>
            <w:r w:rsidRPr="001D4A68">
              <w:rPr>
                <w:rFonts w:eastAsia="Calibri"/>
                <w:smallCaps/>
                <w:sz w:val="20"/>
                <w:szCs w:val="20"/>
                <w:lang w:val="fr-CA"/>
              </w:rPr>
              <w:t>(Ordonnance de non</w:t>
            </w:r>
            <w:r w:rsidRPr="001D4A68">
              <w:rPr>
                <w:rFonts w:eastAsia="Calibri"/>
                <w:smallCaps/>
                <w:sz w:val="20"/>
                <w:szCs w:val="20"/>
                <w:lang w:val="fr-CA"/>
              </w:rPr>
              <w:noBreakHyphen/>
              <w:t>publication visant les deux parties)</w:t>
            </w:r>
          </w:p>
          <w:p w:rsidR="00D84A52" w:rsidRPr="001D4A68" w:rsidRDefault="00D84A52" w:rsidP="00EA4658">
            <w:pPr>
              <w:jc w:val="both"/>
              <w:rPr>
                <w:rFonts w:eastAsia="Calibri"/>
                <w:sz w:val="20"/>
                <w:szCs w:val="20"/>
                <w:lang w:val="fr-CA"/>
              </w:rPr>
            </w:pPr>
          </w:p>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Droit international privé — Droits de garde incompatibles — Demande de statut de réfugiée faite par la mère gardienne arrivant au Canada avec l’enfant — Changement de garde consenti au père au Mexique peu après, </w:t>
            </w:r>
            <w:r w:rsidRPr="001D4A68">
              <w:rPr>
                <w:rFonts w:eastAsia="Calibri"/>
                <w:i/>
                <w:sz w:val="20"/>
                <w:szCs w:val="20"/>
                <w:lang w:val="fr-CA"/>
              </w:rPr>
              <w:t>ex parte</w:t>
            </w:r>
            <w:r w:rsidRPr="001D4A68">
              <w:rPr>
                <w:rFonts w:eastAsia="Calibri"/>
                <w:sz w:val="20"/>
                <w:szCs w:val="20"/>
                <w:lang w:val="fr-CA"/>
              </w:rPr>
              <w:t>, au motif de liaison homosexuelle de la mère — Culpabilité criminelle de la mère reconnue au Mexique pour corruption d’enfant — La Cour d’appel a</w:t>
            </w:r>
            <w:r w:rsidRPr="001D4A68">
              <w:rPr>
                <w:rFonts w:eastAsia="Calibri"/>
                <w:sz w:val="20"/>
                <w:szCs w:val="20"/>
                <w:lang w:val="fr-CA"/>
              </w:rPr>
              <w:noBreakHyphen/>
              <w:t>t</w:t>
            </w:r>
            <w:r w:rsidRPr="001D4A68">
              <w:rPr>
                <w:rFonts w:eastAsia="Calibri"/>
                <w:sz w:val="20"/>
                <w:szCs w:val="20"/>
                <w:lang w:val="fr-CA"/>
              </w:rPr>
              <w:noBreakHyphen/>
              <w:t>elle entériné à tort une interprétation trop large de l’exception de risque grave pour l’enfant? — La Cour d’appel a</w:t>
            </w:r>
            <w:r w:rsidRPr="001D4A68">
              <w:rPr>
                <w:rFonts w:eastAsia="Calibri"/>
                <w:sz w:val="20"/>
                <w:szCs w:val="20"/>
                <w:lang w:val="fr-CA"/>
              </w:rPr>
              <w:noBreakHyphen/>
              <w:t>t</w:t>
            </w:r>
            <w:r w:rsidRPr="001D4A68">
              <w:rPr>
                <w:rFonts w:eastAsia="Calibri"/>
                <w:sz w:val="20"/>
                <w:szCs w:val="20"/>
                <w:lang w:val="fr-CA"/>
              </w:rPr>
              <w:noBreakHyphen/>
              <w:t>elle négligé de tenir compte de l’annulation de la condamnation criminelle mexicaine par un contrôle de constitutionnalité (</w:t>
            </w:r>
            <w:r w:rsidRPr="001D4A68">
              <w:rPr>
                <w:rFonts w:eastAsia="Calibri"/>
                <w:i/>
                <w:sz w:val="20"/>
                <w:szCs w:val="20"/>
                <w:lang w:val="fr-CA"/>
              </w:rPr>
              <w:t>Amparo</w:t>
            </w:r>
            <w:r w:rsidRPr="001D4A68">
              <w:rPr>
                <w:rFonts w:eastAsia="Calibri"/>
                <w:sz w:val="20"/>
                <w:szCs w:val="20"/>
                <w:lang w:val="fr-CA"/>
              </w:rPr>
              <w:t>) survenu avant sa décision? — La Cour d’appel a</w:t>
            </w:r>
            <w:r w:rsidRPr="001D4A68">
              <w:rPr>
                <w:rFonts w:eastAsia="Calibri"/>
                <w:sz w:val="20"/>
                <w:szCs w:val="20"/>
                <w:lang w:val="fr-CA"/>
              </w:rPr>
              <w:noBreakHyphen/>
              <w:t>t</w:t>
            </w:r>
            <w:r w:rsidRPr="001D4A68">
              <w:rPr>
                <w:rFonts w:eastAsia="Calibri"/>
                <w:sz w:val="20"/>
                <w:szCs w:val="20"/>
                <w:lang w:val="fr-CA"/>
              </w:rPr>
              <w:noBreakHyphen/>
              <w:t>elle sous</w:t>
            </w:r>
            <w:r w:rsidRPr="001D4A68">
              <w:rPr>
                <w:rFonts w:eastAsia="Calibri"/>
                <w:sz w:val="20"/>
                <w:szCs w:val="20"/>
                <w:lang w:val="fr-CA"/>
              </w:rPr>
              <w:noBreakHyphen/>
              <w:t xml:space="preserve">estimé la capacité juridique des tribunaux mexicains? </w:t>
            </w:r>
            <w:r w:rsidRPr="001D4A68">
              <w:rPr>
                <w:rFonts w:eastAsia="Calibri"/>
                <w:sz w:val="20"/>
                <w:szCs w:val="20"/>
                <w:lang w:val="fr-CA"/>
              </w:rPr>
              <w:noBreakHyphen/>
              <w:t xml:space="preserve"> </w:t>
            </w:r>
            <w:r w:rsidRPr="001D4A68">
              <w:rPr>
                <w:rFonts w:eastAsia="Calibri"/>
                <w:i/>
                <w:sz w:val="20"/>
                <w:szCs w:val="20"/>
                <w:lang w:val="fr-CA"/>
              </w:rPr>
              <w:t>Convention  sur les aspects civils de l’enlèvement international d’enfants</w:t>
            </w:r>
            <w:r w:rsidRPr="001D4A68">
              <w:rPr>
                <w:rFonts w:eastAsia="Calibri"/>
                <w:sz w:val="20"/>
                <w:szCs w:val="20"/>
                <w:lang w:val="fr-CA"/>
              </w:rPr>
              <w:t xml:space="preserve">, ONU no 22514, art. 13, 20 </w:t>
            </w:r>
            <w:r w:rsidRPr="001D4A68">
              <w:rPr>
                <w:rFonts w:eastAsia="Calibri"/>
                <w:sz w:val="20"/>
                <w:szCs w:val="20"/>
                <w:lang w:val="fr-CA"/>
              </w:rPr>
              <w:noBreakHyphen/>
              <w:t xml:space="preserve"> </w:t>
            </w:r>
            <w:r w:rsidRPr="001D4A68">
              <w:rPr>
                <w:rFonts w:eastAsia="Calibri"/>
                <w:i/>
                <w:sz w:val="20"/>
                <w:szCs w:val="20"/>
                <w:lang w:val="fr-CA"/>
              </w:rPr>
              <w:t>Loi sur les aspects civils de l’enlèvement international et interprovincial des enfants</w:t>
            </w:r>
            <w:r w:rsidRPr="001D4A68">
              <w:rPr>
                <w:rFonts w:eastAsia="Calibri"/>
                <w:sz w:val="20"/>
                <w:szCs w:val="20"/>
                <w:lang w:val="fr-CA"/>
              </w:rPr>
              <w:t>, L.R.Q. ch. A</w:t>
            </w:r>
            <w:r w:rsidRPr="001D4A68">
              <w:rPr>
                <w:rFonts w:eastAsia="Calibri"/>
                <w:sz w:val="20"/>
                <w:szCs w:val="20"/>
                <w:lang w:val="fr-CA"/>
              </w:rPr>
              <w:noBreakHyphen/>
              <w:t xml:space="preserve">23.01, art. 21, 22 — </w:t>
            </w:r>
            <w:r w:rsidRPr="001D4A68">
              <w:rPr>
                <w:rFonts w:eastAsia="Calibri"/>
                <w:i/>
                <w:sz w:val="20"/>
                <w:szCs w:val="20"/>
                <w:lang w:val="fr-CA"/>
              </w:rPr>
              <w:t>Charte des droits et libertés de la personne</w:t>
            </w:r>
            <w:r w:rsidRPr="001D4A68">
              <w:rPr>
                <w:rFonts w:eastAsia="Calibri"/>
                <w:sz w:val="20"/>
                <w:szCs w:val="20"/>
                <w:lang w:val="fr-CA"/>
              </w:rPr>
              <w:t>, L.R.Q. ch. C</w:t>
            </w:r>
            <w:r w:rsidRPr="001D4A68">
              <w:rPr>
                <w:rFonts w:eastAsia="Calibri"/>
                <w:sz w:val="20"/>
                <w:szCs w:val="20"/>
                <w:lang w:val="fr-CA"/>
              </w:rPr>
              <w:noBreakHyphen/>
              <w:t>12, art. 10, 39.</w:t>
            </w:r>
          </w:p>
        </w:tc>
      </w:tr>
      <w:tr w:rsidR="00D84A52" w:rsidRPr="001D4A68" w:rsidTr="00EA4658">
        <w:tc>
          <w:tcPr>
            <w:tcW w:w="5000" w:type="pct"/>
            <w:gridSpan w:val="3"/>
          </w:tcPr>
          <w:p w:rsidR="00D84A52" w:rsidRPr="001D4A68" w:rsidRDefault="00D84A52" w:rsidP="00EA4658">
            <w:pPr>
              <w:jc w:val="both"/>
              <w:rPr>
                <w:rFonts w:eastAsia="Calibri"/>
                <w:sz w:val="20"/>
                <w:szCs w:val="20"/>
                <w:lang w:val="fr-CA"/>
              </w:rPr>
            </w:pPr>
          </w:p>
        </w:tc>
      </w:tr>
      <w:tr w:rsidR="00D84A52" w:rsidRPr="004061E0"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Le demandeur et l’intimée, mariés au Mexique en 2004, ont une petite fille en 2005 et se séparent en 2006.  En mars 2007, la garde de l’enfant est confiée à la mère.  À la fin de la même année, le père dépose une plainte contre elle pour corruption d’un mineur, invoquant l’exposition de l’enfant à l’homosexualité de la mère.  Il réclame et obtient la garde de l’enfant pour ce motif, huit jours après l’arrivée de la mère et de l’enfant au Québec, en septembre 2008. En mars 2009, la mère dépose au Québec une procédure pour lui reconnaître la garde. En avril 2009, après un appel du ministère public à l’encontre d’un acquittement, un tribunal mexicain juge la mère coupable de corruption d’un mineur, un crime passible de deux à dix ans d’emprisonnement.  Un mandat d’arrêt est émis. À Montréal, la mère obtient la garde temporaire de l’enfant; le père dépose toutefois une requête pour obtenir le retour de l’enfant. Entre le jugement de la Cour supérieure sur cette requête et celui de la Cour d’appel, une décision mexicaine en contrôle constitutionnel (</w:t>
            </w:r>
            <w:r w:rsidRPr="001D4A68">
              <w:rPr>
                <w:rFonts w:eastAsia="Calibri"/>
                <w:i/>
                <w:sz w:val="20"/>
                <w:szCs w:val="20"/>
                <w:lang w:val="fr-CA"/>
              </w:rPr>
              <w:t>Amparo</w:t>
            </w:r>
            <w:r w:rsidRPr="001D4A68">
              <w:rPr>
                <w:rFonts w:eastAsia="Calibri"/>
                <w:sz w:val="20"/>
                <w:szCs w:val="20"/>
                <w:lang w:val="fr-CA"/>
              </w:rPr>
              <w:t>) annule la condamnation de la mère.</w:t>
            </w:r>
          </w:p>
          <w:p w:rsidR="00D84A52" w:rsidRPr="001D4A68" w:rsidRDefault="00D84A52" w:rsidP="00EA4658">
            <w:pPr>
              <w:jc w:val="both"/>
              <w:rPr>
                <w:rFonts w:eastAsia="Calibri"/>
                <w:sz w:val="20"/>
                <w:szCs w:val="20"/>
                <w:lang w:val="fr-CA"/>
              </w:rPr>
            </w:pPr>
          </w:p>
        </w:tc>
      </w:tr>
      <w:tr w:rsidR="00D84A52" w:rsidRPr="004061E0"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Le 17 septembre 2010</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supérieure du Québec</w:t>
            </w:r>
          </w:p>
          <w:p w:rsidR="00D84A52" w:rsidRPr="001D4A68" w:rsidRDefault="00D84A52" w:rsidP="00EA4658">
            <w:pPr>
              <w:jc w:val="both"/>
              <w:rPr>
                <w:rFonts w:eastAsia="Calibri"/>
                <w:sz w:val="20"/>
                <w:szCs w:val="20"/>
                <w:lang w:val="fr-CA"/>
              </w:rPr>
            </w:pPr>
            <w:r w:rsidRPr="001D4A68">
              <w:rPr>
                <w:rFonts w:eastAsia="Calibri"/>
                <w:sz w:val="20"/>
                <w:szCs w:val="20"/>
                <w:lang w:val="fr-CA"/>
              </w:rPr>
              <w:t>(La juge Petras)</w:t>
            </w:r>
          </w:p>
          <w:p w:rsidR="00D84A52" w:rsidRPr="001D4A68" w:rsidRDefault="00D84A52" w:rsidP="00EA4658">
            <w:pPr>
              <w:jc w:val="both"/>
              <w:rPr>
                <w:rFonts w:eastAsia="Calibri"/>
                <w:sz w:val="20"/>
                <w:szCs w:val="20"/>
                <w:lang w:val="fr-CA"/>
              </w:rPr>
            </w:pPr>
            <w:r w:rsidRPr="001D4A68">
              <w:rPr>
                <w:rFonts w:eastAsia="Calibri"/>
                <w:sz w:val="20"/>
                <w:szCs w:val="20"/>
                <w:lang w:val="fr-CA"/>
              </w:rPr>
              <w:t>Référence neutre : 2010 QCCS 4390</w:t>
            </w:r>
          </w:p>
          <w:p w:rsidR="00D84A52" w:rsidRPr="001D4A68" w:rsidRDefault="00D84A52" w:rsidP="00EA4658">
            <w:pPr>
              <w:jc w:val="both"/>
              <w:rPr>
                <w:rFonts w:eastAsia="Calibri"/>
                <w:sz w:val="20"/>
                <w:szCs w:val="20"/>
                <w:lang w:val="fr-FR"/>
              </w:rPr>
            </w:pPr>
          </w:p>
        </w:tc>
        <w:tc>
          <w:tcPr>
            <w:tcW w:w="243" w:type="pct"/>
          </w:tcPr>
          <w:p w:rsidR="00D84A52" w:rsidRPr="001D4A68" w:rsidRDefault="00D84A52" w:rsidP="00EA4658">
            <w:pPr>
              <w:jc w:val="both"/>
              <w:rPr>
                <w:rFonts w:eastAsia="Calibri"/>
                <w:sz w:val="20"/>
                <w:szCs w:val="20"/>
                <w:lang w:val="fr-FR"/>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Rejet de la requête du demandeur; acte pris de l’offre de l’intimée de payer le passage du demandeur pour voir l’enfant deux fois l’an; droits du demandeur réservés quant au fond.</w:t>
            </w: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Le 14 avril 2011</w:t>
            </w:r>
          </w:p>
          <w:p w:rsidR="00D84A52" w:rsidRPr="001D4A68" w:rsidRDefault="00D84A52" w:rsidP="00EA4658">
            <w:pPr>
              <w:jc w:val="both"/>
              <w:rPr>
                <w:rFonts w:eastAsia="Calibri"/>
                <w:sz w:val="20"/>
                <w:szCs w:val="20"/>
                <w:lang w:val="fr-CA"/>
              </w:rPr>
            </w:pPr>
            <w:r w:rsidRPr="001D4A68">
              <w:rPr>
                <w:rFonts w:eastAsia="Calibri"/>
                <w:sz w:val="20"/>
                <w:szCs w:val="20"/>
                <w:lang w:val="fr-CA"/>
              </w:rPr>
              <w:t>Cour d’appel du Québec (Montréal)</w:t>
            </w:r>
          </w:p>
          <w:p w:rsidR="00D84A52" w:rsidRPr="001D4A68" w:rsidRDefault="00D84A52" w:rsidP="00EA4658">
            <w:pPr>
              <w:jc w:val="both"/>
              <w:rPr>
                <w:rFonts w:eastAsia="Calibri"/>
                <w:sz w:val="20"/>
                <w:szCs w:val="20"/>
                <w:lang w:val="fr-CA"/>
              </w:rPr>
            </w:pPr>
            <w:r w:rsidRPr="001D4A68">
              <w:rPr>
                <w:rFonts w:eastAsia="Calibri"/>
                <w:sz w:val="20"/>
                <w:szCs w:val="20"/>
                <w:lang w:val="fr-CA"/>
              </w:rPr>
              <w:t>(Les juges Dalphond, Bich et Duval Hesler)</w:t>
            </w:r>
          </w:p>
          <w:p w:rsidR="00D84A52" w:rsidRPr="001D4A68" w:rsidRDefault="00D84A52" w:rsidP="00EA4658">
            <w:pPr>
              <w:jc w:val="both"/>
              <w:rPr>
                <w:rFonts w:eastAsia="Calibri"/>
                <w:sz w:val="20"/>
                <w:szCs w:val="20"/>
                <w:lang w:val="fr-CA"/>
              </w:rPr>
            </w:pPr>
            <w:r w:rsidRPr="001D4A68">
              <w:rPr>
                <w:rFonts w:eastAsia="Calibri"/>
                <w:sz w:val="20"/>
                <w:szCs w:val="20"/>
                <w:lang w:val="fr-CA"/>
              </w:rPr>
              <w:t>Référence neutre : 2011 QCCA 729</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FR"/>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Rejet de l’appel.</w:t>
            </w:r>
          </w:p>
        </w:tc>
      </w:tr>
      <w:tr w:rsidR="00D84A52" w:rsidRPr="004061E0"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Le 30 juin 2011</w:t>
            </w:r>
          </w:p>
          <w:p w:rsidR="00D84A52" w:rsidRPr="001D4A68" w:rsidRDefault="00D84A52" w:rsidP="00EA4658">
            <w:pPr>
              <w:jc w:val="both"/>
              <w:rPr>
                <w:rFonts w:eastAsia="Calibri"/>
                <w:sz w:val="20"/>
                <w:szCs w:val="20"/>
                <w:lang w:val="fr-FR"/>
              </w:rPr>
            </w:pPr>
            <w:r w:rsidRPr="001D4A68">
              <w:rPr>
                <w:rFonts w:eastAsia="Calibri"/>
                <w:sz w:val="20"/>
                <w:szCs w:val="20"/>
                <w:lang w:val="fr-CA"/>
              </w:rPr>
              <w:t>Cour suprême du Canada</w:t>
            </w:r>
          </w:p>
        </w:tc>
        <w:tc>
          <w:tcPr>
            <w:tcW w:w="243" w:type="pct"/>
          </w:tcPr>
          <w:p w:rsidR="00D84A52" w:rsidRPr="001D4A68" w:rsidRDefault="00D84A52" w:rsidP="00EA4658">
            <w:pPr>
              <w:jc w:val="both"/>
              <w:rPr>
                <w:rFonts w:eastAsia="Calibri"/>
                <w:sz w:val="20"/>
                <w:szCs w:val="20"/>
                <w:lang w:val="fr-FR"/>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Dépôt de la demande d'autorisation d'appel et de la requête du demandeur en prorogation de délai.</w:t>
            </w: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49"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64D8F" w:rsidRPr="0080601F" w:rsidTr="000202E0">
        <w:trPr>
          <w:cantSplit/>
        </w:trPr>
        <w:tc>
          <w:tcPr>
            <w:tcW w:w="1458" w:type="dxa"/>
          </w:tcPr>
          <w:p w:rsidR="00C64D8F" w:rsidRPr="0080601F" w:rsidRDefault="00C64D8F" w:rsidP="000202E0">
            <w:pPr>
              <w:rPr>
                <w:sz w:val="20"/>
                <w:szCs w:val="20"/>
              </w:rPr>
            </w:pPr>
            <w:r w:rsidRPr="0080601F">
              <w:rPr>
                <w:rStyle w:val="SCCFileNumberChar"/>
                <w:sz w:val="20"/>
                <w:szCs w:val="20"/>
              </w:rPr>
              <w:lastRenderedPageBreak/>
              <w:t>34362</w:t>
            </w:r>
          </w:p>
          <w:p w:rsidR="00C64D8F" w:rsidRPr="0080601F" w:rsidRDefault="00C64D8F" w:rsidP="000202E0">
            <w:pPr>
              <w:rPr>
                <w:b/>
                <w:sz w:val="20"/>
                <w:szCs w:val="20"/>
                <w:lang w:val="fr-CA"/>
              </w:rPr>
            </w:pPr>
          </w:p>
        </w:tc>
        <w:tc>
          <w:tcPr>
            <w:tcW w:w="8118" w:type="dxa"/>
          </w:tcPr>
          <w:p w:rsidR="00C64D8F" w:rsidRPr="0080601F" w:rsidRDefault="00C64D8F" w:rsidP="000202E0">
            <w:pPr>
              <w:rPr>
                <w:sz w:val="20"/>
                <w:szCs w:val="20"/>
              </w:rPr>
            </w:pPr>
            <w:r w:rsidRPr="0080601F">
              <w:rPr>
                <w:rStyle w:val="SCCLsocChar"/>
                <w:sz w:val="20"/>
                <w:szCs w:val="20"/>
                <w:lang w:val="en-CA"/>
              </w:rPr>
              <w:t>Brian Cuthbertson</w:t>
            </w:r>
            <w:r>
              <w:rPr>
                <w:rStyle w:val="SCCLsocChar"/>
                <w:sz w:val="20"/>
                <w:szCs w:val="20"/>
                <w:lang w:val="en-CA"/>
              </w:rPr>
              <w:t xml:space="preserve"> and</w:t>
            </w:r>
            <w:r w:rsidRPr="0080601F">
              <w:rPr>
                <w:rStyle w:val="SCCLsocChar"/>
                <w:sz w:val="20"/>
                <w:szCs w:val="20"/>
                <w:lang w:val="en-CA"/>
              </w:rPr>
              <w:t xml:space="preserve"> Gordon Rubenfeld v. Hassan Rasouli by his Litigation Guardian and Substitute Decision Maker, Parichehr Salasel</w:t>
            </w:r>
            <w:r w:rsidRPr="0080601F">
              <w:rPr>
                <w:sz w:val="20"/>
                <w:szCs w:val="20"/>
              </w:rPr>
              <w:t xml:space="preserve"> (Ont.) (Civil) (By Leave)</w:t>
            </w:r>
          </w:p>
          <w:p w:rsidR="00C64D8F" w:rsidRPr="0080601F" w:rsidRDefault="00C64D8F" w:rsidP="000202E0">
            <w:pPr>
              <w:rPr>
                <w:sz w:val="20"/>
                <w:szCs w:val="20"/>
              </w:rPr>
            </w:pPr>
          </w:p>
        </w:tc>
      </w:tr>
      <w:tr w:rsidR="00C64D8F" w:rsidRPr="0080601F" w:rsidTr="000202E0">
        <w:trPr>
          <w:cantSplit/>
        </w:trPr>
        <w:tc>
          <w:tcPr>
            <w:tcW w:w="1458" w:type="dxa"/>
          </w:tcPr>
          <w:p w:rsidR="00C64D8F" w:rsidRPr="0080601F" w:rsidRDefault="00C64D8F" w:rsidP="000202E0">
            <w:pPr>
              <w:rPr>
                <w:sz w:val="20"/>
                <w:szCs w:val="20"/>
              </w:rPr>
            </w:pPr>
            <w:r w:rsidRPr="0080601F">
              <w:rPr>
                <w:sz w:val="20"/>
                <w:szCs w:val="20"/>
              </w:rPr>
              <w:t>Coram :</w:t>
            </w:r>
          </w:p>
        </w:tc>
        <w:tc>
          <w:tcPr>
            <w:tcW w:w="8118" w:type="dxa"/>
          </w:tcPr>
          <w:p w:rsidR="00C64D8F" w:rsidRPr="0080601F" w:rsidRDefault="00C64D8F" w:rsidP="000202E0">
            <w:pPr>
              <w:rPr>
                <w:sz w:val="20"/>
                <w:szCs w:val="20"/>
              </w:rPr>
            </w:pPr>
            <w:r w:rsidRPr="0080601F">
              <w:rPr>
                <w:rStyle w:val="SCCCoramChar"/>
                <w:sz w:val="20"/>
                <w:szCs w:val="20"/>
                <w:lang w:val="en-CA"/>
              </w:rPr>
              <w:t>McLachlin C.J. and LeBel and Deschamps JJ.</w:t>
            </w:r>
          </w:p>
          <w:p w:rsidR="00C64D8F" w:rsidRPr="0080601F" w:rsidRDefault="00C64D8F" w:rsidP="000202E0">
            <w:pPr>
              <w:rPr>
                <w:sz w:val="20"/>
                <w:szCs w:val="20"/>
                <w:u w:val="single"/>
              </w:rPr>
            </w:pPr>
          </w:p>
        </w:tc>
      </w:tr>
      <w:tr w:rsidR="00C64D8F" w:rsidRPr="004061E0" w:rsidTr="000202E0">
        <w:trPr>
          <w:cantSplit/>
        </w:trPr>
        <w:tc>
          <w:tcPr>
            <w:tcW w:w="9576" w:type="dxa"/>
            <w:gridSpan w:val="2"/>
          </w:tcPr>
          <w:p w:rsidR="00C64D8F" w:rsidRPr="0080601F" w:rsidRDefault="00C64D8F" w:rsidP="000202E0">
            <w:pPr>
              <w:pStyle w:val="SCCShortJudgment"/>
              <w:rPr>
                <w:szCs w:val="20"/>
              </w:rPr>
            </w:pPr>
            <w:r w:rsidRPr="0080601F">
              <w:rPr>
                <w:szCs w:val="20"/>
              </w:rPr>
              <w:t>The motion to expedite the application for leave to appeal is granted.  The application for leave to appeal from the judgment of the Court of Appeal for Ontario, Number  C53442, 2011 ONCA 482, dated June 29, 2011, is granted without costs.</w:t>
            </w:r>
          </w:p>
          <w:p w:rsidR="00C64D8F" w:rsidRPr="0080601F" w:rsidRDefault="00C64D8F" w:rsidP="000202E0">
            <w:pPr>
              <w:pStyle w:val="SCCShortJudgment"/>
              <w:ind w:firstLine="0"/>
              <w:rPr>
                <w:szCs w:val="20"/>
              </w:rPr>
            </w:pPr>
          </w:p>
          <w:p w:rsidR="00C64D8F" w:rsidRPr="0080601F" w:rsidRDefault="00C64D8F" w:rsidP="000202E0">
            <w:pPr>
              <w:pStyle w:val="SCCShortJudgment"/>
              <w:rPr>
                <w:szCs w:val="20"/>
                <w:lang w:val="fr-CA"/>
              </w:rPr>
            </w:pPr>
            <w:r w:rsidRPr="0080601F">
              <w:rPr>
                <w:szCs w:val="20"/>
                <w:lang w:val="fr-CA"/>
              </w:rPr>
              <w:t>La requête visant à accélérer la procédure de demande d’autorisation d’appel est accueillie.  La demande d’autorisation d’appel de l’arrêt de la Cour d’appel de l’Ontario, numéro  C53442, 2011 ONCA 482, daté du 29 juin 2011, est accordée sans dépens.</w:t>
            </w:r>
          </w:p>
        </w:tc>
      </w:tr>
    </w:tbl>
    <w:p w:rsidR="00D84A52" w:rsidRPr="00C64D8F" w:rsidRDefault="00D84A52"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84A52" w:rsidRPr="001D4A68" w:rsidTr="00EA4658">
        <w:tc>
          <w:tcPr>
            <w:tcW w:w="5000" w:type="pct"/>
            <w:gridSpan w:val="3"/>
          </w:tcPr>
          <w:p w:rsidR="00D84A52" w:rsidRPr="001D4A68" w:rsidRDefault="00D84A52" w:rsidP="00EA4658">
            <w:pPr>
              <w:contextualSpacing/>
              <w:jc w:val="both"/>
              <w:rPr>
                <w:sz w:val="20"/>
                <w:szCs w:val="20"/>
                <w:lang w:eastAsia="en-CA"/>
              </w:rPr>
            </w:pPr>
            <w:r w:rsidRPr="001D4A68">
              <w:rPr>
                <w:sz w:val="20"/>
                <w:szCs w:val="20"/>
                <w:lang w:eastAsia="en-CA"/>
              </w:rPr>
              <w:t>Legislation — Interpretation — Health Care — Withdrawal of life</w:t>
            </w:r>
            <w:r w:rsidRPr="001D4A68">
              <w:rPr>
                <w:sz w:val="20"/>
                <w:szCs w:val="20"/>
                <w:lang w:eastAsia="en-CA"/>
              </w:rPr>
              <w:noBreakHyphen/>
              <w:t xml:space="preserve">sustaining medical treatment </w:t>
            </w:r>
            <w:r w:rsidRPr="001D4A68">
              <w:rPr>
                <w:sz w:val="20"/>
                <w:szCs w:val="20"/>
                <w:lang w:eastAsia="en-CA"/>
              </w:rPr>
              <w:noBreakHyphen/>
            </w:r>
            <w:r w:rsidRPr="001D4A68">
              <w:rPr>
                <w:sz w:val="20"/>
                <w:szCs w:val="20"/>
                <w:lang w:eastAsia="en-CA"/>
              </w:rPr>
              <w:noBreakHyphen/>
              <w:t xml:space="preserve"> Whether there is a special category of medical decisions taken at the end of a patient’s life to which established medical standards of care do not apply — Whether patient consent is required under any circumstances to the withholding or withdrawal of treatment that the patient’s doctor is not prepared to offer or to continue to offer — Whether a patient’s right to personal autonomy is engaged by a decision to withhold or withdraw life support or other measures required to sustain life when death is otherwise imminent — If life support or similar measures can legally be withheld or withdrawn, what process must first be followed by doctors and what redress is available to patients or substitute decision makers in the event of a conflict — Whether the </w:t>
            </w:r>
            <w:r w:rsidRPr="001D4A68">
              <w:rPr>
                <w:i/>
                <w:sz w:val="20"/>
                <w:szCs w:val="20"/>
                <w:lang w:eastAsia="en-CA"/>
              </w:rPr>
              <w:t>Health Care Consent Act, 1996</w:t>
            </w:r>
            <w:r w:rsidRPr="001D4A68">
              <w:rPr>
                <w:sz w:val="20"/>
                <w:szCs w:val="20"/>
                <w:lang w:eastAsia="en-CA"/>
              </w:rPr>
              <w:t xml:space="preserve">, SO 1996, c. 2, Sch. A, changed the common law of consent to treatment — Whether Court of Appeal erred in adopting an unreasonable interpretation of the </w:t>
            </w:r>
            <w:r w:rsidRPr="001D4A68">
              <w:rPr>
                <w:i/>
                <w:sz w:val="20"/>
                <w:szCs w:val="20"/>
                <w:lang w:eastAsia="en-CA"/>
              </w:rPr>
              <w:t xml:space="preserve">Health Care Consent Act </w:t>
            </w:r>
            <w:r w:rsidRPr="001D4A68">
              <w:rPr>
                <w:sz w:val="20"/>
                <w:szCs w:val="20"/>
                <w:lang w:eastAsia="en-CA"/>
              </w:rPr>
              <w:t xml:space="preserve">that requires physicians to breach an applicable medical standard of care — Whether the law of informed consent confers upon patients a right to insist upon the continuation of a particular treatment when a medical standard of care requires it to be withdrawn.  </w:t>
            </w:r>
          </w:p>
          <w:p w:rsidR="00D84A52" w:rsidRPr="001D4A68" w:rsidRDefault="00D84A52" w:rsidP="00EA4658">
            <w:pPr>
              <w:contextualSpacing/>
              <w:jc w:val="both"/>
              <w:rPr>
                <w:sz w:val="20"/>
                <w:szCs w:val="20"/>
                <w:lang w:eastAsia="en-CA"/>
              </w:rPr>
            </w:pPr>
          </w:p>
        </w:tc>
      </w:tr>
      <w:tr w:rsidR="00D84A52" w:rsidRPr="001D4A68" w:rsidTr="00EA4658">
        <w:tc>
          <w:tcPr>
            <w:tcW w:w="5000" w:type="pct"/>
            <w:gridSpan w:val="3"/>
          </w:tcPr>
          <w:p w:rsidR="00D84A52" w:rsidRPr="001D4A68" w:rsidRDefault="00D84A52" w:rsidP="00EA4658">
            <w:pPr>
              <w:jc w:val="both"/>
              <w:rPr>
                <w:rFonts w:eastAsia="Calibri"/>
                <w:color w:val="000000"/>
                <w:sz w:val="20"/>
                <w:szCs w:val="20"/>
              </w:rPr>
            </w:pPr>
            <w:r w:rsidRPr="001D4A68">
              <w:rPr>
                <w:rFonts w:eastAsia="Calibri"/>
                <w:sz w:val="20"/>
                <w:szCs w:val="20"/>
              </w:rPr>
              <w:t>The respondent is in a coma</w:t>
            </w:r>
            <w:r w:rsidRPr="001D4A68">
              <w:rPr>
                <w:rFonts w:eastAsia="Calibri"/>
                <w:color w:val="000000"/>
                <w:sz w:val="20"/>
                <w:szCs w:val="20"/>
              </w:rPr>
              <w:t xml:space="preserve">.  The applicants, who are his physicians, </w:t>
            </w:r>
            <w:r w:rsidRPr="001D4A68">
              <w:rPr>
                <w:rFonts w:eastAsia="Calibri"/>
                <w:sz w:val="20"/>
                <w:szCs w:val="20"/>
              </w:rPr>
              <w:t>seek to withdraw life</w:t>
            </w:r>
            <w:r w:rsidRPr="001D4A68">
              <w:rPr>
                <w:rFonts w:eastAsia="Calibri"/>
                <w:sz w:val="20"/>
                <w:szCs w:val="20"/>
              </w:rPr>
              <w:noBreakHyphen/>
              <w:t xml:space="preserve">sustaining treatment and to administer palliative care.  </w:t>
            </w:r>
            <w:r w:rsidRPr="001D4A68">
              <w:rPr>
                <w:rFonts w:eastAsia="Calibri"/>
                <w:color w:val="000000"/>
                <w:sz w:val="20"/>
                <w:szCs w:val="20"/>
              </w:rPr>
              <w:t>The respondent’s substitute decision</w:t>
            </w:r>
            <w:r w:rsidRPr="001D4A68">
              <w:rPr>
                <w:rFonts w:eastAsia="Calibri"/>
                <w:color w:val="000000"/>
                <w:sz w:val="20"/>
                <w:szCs w:val="20"/>
              </w:rPr>
              <w:noBreakHyphen/>
              <w:t>maker</w:t>
            </w:r>
            <w:r w:rsidRPr="001D4A68">
              <w:rPr>
                <w:rFonts w:eastAsia="Calibri"/>
                <w:sz w:val="20"/>
                <w:szCs w:val="20"/>
              </w:rPr>
              <w:t xml:space="preserve"> under the </w:t>
            </w:r>
            <w:r w:rsidRPr="001D4A68">
              <w:rPr>
                <w:rFonts w:eastAsia="Calibri"/>
                <w:i/>
                <w:sz w:val="20"/>
                <w:szCs w:val="20"/>
              </w:rPr>
              <w:t>Health Care Consent Act</w:t>
            </w:r>
            <w:r w:rsidRPr="001D4A68">
              <w:rPr>
                <w:rFonts w:eastAsia="Calibri"/>
                <w:sz w:val="20"/>
                <w:szCs w:val="20"/>
              </w:rPr>
              <w:t>, 1996, S.O. 1996, c. 2</w:t>
            </w:r>
            <w:r w:rsidRPr="001D4A68">
              <w:rPr>
                <w:rFonts w:eastAsia="Calibri"/>
                <w:color w:val="000000"/>
                <w:sz w:val="20"/>
                <w:szCs w:val="20"/>
              </w:rPr>
              <w:t>, refuses to consent to withdrawing life</w:t>
            </w:r>
            <w:r w:rsidRPr="001D4A68">
              <w:rPr>
                <w:rFonts w:eastAsia="Calibri"/>
                <w:color w:val="000000"/>
                <w:sz w:val="20"/>
                <w:szCs w:val="20"/>
              </w:rPr>
              <w:noBreakHyphen/>
              <w:t xml:space="preserve">sustaining </w:t>
            </w:r>
            <w:r w:rsidRPr="001D4A68">
              <w:rPr>
                <w:rFonts w:eastAsia="Calibri"/>
                <w:sz w:val="20"/>
                <w:szCs w:val="20"/>
              </w:rPr>
              <w:t>treatment.  The applicants acknowledge that they require consent to administer palliative care but they believe that they do not need consent to withdraw life</w:t>
            </w:r>
            <w:r w:rsidRPr="001D4A68">
              <w:rPr>
                <w:rFonts w:eastAsia="Calibri"/>
                <w:sz w:val="20"/>
                <w:szCs w:val="20"/>
              </w:rPr>
              <w:noBreakHyphen/>
              <w:t>sustaining measures that are no longer medically indicated.  At issue is whether the applicants require consent or a determination from the Consent and Capacity Board that withdrawing life support is in the respondent’s best interests.</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March 9, 2011</w:t>
            </w:r>
          </w:p>
          <w:p w:rsidR="00D84A52" w:rsidRPr="001D4A68" w:rsidRDefault="00D84A52" w:rsidP="00EA4658">
            <w:pPr>
              <w:jc w:val="both"/>
              <w:rPr>
                <w:rFonts w:eastAsia="Calibri"/>
                <w:sz w:val="20"/>
                <w:szCs w:val="20"/>
              </w:rPr>
            </w:pPr>
            <w:r w:rsidRPr="001D4A68">
              <w:rPr>
                <w:rFonts w:eastAsia="Calibri"/>
                <w:sz w:val="20"/>
                <w:szCs w:val="20"/>
              </w:rPr>
              <w:t>Ontario Superior Court of Justice</w:t>
            </w:r>
          </w:p>
          <w:p w:rsidR="00D84A52" w:rsidRPr="001D4A68" w:rsidRDefault="00D84A52" w:rsidP="00EA4658">
            <w:pPr>
              <w:jc w:val="both"/>
              <w:rPr>
                <w:rFonts w:eastAsia="Calibri"/>
                <w:sz w:val="20"/>
                <w:szCs w:val="20"/>
              </w:rPr>
            </w:pPr>
            <w:r w:rsidRPr="001D4A68">
              <w:rPr>
                <w:rFonts w:eastAsia="Calibri"/>
                <w:sz w:val="20"/>
                <w:szCs w:val="20"/>
              </w:rPr>
              <w:t xml:space="preserve">(Himel J.)  </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 xml:space="preserve">Ordered to refer proposal to end medical treatment to Consent and Capacity Board; Order that mechanical ventilation may not be withdrawn and applicant may not be transferred to palliative care pending a decision by the Board  </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June 29, 2011</w:t>
            </w:r>
          </w:p>
          <w:p w:rsidR="00D84A52" w:rsidRPr="001D4A68" w:rsidRDefault="00D84A52" w:rsidP="00EA4658">
            <w:pPr>
              <w:jc w:val="both"/>
              <w:rPr>
                <w:rFonts w:eastAsia="Calibri"/>
                <w:sz w:val="20"/>
                <w:szCs w:val="20"/>
              </w:rPr>
            </w:pPr>
            <w:r w:rsidRPr="001D4A68">
              <w:rPr>
                <w:rFonts w:eastAsia="Calibri"/>
                <w:sz w:val="20"/>
                <w:szCs w:val="20"/>
              </w:rPr>
              <w:t>Court of Appeal for Ontario</w:t>
            </w:r>
          </w:p>
          <w:p w:rsidR="00D84A52" w:rsidRPr="001D4A68" w:rsidRDefault="00D84A52" w:rsidP="00EA4658">
            <w:pPr>
              <w:jc w:val="both"/>
              <w:rPr>
                <w:rFonts w:eastAsia="Calibri"/>
                <w:sz w:val="20"/>
                <w:szCs w:val="20"/>
              </w:rPr>
            </w:pPr>
            <w:r w:rsidRPr="001D4A68">
              <w:rPr>
                <w:rFonts w:eastAsia="Calibri"/>
                <w:sz w:val="20"/>
                <w:szCs w:val="20"/>
              </w:rPr>
              <w:t>(Doherty, Moldaver, Simmons JJ.A.)</w:t>
            </w:r>
          </w:p>
          <w:p w:rsidR="00D84A52" w:rsidRPr="001D4A68" w:rsidRDefault="00D84A52" w:rsidP="00EA4658">
            <w:pPr>
              <w:jc w:val="both"/>
              <w:rPr>
                <w:rFonts w:eastAsia="Calibri"/>
                <w:sz w:val="20"/>
                <w:szCs w:val="20"/>
              </w:rPr>
            </w:pPr>
            <w:r w:rsidRPr="001D4A68">
              <w:rPr>
                <w:rFonts w:eastAsia="Calibri"/>
                <w:sz w:val="20"/>
                <w:szCs w:val="20"/>
              </w:rPr>
              <w:t xml:space="preserve">2011 ONCA 482; C53442 </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Appeal dismissed</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August 5, 2011</w:t>
            </w:r>
          </w:p>
          <w:p w:rsidR="00D84A52" w:rsidRPr="001D4A68" w:rsidRDefault="00D84A52" w:rsidP="00EA4658">
            <w:pPr>
              <w:jc w:val="both"/>
              <w:rPr>
                <w:rFonts w:eastAsia="Calibri"/>
                <w:sz w:val="20"/>
                <w:szCs w:val="20"/>
              </w:rPr>
            </w:pPr>
            <w:r w:rsidRPr="001D4A68">
              <w:rPr>
                <w:rFonts w:eastAsia="Calibri"/>
                <w:sz w:val="20"/>
                <w:szCs w:val="20"/>
              </w:rPr>
              <w:t>Supreme Court of Canada</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Application for leave to appeal filed</w:t>
            </w:r>
          </w:p>
          <w:p w:rsidR="00D84A52" w:rsidRPr="001D4A68" w:rsidRDefault="00D84A52" w:rsidP="00EA4658">
            <w:pPr>
              <w:jc w:val="both"/>
              <w:rPr>
                <w:rFonts w:eastAsia="Calibri"/>
                <w:sz w:val="20"/>
                <w:szCs w:val="20"/>
              </w:rPr>
            </w:pPr>
          </w:p>
        </w:tc>
      </w:tr>
      <w:tr w:rsidR="00D84A52" w:rsidRPr="001D4A68" w:rsidTr="00EA4658">
        <w:trPr>
          <w:trHeight w:val="513"/>
        </w:trPr>
        <w:tc>
          <w:tcPr>
            <w:tcW w:w="2427" w:type="pct"/>
          </w:tcPr>
          <w:p w:rsidR="00D84A52" w:rsidRPr="001D4A68" w:rsidRDefault="00D84A52" w:rsidP="00EA4658">
            <w:pPr>
              <w:jc w:val="both"/>
              <w:rPr>
                <w:rFonts w:eastAsia="Calibri"/>
                <w:sz w:val="20"/>
                <w:szCs w:val="20"/>
              </w:rPr>
            </w:pPr>
            <w:r w:rsidRPr="001D4A68">
              <w:rPr>
                <w:rFonts w:eastAsia="Calibri"/>
                <w:sz w:val="20"/>
                <w:szCs w:val="20"/>
              </w:rPr>
              <w:lastRenderedPageBreak/>
              <w:t xml:space="preserve">August 10, 2011 </w:t>
            </w:r>
          </w:p>
          <w:p w:rsidR="00D84A52" w:rsidRPr="001D4A68" w:rsidRDefault="00D84A52" w:rsidP="00EA4658">
            <w:pPr>
              <w:jc w:val="both"/>
              <w:rPr>
                <w:rFonts w:eastAsia="Calibri"/>
                <w:sz w:val="20"/>
                <w:szCs w:val="20"/>
              </w:rPr>
            </w:pPr>
            <w:r w:rsidRPr="001D4A68">
              <w:rPr>
                <w:rFonts w:eastAsia="Calibri"/>
                <w:sz w:val="20"/>
                <w:szCs w:val="20"/>
              </w:rPr>
              <w:t>Supreme Court of Canada</w:t>
            </w: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Motion to expedite application for leave to appeal filed</w:t>
            </w:r>
          </w:p>
        </w:tc>
      </w:tr>
    </w:tbl>
    <w:p w:rsidR="009B58BA" w:rsidRPr="00D84A52"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50"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4"/>
        <w:gridCol w:w="463"/>
        <w:gridCol w:w="4440"/>
      </w:tblGrid>
      <w:tr w:rsidR="00D84A52" w:rsidRPr="004061E0" w:rsidTr="00EA4658">
        <w:tc>
          <w:tcPr>
            <w:tcW w:w="5000" w:type="pct"/>
            <w:gridSpan w:val="3"/>
          </w:tcPr>
          <w:p w:rsidR="00D84A52" w:rsidRPr="001D4A68" w:rsidRDefault="00D84A52" w:rsidP="00EA4658">
            <w:pPr>
              <w:contextualSpacing/>
              <w:jc w:val="both"/>
              <w:rPr>
                <w:sz w:val="20"/>
                <w:szCs w:val="20"/>
                <w:lang w:val="fr-CA" w:eastAsia="en-CA"/>
              </w:rPr>
            </w:pPr>
            <w:r w:rsidRPr="001D4A68">
              <w:rPr>
                <w:sz w:val="20"/>
                <w:szCs w:val="20"/>
                <w:lang w:val="fr-CA" w:eastAsia="en-CA"/>
              </w:rPr>
              <w:t>Législation — Interprétation — Soins de santé — Retrait d'un traitement médical de maintien de la vie — Existe</w:t>
            </w:r>
            <w:r w:rsidRPr="001D4A68">
              <w:rPr>
                <w:sz w:val="20"/>
                <w:szCs w:val="20"/>
                <w:lang w:val="fr-CA" w:eastAsia="en-CA"/>
              </w:rPr>
              <w:noBreakHyphen/>
              <w:t>t</w:t>
            </w:r>
            <w:r w:rsidRPr="001D4A68">
              <w:rPr>
                <w:sz w:val="20"/>
                <w:szCs w:val="20"/>
                <w:lang w:val="fr-CA" w:eastAsia="en-CA"/>
              </w:rPr>
              <w:noBreakHyphen/>
              <w:t>il une catégorie spéciale de décisions médicales prises à la fin de la vie d'un patient à laquelle les normes médicales établies ne s'appliquent pas? — Faut</w:t>
            </w:r>
            <w:r w:rsidRPr="001D4A68">
              <w:rPr>
                <w:sz w:val="20"/>
                <w:szCs w:val="20"/>
                <w:lang w:val="fr-CA" w:eastAsia="en-CA"/>
              </w:rPr>
              <w:noBreakHyphen/>
              <w:t>il en toutes  circonstances obtenir le consentement du patient pour refuser ou retirer un traitement que le médecin du patient n'est pas disposé à offrir ou à continuer d'offrir? — Le droit du patient à l'autonomie personnelle est</w:t>
            </w:r>
            <w:r w:rsidRPr="001D4A68">
              <w:rPr>
                <w:sz w:val="20"/>
                <w:szCs w:val="20"/>
                <w:lang w:val="fr-CA" w:eastAsia="en-CA"/>
              </w:rPr>
              <w:noBreakHyphen/>
              <w:t xml:space="preserve">il mis en cause par la décision de refuser ou de retirer des procédures de maintien de la vie ou autres mesures nécessaires pour garder un patient en vie  lorsque la mort est par ailleurs imminente? — Si l'on peut légalement refuser ou retirer des procédures de maintien de la vie ou des mesures analogues, quelle démarche les médecins doivent-ils accomplir en premier lieu et quel recours est ouvert aux patients ou mandataires spéciaux en cas de conflit? — La </w:t>
            </w:r>
            <w:r w:rsidRPr="001D4A68">
              <w:rPr>
                <w:i/>
                <w:sz w:val="20"/>
                <w:szCs w:val="20"/>
                <w:lang w:val="fr-CA" w:eastAsia="en-CA"/>
              </w:rPr>
              <w:t>Loi de 1996 sur le consentement aux soins de santé</w:t>
            </w:r>
            <w:r w:rsidRPr="001D4A68">
              <w:rPr>
                <w:sz w:val="20"/>
                <w:szCs w:val="20"/>
                <w:lang w:val="fr-CA" w:eastAsia="en-CA"/>
              </w:rPr>
              <w:t>, L.O. 1996, ch. 2, ann. A (la « Loi »), a</w:t>
            </w:r>
            <w:r w:rsidRPr="001D4A68">
              <w:rPr>
                <w:sz w:val="20"/>
                <w:szCs w:val="20"/>
                <w:lang w:val="fr-CA" w:eastAsia="en-CA"/>
              </w:rPr>
              <w:noBreakHyphen/>
              <w:t>t</w:t>
            </w:r>
            <w:r w:rsidRPr="001D4A68">
              <w:rPr>
                <w:sz w:val="20"/>
                <w:szCs w:val="20"/>
                <w:lang w:val="fr-CA" w:eastAsia="en-CA"/>
              </w:rPr>
              <w:noBreakHyphen/>
              <w:t>elle modifié la common law en ce qui concerne le consentement aux traitements? — La Cour d'appel a</w:t>
            </w:r>
            <w:r w:rsidRPr="001D4A68">
              <w:rPr>
                <w:sz w:val="20"/>
                <w:szCs w:val="20"/>
                <w:lang w:val="fr-CA" w:eastAsia="en-CA"/>
              </w:rPr>
              <w:noBreakHyphen/>
              <w:t>t</w:t>
            </w:r>
            <w:r w:rsidRPr="001D4A68">
              <w:rPr>
                <w:sz w:val="20"/>
                <w:szCs w:val="20"/>
                <w:lang w:val="fr-CA" w:eastAsia="en-CA"/>
              </w:rPr>
              <w:noBreakHyphen/>
              <w:t xml:space="preserve">elle commis une erreur et donné une interprétation déraisonnable la </w:t>
            </w:r>
            <w:r w:rsidRPr="001D4A68">
              <w:rPr>
                <w:i/>
                <w:sz w:val="20"/>
                <w:szCs w:val="20"/>
                <w:lang w:val="fr-CA" w:eastAsia="en-CA"/>
              </w:rPr>
              <w:t>Loi sur le consentement aux soins de santé</w:t>
            </w:r>
            <w:r w:rsidRPr="001D4A68">
              <w:rPr>
                <w:sz w:val="20"/>
                <w:szCs w:val="20"/>
                <w:lang w:val="fr-CA" w:eastAsia="en-CA"/>
              </w:rPr>
              <w:t xml:space="preserve">, interprétation qui aurait pour effet d’obliger les médecins à enfreindre une norme médicale applicable en matière de soins de santé? — Les patients possèdent-ils, en vertu du droit relatif au consentement éclairé, le droit d'exiger la poursuite d'un traitement particulier lorsqu'une norme médicale en matière de soins de santé requiert son retrait?  </w:t>
            </w:r>
          </w:p>
          <w:p w:rsidR="00D84A52" w:rsidRPr="001D4A68" w:rsidRDefault="00D84A52" w:rsidP="00EA4658">
            <w:pPr>
              <w:contextualSpacing/>
              <w:jc w:val="both"/>
              <w:rPr>
                <w:sz w:val="20"/>
                <w:szCs w:val="20"/>
                <w:lang w:val="fr-CA" w:eastAsia="en-CA"/>
              </w:rPr>
            </w:pPr>
          </w:p>
        </w:tc>
      </w:tr>
      <w:tr w:rsidR="00D84A52" w:rsidRPr="004061E0"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L'intimé est dans le coma.  Les demandeurs, qui sont ses médecins, souhaitent retirer le traitement de maintien de la vie et administrer plutôt des soins palliatifs.  Le mandataire spécial de l'intimé suivant la Loi refuse de consentir au retrait du traitement de survie.  Les demandeurs reconnaissent qu'ils ont besoin de ce consentement pour administrer des soins palliatifs, mais estiment qu'ils n'en ont pas besoin pour retirer des mesures de maintien de la vie qui ne sont plus médicalement indiquées.  La question en litige consiste à se demander si les demandeurs ont besoin du consentement ou d’une décision de la Commission du consentement et de la capacité portant que le retrait du traitement de maintien de la vie est dans l'intérêt véritable de l'intimé.</w:t>
            </w:r>
          </w:p>
          <w:p w:rsidR="00D84A52" w:rsidRPr="001D4A68" w:rsidRDefault="00D84A52" w:rsidP="00EA4658">
            <w:pPr>
              <w:jc w:val="both"/>
              <w:rPr>
                <w:rFonts w:eastAsia="Calibri"/>
                <w:sz w:val="20"/>
                <w:szCs w:val="20"/>
                <w:lang w:val="fr-CA"/>
              </w:rPr>
            </w:pPr>
          </w:p>
        </w:tc>
      </w:tr>
      <w:tr w:rsidR="00D84A52" w:rsidRPr="004061E0"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9 mars 2011</w:t>
            </w:r>
          </w:p>
          <w:p w:rsidR="00D84A52" w:rsidRPr="001D4A68" w:rsidRDefault="00D84A52" w:rsidP="00EA4658">
            <w:pPr>
              <w:jc w:val="both"/>
              <w:rPr>
                <w:rFonts w:eastAsia="Calibri"/>
                <w:sz w:val="20"/>
                <w:szCs w:val="20"/>
                <w:lang w:val="fr-CA"/>
              </w:rPr>
            </w:pPr>
            <w:r w:rsidRPr="001D4A68">
              <w:rPr>
                <w:rFonts w:eastAsia="Calibri"/>
                <w:sz w:val="20"/>
                <w:szCs w:val="20"/>
                <w:lang w:val="fr-FR"/>
              </w:rPr>
              <w:t>Cour supérieure de justice de l’Ontario</w:t>
            </w:r>
          </w:p>
          <w:p w:rsidR="00D84A52" w:rsidRPr="001D4A68" w:rsidRDefault="00D84A52" w:rsidP="00EA4658">
            <w:pPr>
              <w:jc w:val="both"/>
              <w:rPr>
                <w:rFonts w:eastAsia="Calibri"/>
                <w:sz w:val="20"/>
                <w:szCs w:val="20"/>
              </w:rPr>
            </w:pPr>
            <w:r w:rsidRPr="001D4A68">
              <w:rPr>
                <w:rFonts w:eastAsia="Calibri"/>
                <w:sz w:val="20"/>
                <w:szCs w:val="20"/>
              </w:rPr>
              <w:t xml:space="preserve">(Juge Himel)  </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Ordonnance renvoyant à la Commission du consentement et de la capacité la proposition de mettre fin au traitement; ordonnance prohibant de cesser la ventilation mécanique et de transférer le demandeur aux soins palliatifs tant que la décision de la Commission n’aura pas été rendue. </w:t>
            </w:r>
          </w:p>
          <w:p w:rsidR="00D84A52" w:rsidRPr="001D4A68" w:rsidRDefault="00D84A52" w:rsidP="00EA4658">
            <w:pPr>
              <w:jc w:val="both"/>
              <w:rPr>
                <w:rFonts w:eastAsia="Calibri"/>
                <w:sz w:val="20"/>
                <w:szCs w:val="20"/>
                <w:lang w:val="fr-CA"/>
              </w:rPr>
            </w:pP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FR"/>
              </w:rPr>
              <w:t>29 juin 2011</w:t>
            </w:r>
          </w:p>
          <w:p w:rsidR="00D84A52" w:rsidRPr="001D4A68" w:rsidRDefault="00D84A52" w:rsidP="00EA4658">
            <w:pPr>
              <w:jc w:val="both"/>
              <w:rPr>
                <w:rFonts w:eastAsia="Calibri"/>
                <w:sz w:val="20"/>
                <w:szCs w:val="20"/>
                <w:lang w:val="fr-CA"/>
              </w:rPr>
            </w:pPr>
            <w:r w:rsidRPr="001D4A68">
              <w:rPr>
                <w:rFonts w:eastAsia="Calibri"/>
                <w:sz w:val="20"/>
                <w:szCs w:val="20"/>
                <w:lang w:val="fr-FR"/>
              </w:rPr>
              <w:t>Cour d’appel de l’Ontario</w:t>
            </w:r>
          </w:p>
          <w:p w:rsidR="00D84A52" w:rsidRPr="001D4A68" w:rsidRDefault="00D84A52" w:rsidP="00EA4658">
            <w:pPr>
              <w:jc w:val="both"/>
              <w:rPr>
                <w:rFonts w:eastAsia="Calibri"/>
                <w:sz w:val="20"/>
                <w:szCs w:val="20"/>
                <w:lang w:val="fr-CA"/>
              </w:rPr>
            </w:pPr>
            <w:r w:rsidRPr="001D4A68">
              <w:rPr>
                <w:rFonts w:eastAsia="Calibri"/>
                <w:sz w:val="20"/>
                <w:szCs w:val="20"/>
                <w:lang w:val="fr-CA"/>
              </w:rPr>
              <w:t>(Juges Doherty, Moldaver et Simmons)</w:t>
            </w:r>
          </w:p>
          <w:p w:rsidR="00D84A52" w:rsidRPr="001D4A68" w:rsidRDefault="00D84A52" w:rsidP="00EA4658">
            <w:pPr>
              <w:jc w:val="both"/>
              <w:rPr>
                <w:rFonts w:eastAsia="Calibri"/>
                <w:sz w:val="20"/>
                <w:szCs w:val="20"/>
              </w:rPr>
            </w:pPr>
            <w:r w:rsidRPr="001D4A68">
              <w:rPr>
                <w:rFonts w:eastAsia="Calibri"/>
                <w:sz w:val="20"/>
                <w:szCs w:val="20"/>
              </w:rPr>
              <w:t xml:space="preserve">2011 ONCA 482; C53442 </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lang w:val="fr-FR"/>
              </w:rPr>
              <w:t>Appel rejeté.</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5 août 2011</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suprême du Canada</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lang w:val="fr-FR"/>
              </w:rPr>
              <w:t>Demande d’autorisation d’appel déposée.</w:t>
            </w:r>
          </w:p>
          <w:p w:rsidR="00D84A52" w:rsidRPr="001D4A68" w:rsidRDefault="00D84A52" w:rsidP="00EA4658">
            <w:pPr>
              <w:jc w:val="both"/>
              <w:rPr>
                <w:rFonts w:eastAsia="Calibri"/>
                <w:sz w:val="20"/>
                <w:szCs w:val="20"/>
              </w:rPr>
            </w:pPr>
          </w:p>
        </w:tc>
      </w:tr>
      <w:tr w:rsidR="00D84A52" w:rsidRPr="004061E0"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10 août 2011 </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suprême du Canada</w:t>
            </w: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Requête visant à accélérer la procédure de demande d'autorisation d'appel déposée.</w:t>
            </w: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51"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7F0098" w:rsidRPr="0080601F" w:rsidTr="000202E0">
        <w:trPr>
          <w:cantSplit/>
        </w:trPr>
        <w:tc>
          <w:tcPr>
            <w:tcW w:w="1458" w:type="dxa"/>
          </w:tcPr>
          <w:p w:rsidR="007F0098" w:rsidRPr="0080601F" w:rsidRDefault="007F0098" w:rsidP="000202E0">
            <w:pPr>
              <w:rPr>
                <w:sz w:val="20"/>
                <w:szCs w:val="20"/>
              </w:rPr>
            </w:pPr>
            <w:r w:rsidRPr="0080601F">
              <w:rPr>
                <w:rStyle w:val="SCCFileNumberChar"/>
                <w:sz w:val="20"/>
                <w:szCs w:val="20"/>
              </w:rPr>
              <w:lastRenderedPageBreak/>
              <w:t>34366</w:t>
            </w:r>
          </w:p>
          <w:p w:rsidR="007F0098" w:rsidRPr="0080601F" w:rsidRDefault="007F0098" w:rsidP="000202E0">
            <w:pPr>
              <w:rPr>
                <w:b/>
                <w:sz w:val="20"/>
                <w:szCs w:val="20"/>
                <w:lang w:val="fr-CA"/>
              </w:rPr>
            </w:pPr>
          </w:p>
        </w:tc>
        <w:tc>
          <w:tcPr>
            <w:tcW w:w="8118" w:type="dxa"/>
          </w:tcPr>
          <w:p w:rsidR="007F0098" w:rsidRPr="0080601F" w:rsidRDefault="007F0098" w:rsidP="007F0098">
            <w:pPr>
              <w:jc w:val="both"/>
              <w:rPr>
                <w:sz w:val="20"/>
                <w:szCs w:val="20"/>
              </w:rPr>
            </w:pPr>
            <w:r w:rsidRPr="0080601F">
              <w:rPr>
                <w:rStyle w:val="SCCLsocChar"/>
                <w:sz w:val="20"/>
                <w:szCs w:val="20"/>
                <w:lang w:val="en-CA"/>
              </w:rPr>
              <w:t>Eva Notburga Marita Sydel v. Her Majesty the Queen in Right of Canada, Attorney General for Canada, Richard Olney, Tim Geohogan, James Morrison, Andrea Berman, Chris Flemming, K. Bothwick, Pete Dehal, J. Lee, Juergen Leske, C. Lim, Joe M. Majchrowki, Jason Rauh, Thomas Redden, Joseph Remedios, Daniela Salmen, Robert Schell, Phil Seagle, Shania Walters, Michael Yiu, D. Kerr, M. Ma, Margaret Ashby, Warren Cooke, Dale King, David Morgan, Jim Talbot, Bruce Harper, Paul Pellitier, Jana Hyman, Her Majesty the Queen in Right of British Columbia, Attorney General for British Columbia, Paul Meyers, Harbans Dhillon, Rosemary Gallagher, Valmond Romilly, Jodie Werier, John Doe and Jane Doe</w:t>
            </w:r>
            <w:r w:rsidRPr="0080601F">
              <w:rPr>
                <w:sz w:val="20"/>
                <w:szCs w:val="20"/>
              </w:rPr>
              <w:t xml:space="preserve"> (B.C.) (Civil) (By Leave)</w:t>
            </w:r>
          </w:p>
          <w:p w:rsidR="007F0098" w:rsidRPr="0080601F" w:rsidRDefault="007F0098" w:rsidP="000202E0">
            <w:pPr>
              <w:rPr>
                <w:sz w:val="20"/>
                <w:szCs w:val="20"/>
              </w:rPr>
            </w:pPr>
          </w:p>
        </w:tc>
      </w:tr>
      <w:tr w:rsidR="007F0098" w:rsidRPr="0080601F" w:rsidTr="000202E0">
        <w:trPr>
          <w:cantSplit/>
        </w:trPr>
        <w:tc>
          <w:tcPr>
            <w:tcW w:w="1458" w:type="dxa"/>
          </w:tcPr>
          <w:p w:rsidR="007F0098" w:rsidRPr="0080601F" w:rsidRDefault="007F0098" w:rsidP="000202E0">
            <w:pPr>
              <w:rPr>
                <w:sz w:val="20"/>
                <w:szCs w:val="20"/>
              </w:rPr>
            </w:pPr>
            <w:r w:rsidRPr="0080601F">
              <w:rPr>
                <w:sz w:val="20"/>
                <w:szCs w:val="20"/>
              </w:rPr>
              <w:t>Coram :</w:t>
            </w:r>
          </w:p>
        </w:tc>
        <w:tc>
          <w:tcPr>
            <w:tcW w:w="8118" w:type="dxa"/>
          </w:tcPr>
          <w:p w:rsidR="007F0098" w:rsidRPr="0080601F" w:rsidRDefault="007F0098" w:rsidP="000202E0">
            <w:pPr>
              <w:rPr>
                <w:sz w:val="20"/>
                <w:szCs w:val="20"/>
              </w:rPr>
            </w:pPr>
            <w:r w:rsidRPr="0080601F">
              <w:rPr>
                <w:rStyle w:val="SCCCoramChar"/>
                <w:sz w:val="20"/>
                <w:szCs w:val="20"/>
                <w:lang w:val="en-CA"/>
              </w:rPr>
              <w:t>McLachlin C.J. and Rothstein and Moldaver JJ.</w:t>
            </w:r>
          </w:p>
          <w:p w:rsidR="007F0098" w:rsidRPr="0080601F" w:rsidRDefault="007F0098" w:rsidP="000202E0">
            <w:pPr>
              <w:rPr>
                <w:sz w:val="20"/>
                <w:szCs w:val="20"/>
                <w:u w:val="single"/>
              </w:rPr>
            </w:pPr>
          </w:p>
        </w:tc>
      </w:tr>
      <w:tr w:rsidR="007F0098" w:rsidRPr="004061E0" w:rsidTr="000202E0">
        <w:trPr>
          <w:cantSplit/>
        </w:trPr>
        <w:tc>
          <w:tcPr>
            <w:tcW w:w="9576" w:type="dxa"/>
            <w:gridSpan w:val="2"/>
          </w:tcPr>
          <w:p w:rsidR="007F0098" w:rsidRPr="0080601F" w:rsidRDefault="007F0098" w:rsidP="000202E0">
            <w:pPr>
              <w:pStyle w:val="SCCShortJudgment"/>
              <w:rPr>
                <w:szCs w:val="20"/>
              </w:rPr>
            </w:pPr>
            <w:r w:rsidRPr="0080601F">
              <w:rPr>
                <w:szCs w:val="20"/>
              </w:rPr>
              <w:t>The application for leave to appeal from the judgment of the Court of Appeal for British Columbia (Vancouver), Number CA038182, 2011 BCCA 233, dated May 9, 2011, is dismissed with costs.</w:t>
            </w:r>
          </w:p>
          <w:p w:rsidR="007F0098" w:rsidRPr="0080601F" w:rsidRDefault="007F0098" w:rsidP="000202E0">
            <w:pPr>
              <w:pStyle w:val="SCCShortJudgment"/>
              <w:ind w:firstLine="0"/>
              <w:rPr>
                <w:szCs w:val="20"/>
              </w:rPr>
            </w:pPr>
          </w:p>
          <w:p w:rsidR="007F0098" w:rsidRPr="0080601F" w:rsidRDefault="007F0098" w:rsidP="000202E0">
            <w:pPr>
              <w:pStyle w:val="SCCShortJudgment"/>
              <w:rPr>
                <w:szCs w:val="20"/>
                <w:lang w:val="fr-CA"/>
              </w:rPr>
            </w:pPr>
            <w:r w:rsidRPr="0080601F">
              <w:rPr>
                <w:szCs w:val="20"/>
                <w:lang w:val="fr-CA"/>
              </w:rPr>
              <w:t>La demande d’autorisation d’appel de l’arrêt de la Cour d’appel de la Colombie-Britannique (Vancouver), numéro CA038182, 2011 BCCA 233, daté du 9 mai 2011, est rejetée avec dépens.</w:t>
            </w:r>
          </w:p>
        </w:tc>
      </w:tr>
    </w:tbl>
    <w:p w:rsidR="00D84A52" w:rsidRPr="007F0098" w:rsidRDefault="00D84A52"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84A52" w:rsidRPr="001D4A68" w:rsidTr="00EA4658">
        <w:tc>
          <w:tcPr>
            <w:tcW w:w="5000" w:type="pct"/>
            <w:gridSpan w:val="3"/>
          </w:tcPr>
          <w:p w:rsidR="00D84A52" w:rsidRPr="001D4A68" w:rsidRDefault="00D84A52" w:rsidP="00EA4658">
            <w:pPr>
              <w:jc w:val="both"/>
              <w:rPr>
                <w:rFonts w:eastAsia="Calibri"/>
                <w:sz w:val="20"/>
                <w:szCs w:val="20"/>
              </w:rPr>
            </w:pPr>
            <w:r w:rsidRPr="001D4A68">
              <w:rPr>
                <w:rFonts w:eastAsia="Calibri"/>
                <w:sz w:val="20"/>
                <w:szCs w:val="20"/>
              </w:rPr>
              <w:t xml:space="preserve">Procedure — Conspiracy — Whether Canadian judges have a duty to disclose their membership in or association with a secret society — Whether the Government of Canada and Government of British Columbia have a duty to answer Interrogatories concerning membership of government employees or officers in Freemasonry — Whether the refusal of a judge to disclose his or her membership in or association with Freemasonry raise a reasonable apprehension of bias — Whether the </w:t>
            </w:r>
            <w:r w:rsidRPr="001D4A68">
              <w:rPr>
                <w:rFonts w:eastAsia="Calibri"/>
                <w:i/>
                <w:sz w:val="20"/>
                <w:szCs w:val="20"/>
              </w:rPr>
              <w:t>Income Tax Act</w:t>
            </w:r>
            <w:r w:rsidRPr="001D4A68">
              <w:rPr>
                <w:rFonts w:eastAsia="Calibri"/>
                <w:sz w:val="20"/>
                <w:szCs w:val="20"/>
              </w:rPr>
              <w:t xml:space="preserve"> (1985) is valid legislation if the </w:t>
            </w:r>
            <w:r w:rsidRPr="001D4A68">
              <w:rPr>
                <w:rFonts w:eastAsia="Calibri"/>
                <w:i/>
                <w:sz w:val="20"/>
                <w:szCs w:val="20"/>
              </w:rPr>
              <w:t>Income Tax Act</w:t>
            </w:r>
            <w:r w:rsidRPr="001D4A68">
              <w:rPr>
                <w:rFonts w:eastAsia="Calibri"/>
                <w:sz w:val="20"/>
                <w:szCs w:val="20"/>
              </w:rPr>
              <w:t xml:space="preserve"> (1948) is determined to have been a nullity — Whether the </w:t>
            </w:r>
            <w:r w:rsidRPr="001D4A68">
              <w:rPr>
                <w:rFonts w:eastAsia="Calibri"/>
                <w:i/>
                <w:sz w:val="20"/>
                <w:szCs w:val="20"/>
              </w:rPr>
              <w:t xml:space="preserve">Income Tax Act </w:t>
            </w:r>
            <w:r w:rsidRPr="001D4A68">
              <w:rPr>
                <w:rFonts w:eastAsia="Calibri"/>
                <w:sz w:val="20"/>
                <w:szCs w:val="20"/>
              </w:rPr>
              <w:t xml:space="preserve">(1948) was properly enacted in accordance with the mandatory provisions of the British North America Act — Whether the executive branch of government has the right to infringe </w:t>
            </w:r>
            <w:r w:rsidRPr="001D4A68">
              <w:rPr>
                <w:rFonts w:eastAsia="Calibri"/>
                <w:i/>
                <w:sz w:val="20"/>
                <w:szCs w:val="20"/>
              </w:rPr>
              <w:t xml:space="preserve">Charter </w:t>
            </w:r>
            <w:r w:rsidRPr="001D4A68">
              <w:rPr>
                <w:rFonts w:eastAsia="Calibri"/>
                <w:sz w:val="20"/>
                <w:szCs w:val="20"/>
              </w:rPr>
              <w:t xml:space="preserve">rights and freedoms secured by international treaty through the use of the criminal law — Whether the </w:t>
            </w:r>
            <w:r w:rsidRPr="001D4A68">
              <w:rPr>
                <w:rFonts w:eastAsia="Calibri"/>
                <w:i/>
                <w:sz w:val="20"/>
                <w:szCs w:val="20"/>
              </w:rPr>
              <w:t>Unlawful Oaths Act</w:t>
            </w:r>
            <w:r w:rsidRPr="001D4A68">
              <w:rPr>
                <w:rFonts w:eastAsia="Calibri"/>
                <w:sz w:val="20"/>
                <w:szCs w:val="20"/>
              </w:rPr>
              <w:t xml:space="preserve"> (1797) and the </w:t>
            </w:r>
            <w:r w:rsidRPr="001D4A68">
              <w:rPr>
                <w:rFonts w:eastAsia="Calibri"/>
                <w:i/>
                <w:sz w:val="20"/>
                <w:szCs w:val="20"/>
              </w:rPr>
              <w:t>Unlawful Societies Act</w:t>
            </w:r>
            <w:r w:rsidRPr="001D4A68">
              <w:rPr>
                <w:rFonts w:eastAsia="Calibri"/>
                <w:sz w:val="20"/>
                <w:szCs w:val="20"/>
              </w:rPr>
              <w:t xml:space="preserve"> (1799) prohibit Freemasons from acting as judges in Canada — Whether the Court of Appeal for British Columbia correct in its interpretation of the ambit and application of the ruling on the Supreme Court of Canada in the case of </w:t>
            </w:r>
            <w:r w:rsidRPr="001D4A68">
              <w:rPr>
                <w:rFonts w:eastAsia="Calibri"/>
                <w:i/>
                <w:sz w:val="20"/>
                <w:szCs w:val="20"/>
              </w:rPr>
              <w:t>Ward v. The City of Vancouver</w:t>
            </w:r>
            <w:r w:rsidRPr="001D4A68">
              <w:rPr>
                <w:rFonts w:eastAsia="Calibri"/>
                <w:sz w:val="20"/>
                <w:szCs w:val="20"/>
              </w:rPr>
              <w:t>, [2010] 2 S.C.R. 28.</w:t>
            </w:r>
          </w:p>
        </w:tc>
      </w:tr>
      <w:tr w:rsidR="00D84A52" w:rsidRPr="001D4A68" w:rsidTr="00EA4658">
        <w:tc>
          <w:tcPr>
            <w:tcW w:w="5000" w:type="pct"/>
            <w:gridSpan w:val="3"/>
          </w:tcPr>
          <w:p w:rsidR="00D84A52" w:rsidRPr="001D4A68" w:rsidRDefault="00D84A52" w:rsidP="00EA4658">
            <w:pPr>
              <w:jc w:val="both"/>
              <w:rPr>
                <w:rFonts w:eastAsia="Calibri"/>
                <w:sz w:val="20"/>
                <w:szCs w:val="20"/>
              </w:rPr>
            </w:pPr>
          </w:p>
        </w:tc>
      </w:tr>
      <w:tr w:rsidR="00D84A52" w:rsidRPr="001D4A68" w:rsidTr="00EA4658">
        <w:tc>
          <w:tcPr>
            <w:tcW w:w="5000" w:type="pct"/>
            <w:gridSpan w:val="3"/>
          </w:tcPr>
          <w:p w:rsidR="00D84A52" w:rsidRPr="001D4A68" w:rsidRDefault="00D84A52" w:rsidP="00EA4658">
            <w:pPr>
              <w:jc w:val="both"/>
              <w:rPr>
                <w:rFonts w:eastAsia="Calibri"/>
                <w:sz w:val="20"/>
                <w:szCs w:val="20"/>
              </w:rPr>
            </w:pPr>
            <w:r w:rsidRPr="001D4A68">
              <w:rPr>
                <w:rFonts w:eastAsia="Calibri"/>
                <w:sz w:val="20"/>
                <w:szCs w:val="20"/>
              </w:rPr>
              <w:t xml:space="preserve">This leave application arises from a challenge to the jurisdiction of the B.C. Supreme Court to dismiss a civil claim brought as a result of alleged improprieties, Charter breaches and other alleged wrongdoing occasioned during the course of criminal prosecution brought against Ms. Sydel, the applicant, in B.C. Provincial Court pursuant to the </w:t>
            </w:r>
            <w:r w:rsidRPr="001D4A68">
              <w:rPr>
                <w:rFonts w:eastAsia="Calibri"/>
                <w:i/>
                <w:sz w:val="20"/>
                <w:szCs w:val="20"/>
              </w:rPr>
              <w:t>Income Tax Act</w:t>
            </w:r>
            <w:r w:rsidRPr="001D4A68">
              <w:rPr>
                <w:rFonts w:eastAsia="Calibri"/>
                <w:sz w:val="20"/>
                <w:szCs w:val="20"/>
              </w:rPr>
              <w:t xml:space="preserve"> by agents of the Government of Canada.  In this case, Ms. Sydel claimed at the B.C. Supreme Court that the investigation leading up to her convictions and the proceedings before the Provincial Court were part of a conspiracy against her engaged in by employees of the Canada Revenue Agency, lawyers employed by the Federal Department of Justice, and the Provincial respondents.</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May 5, 2010</w:t>
            </w:r>
          </w:p>
          <w:p w:rsidR="00D84A52" w:rsidRPr="001D4A68" w:rsidRDefault="00D84A52" w:rsidP="00EA4658">
            <w:pPr>
              <w:jc w:val="both"/>
              <w:rPr>
                <w:rFonts w:eastAsia="Calibri"/>
                <w:sz w:val="20"/>
                <w:szCs w:val="20"/>
              </w:rPr>
            </w:pPr>
            <w:r w:rsidRPr="001D4A68">
              <w:rPr>
                <w:rFonts w:eastAsia="Calibri"/>
                <w:sz w:val="20"/>
                <w:szCs w:val="20"/>
              </w:rPr>
              <w:t>Supreme Court of British Columbia</w:t>
            </w:r>
          </w:p>
          <w:p w:rsidR="00D84A52" w:rsidRPr="001D4A68" w:rsidRDefault="00D84A52" w:rsidP="00EA4658">
            <w:pPr>
              <w:jc w:val="both"/>
              <w:rPr>
                <w:rFonts w:eastAsia="Calibri"/>
                <w:sz w:val="20"/>
                <w:szCs w:val="20"/>
              </w:rPr>
            </w:pPr>
            <w:r w:rsidRPr="001D4A68">
              <w:rPr>
                <w:rFonts w:eastAsia="Calibri"/>
                <w:sz w:val="20"/>
                <w:szCs w:val="20"/>
              </w:rPr>
              <w:t>(Kelleher J.)</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Applicant’s claim struck in its entirety; action dismissed.</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May 9, 2011</w:t>
            </w:r>
          </w:p>
          <w:p w:rsidR="00D84A52" w:rsidRPr="001D4A68" w:rsidRDefault="00D84A52" w:rsidP="00EA4658">
            <w:pPr>
              <w:jc w:val="both"/>
              <w:rPr>
                <w:rFonts w:eastAsia="Calibri"/>
                <w:sz w:val="20"/>
                <w:szCs w:val="20"/>
              </w:rPr>
            </w:pPr>
            <w:r w:rsidRPr="001D4A68">
              <w:rPr>
                <w:rFonts w:eastAsia="Calibri"/>
                <w:sz w:val="20"/>
                <w:szCs w:val="20"/>
              </w:rPr>
              <w:t>Court of Appeal for British Columbia (Vancouver)</w:t>
            </w:r>
          </w:p>
          <w:p w:rsidR="00D84A52" w:rsidRPr="001D4A68" w:rsidRDefault="00D84A52" w:rsidP="00EA4658">
            <w:pPr>
              <w:jc w:val="both"/>
              <w:rPr>
                <w:rFonts w:eastAsia="Calibri"/>
                <w:sz w:val="20"/>
                <w:szCs w:val="20"/>
              </w:rPr>
            </w:pPr>
            <w:r w:rsidRPr="001D4A68">
              <w:rPr>
                <w:rFonts w:eastAsia="Calibri"/>
                <w:sz w:val="20"/>
                <w:szCs w:val="20"/>
              </w:rPr>
              <w:t>(Low, Kirkpatrick and Tysoe JJ.A.)</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Appeal dismissed.</w:t>
            </w:r>
          </w:p>
          <w:p w:rsidR="00D84A52" w:rsidRPr="001D4A68" w:rsidRDefault="00D84A52" w:rsidP="00EA4658">
            <w:pPr>
              <w:jc w:val="both"/>
              <w:rPr>
                <w:rFonts w:eastAsia="Calibri"/>
                <w:sz w:val="20"/>
                <w:szCs w:val="20"/>
              </w:rPr>
            </w:pPr>
          </w:p>
        </w:tc>
      </w:tr>
    </w:tbl>
    <w:p w:rsidR="007F0098" w:rsidRDefault="007F0098"/>
    <w:p w:rsidR="007F0098" w:rsidRDefault="007F0098">
      <w:r>
        <w:br w:type="page"/>
      </w:r>
    </w:p>
    <w:tbl>
      <w:tblPr>
        <w:tblW w:w="4952" w:type="pct"/>
        <w:tblLayout w:type="fixed"/>
        <w:tblCellMar>
          <w:left w:w="0" w:type="dxa"/>
          <w:bottom w:w="99" w:type="dxa"/>
          <w:right w:w="0" w:type="dxa"/>
        </w:tblCellMar>
        <w:tblLook w:val="04A0"/>
      </w:tblPr>
      <w:tblGrid>
        <w:gridCol w:w="4624"/>
        <w:gridCol w:w="463"/>
        <w:gridCol w:w="4440"/>
      </w:tblGrid>
      <w:tr w:rsidR="00D84A52" w:rsidRPr="001D4A68" w:rsidTr="007F0098">
        <w:trPr>
          <w:cantSplit/>
        </w:trPr>
        <w:tc>
          <w:tcPr>
            <w:tcW w:w="2427" w:type="pct"/>
          </w:tcPr>
          <w:p w:rsidR="00D84A52" w:rsidRPr="001D4A68" w:rsidRDefault="00D84A52" w:rsidP="00EA4658">
            <w:pPr>
              <w:jc w:val="both"/>
              <w:rPr>
                <w:rFonts w:eastAsia="Calibri"/>
                <w:sz w:val="20"/>
                <w:szCs w:val="20"/>
              </w:rPr>
            </w:pPr>
            <w:r w:rsidRPr="001D4A68">
              <w:rPr>
                <w:rFonts w:eastAsia="Calibri"/>
                <w:sz w:val="20"/>
                <w:szCs w:val="20"/>
              </w:rPr>
              <w:lastRenderedPageBreak/>
              <w:t>August 3, 2011</w:t>
            </w:r>
          </w:p>
          <w:p w:rsidR="00D84A52" w:rsidRPr="001D4A68" w:rsidRDefault="00D84A52" w:rsidP="00EA4658">
            <w:pPr>
              <w:jc w:val="both"/>
              <w:rPr>
                <w:rFonts w:eastAsia="Calibri"/>
                <w:sz w:val="20"/>
                <w:szCs w:val="20"/>
              </w:rPr>
            </w:pPr>
            <w:r w:rsidRPr="001D4A68">
              <w:rPr>
                <w:rFonts w:eastAsia="Calibri"/>
                <w:sz w:val="20"/>
                <w:szCs w:val="20"/>
              </w:rPr>
              <w:t>Supreme Court of Canada</w:t>
            </w: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Application for leave to appeal filed</w:t>
            </w:r>
          </w:p>
          <w:p w:rsidR="00D84A52" w:rsidRPr="001D4A68" w:rsidRDefault="00D84A52" w:rsidP="00EA4658">
            <w:pPr>
              <w:jc w:val="both"/>
              <w:rPr>
                <w:rFonts w:eastAsia="Calibri"/>
                <w:sz w:val="20"/>
                <w:szCs w:val="20"/>
              </w:rPr>
            </w:pPr>
          </w:p>
        </w:tc>
      </w:tr>
    </w:tbl>
    <w:p w:rsidR="009B58BA" w:rsidRPr="00D84A52"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52"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4"/>
        <w:gridCol w:w="463"/>
        <w:gridCol w:w="4440"/>
      </w:tblGrid>
      <w:tr w:rsidR="00D84A52" w:rsidRPr="004061E0"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Procédure — Complot — Les juges canadiens ont</w:t>
            </w:r>
            <w:r w:rsidRPr="001D4A68">
              <w:rPr>
                <w:rFonts w:eastAsia="Calibri"/>
                <w:sz w:val="20"/>
                <w:szCs w:val="20"/>
                <w:lang w:val="fr-CA"/>
              </w:rPr>
              <w:noBreakHyphen/>
              <w:t>ils l'obligation de divulguer leur appartenance à une société secrète ou leurs liens avec celle</w:t>
            </w:r>
            <w:r w:rsidRPr="001D4A68">
              <w:rPr>
                <w:rFonts w:eastAsia="Calibri"/>
                <w:sz w:val="20"/>
                <w:szCs w:val="20"/>
                <w:lang w:val="fr-CA"/>
              </w:rPr>
              <w:noBreakHyphen/>
              <w:t>ci? — Le gouvernement du Canada et le gouvernement de la Colombie</w:t>
            </w:r>
            <w:r w:rsidRPr="001D4A68">
              <w:rPr>
                <w:rFonts w:eastAsia="Calibri"/>
                <w:sz w:val="20"/>
                <w:szCs w:val="20"/>
                <w:lang w:val="fr-CA"/>
              </w:rPr>
              <w:noBreakHyphen/>
              <w:t>Britannique ont</w:t>
            </w:r>
            <w:r w:rsidRPr="001D4A68">
              <w:rPr>
                <w:rFonts w:eastAsia="Calibri"/>
                <w:sz w:val="20"/>
                <w:szCs w:val="20"/>
                <w:lang w:val="fr-CA"/>
              </w:rPr>
              <w:noBreakHyphen/>
              <w:t>ils l’obligation de répondre à des interrogatoires portant sur l'appartenance de fonctionnaires à la franc</w:t>
            </w:r>
            <w:r w:rsidRPr="001D4A68">
              <w:rPr>
                <w:rFonts w:eastAsia="Calibri"/>
                <w:sz w:val="20"/>
                <w:szCs w:val="20"/>
                <w:lang w:val="fr-CA"/>
              </w:rPr>
              <w:noBreakHyphen/>
              <w:t>maçonnerie? — Le refus d'un juge de divulguer son appartenance à la franc</w:t>
            </w:r>
            <w:r w:rsidRPr="001D4A68">
              <w:rPr>
                <w:rFonts w:eastAsia="Calibri"/>
                <w:sz w:val="20"/>
                <w:szCs w:val="20"/>
                <w:lang w:val="fr-CA"/>
              </w:rPr>
              <w:noBreakHyphen/>
              <w:t>maçonnerie ou ses liens avec celle</w:t>
            </w:r>
            <w:r w:rsidRPr="001D4A68">
              <w:rPr>
                <w:rFonts w:eastAsia="Calibri"/>
                <w:sz w:val="20"/>
                <w:szCs w:val="20"/>
                <w:lang w:val="fr-CA"/>
              </w:rPr>
              <w:noBreakHyphen/>
              <w:t>ci soulève</w:t>
            </w:r>
            <w:r w:rsidRPr="001D4A68">
              <w:rPr>
                <w:rFonts w:eastAsia="Calibri"/>
                <w:sz w:val="20"/>
                <w:szCs w:val="20"/>
                <w:lang w:val="fr-CA"/>
              </w:rPr>
              <w:noBreakHyphen/>
              <w:t>t</w:t>
            </w:r>
            <w:r w:rsidRPr="001D4A68">
              <w:rPr>
                <w:rFonts w:eastAsia="Calibri"/>
                <w:sz w:val="20"/>
                <w:szCs w:val="20"/>
                <w:lang w:val="fr-CA"/>
              </w:rPr>
              <w:noBreakHyphen/>
              <w:t>il une crainte raisonnable de partialité? — La</w:t>
            </w:r>
            <w:r w:rsidRPr="001D4A68">
              <w:rPr>
                <w:rFonts w:eastAsia="Calibri"/>
                <w:i/>
                <w:sz w:val="20"/>
                <w:szCs w:val="20"/>
                <w:lang w:val="fr-CA"/>
              </w:rPr>
              <w:t xml:space="preserve"> Loi de l'impôt sur le revenu </w:t>
            </w:r>
            <w:r w:rsidRPr="001D4A68">
              <w:rPr>
                <w:rFonts w:eastAsia="Calibri"/>
                <w:sz w:val="20"/>
                <w:szCs w:val="20"/>
                <w:lang w:val="fr-CA"/>
              </w:rPr>
              <w:t>(1985) est</w:t>
            </w:r>
            <w:r w:rsidRPr="001D4A68">
              <w:rPr>
                <w:rFonts w:eastAsia="Calibri"/>
                <w:sz w:val="20"/>
                <w:szCs w:val="20"/>
                <w:lang w:val="fr-CA"/>
              </w:rPr>
              <w:noBreakHyphen/>
              <w:t>elle une loi valide s'il est jugé que la</w:t>
            </w:r>
            <w:r w:rsidRPr="001D4A68">
              <w:rPr>
                <w:rFonts w:eastAsia="Calibri"/>
                <w:i/>
                <w:sz w:val="20"/>
                <w:szCs w:val="20"/>
                <w:lang w:val="fr-CA"/>
              </w:rPr>
              <w:t xml:space="preserve"> Loi de l'impôt sur le revenu </w:t>
            </w:r>
            <w:r w:rsidRPr="001D4A68">
              <w:rPr>
                <w:rFonts w:eastAsia="Calibri"/>
                <w:sz w:val="20"/>
                <w:szCs w:val="20"/>
                <w:lang w:val="fr-CA"/>
              </w:rPr>
              <w:t>(1948) était nulle? — La</w:t>
            </w:r>
            <w:r w:rsidRPr="001D4A68">
              <w:rPr>
                <w:rFonts w:eastAsia="Calibri"/>
                <w:i/>
                <w:sz w:val="20"/>
                <w:szCs w:val="20"/>
                <w:lang w:val="fr-CA"/>
              </w:rPr>
              <w:t xml:space="preserve"> Loi de l'impôt sur le revenu </w:t>
            </w:r>
            <w:r w:rsidRPr="001D4A68">
              <w:rPr>
                <w:rFonts w:eastAsia="Calibri"/>
                <w:sz w:val="20"/>
                <w:szCs w:val="20"/>
                <w:lang w:val="fr-CA"/>
              </w:rPr>
              <w:t>(1948) a</w:t>
            </w:r>
            <w:r w:rsidRPr="001D4A68">
              <w:rPr>
                <w:rFonts w:eastAsia="Calibri"/>
                <w:sz w:val="20"/>
                <w:szCs w:val="20"/>
                <w:lang w:val="fr-CA"/>
              </w:rPr>
              <w:noBreakHyphen/>
              <w:t>t</w:t>
            </w:r>
            <w:r w:rsidRPr="001D4A68">
              <w:rPr>
                <w:rFonts w:eastAsia="Calibri"/>
                <w:sz w:val="20"/>
                <w:szCs w:val="20"/>
                <w:lang w:val="fr-CA"/>
              </w:rPr>
              <w:noBreakHyphen/>
              <w:t>elle été dûment édictée conformément aux dispositions obligatoires de l'Acte de l'Amérique du Nord britannique? — L'autorité exécutive a</w:t>
            </w:r>
            <w:r w:rsidRPr="001D4A68">
              <w:rPr>
                <w:rFonts w:eastAsia="Calibri"/>
                <w:sz w:val="20"/>
                <w:szCs w:val="20"/>
                <w:lang w:val="fr-CA"/>
              </w:rPr>
              <w:noBreakHyphen/>
              <w:t>t</w:t>
            </w:r>
            <w:r w:rsidRPr="001D4A68">
              <w:rPr>
                <w:rFonts w:eastAsia="Calibri"/>
                <w:sz w:val="20"/>
                <w:szCs w:val="20"/>
                <w:lang w:val="fr-CA"/>
              </w:rPr>
              <w:noBreakHyphen/>
              <w:t xml:space="preserve">elle le droit de porter atteinte, par le recours au droit criminel, aux droits et libertés garantis par la </w:t>
            </w:r>
            <w:r w:rsidRPr="001D4A68">
              <w:rPr>
                <w:rFonts w:eastAsia="Calibri"/>
                <w:i/>
                <w:sz w:val="20"/>
                <w:szCs w:val="20"/>
                <w:lang w:val="fr-CA"/>
              </w:rPr>
              <w:t>Charte</w:t>
            </w:r>
            <w:r w:rsidRPr="001D4A68">
              <w:rPr>
                <w:rFonts w:eastAsia="Calibri"/>
                <w:sz w:val="20"/>
                <w:szCs w:val="20"/>
                <w:lang w:val="fr-CA"/>
              </w:rPr>
              <w:t xml:space="preserve"> et obtenus par traité international? — La </w:t>
            </w:r>
            <w:r w:rsidRPr="001D4A68">
              <w:rPr>
                <w:rFonts w:eastAsia="Calibri"/>
                <w:i/>
                <w:sz w:val="20"/>
                <w:szCs w:val="20"/>
                <w:lang w:val="fr-CA"/>
              </w:rPr>
              <w:t>Unlawful Oaths Act</w:t>
            </w:r>
            <w:r w:rsidRPr="001D4A68">
              <w:rPr>
                <w:rFonts w:eastAsia="Calibri"/>
                <w:sz w:val="20"/>
                <w:szCs w:val="20"/>
                <w:lang w:val="fr-CA"/>
              </w:rPr>
              <w:t xml:space="preserve"> (1797) et la </w:t>
            </w:r>
            <w:r w:rsidRPr="001D4A68">
              <w:rPr>
                <w:rFonts w:eastAsia="Calibri"/>
                <w:i/>
                <w:sz w:val="20"/>
                <w:szCs w:val="20"/>
                <w:lang w:val="fr-CA"/>
              </w:rPr>
              <w:t>Unlawful Societies Act</w:t>
            </w:r>
            <w:r w:rsidRPr="001D4A68">
              <w:rPr>
                <w:rFonts w:eastAsia="Calibri"/>
                <w:sz w:val="20"/>
                <w:szCs w:val="20"/>
                <w:lang w:val="fr-CA"/>
              </w:rPr>
              <w:t xml:space="preserve"> (1799) empêchent</w:t>
            </w:r>
            <w:r w:rsidRPr="001D4A68">
              <w:rPr>
                <w:rFonts w:eastAsia="Calibri"/>
                <w:sz w:val="20"/>
                <w:szCs w:val="20"/>
                <w:lang w:val="fr-CA"/>
              </w:rPr>
              <w:noBreakHyphen/>
              <w:t>elles les francs</w:t>
            </w:r>
            <w:r w:rsidRPr="001D4A68">
              <w:rPr>
                <w:rFonts w:eastAsia="Calibri"/>
                <w:sz w:val="20"/>
                <w:szCs w:val="20"/>
                <w:lang w:val="fr-CA"/>
              </w:rPr>
              <w:noBreakHyphen/>
              <w:t>maçons d'agir comme juges au Canada? — La Cour d'appel de la Colombie</w:t>
            </w:r>
            <w:r w:rsidRPr="001D4A68">
              <w:rPr>
                <w:rFonts w:eastAsia="Calibri"/>
                <w:sz w:val="20"/>
                <w:szCs w:val="20"/>
                <w:lang w:val="fr-CA"/>
              </w:rPr>
              <w:noBreakHyphen/>
              <w:t>Britannique a</w:t>
            </w:r>
            <w:r w:rsidRPr="001D4A68">
              <w:rPr>
                <w:rFonts w:eastAsia="Calibri"/>
                <w:sz w:val="20"/>
                <w:szCs w:val="20"/>
                <w:lang w:val="fr-CA"/>
              </w:rPr>
              <w:noBreakHyphen/>
              <w:t>t</w:t>
            </w:r>
            <w:r w:rsidRPr="001D4A68">
              <w:rPr>
                <w:rFonts w:eastAsia="Calibri"/>
                <w:sz w:val="20"/>
                <w:szCs w:val="20"/>
                <w:lang w:val="fr-CA"/>
              </w:rPr>
              <w:noBreakHyphen/>
              <w:t xml:space="preserve">elle interprété à bon droit la portée et l'application de l'arrêt de la Cour suprême du Canada dans l'affaire </w:t>
            </w:r>
            <w:r w:rsidRPr="001D4A68">
              <w:rPr>
                <w:rFonts w:eastAsia="Calibri"/>
                <w:i/>
                <w:sz w:val="20"/>
                <w:szCs w:val="20"/>
                <w:lang w:val="fr-CA"/>
              </w:rPr>
              <w:t>Vancouver (Ville) c. Ward</w:t>
            </w:r>
            <w:r w:rsidRPr="001D4A68">
              <w:rPr>
                <w:rFonts w:eastAsia="Calibri"/>
                <w:sz w:val="20"/>
                <w:szCs w:val="20"/>
                <w:lang w:val="fr-CA"/>
              </w:rPr>
              <w:t>, [2010] 2 R.C.S. 28?</w:t>
            </w:r>
          </w:p>
        </w:tc>
      </w:tr>
      <w:tr w:rsidR="00D84A52" w:rsidRPr="004061E0" w:rsidTr="00EA4658">
        <w:tc>
          <w:tcPr>
            <w:tcW w:w="5000" w:type="pct"/>
            <w:gridSpan w:val="3"/>
          </w:tcPr>
          <w:p w:rsidR="00D84A52" w:rsidRPr="001D4A68" w:rsidRDefault="00D84A52" w:rsidP="00EA4658">
            <w:pPr>
              <w:jc w:val="both"/>
              <w:rPr>
                <w:rFonts w:eastAsia="Calibri"/>
                <w:sz w:val="20"/>
                <w:szCs w:val="20"/>
                <w:lang w:val="fr-CA"/>
              </w:rPr>
            </w:pPr>
          </w:p>
        </w:tc>
      </w:tr>
      <w:tr w:rsidR="00D84A52" w:rsidRPr="004061E0"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La présente demande d'autorisation découle d'une contestation de la compétence de la Cour suprême de la Colombie</w:t>
            </w:r>
            <w:r w:rsidRPr="001D4A68">
              <w:rPr>
                <w:rFonts w:eastAsia="Calibri"/>
                <w:sz w:val="20"/>
                <w:szCs w:val="20"/>
                <w:lang w:val="fr-CA"/>
              </w:rPr>
              <w:noBreakHyphen/>
              <w:t xml:space="preserve">Britannique de rejeter une poursuite civile intentée à la suite d'irrégularités présumées, de violations de la </w:t>
            </w:r>
            <w:r w:rsidRPr="001D4A68">
              <w:rPr>
                <w:rFonts w:eastAsia="Calibri"/>
                <w:i/>
                <w:sz w:val="20"/>
                <w:szCs w:val="20"/>
                <w:lang w:val="fr-CA"/>
              </w:rPr>
              <w:t xml:space="preserve">Charte </w:t>
            </w:r>
            <w:r w:rsidRPr="001D4A68">
              <w:rPr>
                <w:rFonts w:eastAsia="Calibri"/>
                <w:sz w:val="20"/>
                <w:szCs w:val="20"/>
                <w:lang w:val="fr-CA"/>
              </w:rPr>
              <w:t>et d'autres fautes présumées qui auraient été commises au cours d'une poursuite criminelle contre Mme Sydel, la demanderesse, devant la Cour provinciale de la Colombie</w:t>
            </w:r>
            <w:r w:rsidRPr="001D4A68">
              <w:rPr>
                <w:rFonts w:eastAsia="Calibri"/>
                <w:sz w:val="20"/>
                <w:szCs w:val="20"/>
                <w:lang w:val="fr-CA"/>
              </w:rPr>
              <w:noBreakHyphen/>
              <w:t>Britannique sous le régime de la</w:t>
            </w:r>
            <w:r w:rsidRPr="001D4A68">
              <w:rPr>
                <w:rFonts w:eastAsia="Calibri"/>
                <w:i/>
                <w:sz w:val="20"/>
                <w:szCs w:val="20"/>
                <w:lang w:val="fr-CA"/>
              </w:rPr>
              <w:t xml:space="preserve"> Loi de l'impôt sur le revenu</w:t>
            </w:r>
            <w:r w:rsidRPr="001D4A68">
              <w:rPr>
                <w:rFonts w:eastAsia="Calibri"/>
                <w:sz w:val="20"/>
                <w:szCs w:val="20"/>
                <w:lang w:val="fr-CA"/>
              </w:rPr>
              <w:t xml:space="preserve"> par des mandataires du gouvernement du Canada.  En l'espèce, Mme Sydel a allégué devant la Cour suprême de la Colombie</w:t>
            </w:r>
            <w:r w:rsidRPr="001D4A68">
              <w:rPr>
                <w:rFonts w:eastAsia="Calibri"/>
                <w:sz w:val="20"/>
                <w:szCs w:val="20"/>
                <w:lang w:val="fr-CA"/>
              </w:rPr>
              <w:noBreakHyphen/>
              <w:t>Britannique que l'enquête qui avait mené à ses condamnations et les procédures en Cour provinciale faisaient partie d'un complot dirigé contre elle par des employés de l'Agence du revenu du Canada, des avocats au service du ministère fédéral de la Justice et les intimés provinciaux.</w:t>
            </w:r>
          </w:p>
          <w:p w:rsidR="00D84A52" w:rsidRPr="001D4A68" w:rsidRDefault="00D84A52" w:rsidP="00EA4658">
            <w:pPr>
              <w:jc w:val="both"/>
              <w:rPr>
                <w:rFonts w:eastAsia="Calibri"/>
                <w:sz w:val="20"/>
                <w:szCs w:val="20"/>
                <w:lang w:val="fr-CA"/>
              </w:rPr>
            </w:pPr>
          </w:p>
        </w:tc>
      </w:tr>
      <w:tr w:rsidR="00D84A52" w:rsidRPr="004061E0"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5 mai 2010</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suprême de la Colombie</w:t>
            </w:r>
            <w:r w:rsidRPr="001D4A68">
              <w:rPr>
                <w:rFonts w:eastAsia="Calibri"/>
                <w:sz w:val="20"/>
                <w:szCs w:val="20"/>
                <w:lang w:val="fr-CA"/>
              </w:rPr>
              <w:noBreakHyphen/>
              <w:t xml:space="preserve">Britannique </w:t>
            </w:r>
          </w:p>
          <w:p w:rsidR="00D84A52" w:rsidRPr="001D4A68" w:rsidRDefault="00D84A52" w:rsidP="00EA4658">
            <w:pPr>
              <w:jc w:val="both"/>
              <w:rPr>
                <w:rFonts w:eastAsia="Calibri"/>
                <w:sz w:val="20"/>
                <w:szCs w:val="20"/>
                <w:lang w:val="fr-CA"/>
              </w:rPr>
            </w:pPr>
            <w:r w:rsidRPr="001D4A68">
              <w:rPr>
                <w:rFonts w:eastAsia="Calibri"/>
                <w:sz w:val="20"/>
                <w:szCs w:val="20"/>
                <w:lang w:val="fr-CA"/>
              </w:rPr>
              <w:t>(Juge Kelleher)</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Demande de la demanderesse radiée au complet; action rejetée.</w:t>
            </w:r>
          </w:p>
          <w:p w:rsidR="00D84A52" w:rsidRPr="001D4A68" w:rsidRDefault="00D84A52" w:rsidP="00EA4658">
            <w:pPr>
              <w:jc w:val="both"/>
              <w:rPr>
                <w:rFonts w:eastAsia="Calibri"/>
                <w:sz w:val="20"/>
                <w:szCs w:val="20"/>
                <w:lang w:val="fr-CA"/>
              </w:rPr>
            </w:pP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9 mai 2011</w:t>
            </w:r>
          </w:p>
          <w:p w:rsidR="00D84A52" w:rsidRPr="001D4A68" w:rsidRDefault="00D84A52" w:rsidP="00EA4658">
            <w:pPr>
              <w:jc w:val="both"/>
              <w:rPr>
                <w:rFonts w:eastAsia="Calibri"/>
                <w:sz w:val="20"/>
                <w:szCs w:val="20"/>
                <w:lang w:val="fr-CA"/>
              </w:rPr>
            </w:pPr>
            <w:r w:rsidRPr="001D4A68">
              <w:rPr>
                <w:rFonts w:eastAsia="Calibri"/>
                <w:sz w:val="20"/>
                <w:szCs w:val="20"/>
                <w:lang w:val="fr-CA"/>
              </w:rPr>
              <w:t>Cour d'appel de la Colombie</w:t>
            </w:r>
            <w:r w:rsidRPr="001D4A68">
              <w:rPr>
                <w:rFonts w:eastAsia="Calibri"/>
                <w:sz w:val="20"/>
                <w:szCs w:val="20"/>
                <w:lang w:val="fr-CA"/>
              </w:rPr>
              <w:noBreakHyphen/>
              <w:t>Britannique (Vancouver)</w:t>
            </w:r>
          </w:p>
          <w:p w:rsidR="00D84A52" w:rsidRPr="001D4A68" w:rsidRDefault="00D84A52" w:rsidP="00EA4658">
            <w:pPr>
              <w:jc w:val="both"/>
              <w:rPr>
                <w:rFonts w:eastAsia="Calibri"/>
                <w:sz w:val="20"/>
                <w:szCs w:val="20"/>
              </w:rPr>
            </w:pPr>
            <w:r w:rsidRPr="001D4A68">
              <w:rPr>
                <w:rFonts w:eastAsia="Calibri"/>
                <w:sz w:val="20"/>
                <w:szCs w:val="20"/>
              </w:rPr>
              <w:t>(Juges Low, Kirkpatrick et Tysoe)</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Appel rejeté.</w:t>
            </w:r>
          </w:p>
          <w:p w:rsidR="00D84A52" w:rsidRPr="001D4A68" w:rsidRDefault="00D84A52" w:rsidP="00EA4658">
            <w:pPr>
              <w:jc w:val="both"/>
              <w:rPr>
                <w:rFonts w:eastAsia="Calibri"/>
                <w:sz w:val="20"/>
                <w:szCs w:val="20"/>
                <w:lang w:val="fr-CA"/>
              </w:rPr>
            </w:pP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3 août 2011</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suprême du Canada</w:t>
            </w: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Demande d'autorisation d'appel, déposée</w:t>
            </w:r>
          </w:p>
          <w:p w:rsidR="00D84A52" w:rsidRPr="001D4A68" w:rsidRDefault="00D84A52" w:rsidP="00EA4658">
            <w:pPr>
              <w:jc w:val="both"/>
              <w:rPr>
                <w:rFonts w:eastAsia="Calibri"/>
                <w:sz w:val="20"/>
                <w:szCs w:val="20"/>
                <w:lang w:val="fr-CA"/>
              </w:rPr>
            </w:pP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53"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7F0098" w:rsidRPr="0080601F" w:rsidTr="000202E0">
        <w:trPr>
          <w:cantSplit/>
        </w:trPr>
        <w:tc>
          <w:tcPr>
            <w:tcW w:w="1458" w:type="dxa"/>
          </w:tcPr>
          <w:p w:rsidR="007F0098" w:rsidRPr="0080601F" w:rsidRDefault="007F0098" w:rsidP="000202E0">
            <w:pPr>
              <w:rPr>
                <w:sz w:val="20"/>
                <w:szCs w:val="20"/>
              </w:rPr>
            </w:pPr>
            <w:r w:rsidRPr="0080601F">
              <w:rPr>
                <w:rStyle w:val="SCCFileNumberChar"/>
                <w:sz w:val="20"/>
                <w:szCs w:val="20"/>
              </w:rPr>
              <w:t>34388</w:t>
            </w:r>
          </w:p>
          <w:p w:rsidR="007F0098" w:rsidRPr="0080601F" w:rsidRDefault="007F0098" w:rsidP="000202E0">
            <w:pPr>
              <w:rPr>
                <w:b/>
                <w:sz w:val="20"/>
                <w:szCs w:val="20"/>
                <w:lang w:val="fr-CA"/>
              </w:rPr>
            </w:pPr>
          </w:p>
        </w:tc>
        <w:tc>
          <w:tcPr>
            <w:tcW w:w="8118" w:type="dxa"/>
          </w:tcPr>
          <w:p w:rsidR="007F0098" w:rsidRPr="0080601F" w:rsidRDefault="007F0098" w:rsidP="000202E0">
            <w:pPr>
              <w:rPr>
                <w:sz w:val="20"/>
                <w:szCs w:val="20"/>
                <w:lang w:val="fr-CA"/>
              </w:rPr>
            </w:pPr>
            <w:r w:rsidRPr="0080601F">
              <w:rPr>
                <w:rStyle w:val="SCCLsocChar"/>
                <w:sz w:val="20"/>
                <w:szCs w:val="20"/>
              </w:rPr>
              <w:t>Gérard Goulet c. Sa Majesté la Reine</w:t>
            </w:r>
            <w:r w:rsidRPr="0080601F">
              <w:rPr>
                <w:sz w:val="20"/>
                <w:szCs w:val="20"/>
                <w:lang w:val="fr-CA"/>
              </w:rPr>
              <w:t xml:space="preserve"> (C</w:t>
            </w:r>
            <w:r>
              <w:rPr>
                <w:sz w:val="20"/>
                <w:szCs w:val="20"/>
                <w:lang w:val="fr-CA"/>
              </w:rPr>
              <w:t>.</w:t>
            </w:r>
            <w:r w:rsidRPr="0080601F">
              <w:rPr>
                <w:sz w:val="20"/>
                <w:szCs w:val="20"/>
                <w:lang w:val="fr-CA"/>
              </w:rPr>
              <w:t>F</w:t>
            </w:r>
            <w:r>
              <w:rPr>
                <w:sz w:val="20"/>
                <w:szCs w:val="20"/>
                <w:lang w:val="fr-CA"/>
              </w:rPr>
              <w:t>.</w:t>
            </w:r>
            <w:r w:rsidRPr="0080601F">
              <w:rPr>
                <w:sz w:val="20"/>
                <w:szCs w:val="20"/>
                <w:lang w:val="fr-CA"/>
              </w:rPr>
              <w:t>) (Civile) (Autorisation)</w:t>
            </w:r>
          </w:p>
          <w:p w:rsidR="007F0098" w:rsidRPr="0080601F" w:rsidRDefault="007F0098" w:rsidP="000202E0">
            <w:pPr>
              <w:rPr>
                <w:sz w:val="20"/>
                <w:szCs w:val="20"/>
                <w:lang w:val="fr-CA"/>
              </w:rPr>
            </w:pPr>
          </w:p>
        </w:tc>
      </w:tr>
      <w:tr w:rsidR="007F0098" w:rsidRPr="004061E0" w:rsidTr="000202E0">
        <w:trPr>
          <w:cantSplit/>
        </w:trPr>
        <w:tc>
          <w:tcPr>
            <w:tcW w:w="1458" w:type="dxa"/>
          </w:tcPr>
          <w:p w:rsidR="007F0098" w:rsidRPr="007F0098" w:rsidRDefault="007F0098" w:rsidP="000202E0">
            <w:pPr>
              <w:rPr>
                <w:sz w:val="20"/>
                <w:szCs w:val="20"/>
                <w:lang w:val="fr-CA"/>
              </w:rPr>
            </w:pPr>
            <w:r w:rsidRPr="007F0098">
              <w:rPr>
                <w:sz w:val="20"/>
                <w:szCs w:val="20"/>
                <w:lang w:val="fr-CA"/>
              </w:rPr>
              <w:t>Coram :</w:t>
            </w:r>
          </w:p>
        </w:tc>
        <w:tc>
          <w:tcPr>
            <w:tcW w:w="8118" w:type="dxa"/>
          </w:tcPr>
          <w:p w:rsidR="007F0098" w:rsidRPr="0080601F" w:rsidRDefault="007F0098" w:rsidP="000202E0">
            <w:pPr>
              <w:rPr>
                <w:sz w:val="20"/>
                <w:szCs w:val="20"/>
                <w:lang w:val="fr-CA"/>
              </w:rPr>
            </w:pPr>
            <w:r w:rsidRPr="0080601F">
              <w:rPr>
                <w:rStyle w:val="SCCCoramChar"/>
                <w:sz w:val="20"/>
                <w:szCs w:val="20"/>
              </w:rPr>
              <w:t>Les juges LeBel, Abella et Cromwell</w:t>
            </w:r>
          </w:p>
          <w:p w:rsidR="007F0098" w:rsidRPr="0080601F" w:rsidRDefault="007F0098" w:rsidP="000202E0">
            <w:pPr>
              <w:rPr>
                <w:sz w:val="20"/>
                <w:szCs w:val="20"/>
                <w:u w:val="single"/>
                <w:lang w:val="fr-CA"/>
              </w:rPr>
            </w:pPr>
          </w:p>
        </w:tc>
      </w:tr>
      <w:tr w:rsidR="007F0098" w:rsidRPr="0080601F" w:rsidTr="000202E0">
        <w:trPr>
          <w:cantSplit/>
        </w:trPr>
        <w:tc>
          <w:tcPr>
            <w:tcW w:w="9576" w:type="dxa"/>
            <w:gridSpan w:val="2"/>
          </w:tcPr>
          <w:p w:rsidR="007F0098" w:rsidRPr="0080601F" w:rsidRDefault="007F0098" w:rsidP="000202E0">
            <w:pPr>
              <w:pStyle w:val="SCCShortJudgment"/>
              <w:rPr>
                <w:szCs w:val="20"/>
                <w:lang w:val="fr-CA"/>
              </w:rPr>
            </w:pPr>
            <w:r w:rsidRPr="0080601F">
              <w:rPr>
                <w:szCs w:val="20"/>
                <w:lang w:val="fr-CA"/>
              </w:rPr>
              <w:lastRenderedPageBreak/>
              <w:t>La requête en prorogation du délai de signification de la demande d’autorisation d’appel est accueillie. La demande d’autorisation d’appel de l’arrêt de la Cour d’appel fédérale, numéro A-247-09, 2011 CAF 164, daté du 10 mai 2011, est rejetée avec dépens.</w:t>
            </w:r>
          </w:p>
          <w:p w:rsidR="007F0098" w:rsidRPr="0080601F" w:rsidRDefault="007F0098" w:rsidP="000202E0">
            <w:pPr>
              <w:pStyle w:val="SCCShortJudgment"/>
              <w:ind w:firstLine="0"/>
              <w:rPr>
                <w:szCs w:val="20"/>
                <w:lang w:val="fr-CA"/>
              </w:rPr>
            </w:pPr>
          </w:p>
          <w:p w:rsidR="007F0098" w:rsidRPr="0080601F" w:rsidRDefault="007F0098" w:rsidP="000202E0">
            <w:pPr>
              <w:pStyle w:val="SCCShortJudgment"/>
              <w:rPr>
                <w:szCs w:val="20"/>
              </w:rPr>
            </w:pPr>
            <w:r w:rsidRPr="0080601F">
              <w:rPr>
                <w:szCs w:val="20"/>
              </w:rPr>
              <w:t>The motion for an extension of time to serve the application for leave to appeal is granted. The application for leave to appeal from the judgment of the Federal Court of Appeal, Number A-247-09, 2011 FCA 164, dated May 10, 2011, is dismissed with costs.</w:t>
            </w:r>
          </w:p>
        </w:tc>
      </w:tr>
    </w:tbl>
    <w:p w:rsidR="00D84A52" w:rsidRPr="00D84A52" w:rsidRDefault="00D84A52" w:rsidP="009B58BA">
      <w:pPr>
        <w:rPr>
          <w:sz w:val="20"/>
          <w:szCs w:val="20"/>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84A52" w:rsidRPr="001D4A68" w:rsidTr="00EA4658">
        <w:tc>
          <w:tcPr>
            <w:tcW w:w="5000" w:type="pct"/>
            <w:gridSpan w:val="3"/>
          </w:tcPr>
          <w:p w:rsidR="00D84A52" w:rsidRPr="001D4A68" w:rsidRDefault="00D84A52" w:rsidP="00EA4658">
            <w:pPr>
              <w:jc w:val="both"/>
              <w:rPr>
                <w:rFonts w:eastAsia="Calibri"/>
                <w:sz w:val="20"/>
                <w:szCs w:val="20"/>
              </w:rPr>
            </w:pPr>
            <w:r w:rsidRPr="001D4A68">
              <w:rPr>
                <w:rFonts w:eastAsia="Calibri"/>
                <w:sz w:val="20"/>
                <w:szCs w:val="20"/>
              </w:rPr>
              <w:t xml:space="preserve">Taxation — Income tax — Assessment — Notes and commercial papers purchased at discount and not accumulating interest but specifying rate of return at maturity — Whether courts below erred in concluding that, at time of disposition, debt obligations in issue had generated interest income — </w:t>
            </w:r>
            <w:r w:rsidRPr="001D4A68">
              <w:rPr>
                <w:rFonts w:eastAsia="Calibri"/>
                <w:i/>
                <w:sz w:val="20"/>
                <w:szCs w:val="20"/>
              </w:rPr>
              <w:t>Income Tax Act</w:t>
            </w:r>
            <w:r w:rsidRPr="001D4A68">
              <w:rPr>
                <w:rFonts w:eastAsia="Calibri"/>
                <w:sz w:val="20"/>
                <w:szCs w:val="20"/>
              </w:rPr>
              <w:t xml:space="preserve">, R.S.C. 1985, c. 1 (5th Supp.), s. 12(9) — </w:t>
            </w:r>
            <w:r w:rsidRPr="001D4A68">
              <w:rPr>
                <w:rFonts w:eastAsia="Calibri"/>
                <w:i/>
                <w:sz w:val="20"/>
                <w:szCs w:val="20"/>
              </w:rPr>
              <w:t>Income Tax Regulations</w:t>
            </w:r>
            <w:r w:rsidRPr="001D4A68">
              <w:rPr>
                <w:rFonts w:eastAsia="Calibri"/>
                <w:sz w:val="20"/>
                <w:szCs w:val="20"/>
              </w:rPr>
              <w:t>, C.R.C., c. 945, s. 7000(1).</w:t>
            </w:r>
          </w:p>
        </w:tc>
      </w:tr>
      <w:tr w:rsidR="00D84A52" w:rsidRPr="001D4A68" w:rsidTr="00EA4658">
        <w:tc>
          <w:tcPr>
            <w:tcW w:w="5000" w:type="pct"/>
            <w:gridSpan w:val="3"/>
          </w:tcPr>
          <w:p w:rsidR="00D84A52" w:rsidRPr="001D4A68" w:rsidRDefault="00D84A52" w:rsidP="00EA4658">
            <w:pPr>
              <w:jc w:val="both"/>
              <w:rPr>
                <w:rFonts w:eastAsia="Calibri"/>
                <w:sz w:val="20"/>
                <w:szCs w:val="20"/>
              </w:rPr>
            </w:pPr>
          </w:p>
        </w:tc>
      </w:tr>
      <w:tr w:rsidR="00D84A52" w:rsidRPr="001D4A68" w:rsidTr="00EA4658">
        <w:tc>
          <w:tcPr>
            <w:tcW w:w="5000" w:type="pct"/>
            <w:gridSpan w:val="3"/>
          </w:tcPr>
          <w:p w:rsidR="00D84A52" w:rsidRPr="001D4A68" w:rsidRDefault="00D84A52" w:rsidP="00EA4658">
            <w:pPr>
              <w:jc w:val="both"/>
              <w:rPr>
                <w:rFonts w:eastAsia="Calibri"/>
                <w:sz w:val="20"/>
                <w:szCs w:val="20"/>
              </w:rPr>
            </w:pPr>
            <w:r w:rsidRPr="001D4A68">
              <w:rPr>
                <w:rFonts w:eastAsia="Calibri"/>
                <w:sz w:val="20"/>
                <w:szCs w:val="20"/>
              </w:rPr>
              <w:t xml:space="preserve">In 2002 and 2003, the applicant Mr. Goulet purchased notes and commercial papers for less than their face value.  Those debt obligations did not accumulate interest but specified the rate of return at maturity.  In 2003, the obligations were redeemed by their issuers, which were business corporations that made use of this type of financing. </w:t>
            </w:r>
          </w:p>
          <w:p w:rsidR="00D84A52" w:rsidRPr="001D4A68" w:rsidRDefault="00D84A52" w:rsidP="00EA4658">
            <w:pPr>
              <w:jc w:val="both"/>
              <w:rPr>
                <w:rFonts w:eastAsia="Calibri"/>
                <w:sz w:val="20"/>
                <w:szCs w:val="20"/>
              </w:rPr>
            </w:pPr>
          </w:p>
          <w:p w:rsidR="00D84A52" w:rsidRPr="001D4A68" w:rsidRDefault="00D84A52" w:rsidP="00EA4658">
            <w:pPr>
              <w:jc w:val="both"/>
              <w:rPr>
                <w:rFonts w:eastAsia="Calibri"/>
                <w:sz w:val="20"/>
                <w:szCs w:val="20"/>
              </w:rPr>
            </w:pPr>
            <w:r w:rsidRPr="001D4A68">
              <w:rPr>
                <w:rFonts w:eastAsia="Calibri"/>
                <w:sz w:val="20"/>
                <w:szCs w:val="20"/>
              </w:rPr>
              <w:t xml:space="preserve">In his income tax return for 2003, Mr. Goulet treated the difference between the redemption price for the obligations and the purchase cost (the $30,164 discount) as a capital gain.  The Minister of National Revenue determined instead that the amount was interest income pursuant to s. 12(4) and (9) of the </w:t>
            </w:r>
            <w:r w:rsidRPr="001D4A68">
              <w:rPr>
                <w:rFonts w:eastAsia="Calibri"/>
                <w:i/>
                <w:sz w:val="20"/>
                <w:szCs w:val="20"/>
              </w:rPr>
              <w:t>Income Tax Act</w:t>
            </w:r>
            <w:r w:rsidRPr="001D4A68">
              <w:rPr>
                <w:rFonts w:eastAsia="Calibri"/>
                <w:sz w:val="20"/>
                <w:szCs w:val="20"/>
              </w:rPr>
              <w:t xml:space="preserve"> and s. 7000(1) and (2) of the </w:t>
            </w:r>
            <w:r w:rsidRPr="001D4A68">
              <w:rPr>
                <w:rFonts w:eastAsia="Calibri"/>
                <w:i/>
                <w:sz w:val="20"/>
                <w:szCs w:val="20"/>
              </w:rPr>
              <w:t>Income Tax Regulations</w:t>
            </w:r>
            <w:r w:rsidRPr="001D4A68">
              <w:rPr>
                <w:rFonts w:eastAsia="Calibri"/>
                <w:sz w:val="20"/>
                <w:szCs w:val="20"/>
              </w:rPr>
              <w:t xml:space="preserve"> and therefore issued a notice of assessment. </w:t>
            </w:r>
          </w:p>
          <w:p w:rsidR="00D84A52" w:rsidRPr="001D4A68" w:rsidRDefault="00D84A52" w:rsidP="00EA4658">
            <w:pPr>
              <w:jc w:val="both"/>
              <w:rPr>
                <w:rFonts w:eastAsia="Calibri"/>
                <w:sz w:val="20"/>
                <w:szCs w:val="20"/>
              </w:rPr>
            </w:pPr>
          </w:p>
          <w:p w:rsidR="00D84A52" w:rsidRPr="001D4A68" w:rsidRDefault="00D84A52" w:rsidP="00EA4658">
            <w:pPr>
              <w:jc w:val="both"/>
              <w:rPr>
                <w:rFonts w:eastAsia="Calibri"/>
                <w:sz w:val="20"/>
                <w:szCs w:val="20"/>
              </w:rPr>
            </w:pPr>
            <w:r w:rsidRPr="001D4A68">
              <w:rPr>
                <w:rFonts w:eastAsia="Calibri"/>
                <w:sz w:val="20"/>
                <w:szCs w:val="20"/>
              </w:rPr>
              <w:t>The Tax Court of Canada dismissed Mr. Goulet’s appeal and confirmed the reassessment.  The Federal Court of Appeal dismissed the appeal.</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May 19, 2009</w:t>
            </w:r>
          </w:p>
          <w:p w:rsidR="00D84A52" w:rsidRPr="001D4A68" w:rsidRDefault="00D84A52" w:rsidP="00EA4658">
            <w:pPr>
              <w:jc w:val="both"/>
              <w:rPr>
                <w:rFonts w:eastAsia="Calibri"/>
                <w:sz w:val="20"/>
                <w:szCs w:val="20"/>
              </w:rPr>
            </w:pPr>
            <w:r w:rsidRPr="001D4A68">
              <w:rPr>
                <w:rFonts w:eastAsia="Calibri"/>
                <w:sz w:val="20"/>
                <w:szCs w:val="20"/>
              </w:rPr>
              <w:t>Tax Court of Canada</w:t>
            </w:r>
          </w:p>
          <w:p w:rsidR="00D84A52" w:rsidRPr="001D4A68" w:rsidRDefault="00D84A52" w:rsidP="00EA4658">
            <w:pPr>
              <w:jc w:val="both"/>
              <w:rPr>
                <w:rFonts w:eastAsia="Calibri"/>
                <w:sz w:val="20"/>
                <w:szCs w:val="20"/>
              </w:rPr>
            </w:pPr>
            <w:r w:rsidRPr="001D4A68">
              <w:rPr>
                <w:rFonts w:eastAsia="Calibri"/>
                <w:sz w:val="20"/>
                <w:szCs w:val="20"/>
              </w:rPr>
              <w:t>(Bédard J.)</w:t>
            </w:r>
          </w:p>
          <w:p w:rsidR="00D84A52" w:rsidRPr="001D4A68" w:rsidRDefault="00D84A52" w:rsidP="00EA4658">
            <w:pPr>
              <w:jc w:val="both"/>
              <w:rPr>
                <w:rFonts w:eastAsia="Calibri"/>
                <w:sz w:val="20"/>
                <w:szCs w:val="20"/>
              </w:rPr>
            </w:pPr>
            <w:r w:rsidRPr="001D4A68">
              <w:rPr>
                <w:rFonts w:eastAsia="Calibri"/>
                <w:sz w:val="20"/>
                <w:szCs w:val="20"/>
              </w:rPr>
              <w:t>2009 TCC 127</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Appeal from notice of assessment dismissed</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May 10, 2011</w:t>
            </w:r>
          </w:p>
          <w:p w:rsidR="00D84A52" w:rsidRPr="001D4A68" w:rsidRDefault="00D84A52" w:rsidP="00EA4658">
            <w:pPr>
              <w:jc w:val="both"/>
              <w:rPr>
                <w:rFonts w:eastAsia="Calibri"/>
                <w:sz w:val="20"/>
                <w:szCs w:val="20"/>
              </w:rPr>
            </w:pPr>
            <w:r w:rsidRPr="001D4A68">
              <w:rPr>
                <w:rFonts w:eastAsia="Calibri"/>
                <w:sz w:val="20"/>
                <w:szCs w:val="20"/>
              </w:rPr>
              <w:t>Federal Court of Appeal</w:t>
            </w:r>
          </w:p>
          <w:p w:rsidR="00D84A52" w:rsidRPr="001D4A68" w:rsidRDefault="00D84A52" w:rsidP="00EA4658">
            <w:pPr>
              <w:jc w:val="both"/>
              <w:rPr>
                <w:rFonts w:eastAsia="Calibri"/>
                <w:sz w:val="20"/>
                <w:szCs w:val="20"/>
              </w:rPr>
            </w:pPr>
            <w:r w:rsidRPr="001D4A68">
              <w:rPr>
                <w:rFonts w:eastAsia="Calibri"/>
                <w:sz w:val="20"/>
                <w:szCs w:val="20"/>
              </w:rPr>
              <w:t>(Létourneau, Pelletier and Trudel JJ.A.)</w:t>
            </w:r>
          </w:p>
          <w:p w:rsidR="00D84A52" w:rsidRPr="001D4A68" w:rsidRDefault="00D84A52" w:rsidP="00EA4658">
            <w:pPr>
              <w:jc w:val="both"/>
              <w:rPr>
                <w:rFonts w:eastAsia="Calibri"/>
                <w:sz w:val="20"/>
                <w:szCs w:val="20"/>
              </w:rPr>
            </w:pPr>
            <w:r w:rsidRPr="001D4A68">
              <w:rPr>
                <w:rFonts w:eastAsia="Calibri"/>
                <w:sz w:val="20"/>
                <w:szCs w:val="20"/>
              </w:rPr>
              <w:t>2011 FCA 164</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Appeal dismissed</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August 9, 2011</w:t>
            </w:r>
          </w:p>
          <w:p w:rsidR="00D84A52" w:rsidRPr="001D4A68" w:rsidRDefault="00D84A52" w:rsidP="00EA4658">
            <w:pPr>
              <w:jc w:val="both"/>
              <w:rPr>
                <w:rFonts w:eastAsia="Calibri"/>
                <w:sz w:val="20"/>
                <w:szCs w:val="20"/>
              </w:rPr>
            </w:pPr>
            <w:r w:rsidRPr="001D4A68">
              <w:rPr>
                <w:rFonts w:eastAsia="Calibri"/>
                <w:sz w:val="20"/>
                <w:szCs w:val="20"/>
              </w:rPr>
              <w:t>Supreme Court of Canada</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Application for leave to appeal filed</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 xml:space="preserve">September 6, 2011 </w:t>
            </w:r>
          </w:p>
          <w:p w:rsidR="00D84A52" w:rsidRPr="001D4A68" w:rsidRDefault="00D84A52" w:rsidP="00EA4658">
            <w:pPr>
              <w:jc w:val="both"/>
              <w:rPr>
                <w:rFonts w:eastAsia="Calibri"/>
                <w:sz w:val="20"/>
                <w:szCs w:val="20"/>
              </w:rPr>
            </w:pPr>
            <w:r w:rsidRPr="001D4A68">
              <w:rPr>
                <w:rFonts w:eastAsia="Calibri"/>
                <w:sz w:val="20"/>
                <w:szCs w:val="20"/>
              </w:rPr>
              <w:t>Supreme Court of Canada</w:t>
            </w: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Motion to extend time to serve application for leave to appeal filed</w:t>
            </w:r>
          </w:p>
        </w:tc>
      </w:tr>
    </w:tbl>
    <w:p w:rsidR="009B58BA" w:rsidRPr="00D84A52"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54"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84A52" w:rsidRPr="004061E0"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Droit fiscal — Impôt sur le revenu — Cotisation — Billets et effets de commerce acquis à escompte et ne portant pas intérêt, mais précisant le taux de rendement à échéance — Les instances inférieures ont</w:t>
            </w:r>
            <w:r w:rsidRPr="001D4A68">
              <w:rPr>
                <w:rFonts w:eastAsia="Calibri"/>
                <w:sz w:val="20"/>
                <w:szCs w:val="20"/>
                <w:lang w:val="fr-CA"/>
              </w:rPr>
              <w:noBreakHyphen/>
              <w:t xml:space="preserve">elles eu tort de conclure qu’au moment de leur disposition, les titres de créances en litige avaient généré un revenu en intérêts? — </w:t>
            </w:r>
            <w:r w:rsidRPr="001D4A68">
              <w:rPr>
                <w:rFonts w:eastAsia="Calibri"/>
                <w:i/>
                <w:sz w:val="20"/>
                <w:szCs w:val="20"/>
                <w:lang w:val="fr-CA"/>
              </w:rPr>
              <w:t xml:space="preserve">Loi de l’impôt sur </w:t>
            </w:r>
            <w:r w:rsidRPr="001D4A68">
              <w:rPr>
                <w:rFonts w:eastAsia="Calibri"/>
                <w:i/>
                <w:sz w:val="20"/>
                <w:szCs w:val="20"/>
                <w:lang w:val="fr-CA"/>
              </w:rPr>
              <w:lastRenderedPageBreak/>
              <w:t>le revenu</w:t>
            </w:r>
            <w:r w:rsidRPr="001D4A68">
              <w:rPr>
                <w:rFonts w:eastAsia="Calibri"/>
                <w:sz w:val="20"/>
                <w:szCs w:val="20"/>
                <w:lang w:val="fr-CA"/>
              </w:rPr>
              <w:t>, L.R.C. 1985, ch. 1 (5</w:t>
            </w:r>
            <w:r w:rsidRPr="001D4A68">
              <w:rPr>
                <w:rFonts w:eastAsia="Calibri"/>
                <w:sz w:val="20"/>
                <w:szCs w:val="20"/>
                <w:vertAlign w:val="superscript"/>
                <w:lang w:val="fr-CA"/>
              </w:rPr>
              <w:t>e</w:t>
            </w:r>
            <w:r w:rsidRPr="001D4A68">
              <w:rPr>
                <w:rFonts w:eastAsia="Calibri"/>
                <w:sz w:val="20"/>
                <w:szCs w:val="20"/>
                <w:lang w:val="fr-CA"/>
              </w:rPr>
              <w:t xml:space="preserve"> suppl.), par. 12(9) — </w:t>
            </w:r>
            <w:r w:rsidRPr="001D4A68">
              <w:rPr>
                <w:rFonts w:eastAsia="Calibri"/>
                <w:i/>
                <w:sz w:val="20"/>
                <w:szCs w:val="20"/>
                <w:lang w:val="fr-CA"/>
              </w:rPr>
              <w:t>Règlement de l’impôt sur le revenu</w:t>
            </w:r>
            <w:r w:rsidRPr="001D4A68">
              <w:rPr>
                <w:rFonts w:eastAsia="Calibri"/>
                <w:sz w:val="20"/>
                <w:szCs w:val="20"/>
                <w:lang w:val="fr-CA"/>
              </w:rPr>
              <w:t>, C.R.C., ch. 945, par. 7000(1).</w:t>
            </w:r>
          </w:p>
        </w:tc>
      </w:tr>
      <w:tr w:rsidR="00D84A52" w:rsidRPr="004061E0" w:rsidTr="00EA4658">
        <w:tc>
          <w:tcPr>
            <w:tcW w:w="5000" w:type="pct"/>
            <w:gridSpan w:val="3"/>
          </w:tcPr>
          <w:p w:rsidR="00D84A52" w:rsidRPr="001D4A68" w:rsidRDefault="00D84A52" w:rsidP="00EA4658">
            <w:pPr>
              <w:jc w:val="both"/>
              <w:rPr>
                <w:rFonts w:eastAsia="Calibri"/>
                <w:sz w:val="20"/>
                <w:szCs w:val="20"/>
                <w:lang w:val="fr-CA"/>
              </w:rPr>
            </w:pPr>
          </w:p>
        </w:tc>
      </w:tr>
      <w:tr w:rsidR="00D84A52" w:rsidRPr="001D4A68"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En 2002 et 2003, le demandeur, M. Goulet, acquiert, pour une somme inférieure à leur valeur nominale, des billets et effets de commerce.  Ces titres de créance ne portent pas intérêt, mais précisent le taux de rendement à échéance.  En 2003, les titres sont rachetés par leurs émetteurs, qui sont des sociétés commerciales ayant recours à ce mode de financement. </w:t>
            </w:r>
          </w:p>
          <w:p w:rsidR="00D84A52" w:rsidRPr="001D4A68" w:rsidRDefault="00D84A52" w:rsidP="00EA4658">
            <w:pPr>
              <w:jc w:val="both"/>
              <w:rPr>
                <w:rFonts w:eastAsia="Calibri"/>
                <w:sz w:val="20"/>
                <w:szCs w:val="20"/>
                <w:lang w:val="fr-CA"/>
              </w:rPr>
            </w:pPr>
          </w:p>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Dans sa déclaration de revenus pour l’année 2003, M. Goulet traite la différence entre le prix de rachat des titres et le coût d’acquisition (soit l’escompte de 30 164 $) comme un gain en capital.  Le ministre du Revenu national juge plutôt qu’en vertu des par. 12(4) et (9) de la </w:t>
            </w:r>
            <w:r w:rsidRPr="001D4A68">
              <w:rPr>
                <w:rFonts w:eastAsia="Calibri"/>
                <w:i/>
                <w:sz w:val="20"/>
                <w:szCs w:val="20"/>
                <w:lang w:val="fr-CA"/>
              </w:rPr>
              <w:t>Loi de l’impôt sur le Revenu</w:t>
            </w:r>
            <w:r w:rsidRPr="001D4A68">
              <w:rPr>
                <w:rFonts w:eastAsia="Calibri"/>
                <w:sz w:val="20"/>
                <w:szCs w:val="20"/>
                <w:lang w:val="fr-CA"/>
              </w:rPr>
              <w:t xml:space="preserve"> et des par. 7000(1) et (2) du </w:t>
            </w:r>
            <w:r w:rsidRPr="001D4A68">
              <w:rPr>
                <w:rFonts w:eastAsia="Calibri"/>
                <w:i/>
                <w:sz w:val="20"/>
                <w:szCs w:val="20"/>
                <w:lang w:val="fr-CA"/>
              </w:rPr>
              <w:t>Règlement de l’impôt sur le Revenu</w:t>
            </w:r>
            <w:r w:rsidRPr="001D4A68">
              <w:rPr>
                <w:rFonts w:eastAsia="Calibri"/>
                <w:sz w:val="20"/>
                <w:szCs w:val="20"/>
                <w:lang w:val="fr-CA"/>
              </w:rPr>
              <w:t xml:space="preserve">, il s’agit d’un revenu en intérêts, et émet un avis de cotisation en conséquence. </w:t>
            </w:r>
          </w:p>
          <w:p w:rsidR="00D84A52" w:rsidRPr="001D4A68" w:rsidRDefault="00D84A52" w:rsidP="00EA4658">
            <w:pPr>
              <w:jc w:val="both"/>
              <w:rPr>
                <w:rFonts w:eastAsia="Calibri"/>
                <w:sz w:val="20"/>
                <w:szCs w:val="20"/>
                <w:lang w:val="fr-CA"/>
              </w:rPr>
            </w:pPr>
          </w:p>
          <w:p w:rsidR="00D84A52" w:rsidRPr="001D4A68" w:rsidRDefault="00D84A52" w:rsidP="00EA4658">
            <w:pPr>
              <w:jc w:val="both"/>
              <w:rPr>
                <w:rFonts w:eastAsia="Calibri"/>
                <w:sz w:val="20"/>
                <w:szCs w:val="20"/>
                <w:lang w:val="fr-CA"/>
              </w:rPr>
            </w:pPr>
            <w:r w:rsidRPr="001D4A68">
              <w:rPr>
                <w:rFonts w:eastAsia="Calibri"/>
                <w:sz w:val="20"/>
                <w:szCs w:val="20"/>
                <w:lang w:val="fr-CA"/>
              </w:rPr>
              <w:t>La Cour canadienne de l’impôt rejette l’appel de M. Goulet et confirme la nouvelle cotisation. La Cour d’appel fédérale rejette l’appel.</w:t>
            </w:r>
          </w:p>
          <w:p w:rsidR="00D84A52" w:rsidRPr="001D4A68" w:rsidRDefault="00D84A52" w:rsidP="00EA4658">
            <w:pPr>
              <w:jc w:val="both"/>
              <w:rPr>
                <w:rFonts w:eastAsia="Calibri"/>
                <w:sz w:val="20"/>
                <w:szCs w:val="20"/>
                <w:lang w:val="fr-CA"/>
              </w:rPr>
            </w:pPr>
          </w:p>
        </w:tc>
      </w:tr>
      <w:tr w:rsidR="00D84A52" w:rsidRPr="004061E0"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Le 19 mai 2009</w:t>
            </w:r>
          </w:p>
          <w:p w:rsidR="00D84A52" w:rsidRPr="001D4A68" w:rsidRDefault="00D84A52" w:rsidP="00EA4658">
            <w:pPr>
              <w:jc w:val="both"/>
              <w:rPr>
                <w:rFonts w:eastAsia="Calibri"/>
                <w:sz w:val="20"/>
                <w:szCs w:val="20"/>
                <w:lang w:val="fr-CA"/>
              </w:rPr>
            </w:pPr>
            <w:r w:rsidRPr="001D4A68">
              <w:rPr>
                <w:rFonts w:eastAsia="Calibri"/>
                <w:sz w:val="20"/>
                <w:szCs w:val="20"/>
                <w:lang w:val="fr-CA"/>
              </w:rPr>
              <w:t>Cour canadienne de l’impôt</w:t>
            </w:r>
          </w:p>
          <w:p w:rsidR="00D84A52" w:rsidRPr="001D4A68" w:rsidRDefault="00D84A52" w:rsidP="00EA4658">
            <w:pPr>
              <w:jc w:val="both"/>
              <w:rPr>
                <w:rFonts w:eastAsia="Calibri"/>
                <w:sz w:val="20"/>
                <w:szCs w:val="20"/>
                <w:lang w:val="fr-CA"/>
              </w:rPr>
            </w:pPr>
            <w:r w:rsidRPr="001D4A68">
              <w:rPr>
                <w:rFonts w:eastAsia="Calibri"/>
                <w:sz w:val="20"/>
                <w:szCs w:val="20"/>
                <w:lang w:val="fr-CA"/>
              </w:rPr>
              <w:t>(Le juge Bédard)</w:t>
            </w:r>
          </w:p>
          <w:p w:rsidR="00D84A52" w:rsidRPr="001D4A68" w:rsidRDefault="00D84A52" w:rsidP="00EA4658">
            <w:pPr>
              <w:jc w:val="both"/>
              <w:rPr>
                <w:rFonts w:eastAsia="Calibri"/>
                <w:sz w:val="20"/>
                <w:szCs w:val="20"/>
                <w:lang w:val="fr-CA"/>
              </w:rPr>
            </w:pPr>
            <w:r w:rsidRPr="001D4A68">
              <w:rPr>
                <w:rFonts w:eastAsia="Calibri"/>
                <w:sz w:val="20"/>
                <w:szCs w:val="20"/>
                <w:lang w:val="fr-CA"/>
              </w:rPr>
              <w:t>2009 CCI 127</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Appel à l’encontre d’un avis de cotisation rejeté</w:t>
            </w:r>
          </w:p>
          <w:p w:rsidR="00D84A52" w:rsidRPr="001D4A68" w:rsidRDefault="00D84A52" w:rsidP="00EA4658">
            <w:pPr>
              <w:jc w:val="both"/>
              <w:rPr>
                <w:rFonts w:eastAsia="Calibri"/>
                <w:sz w:val="20"/>
                <w:szCs w:val="20"/>
                <w:lang w:val="fr-CA"/>
              </w:rPr>
            </w:pP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Le 10 mai 2011</w:t>
            </w:r>
          </w:p>
          <w:p w:rsidR="00D84A52" w:rsidRPr="001D4A68" w:rsidRDefault="00D84A52" w:rsidP="00EA4658">
            <w:pPr>
              <w:jc w:val="both"/>
              <w:rPr>
                <w:rFonts w:eastAsia="Calibri"/>
                <w:sz w:val="20"/>
                <w:szCs w:val="20"/>
                <w:lang w:val="fr-CA"/>
              </w:rPr>
            </w:pPr>
            <w:r w:rsidRPr="001D4A68">
              <w:rPr>
                <w:rFonts w:eastAsia="Calibri"/>
                <w:sz w:val="20"/>
                <w:szCs w:val="20"/>
                <w:lang w:val="fr-CA"/>
              </w:rPr>
              <w:t>Cour d’appel fédérale</w:t>
            </w:r>
          </w:p>
          <w:p w:rsidR="00D84A52" w:rsidRPr="001D4A68" w:rsidRDefault="00D84A52" w:rsidP="00EA4658">
            <w:pPr>
              <w:jc w:val="both"/>
              <w:rPr>
                <w:rFonts w:eastAsia="Calibri"/>
                <w:sz w:val="20"/>
                <w:szCs w:val="20"/>
                <w:lang w:val="fr-CA"/>
              </w:rPr>
            </w:pPr>
            <w:r w:rsidRPr="001D4A68">
              <w:rPr>
                <w:rFonts w:eastAsia="Calibri"/>
                <w:sz w:val="20"/>
                <w:szCs w:val="20"/>
                <w:lang w:val="fr-CA"/>
              </w:rPr>
              <w:t>(Les juges Létourneau, Pelletier et Trudel)</w:t>
            </w:r>
          </w:p>
          <w:p w:rsidR="00D84A52" w:rsidRPr="001D4A68" w:rsidRDefault="00D84A52" w:rsidP="00EA4658">
            <w:pPr>
              <w:jc w:val="both"/>
              <w:rPr>
                <w:rFonts w:eastAsia="Calibri"/>
                <w:sz w:val="20"/>
                <w:szCs w:val="20"/>
                <w:lang w:val="fr-CA"/>
              </w:rPr>
            </w:pPr>
            <w:r w:rsidRPr="001D4A68">
              <w:rPr>
                <w:rFonts w:eastAsia="Calibri"/>
                <w:sz w:val="20"/>
                <w:szCs w:val="20"/>
                <w:lang w:val="fr-CA"/>
              </w:rPr>
              <w:t>2011 CAF 164</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Appel rejeté</w:t>
            </w:r>
          </w:p>
          <w:p w:rsidR="00D84A52" w:rsidRPr="001D4A68" w:rsidRDefault="00D84A52" w:rsidP="00EA4658">
            <w:pPr>
              <w:jc w:val="both"/>
              <w:rPr>
                <w:rFonts w:eastAsia="Calibri"/>
                <w:sz w:val="20"/>
                <w:szCs w:val="20"/>
                <w:lang w:val="fr-CA"/>
              </w:rPr>
            </w:pP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Le 9 août 2011</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suprême du Canada</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Demande d'autorisation d'appel déposée</w:t>
            </w:r>
          </w:p>
          <w:p w:rsidR="00D84A52" w:rsidRPr="001D4A68" w:rsidRDefault="00D84A52" w:rsidP="00EA4658">
            <w:pPr>
              <w:jc w:val="both"/>
              <w:rPr>
                <w:rFonts w:eastAsia="Calibri"/>
                <w:sz w:val="20"/>
                <w:szCs w:val="20"/>
                <w:lang w:val="fr-CA"/>
              </w:rPr>
            </w:pPr>
          </w:p>
        </w:tc>
      </w:tr>
      <w:tr w:rsidR="00D84A52" w:rsidRPr="004061E0"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Le 6 septembre 2011 </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suprême du Canada</w:t>
            </w: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Requête en prorogation du délai de signification d’une demande d’autorisation d’appel déposée</w:t>
            </w: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55"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253DF2" w:rsidRPr="00253DF2" w:rsidTr="000202E0">
        <w:trPr>
          <w:cantSplit/>
        </w:trPr>
        <w:tc>
          <w:tcPr>
            <w:tcW w:w="1458" w:type="dxa"/>
          </w:tcPr>
          <w:p w:rsidR="00253DF2" w:rsidRPr="0080601F" w:rsidRDefault="00253DF2" w:rsidP="000202E0">
            <w:pPr>
              <w:rPr>
                <w:sz w:val="20"/>
                <w:szCs w:val="20"/>
              </w:rPr>
            </w:pPr>
            <w:r w:rsidRPr="0080601F">
              <w:rPr>
                <w:rStyle w:val="SCCFileNumberChar"/>
                <w:sz w:val="20"/>
                <w:szCs w:val="20"/>
              </w:rPr>
              <w:t>34401</w:t>
            </w:r>
          </w:p>
          <w:p w:rsidR="00253DF2" w:rsidRPr="0080601F" w:rsidRDefault="00253DF2" w:rsidP="000202E0">
            <w:pPr>
              <w:rPr>
                <w:b/>
                <w:sz w:val="20"/>
                <w:szCs w:val="20"/>
                <w:lang w:val="fr-CA"/>
              </w:rPr>
            </w:pPr>
          </w:p>
        </w:tc>
        <w:tc>
          <w:tcPr>
            <w:tcW w:w="8118" w:type="dxa"/>
          </w:tcPr>
          <w:p w:rsidR="00253DF2" w:rsidRPr="00253DF2" w:rsidRDefault="00253DF2" w:rsidP="00253DF2">
            <w:pPr>
              <w:jc w:val="both"/>
              <w:rPr>
                <w:sz w:val="20"/>
                <w:szCs w:val="20"/>
              </w:rPr>
            </w:pPr>
            <w:r w:rsidRPr="00253DF2">
              <w:rPr>
                <w:rStyle w:val="SCCLsocChar"/>
                <w:sz w:val="20"/>
                <w:szCs w:val="20"/>
              </w:rPr>
              <w:t>Nadeau Ferme Avicole Limitée / Nadeau Poultry Farm Limited v. Groupe Westco Inc., Groupe Dynaco, Coopérative Agroalimentaire and Volailles S.E.C. and Volailles Acadia Inc</w:t>
            </w:r>
            <w:proofErr w:type="gramStart"/>
            <w:r w:rsidRPr="00253DF2">
              <w:rPr>
                <w:rStyle w:val="SCCLsocChar"/>
                <w:sz w:val="20"/>
                <w:szCs w:val="20"/>
              </w:rPr>
              <w:t>./</w:t>
            </w:r>
            <w:proofErr w:type="gramEnd"/>
            <w:r w:rsidRPr="00253DF2">
              <w:rPr>
                <w:rStyle w:val="SCCLsocChar"/>
                <w:sz w:val="20"/>
                <w:szCs w:val="20"/>
              </w:rPr>
              <w:t xml:space="preserve"> </w:t>
            </w:r>
            <w:r w:rsidRPr="00253DF2">
              <w:rPr>
                <w:rStyle w:val="SCCLsocChar"/>
                <w:sz w:val="20"/>
                <w:szCs w:val="20"/>
                <w:lang w:val="en-CA"/>
              </w:rPr>
              <w:t>Acadia Poultry Inc.</w:t>
            </w:r>
            <w:r w:rsidRPr="00253DF2">
              <w:rPr>
                <w:sz w:val="20"/>
                <w:szCs w:val="20"/>
              </w:rPr>
              <w:t xml:space="preserve"> (F</w:t>
            </w:r>
            <w:r>
              <w:rPr>
                <w:sz w:val="20"/>
                <w:szCs w:val="20"/>
              </w:rPr>
              <w:t>.</w:t>
            </w:r>
            <w:r w:rsidRPr="00253DF2">
              <w:rPr>
                <w:sz w:val="20"/>
                <w:szCs w:val="20"/>
              </w:rPr>
              <w:t>C</w:t>
            </w:r>
            <w:r>
              <w:rPr>
                <w:sz w:val="20"/>
                <w:szCs w:val="20"/>
              </w:rPr>
              <w:t>.</w:t>
            </w:r>
            <w:r w:rsidRPr="00253DF2">
              <w:rPr>
                <w:sz w:val="20"/>
                <w:szCs w:val="20"/>
              </w:rPr>
              <w:t>) (Civil) (By Leave)</w:t>
            </w:r>
          </w:p>
          <w:p w:rsidR="00253DF2" w:rsidRPr="00253DF2" w:rsidRDefault="00253DF2" w:rsidP="000202E0">
            <w:pPr>
              <w:rPr>
                <w:sz w:val="20"/>
                <w:szCs w:val="20"/>
              </w:rPr>
            </w:pPr>
          </w:p>
        </w:tc>
      </w:tr>
      <w:tr w:rsidR="00253DF2" w:rsidRPr="0080601F" w:rsidTr="000202E0">
        <w:trPr>
          <w:cantSplit/>
        </w:trPr>
        <w:tc>
          <w:tcPr>
            <w:tcW w:w="1458" w:type="dxa"/>
          </w:tcPr>
          <w:p w:rsidR="00253DF2" w:rsidRPr="0080601F" w:rsidRDefault="00253DF2" w:rsidP="000202E0">
            <w:pPr>
              <w:rPr>
                <w:sz w:val="20"/>
                <w:szCs w:val="20"/>
              </w:rPr>
            </w:pPr>
            <w:r w:rsidRPr="0080601F">
              <w:rPr>
                <w:sz w:val="20"/>
                <w:szCs w:val="20"/>
              </w:rPr>
              <w:t>Coram :</w:t>
            </w:r>
          </w:p>
        </w:tc>
        <w:tc>
          <w:tcPr>
            <w:tcW w:w="8118" w:type="dxa"/>
          </w:tcPr>
          <w:p w:rsidR="00253DF2" w:rsidRPr="0080601F" w:rsidRDefault="00253DF2" w:rsidP="000202E0">
            <w:pPr>
              <w:rPr>
                <w:sz w:val="20"/>
                <w:szCs w:val="20"/>
              </w:rPr>
            </w:pPr>
            <w:r w:rsidRPr="0080601F">
              <w:rPr>
                <w:rStyle w:val="SCCCoramChar"/>
                <w:sz w:val="20"/>
                <w:szCs w:val="20"/>
                <w:lang w:val="en-CA"/>
              </w:rPr>
              <w:t>McLachlin C.J. and Rothstein and Moldaver JJ.</w:t>
            </w:r>
          </w:p>
          <w:p w:rsidR="00253DF2" w:rsidRPr="0080601F" w:rsidRDefault="00253DF2" w:rsidP="000202E0">
            <w:pPr>
              <w:rPr>
                <w:sz w:val="20"/>
                <w:szCs w:val="20"/>
                <w:u w:val="single"/>
              </w:rPr>
            </w:pPr>
          </w:p>
        </w:tc>
      </w:tr>
      <w:tr w:rsidR="00253DF2" w:rsidRPr="004061E0" w:rsidTr="000202E0">
        <w:trPr>
          <w:cantSplit/>
        </w:trPr>
        <w:tc>
          <w:tcPr>
            <w:tcW w:w="9576" w:type="dxa"/>
            <w:gridSpan w:val="2"/>
          </w:tcPr>
          <w:p w:rsidR="00253DF2" w:rsidRPr="0080601F" w:rsidRDefault="00253DF2" w:rsidP="000202E0">
            <w:pPr>
              <w:pStyle w:val="SCCShortJudgment"/>
              <w:rPr>
                <w:szCs w:val="20"/>
              </w:rPr>
            </w:pPr>
            <w:r w:rsidRPr="0080601F">
              <w:rPr>
                <w:szCs w:val="20"/>
              </w:rPr>
              <w:t>The application for leave to appeal from the judgment of the Federal Court of Appeal, Number A-342-09, 2011 FCA 188, dated June 2, 2011, is dismissed with costs.</w:t>
            </w:r>
          </w:p>
          <w:p w:rsidR="00253DF2" w:rsidRPr="0080601F" w:rsidRDefault="00253DF2" w:rsidP="000202E0">
            <w:pPr>
              <w:pStyle w:val="SCCShortJudgment"/>
              <w:ind w:firstLine="0"/>
              <w:rPr>
                <w:szCs w:val="20"/>
              </w:rPr>
            </w:pPr>
          </w:p>
          <w:p w:rsidR="00253DF2" w:rsidRPr="0080601F" w:rsidRDefault="00253DF2" w:rsidP="000202E0">
            <w:pPr>
              <w:pStyle w:val="SCCShortJudgment"/>
              <w:rPr>
                <w:szCs w:val="20"/>
                <w:lang w:val="fr-CA"/>
              </w:rPr>
            </w:pPr>
            <w:r w:rsidRPr="0080601F">
              <w:rPr>
                <w:szCs w:val="20"/>
                <w:lang w:val="fr-CA"/>
              </w:rPr>
              <w:t xml:space="preserve">La demande d’autorisation d’appel de l’arrêt de la Cour d’appel fédérale, numéro A-342-09, 2011 CAF 188, daté du 2 juin 2011, est rejetée avec dépens. </w:t>
            </w:r>
          </w:p>
        </w:tc>
      </w:tr>
    </w:tbl>
    <w:p w:rsidR="00D84A52" w:rsidRPr="009B58BA" w:rsidRDefault="00D84A52"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D84A52" w:rsidRPr="001D4A68" w:rsidTr="00EA4658">
        <w:tc>
          <w:tcPr>
            <w:tcW w:w="5000" w:type="pct"/>
            <w:gridSpan w:val="3"/>
          </w:tcPr>
          <w:p w:rsidR="00D84A52" w:rsidRPr="001D4A68" w:rsidRDefault="00D84A52" w:rsidP="00EA4658">
            <w:pPr>
              <w:jc w:val="both"/>
              <w:rPr>
                <w:rFonts w:eastAsia="Calibri"/>
                <w:sz w:val="20"/>
                <w:szCs w:val="20"/>
              </w:rPr>
            </w:pPr>
            <w:r w:rsidRPr="001D4A68">
              <w:rPr>
                <w:rFonts w:eastAsia="Calibri"/>
                <w:sz w:val="20"/>
                <w:szCs w:val="20"/>
              </w:rPr>
              <w:t xml:space="preserve">Competition — Administrative law — Boards and tribunals — Competition Tribunal — Poultry supply management </w:t>
            </w:r>
            <w:r w:rsidRPr="001D4A68">
              <w:rPr>
                <w:rFonts w:eastAsia="Calibri"/>
                <w:sz w:val="20"/>
                <w:szCs w:val="20"/>
              </w:rPr>
              <w:lastRenderedPageBreak/>
              <w:t xml:space="preserve">system — Respondents advising applicant that they would cease supplying it with live chickens within a matter of months — Competition Tribunal dismissing applicant's complaint that respondents' refusal to deal was a breach of s. 75 of </w:t>
            </w:r>
            <w:r w:rsidRPr="001D4A68">
              <w:rPr>
                <w:rFonts w:eastAsia="Calibri"/>
                <w:i/>
                <w:sz w:val="20"/>
                <w:szCs w:val="20"/>
              </w:rPr>
              <w:t>Competition Act</w:t>
            </w:r>
            <w:r w:rsidRPr="001D4A68">
              <w:rPr>
                <w:rFonts w:eastAsia="Calibri"/>
                <w:sz w:val="20"/>
                <w:szCs w:val="20"/>
              </w:rPr>
              <w:t xml:space="preserve"> — How </w:t>
            </w:r>
            <w:r w:rsidRPr="001D4A68">
              <w:rPr>
                <w:rFonts w:eastAsia="Calibri"/>
                <w:i/>
                <w:sz w:val="20"/>
                <w:szCs w:val="20"/>
              </w:rPr>
              <w:t>Competition Act</w:t>
            </w:r>
            <w:r w:rsidRPr="001D4A68">
              <w:rPr>
                <w:rFonts w:eastAsia="Calibri"/>
                <w:sz w:val="20"/>
                <w:szCs w:val="20"/>
              </w:rPr>
              <w:t xml:space="preserve"> and legislation creating and implementing national supply management system should be reconciled</w:t>
            </w:r>
            <w:r w:rsidRPr="001D4A68">
              <w:rPr>
                <w:rFonts w:eastAsia="Calibri"/>
                <w:i/>
                <w:sz w:val="20"/>
                <w:szCs w:val="20"/>
              </w:rPr>
              <w:t xml:space="preserve"> </w:t>
            </w:r>
            <w:r w:rsidRPr="001D4A68">
              <w:rPr>
                <w:rFonts w:eastAsia="Calibri"/>
                <w:sz w:val="20"/>
                <w:szCs w:val="20"/>
              </w:rPr>
              <w:t>— Whether applicability of an amendment to a Regulation is a “question of fact” or a “question of law” — Proper legal test for causation under s. 75(1)(b) of Act</w:t>
            </w:r>
            <w:r w:rsidRPr="001D4A68">
              <w:rPr>
                <w:rFonts w:eastAsia="Calibri"/>
                <w:i/>
                <w:sz w:val="20"/>
                <w:szCs w:val="20"/>
              </w:rPr>
              <w:t xml:space="preserve"> — Competition Act</w:t>
            </w:r>
            <w:r w:rsidRPr="001D4A68">
              <w:rPr>
                <w:rFonts w:eastAsia="Calibri"/>
                <w:sz w:val="20"/>
                <w:szCs w:val="20"/>
              </w:rPr>
              <w:t>, R.S.C. 1985, c. C</w:t>
            </w:r>
            <w:r w:rsidRPr="001D4A68">
              <w:rPr>
                <w:rFonts w:eastAsia="Calibri"/>
                <w:sz w:val="20"/>
                <w:szCs w:val="20"/>
              </w:rPr>
              <w:noBreakHyphen/>
              <w:t>34, s. 75.</w:t>
            </w:r>
          </w:p>
        </w:tc>
      </w:tr>
      <w:tr w:rsidR="00D84A52" w:rsidRPr="001D4A68" w:rsidTr="00EA4658">
        <w:tc>
          <w:tcPr>
            <w:tcW w:w="5000" w:type="pct"/>
            <w:gridSpan w:val="3"/>
          </w:tcPr>
          <w:p w:rsidR="00D84A52" w:rsidRPr="001D4A68" w:rsidRDefault="00D84A52" w:rsidP="00EA4658">
            <w:pPr>
              <w:jc w:val="both"/>
              <w:rPr>
                <w:rFonts w:eastAsia="Calibri"/>
                <w:sz w:val="20"/>
                <w:szCs w:val="20"/>
              </w:rPr>
            </w:pPr>
          </w:p>
        </w:tc>
      </w:tr>
      <w:tr w:rsidR="00D84A52" w:rsidRPr="001D4A68" w:rsidTr="00EA4658">
        <w:tc>
          <w:tcPr>
            <w:tcW w:w="5000" w:type="pct"/>
            <w:gridSpan w:val="3"/>
          </w:tcPr>
          <w:p w:rsidR="00D84A52" w:rsidRPr="001D4A68" w:rsidRDefault="00D84A52" w:rsidP="00EA4658">
            <w:pPr>
              <w:jc w:val="both"/>
              <w:rPr>
                <w:rFonts w:eastAsia="Calibri"/>
                <w:sz w:val="20"/>
                <w:szCs w:val="20"/>
              </w:rPr>
            </w:pPr>
            <w:r w:rsidRPr="001D4A68">
              <w:rPr>
                <w:rFonts w:eastAsia="Calibri"/>
                <w:sz w:val="20"/>
                <w:szCs w:val="20"/>
              </w:rPr>
              <w:t xml:space="preserve">Between January and September 2008, each of the respondents advised the applicant, whose business consists of slaughtering chickens, that they would cease supplying it with live chickens within a matter of months.  The respondents' collective action, if carried into effect, would deprive the applicant of approximately 50% of its supply of live chickens.  The applicant commenced a private prosecution under s. 75 of the </w:t>
            </w:r>
            <w:r w:rsidRPr="001D4A68">
              <w:rPr>
                <w:rFonts w:eastAsia="Calibri"/>
                <w:i/>
                <w:sz w:val="20"/>
                <w:szCs w:val="20"/>
              </w:rPr>
              <w:t>Competition Act</w:t>
            </w:r>
            <w:r w:rsidRPr="001D4A68">
              <w:rPr>
                <w:rFonts w:eastAsia="Calibri"/>
                <w:sz w:val="20"/>
                <w:szCs w:val="20"/>
              </w:rPr>
              <w:t>, which makes a refusal to deal a reviewable practice under certain conditions.  The Tribunal dismissed the applicant's complaint that the respondents' refusal to deal was a breach of s. 75 of the Act.  The Federal Court of Appeal dismissed the applicant’s appeal of that decision.</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June 8, 2009</w:t>
            </w:r>
          </w:p>
          <w:p w:rsidR="00D84A52" w:rsidRPr="001D4A68" w:rsidRDefault="00D84A52" w:rsidP="00EA4658">
            <w:pPr>
              <w:jc w:val="both"/>
              <w:rPr>
                <w:rFonts w:eastAsia="Calibri"/>
                <w:sz w:val="20"/>
                <w:szCs w:val="20"/>
                <w:lang w:val="fr-CA"/>
              </w:rPr>
            </w:pPr>
            <w:r w:rsidRPr="001D4A68">
              <w:rPr>
                <w:rFonts w:eastAsia="Calibri"/>
                <w:sz w:val="20"/>
                <w:szCs w:val="20"/>
                <w:lang w:val="fr-CA"/>
              </w:rPr>
              <w:t>Competition Tribunal</w:t>
            </w:r>
          </w:p>
          <w:p w:rsidR="00D84A52" w:rsidRPr="001D4A68" w:rsidRDefault="00D84A52" w:rsidP="00EA4658">
            <w:pPr>
              <w:jc w:val="both"/>
              <w:rPr>
                <w:rFonts w:eastAsia="Calibri"/>
                <w:sz w:val="20"/>
                <w:szCs w:val="20"/>
                <w:lang w:val="fr-CA"/>
              </w:rPr>
            </w:pPr>
            <w:r w:rsidRPr="001D4A68">
              <w:rPr>
                <w:rFonts w:eastAsia="Calibri"/>
                <w:sz w:val="20"/>
                <w:szCs w:val="20"/>
                <w:lang w:val="fr-CA"/>
              </w:rPr>
              <w:t>(Blanchard J., H. Lanctôt and P.A. Gervais)</w:t>
            </w:r>
          </w:p>
          <w:p w:rsidR="00D84A52" w:rsidRPr="001D4A68" w:rsidRDefault="00D84A52" w:rsidP="00EA4658">
            <w:pPr>
              <w:jc w:val="both"/>
              <w:rPr>
                <w:rFonts w:eastAsia="Calibri"/>
                <w:sz w:val="20"/>
                <w:szCs w:val="20"/>
              </w:rPr>
            </w:pPr>
            <w:r w:rsidRPr="001D4A68">
              <w:rPr>
                <w:rFonts w:eastAsia="Calibri"/>
                <w:sz w:val="20"/>
                <w:szCs w:val="20"/>
              </w:rPr>
              <w:t>2009 Comp. Trib. 6</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Application dismissed</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June 2, 2011</w:t>
            </w:r>
          </w:p>
          <w:p w:rsidR="00D84A52" w:rsidRPr="001D4A68" w:rsidRDefault="00D84A52" w:rsidP="00EA4658">
            <w:pPr>
              <w:jc w:val="both"/>
              <w:rPr>
                <w:rFonts w:eastAsia="Calibri"/>
                <w:sz w:val="20"/>
                <w:szCs w:val="20"/>
              </w:rPr>
            </w:pPr>
            <w:r w:rsidRPr="001D4A68">
              <w:rPr>
                <w:rFonts w:eastAsia="Calibri"/>
                <w:sz w:val="20"/>
                <w:szCs w:val="20"/>
              </w:rPr>
              <w:t>Federal Court of Appeal</w:t>
            </w:r>
          </w:p>
          <w:p w:rsidR="00D84A52" w:rsidRPr="001D4A68" w:rsidRDefault="00D84A52" w:rsidP="00EA4658">
            <w:pPr>
              <w:jc w:val="both"/>
              <w:rPr>
                <w:rFonts w:eastAsia="Calibri"/>
                <w:sz w:val="20"/>
                <w:szCs w:val="20"/>
              </w:rPr>
            </w:pPr>
            <w:r w:rsidRPr="001D4A68">
              <w:rPr>
                <w:rFonts w:eastAsia="Calibri"/>
                <w:sz w:val="20"/>
                <w:szCs w:val="20"/>
              </w:rPr>
              <w:t>(Nadon, Pelletier and Trudel JJ.A.)</w:t>
            </w:r>
          </w:p>
          <w:p w:rsidR="00D84A52" w:rsidRPr="001D4A68" w:rsidRDefault="00D84A52" w:rsidP="00EA4658">
            <w:pPr>
              <w:jc w:val="both"/>
              <w:rPr>
                <w:rFonts w:eastAsia="Calibri"/>
                <w:sz w:val="20"/>
                <w:szCs w:val="20"/>
              </w:rPr>
            </w:pPr>
            <w:r w:rsidRPr="001D4A68">
              <w:rPr>
                <w:rFonts w:eastAsia="Calibri"/>
                <w:sz w:val="20"/>
                <w:szCs w:val="20"/>
              </w:rPr>
              <w:t>2011 FCA 188</w:t>
            </w:r>
          </w:p>
          <w:p w:rsidR="00D84A52" w:rsidRPr="001D4A68" w:rsidRDefault="00D84A52" w:rsidP="00EA4658">
            <w:pPr>
              <w:jc w:val="both"/>
              <w:rPr>
                <w:rFonts w:eastAsia="Calibri"/>
                <w:sz w:val="20"/>
                <w:szCs w:val="20"/>
              </w:rPr>
            </w:pP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Appeal dismissed</w:t>
            </w:r>
          </w:p>
          <w:p w:rsidR="00D84A52" w:rsidRPr="001D4A68" w:rsidRDefault="00D84A52" w:rsidP="00EA4658">
            <w:pPr>
              <w:jc w:val="both"/>
              <w:rPr>
                <w:rFonts w:eastAsia="Calibri"/>
                <w:sz w:val="20"/>
                <w:szCs w:val="20"/>
              </w:rPr>
            </w:pPr>
          </w:p>
        </w:tc>
      </w:tr>
      <w:tr w:rsidR="00D84A52" w:rsidRPr="001D4A68" w:rsidTr="00EA4658">
        <w:tc>
          <w:tcPr>
            <w:tcW w:w="2427" w:type="pct"/>
          </w:tcPr>
          <w:p w:rsidR="00D84A52" w:rsidRPr="001D4A68" w:rsidRDefault="00D84A52" w:rsidP="00EA4658">
            <w:pPr>
              <w:jc w:val="both"/>
              <w:rPr>
                <w:rFonts w:eastAsia="Calibri"/>
                <w:sz w:val="20"/>
                <w:szCs w:val="20"/>
              </w:rPr>
            </w:pPr>
            <w:r w:rsidRPr="001D4A68">
              <w:rPr>
                <w:rFonts w:eastAsia="Calibri"/>
                <w:sz w:val="20"/>
                <w:szCs w:val="20"/>
              </w:rPr>
              <w:t>August 25, 2011</w:t>
            </w:r>
          </w:p>
          <w:p w:rsidR="00D84A52" w:rsidRPr="001D4A68" w:rsidRDefault="00D84A52" w:rsidP="00EA4658">
            <w:pPr>
              <w:jc w:val="both"/>
              <w:rPr>
                <w:rFonts w:eastAsia="Calibri"/>
                <w:sz w:val="20"/>
                <w:szCs w:val="20"/>
              </w:rPr>
            </w:pPr>
            <w:r w:rsidRPr="001D4A68">
              <w:rPr>
                <w:rFonts w:eastAsia="Calibri"/>
                <w:sz w:val="20"/>
                <w:szCs w:val="20"/>
              </w:rPr>
              <w:t>Supreme Court of Canada</w:t>
            </w:r>
          </w:p>
        </w:tc>
        <w:tc>
          <w:tcPr>
            <w:tcW w:w="243" w:type="pct"/>
          </w:tcPr>
          <w:p w:rsidR="00D84A52" w:rsidRPr="001D4A68" w:rsidRDefault="00D84A52" w:rsidP="00EA4658">
            <w:pPr>
              <w:jc w:val="both"/>
              <w:rPr>
                <w:rFonts w:eastAsia="Calibri"/>
                <w:sz w:val="20"/>
                <w:szCs w:val="20"/>
              </w:rPr>
            </w:pPr>
          </w:p>
        </w:tc>
        <w:tc>
          <w:tcPr>
            <w:tcW w:w="2330" w:type="pct"/>
          </w:tcPr>
          <w:p w:rsidR="00D84A52" w:rsidRPr="001D4A68" w:rsidRDefault="00D84A52" w:rsidP="00EA4658">
            <w:pPr>
              <w:jc w:val="both"/>
              <w:rPr>
                <w:rFonts w:eastAsia="Calibri"/>
                <w:sz w:val="20"/>
                <w:szCs w:val="20"/>
              </w:rPr>
            </w:pPr>
            <w:r w:rsidRPr="001D4A68">
              <w:rPr>
                <w:rFonts w:eastAsia="Calibri"/>
                <w:sz w:val="20"/>
                <w:szCs w:val="20"/>
              </w:rPr>
              <w:t>Application for leave to appeal filed</w:t>
            </w:r>
          </w:p>
          <w:p w:rsidR="00D84A52" w:rsidRPr="001D4A68" w:rsidRDefault="00D84A52" w:rsidP="00EA4658">
            <w:pPr>
              <w:jc w:val="both"/>
              <w:rPr>
                <w:rFonts w:eastAsia="Calibri"/>
                <w:sz w:val="20"/>
                <w:szCs w:val="20"/>
              </w:rPr>
            </w:pPr>
          </w:p>
        </w:tc>
      </w:tr>
    </w:tbl>
    <w:p w:rsidR="009B58BA" w:rsidRPr="00D84A52"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56"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4"/>
        <w:gridCol w:w="463"/>
        <w:gridCol w:w="4440"/>
      </w:tblGrid>
      <w:tr w:rsidR="00D84A52" w:rsidRPr="001D4A68"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Concurrence — Droit administratif — Organismes et tribunaux administratifs — Tribunal de la concurrence — Système de la gestion de l'offre dans le secteur de la volaille — Les intimées ont avisé la demanderesse qu’elles cesseraient de l’approvisionner en poulet vivant dans les mois suivants — Le Tribunal de la concurrence a rejeté la plainte de la demanderesse selon laquelle le refus de vendre des intimées violait l’article 75 de la</w:t>
            </w:r>
            <w:r w:rsidRPr="001D4A68">
              <w:rPr>
                <w:rFonts w:eastAsia="Calibri"/>
                <w:i/>
                <w:sz w:val="20"/>
                <w:szCs w:val="20"/>
                <w:lang w:val="fr-CA"/>
              </w:rPr>
              <w:t xml:space="preserve"> Loi sur la concurrence </w:t>
            </w:r>
            <w:r w:rsidRPr="001D4A68">
              <w:rPr>
                <w:rFonts w:eastAsia="Calibri"/>
                <w:sz w:val="20"/>
                <w:szCs w:val="20"/>
                <w:lang w:val="fr-CA"/>
              </w:rPr>
              <w:t>— Comment doit</w:t>
            </w:r>
            <w:r w:rsidRPr="001D4A68">
              <w:rPr>
                <w:rFonts w:eastAsia="Calibri"/>
                <w:sz w:val="20"/>
                <w:szCs w:val="20"/>
                <w:lang w:val="fr-CA"/>
              </w:rPr>
              <w:noBreakHyphen/>
              <w:t>on concilier la</w:t>
            </w:r>
            <w:r w:rsidRPr="001D4A68">
              <w:rPr>
                <w:rFonts w:eastAsia="Calibri"/>
                <w:i/>
                <w:sz w:val="20"/>
                <w:szCs w:val="20"/>
                <w:lang w:val="fr-CA"/>
              </w:rPr>
              <w:t xml:space="preserve"> Loi sur la concurrence</w:t>
            </w:r>
            <w:r w:rsidRPr="001D4A68">
              <w:rPr>
                <w:rFonts w:eastAsia="Calibri"/>
                <w:sz w:val="20"/>
                <w:szCs w:val="20"/>
                <w:lang w:val="fr-CA"/>
              </w:rPr>
              <w:t xml:space="preserve"> et le législation créant un système national de la gestion de l'offre? — L'applicabilité d'une modification à un règlement est</w:t>
            </w:r>
            <w:r w:rsidRPr="001D4A68">
              <w:rPr>
                <w:rFonts w:eastAsia="Calibri"/>
                <w:sz w:val="20"/>
                <w:szCs w:val="20"/>
                <w:lang w:val="fr-CA"/>
              </w:rPr>
              <w:noBreakHyphen/>
              <w:t>elle une « question de fait » ou une « question de droit »? — Bon critère juridique relatif au lien de causalité aux termes de l'al. 75(1)</w:t>
            </w:r>
            <w:r w:rsidRPr="001D4A68">
              <w:rPr>
                <w:rFonts w:eastAsia="Calibri"/>
                <w:i/>
                <w:sz w:val="20"/>
                <w:szCs w:val="20"/>
                <w:lang w:val="fr-CA"/>
              </w:rPr>
              <w:t>b</w:t>
            </w:r>
            <w:r w:rsidRPr="001D4A68">
              <w:rPr>
                <w:rFonts w:eastAsia="Calibri"/>
                <w:sz w:val="20"/>
                <w:szCs w:val="20"/>
                <w:lang w:val="fr-CA"/>
              </w:rPr>
              <w:t xml:space="preserve">) de la Loi </w:t>
            </w:r>
            <w:r w:rsidRPr="001D4A68">
              <w:rPr>
                <w:rFonts w:eastAsia="Calibri"/>
                <w:i/>
                <w:sz w:val="20"/>
                <w:szCs w:val="20"/>
                <w:lang w:val="fr-CA"/>
              </w:rPr>
              <w:t>— Loi sur la concurrence</w:t>
            </w:r>
            <w:r w:rsidRPr="001D4A68">
              <w:rPr>
                <w:rFonts w:eastAsia="Calibri"/>
                <w:sz w:val="20"/>
                <w:szCs w:val="20"/>
                <w:lang w:val="fr-CA"/>
              </w:rPr>
              <w:t>, L.R.C. 1985, ch. C</w:t>
            </w:r>
            <w:r w:rsidRPr="001D4A68">
              <w:rPr>
                <w:rFonts w:eastAsia="Calibri"/>
                <w:sz w:val="20"/>
                <w:szCs w:val="20"/>
                <w:lang w:val="fr-CA"/>
              </w:rPr>
              <w:noBreakHyphen/>
              <w:t>34, art. 75.</w:t>
            </w:r>
          </w:p>
        </w:tc>
      </w:tr>
      <w:tr w:rsidR="00D84A52" w:rsidRPr="001D4A68" w:rsidTr="00EA4658">
        <w:tc>
          <w:tcPr>
            <w:tcW w:w="5000" w:type="pct"/>
            <w:gridSpan w:val="3"/>
          </w:tcPr>
          <w:p w:rsidR="00D84A52" w:rsidRPr="001D4A68" w:rsidRDefault="00D84A52" w:rsidP="00EA4658">
            <w:pPr>
              <w:jc w:val="both"/>
              <w:rPr>
                <w:rFonts w:eastAsia="Calibri"/>
                <w:sz w:val="20"/>
                <w:szCs w:val="20"/>
                <w:lang w:val="fr-CA"/>
              </w:rPr>
            </w:pPr>
          </w:p>
        </w:tc>
      </w:tr>
      <w:tr w:rsidR="00D84A52" w:rsidRPr="004061E0" w:rsidTr="00EA4658">
        <w:tc>
          <w:tcPr>
            <w:tcW w:w="5000" w:type="pct"/>
            <w:gridSpan w:val="3"/>
          </w:tcPr>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Entre janvier et septembre 2008, les intimées ont chacune avisé la demanderesse, dont l’entreprise se consacre à l’abattage des poulets, qu’elles cesseraient de l’approvisionner en poulet vivant dans les mois suivants.  L’action collective des intimées, dans la mesure où elle était exécutée, priverait la demanderesse d’environ 50 % de son approvisionnement en poulet vivant. La demanderesse a intenté une poursuite privée en vertu de l’article 75 de la </w:t>
            </w:r>
            <w:r w:rsidRPr="001D4A68">
              <w:rPr>
                <w:rFonts w:eastAsia="Calibri"/>
                <w:i/>
                <w:iCs/>
                <w:sz w:val="20"/>
                <w:szCs w:val="20"/>
                <w:lang w:val="fr-CA"/>
              </w:rPr>
              <w:t>Loi sur la concurrence</w:t>
            </w:r>
            <w:bookmarkStart w:id="1" w:name="reflex-statute-25727718"/>
            <w:bookmarkEnd w:id="1"/>
            <w:r w:rsidRPr="001D4A68">
              <w:rPr>
                <w:rFonts w:eastAsia="Calibri"/>
                <w:sz w:val="20"/>
                <w:szCs w:val="20"/>
                <w:lang w:val="fr-CA"/>
              </w:rPr>
              <w:t>, qui prévoit que le refus de vendre est susceptible d’examen dans certaines circonstances.  Le Tribunal a rejeté la plainte de la demanderesse selon laquelle le refus de vendre des intimées violait l’article 75 de la Loi.  La Cour d'appel fédérale a rejeté l'appel de cette décision interjetée par la demanderesse.</w:t>
            </w:r>
          </w:p>
          <w:p w:rsidR="00D84A52" w:rsidRPr="001D4A68" w:rsidRDefault="00D84A52" w:rsidP="00EA4658">
            <w:pPr>
              <w:jc w:val="both"/>
              <w:rPr>
                <w:rFonts w:eastAsia="Calibri"/>
                <w:sz w:val="20"/>
                <w:szCs w:val="20"/>
                <w:lang w:val="fr-CA"/>
              </w:rPr>
            </w:pPr>
          </w:p>
        </w:tc>
      </w:tr>
      <w:tr w:rsidR="00D84A52" w:rsidRPr="001D4A68" w:rsidTr="00FE2E98">
        <w:trPr>
          <w:cantSplit/>
        </w:trPr>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lastRenderedPageBreak/>
              <w:t>8 juin 2009</w:t>
            </w:r>
          </w:p>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Tribunal de la concurrence </w:t>
            </w:r>
          </w:p>
          <w:p w:rsidR="00D84A52" w:rsidRPr="001D4A68" w:rsidRDefault="00D84A52" w:rsidP="00EA4658">
            <w:pPr>
              <w:jc w:val="both"/>
              <w:rPr>
                <w:rFonts w:eastAsia="Calibri"/>
                <w:sz w:val="20"/>
                <w:szCs w:val="20"/>
                <w:lang w:val="fr-CA"/>
              </w:rPr>
            </w:pPr>
            <w:r w:rsidRPr="001D4A68">
              <w:rPr>
                <w:rFonts w:eastAsia="Calibri"/>
                <w:sz w:val="20"/>
                <w:szCs w:val="20"/>
                <w:lang w:val="fr-CA"/>
              </w:rPr>
              <w:t>(MM. Blanchard, Lanctôt et Gervais)</w:t>
            </w:r>
          </w:p>
          <w:p w:rsidR="00D84A52" w:rsidRPr="001D4A68" w:rsidRDefault="00D84A52" w:rsidP="00EA4658">
            <w:pPr>
              <w:jc w:val="both"/>
              <w:rPr>
                <w:rFonts w:eastAsia="Calibri"/>
                <w:sz w:val="20"/>
                <w:szCs w:val="20"/>
                <w:lang w:val="fr-CA"/>
              </w:rPr>
            </w:pPr>
            <w:r w:rsidRPr="001D4A68">
              <w:rPr>
                <w:rFonts w:eastAsia="Calibri"/>
                <w:sz w:val="20"/>
                <w:szCs w:val="20"/>
                <w:lang w:val="fr-CA"/>
              </w:rPr>
              <w:t>2009 Comp. Trib. 6</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Demande rejetée</w:t>
            </w:r>
          </w:p>
          <w:p w:rsidR="00D84A52" w:rsidRPr="001D4A68" w:rsidRDefault="00D84A52" w:rsidP="00EA4658">
            <w:pPr>
              <w:jc w:val="both"/>
              <w:rPr>
                <w:rFonts w:eastAsia="Calibri"/>
                <w:sz w:val="20"/>
                <w:szCs w:val="20"/>
                <w:lang w:val="fr-CA"/>
              </w:rPr>
            </w:pPr>
          </w:p>
        </w:tc>
      </w:tr>
      <w:tr w:rsidR="00D84A52" w:rsidRPr="001D4A68" w:rsidTr="00FE2E98">
        <w:trPr>
          <w:cantSplit/>
        </w:trPr>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2 juin 2011</w:t>
            </w:r>
          </w:p>
          <w:p w:rsidR="00D84A52" w:rsidRPr="001D4A68" w:rsidRDefault="00D84A52" w:rsidP="00EA4658">
            <w:pPr>
              <w:jc w:val="both"/>
              <w:rPr>
                <w:rFonts w:eastAsia="Calibri"/>
                <w:sz w:val="20"/>
                <w:szCs w:val="20"/>
                <w:lang w:val="fr-CA"/>
              </w:rPr>
            </w:pPr>
            <w:r w:rsidRPr="001D4A68">
              <w:rPr>
                <w:rFonts w:eastAsia="Calibri"/>
                <w:sz w:val="20"/>
                <w:szCs w:val="20"/>
                <w:lang w:val="fr-CA"/>
              </w:rPr>
              <w:t xml:space="preserve">Cour d'appel fédérale </w:t>
            </w:r>
          </w:p>
          <w:p w:rsidR="00D84A52" w:rsidRPr="001D4A68" w:rsidRDefault="00D84A52" w:rsidP="00EA4658">
            <w:pPr>
              <w:jc w:val="both"/>
              <w:rPr>
                <w:rFonts w:eastAsia="Calibri"/>
                <w:sz w:val="20"/>
                <w:szCs w:val="20"/>
                <w:lang w:val="fr-CA"/>
              </w:rPr>
            </w:pPr>
            <w:r w:rsidRPr="001D4A68">
              <w:rPr>
                <w:rFonts w:eastAsia="Calibri"/>
                <w:sz w:val="20"/>
                <w:szCs w:val="20"/>
                <w:lang w:val="fr-CA"/>
              </w:rPr>
              <w:t>(Juges Nadon, Pelletier et Trudel)</w:t>
            </w:r>
          </w:p>
          <w:p w:rsidR="00D84A52" w:rsidRPr="001D4A68" w:rsidRDefault="00D84A52" w:rsidP="00EA4658">
            <w:pPr>
              <w:jc w:val="both"/>
              <w:rPr>
                <w:rFonts w:eastAsia="Calibri"/>
                <w:sz w:val="20"/>
                <w:szCs w:val="20"/>
                <w:lang w:val="fr-CA"/>
              </w:rPr>
            </w:pPr>
            <w:r w:rsidRPr="001D4A68">
              <w:rPr>
                <w:rFonts w:eastAsia="Calibri"/>
                <w:sz w:val="20"/>
                <w:szCs w:val="20"/>
                <w:lang w:val="fr-CA"/>
              </w:rPr>
              <w:t>2011 FCA 188</w:t>
            </w:r>
          </w:p>
          <w:p w:rsidR="00D84A52" w:rsidRPr="001D4A68" w:rsidRDefault="00D84A52" w:rsidP="00EA4658">
            <w:pPr>
              <w:jc w:val="both"/>
              <w:rPr>
                <w:rFonts w:eastAsia="Calibri"/>
                <w:sz w:val="20"/>
                <w:szCs w:val="20"/>
                <w:lang w:val="fr-CA"/>
              </w:rPr>
            </w:pP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Appel rejeté</w:t>
            </w:r>
          </w:p>
          <w:p w:rsidR="00D84A52" w:rsidRPr="001D4A68" w:rsidRDefault="00D84A52" w:rsidP="00EA4658">
            <w:pPr>
              <w:jc w:val="both"/>
              <w:rPr>
                <w:rFonts w:eastAsia="Calibri"/>
                <w:sz w:val="20"/>
                <w:szCs w:val="20"/>
                <w:lang w:val="fr-CA"/>
              </w:rPr>
            </w:pPr>
          </w:p>
        </w:tc>
      </w:tr>
      <w:tr w:rsidR="00D84A52" w:rsidRPr="001D4A68" w:rsidTr="00FE2E98">
        <w:trPr>
          <w:cantSplit/>
        </w:trPr>
        <w:tc>
          <w:tcPr>
            <w:tcW w:w="2427"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25 août 2011</w:t>
            </w:r>
          </w:p>
          <w:p w:rsidR="00D84A52" w:rsidRPr="001D4A68" w:rsidRDefault="00D84A52" w:rsidP="00EA4658">
            <w:pPr>
              <w:jc w:val="both"/>
              <w:rPr>
                <w:rFonts w:eastAsia="Calibri"/>
                <w:sz w:val="20"/>
                <w:szCs w:val="20"/>
                <w:lang w:val="fr-CA"/>
              </w:rPr>
            </w:pPr>
            <w:r w:rsidRPr="001D4A68">
              <w:rPr>
                <w:rFonts w:eastAsia="Calibri"/>
                <w:sz w:val="20"/>
                <w:szCs w:val="20"/>
                <w:lang w:val="fr-CA"/>
              </w:rPr>
              <w:t>Cour suprême du Canada</w:t>
            </w:r>
          </w:p>
        </w:tc>
        <w:tc>
          <w:tcPr>
            <w:tcW w:w="243" w:type="pct"/>
          </w:tcPr>
          <w:p w:rsidR="00D84A52" w:rsidRPr="001D4A68" w:rsidRDefault="00D84A52" w:rsidP="00EA4658">
            <w:pPr>
              <w:jc w:val="both"/>
              <w:rPr>
                <w:rFonts w:eastAsia="Calibri"/>
                <w:sz w:val="20"/>
                <w:szCs w:val="20"/>
                <w:lang w:val="fr-CA"/>
              </w:rPr>
            </w:pPr>
          </w:p>
        </w:tc>
        <w:tc>
          <w:tcPr>
            <w:tcW w:w="2330" w:type="pct"/>
          </w:tcPr>
          <w:p w:rsidR="00D84A52" w:rsidRPr="001D4A68" w:rsidRDefault="00D84A52" w:rsidP="00EA4658">
            <w:pPr>
              <w:jc w:val="both"/>
              <w:rPr>
                <w:rFonts w:eastAsia="Calibri"/>
                <w:sz w:val="20"/>
                <w:szCs w:val="20"/>
                <w:lang w:val="fr-CA"/>
              </w:rPr>
            </w:pPr>
            <w:r w:rsidRPr="001D4A68">
              <w:rPr>
                <w:rFonts w:eastAsia="Calibri"/>
                <w:sz w:val="20"/>
                <w:szCs w:val="20"/>
                <w:lang w:val="fr-CA"/>
              </w:rPr>
              <w:t>Demande d'autorisation d'appel, déposée</w:t>
            </w:r>
          </w:p>
          <w:p w:rsidR="00D84A52" w:rsidRPr="001D4A68" w:rsidRDefault="00D84A52" w:rsidP="00EA4658">
            <w:pPr>
              <w:jc w:val="both"/>
              <w:rPr>
                <w:rFonts w:eastAsia="Calibri"/>
                <w:sz w:val="20"/>
                <w:szCs w:val="20"/>
                <w:lang w:val="fr-CA"/>
              </w:rPr>
            </w:pP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57"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70F2B" w:rsidRPr="00B70F2B" w:rsidTr="000202E0">
        <w:trPr>
          <w:cantSplit/>
        </w:trPr>
        <w:tc>
          <w:tcPr>
            <w:tcW w:w="1458" w:type="dxa"/>
          </w:tcPr>
          <w:p w:rsidR="00B70F2B" w:rsidRPr="00B70F2B" w:rsidRDefault="00B70F2B" w:rsidP="000202E0">
            <w:pPr>
              <w:rPr>
                <w:sz w:val="20"/>
                <w:szCs w:val="20"/>
              </w:rPr>
            </w:pPr>
            <w:r w:rsidRPr="00B70F2B">
              <w:rPr>
                <w:rStyle w:val="SCCFileNumberChar"/>
                <w:sz w:val="20"/>
                <w:szCs w:val="20"/>
              </w:rPr>
              <w:t>34410</w:t>
            </w:r>
          </w:p>
          <w:p w:rsidR="00B70F2B" w:rsidRPr="00B70F2B" w:rsidRDefault="00B70F2B" w:rsidP="000202E0">
            <w:pPr>
              <w:rPr>
                <w:b/>
                <w:sz w:val="20"/>
                <w:szCs w:val="20"/>
                <w:lang w:val="fr-CA"/>
              </w:rPr>
            </w:pPr>
          </w:p>
        </w:tc>
        <w:tc>
          <w:tcPr>
            <w:tcW w:w="8118" w:type="dxa"/>
          </w:tcPr>
          <w:p w:rsidR="00B70F2B" w:rsidRPr="00B70F2B" w:rsidRDefault="00B70F2B" w:rsidP="00B70F2B">
            <w:pPr>
              <w:jc w:val="both"/>
              <w:rPr>
                <w:sz w:val="20"/>
                <w:szCs w:val="20"/>
              </w:rPr>
            </w:pPr>
            <w:r w:rsidRPr="00B70F2B">
              <w:rPr>
                <w:rStyle w:val="SCCLsocChar"/>
                <w:sz w:val="20"/>
                <w:szCs w:val="20"/>
                <w:lang w:val="en-CA"/>
              </w:rPr>
              <w:t>Maria Louisa Bozzo</w:t>
            </w:r>
            <w:r>
              <w:rPr>
                <w:rStyle w:val="SCCLsocChar"/>
                <w:sz w:val="20"/>
                <w:szCs w:val="20"/>
                <w:lang w:val="en-CA"/>
              </w:rPr>
              <w:t xml:space="preserve"> and</w:t>
            </w:r>
            <w:r w:rsidRPr="00B70F2B">
              <w:rPr>
                <w:rStyle w:val="SCCLsocChar"/>
                <w:sz w:val="20"/>
                <w:szCs w:val="20"/>
                <w:lang w:val="en-CA"/>
              </w:rPr>
              <w:t xml:space="preserve"> Albert Bozzo v. Duca Financial Services Credit Union Ltd.</w:t>
            </w:r>
            <w:r w:rsidRPr="00B70F2B">
              <w:rPr>
                <w:sz w:val="20"/>
                <w:szCs w:val="20"/>
              </w:rPr>
              <w:t xml:space="preserve"> (Ont.) (Civil) (By Leave)</w:t>
            </w:r>
          </w:p>
          <w:p w:rsidR="00B70F2B" w:rsidRPr="00B70F2B" w:rsidRDefault="00B70F2B" w:rsidP="000202E0">
            <w:pPr>
              <w:rPr>
                <w:sz w:val="20"/>
                <w:szCs w:val="20"/>
              </w:rPr>
            </w:pPr>
          </w:p>
        </w:tc>
      </w:tr>
      <w:tr w:rsidR="00B70F2B" w:rsidRPr="00B70F2B" w:rsidTr="000202E0">
        <w:trPr>
          <w:cantSplit/>
        </w:trPr>
        <w:tc>
          <w:tcPr>
            <w:tcW w:w="1458" w:type="dxa"/>
          </w:tcPr>
          <w:p w:rsidR="00B70F2B" w:rsidRPr="00B70F2B" w:rsidRDefault="00B70F2B" w:rsidP="000202E0">
            <w:pPr>
              <w:rPr>
                <w:sz w:val="20"/>
                <w:szCs w:val="20"/>
              </w:rPr>
            </w:pPr>
            <w:r w:rsidRPr="00B70F2B">
              <w:rPr>
                <w:sz w:val="20"/>
                <w:szCs w:val="20"/>
              </w:rPr>
              <w:t>Coram :</w:t>
            </w:r>
          </w:p>
        </w:tc>
        <w:tc>
          <w:tcPr>
            <w:tcW w:w="8118" w:type="dxa"/>
          </w:tcPr>
          <w:p w:rsidR="00B70F2B" w:rsidRPr="00B70F2B" w:rsidRDefault="00B70F2B" w:rsidP="000202E0">
            <w:pPr>
              <w:rPr>
                <w:sz w:val="20"/>
                <w:szCs w:val="20"/>
              </w:rPr>
            </w:pPr>
            <w:r w:rsidRPr="00B70F2B">
              <w:rPr>
                <w:rStyle w:val="SCCCoramChar"/>
                <w:sz w:val="20"/>
                <w:szCs w:val="20"/>
                <w:lang w:val="en-CA"/>
              </w:rPr>
              <w:t>McLachlin C.J. and Rothstein and Moldaver JJ.</w:t>
            </w:r>
          </w:p>
          <w:p w:rsidR="00B70F2B" w:rsidRPr="00B70F2B" w:rsidRDefault="00B70F2B" w:rsidP="000202E0">
            <w:pPr>
              <w:rPr>
                <w:sz w:val="20"/>
                <w:szCs w:val="20"/>
                <w:u w:val="single"/>
              </w:rPr>
            </w:pPr>
          </w:p>
        </w:tc>
      </w:tr>
      <w:tr w:rsidR="00B70F2B" w:rsidRPr="004061E0" w:rsidTr="000202E0">
        <w:trPr>
          <w:cantSplit/>
        </w:trPr>
        <w:tc>
          <w:tcPr>
            <w:tcW w:w="9576" w:type="dxa"/>
            <w:gridSpan w:val="2"/>
          </w:tcPr>
          <w:p w:rsidR="00B70F2B" w:rsidRPr="00B70F2B" w:rsidRDefault="00B70F2B" w:rsidP="000202E0">
            <w:pPr>
              <w:pStyle w:val="SCCShortJudgment"/>
              <w:rPr>
                <w:szCs w:val="20"/>
              </w:rPr>
            </w:pPr>
            <w:r w:rsidRPr="00B70F2B">
              <w:rPr>
                <w:szCs w:val="20"/>
              </w:rPr>
              <w:t>The application for leave to appeal from the judgment of the Court of Appeal for Ontario, Number C52323, 2011 ONCA 455, dated June 2, 2011, is dismissed with costs.</w:t>
            </w:r>
          </w:p>
          <w:p w:rsidR="00B70F2B" w:rsidRPr="00B70F2B" w:rsidRDefault="00B70F2B" w:rsidP="000202E0">
            <w:pPr>
              <w:pStyle w:val="SCCShortJudgment"/>
              <w:ind w:firstLine="0"/>
              <w:rPr>
                <w:szCs w:val="20"/>
              </w:rPr>
            </w:pPr>
          </w:p>
          <w:p w:rsidR="00B70F2B" w:rsidRPr="00B70F2B" w:rsidRDefault="00B70F2B" w:rsidP="000202E0">
            <w:pPr>
              <w:pStyle w:val="SCCShortJudgment"/>
              <w:rPr>
                <w:szCs w:val="20"/>
                <w:lang w:val="fr-CA"/>
              </w:rPr>
            </w:pPr>
            <w:r w:rsidRPr="00B70F2B">
              <w:rPr>
                <w:szCs w:val="20"/>
                <w:lang w:val="fr-CA"/>
              </w:rPr>
              <w:t>La demande d’autorisation d’appel de l’arrêt de la Cour d’appel de l’Ontario, numéro C52323, 2011 ONCA 455, daté du 2 juin 2011, est rejetée avec dépens.</w:t>
            </w:r>
          </w:p>
          <w:p w:rsidR="00B70F2B" w:rsidRPr="00B70F2B" w:rsidRDefault="00B70F2B" w:rsidP="000202E0">
            <w:pPr>
              <w:rPr>
                <w:sz w:val="20"/>
                <w:szCs w:val="20"/>
                <w:lang w:val="fr-CA"/>
              </w:rPr>
            </w:pPr>
          </w:p>
        </w:tc>
      </w:tr>
    </w:tbl>
    <w:p w:rsidR="00D84A52" w:rsidRPr="009B58BA" w:rsidRDefault="00D84A52"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5"/>
        <w:gridCol w:w="476"/>
        <w:gridCol w:w="4426"/>
      </w:tblGrid>
      <w:tr w:rsidR="00EA4658" w:rsidRPr="001D4A68" w:rsidTr="00EA4658">
        <w:tc>
          <w:tcPr>
            <w:tcW w:w="5000" w:type="pct"/>
            <w:gridSpan w:val="3"/>
          </w:tcPr>
          <w:p w:rsidR="00EA4658" w:rsidRPr="001D4A68" w:rsidRDefault="00EA4658" w:rsidP="00EA4658">
            <w:pPr>
              <w:jc w:val="both"/>
              <w:rPr>
                <w:rFonts w:eastAsia="Calibri"/>
                <w:sz w:val="20"/>
                <w:szCs w:val="20"/>
              </w:rPr>
            </w:pPr>
            <w:r w:rsidRPr="001D4A68">
              <w:rPr>
                <w:rFonts w:eastAsia="Calibri"/>
                <w:sz w:val="20"/>
                <w:szCs w:val="20"/>
              </w:rPr>
              <w:t>Trusts — Express trusts — Validity of trust declaration — Applicant executing trust declaration whereby he declared that he held his shares in a certain company in trust for his wife — Respondent creditor claiming that purported trust is a sham and invalid and unenforceable — Whether retaining control of assets held in trust is determinative that a settlor does not have the requisite intention to create a trust — Whether appellate level courts can overturn a decision on a finding of fact without applying the necessary standard of review.</w:t>
            </w:r>
          </w:p>
          <w:p w:rsidR="00EA4658" w:rsidRPr="001D4A68" w:rsidRDefault="00EA4658" w:rsidP="00EA4658">
            <w:pPr>
              <w:jc w:val="both"/>
              <w:rPr>
                <w:rFonts w:eastAsia="Calibri"/>
                <w:sz w:val="20"/>
                <w:szCs w:val="20"/>
              </w:rPr>
            </w:pPr>
          </w:p>
        </w:tc>
      </w:tr>
      <w:tr w:rsidR="00EA4658" w:rsidRPr="001D4A68" w:rsidTr="00EA4658">
        <w:tc>
          <w:tcPr>
            <w:tcW w:w="5000" w:type="pct"/>
            <w:gridSpan w:val="3"/>
          </w:tcPr>
          <w:p w:rsidR="00EA4658" w:rsidRPr="001D4A68" w:rsidRDefault="00EA4658" w:rsidP="00EA4658">
            <w:pPr>
              <w:jc w:val="both"/>
              <w:rPr>
                <w:rFonts w:eastAsia="Calibri"/>
                <w:sz w:val="20"/>
                <w:szCs w:val="20"/>
              </w:rPr>
            </w:pPr>
            <w:r w:rsidRPr="001D4A68">
              <w:rPr>
                <w:rFonts w:eastAsia="Calibri"/>
                <w:sz w:val="20"/>
                <w:szCs w:val="20"/>
              </w:rPr>
              <w:t>The applicant Albert Bozzo executed a trust declaration whereby he declared that he held his shares in a certain company in trust for his wife, Maria Bozzo.  The respondent creditor commenced an action attacking the purported trust on the basis that it is a sham and invalid and unenforceable.  The trial judge dismissed the respondent’s claim.  The Court of Appeal allowed the respondent’s appeal of that decision and granted judgment in the form requested.</w:t>
            </w:r>
          </w:p>
          <w:p w:rsidR="00EA4658" w:rsidRPr="001D4A68" w:rsidRDefault="00EA4658" w:rsidP="00EA4658">
            <w:pPr>
              <w:jc w:val="both"/>
              <w:rPr>
                <w:rFonts w:eastAsia="Calibri"/>
                <w:sz w:val="20"/>
                <w:szCs w:val="20"/>
              </w:rPr>
            </w:pPr>
          </w:p>
        </w:tc>
      </w:tr>
      <w:tr w:rsidR="00EA4658" w:rsidRPr="001D4A68" w:rsidTr="00B70F2B">
        <w:trPr>
          <w:cantSplit/>
        </w:trPr>
        <w:tc>
          <w:tcPr>
            <w:tcW w:w="2427" w:type="pct"/>
          </w:tcPr>
          <w:p w:rsidR="00EA4658" w:rsidRPr="001D4A68" w:rsidRDefault="00EA4658" w:rsidP="00EA4658">
            <w:pPr>
              <w:jc w:val="both"/>
              <w:rPr>
                <w:rFonts w:eastAsia="Calibri"/>
                <w:sz w:val="20"/>
                <w:szCs w:val="20"/>
              </w:rPr>
            </w:pPr>
            <w:r w:rsidRPr="001D4A68">
              <w:rPr>
                <w:rFonts w:eastAsia="Calibri"/>
                <w:sz w:val="20"/>
                <w:szCs w:val="20"/>
              </w:rPr>
              <w:t>May 27, 2010</w:t>
            </w:r>
          </w:p>
          <w:p w:rsidR="00EA4658" w:rsidRPr="001D4A68" w:rsidRDefault="00EA4658" w:rsidP="00EA4658">
            <w:pPr>
              <w:jc w:val="both"/>
              <w:rPr>
                <w:rFonts w:eastAsia="Calibri"/>
                <w:sz w:val="20"/>
                <w:szCs w:val="20"/>
              </w:rPr>
            </w:pPr>
            <w:r w:rsidRPr="001D4A68">
              <w:rPr>
                <w:rFonts w:eastAsia="Calibri"/>
                <w:sz w:val="20"/>
                <w:szCs w:val="20"/>
              </w:rPr>
              <w:t>Ontario Superior Court of Justice</w:t>
            </w:r>
          </w:p>
          <w:p w:rsidR="00EA4658" w:rsidRPr="001D4A68" w:rsidRDefault="00EA4658" w:rsidP="00EA4658">
            <w:pPr>
              <w:jc w:val="both"/>
              <w:rPr>
                <w:rFonts w:eastAsia="Calibri"/>
                <w:sz w:val="20"/>
                <w:szCs w:val="20"/>
              </w:rPr>
            </w:pPr>
            <w:r w:rsidRPr="001D4A68">
              <w:rPr>
                <w:rFonts w:eastAsia="Calibri"/>
                <w:sz w:val="20"/>
                <w:szCs w:val="20"/>
              </w:rPr>
              <w:t>(Cumming J.)</w:t>
            </w:r>
          </w:p>
          <w:p w:rsidR="00EA4658" w:rsidRPr="001D4A68" w:rsidRDefault="00EA4658" w:rsidP="00EA4658">
            <w:pPr>
              <w:jc w:val="both"/>
              <w:rPr>
                <w:rFonts w:eastAsia="Calibri"/>
                <w:sz w:val="20"/>
                <w:szCs w:val="20"/>
              </w:rPr>
            </w:pPr>
            <w:r w:rsidRPr="001D4A68">
              <w:rPr>
                <w:rFonts w:eastAsia="Calibri"/>
                <w:sz w:val="20"/>
                <w:szCs w:val="20"/>
              </w:rPr>
              <w:t>2010 ONSC 3104</w:t>
            </w:r>
          </w:p>
          <w:p w:rsidR="00EA4658" w:rsidRPr="001D4A68" w:rsidRDefault="00EA4658" w:rsidP="00EA4658">
            <w:pPr>
              <w:jc w:val="both"/>
              <w:rPr>
                <w:rFonts w:eastAsia="Calibri"/>
                <w:sz w:val="20"/>
                <w:szCs w:val="20"/>
              </w:rPr>
            </w:pPr>
          </w:p>
        </w:tc>
        <w:tc>
          <w:tcPr>
            <w:tcW w:w="250" w:type="pct"/>
          </w:tcPr>
          <w:p w:rsidR="00EA4658" w:rsidRPr="001D4A68" w:rsidRDefault="00EA4658" w:rsidP="00EA4658">
            <w:pPr>
              <w:jc w:val="both"/>
              <w:rPr>
                <w:rFonts w:eastAsia="Calibri"/>
                <w:sz w:val="20"/>
                <w:szCs w:val="20"/>
              </w:rPr>
            </w:pPr>
          </w:p>
        </w:tc>
        <w:tc>
          <w:tcPr>
            <w:tcW w:w="2323" w:type="pct"/>
          </w:tcPr>
          <w:p w:rsidR="00EA4658" w:rsidRPr="001D4A68" w:rsidRDefault="00EA4658" w:rsidP="00EA4658">
            <w:pPr>
              <w:jc w:val="both"/>
              <w:rPr>
                <w:rFonts w:eastAsia="Calibri"/>
                <w:sz w:val="20"/>
                <w:szCs w:val="20"/>
              </w:rPr>
            </w:pPr>
            <w:r w:rsidRPr="001D4A68">
              <w:rPr>
                <w:rFonts w:eastAsia="Calibri"/>
                <w:sz w:val="20"/>
                <w:szCs w:val="20"/>
              </w:rPr>
              <w:t>Respondent’s claim dismissed</w:t>
            </w:r>
          </w:p>
          <w:p w:rsidR="00EA4658" w:rsidRPr="001D4A68" w:rsidRDefault="00EA4658" w:rsidP="00EA4658">
            <w:pPr>
              <w:jc w:val="both"/>
              <w:rPr>
                <w:rFonts w:eastAsia="Calibri"/>
                <w:sz w:val="20"/>
                <w:szCs w:val="20"/>
              </w:rPr>
            </w:pPr>
          </w:p>
        </w:tc>
      </w:tr>
      <w:tr w:rsidR="00EA4658" w:rsidRPr="001D4A68" w:rsidTr="00B70F2B">
        <w:trPr>
          <w:cantSplit/>
        </w:trPr>
        <w:tc>
          <w:tcPr>
            <w:tcW w:w="2427" w:type="pct"/>
          </w:tcPr>
          <w:p w:rsidR="00EA4658" w:rsidRPr="001D4A68" w:rsidRDefault="00EA4658" w:rsidP="00EA4658">
            <w:pPr>
              <w:jc w:val="both"/>
              <w:rPr>
                <w:rFonts w:eastAsia="Calibri"/>
                <w:sz w:val="20"/>
                <w:szCs w:val="20"/>
              </w:rPr>
            </w:pPr>
            <w:r w:rsidRPr="001D4A68">
              <w:rPr>
                <w:rFonts w:eastAsia="Calibri"/>
                <w:sz w:val="20"/>
                <w:szCs w:val="20"/>
              </w:rPr>
              <w:t>June 2, 2011</w:t>
            </w:r>
          </w:p>
          <w:p w:rsidR="00EA4658" w:rsidRPr="001D4A68" w:rsidRDefault="00EA4658" w:rsidP="00EA4658">
            <w:pPr>
              <w:jc w:val="both"/>
              <w:rPr>
                <w:rFonts w:eastAsia="Calibri"/>
                <w:sz w:val="20"/>
                <w:szCs w:val="20"/>
              </w:rPr>
            </w:pPr>
            <w:r w:rsidRPr="001D4A68">
              <w:rPr>
                <w:rFonts w:eastAsia="Calibri"/>
                <w:sz w:val="20"/>
                <w:szCs w:val="20"/>
              </w:rPr>
              <w:t>Court of Appeal for Ontario</w:t>
            </w:r>
          </w:p>
          <w:p w:rsidR="00EA4658" w:rsidRPr="001D4A68" w:rsidRDefault="00EA4658" w:rsidP="00EA4658">
            <w:pPr>
              <w:jc w:val="both"/>
              <w:rPr>
                <w:rFonts w:eastAsia="Calibri"/>
                <w:sz w:val="20"/>
                <w:szCs w:val="20"/>
              </w:rPr>
            </w:pPr>
            <w:r w:rsidRPr="001D4A68">
              <w:rPr>
                <w:rFonts w:eastAsia="Calibri"/>
                <w:sz w:val="20"/>
                <w:szCs w:val="20"/>
              </w:rPr>
              <w:t>(Winkler, Simmons and Armstrong JJ.A.)</w:t>
            </w:r>
          </w:p>
          <w:p w:rsidR="00EA4658" w:rsidRPr="001D4A68" w:rsidRDefault="00EA4658" w:rsidP="00EA4658">
            <w:pPr>
              <w:jc w:val="both"/>
              <w:rPr>
                <w:rFonts w:eastAsia="Calibri"/>
                <w:sz w:val="20"/>
                <w:szCs w:val="20"/>
              </w:rPr>
            </w:pPr>
            <w:r w:rsidRPr="001D4A68">
              <w:rPr>
                <w:rFonts w:eastAsia="Calibri"/>
                <w:sz w:val="20"/>
                <w:szCs w:val="20"/>
              </w:rPr>
              <w:t>2011 ONCA 455</w:t>
            </w:r>
          </w:p>
          <w:p w:rsidR="00EA4658" w:rsidRPr="001D4A68" w:rsidRDefault="00EA4658" w:rsidP="00EA4658">
            <w:pPr>
              <w:jc w:val="both"/>
              <w:rPr>
                <w:rFonts w:eastAsia="Calibri"/>
                <w:sz w:val="20"/>
                <w:szCs w:val="20"/>
              </w:rPr>
            </w:pPr>
          </w:p>
        </w:tc>
        <w:tc>
          <w:tcPr>
            <w:tcW w:w="250" w:type="pct"/>
          </w:tcPr>
          <w:p w:rsidR="00EA4658" w:rsidRPr="001D4A68" w:rsidRDefault="00EA4658" w:rsidP="00EA4658">
            <w:pPr>
              <w:jc w:val="both"/>
              <w:rPr>
                <w:rFonts w:eastAsia="Calibri"/>
                <w:sz w:val="20"/>
                <w:szCs w:val="20"/>
              </w:rPr>
            </w:pPr>
          </w:p>
        </w:tc>
        <w:tc>
          <w:tcPr>
            <w:tcW w:w="2323" w:type="pct"/>
          </w:tcPr>
          <w:p w:rsidR="00EA4658" w:rsidRPr="001D4A68" w:rsidRDefault="00EA4658" w:rsidP="00EA4658">
            <w:pPr>
              <w:jc w:val="both"/>
              <w:rPr>
                <w:rFonts w:eastAsia="Calibri"/>
                <w:sz w:val="20"/>
                <w:szCs w:val="20"/>
              </w:rPr>
            </w:pPr>
            <w:r w:rsidRPr="001D4A68">
              <w:rPr>
                <w:rFonts w:eastAsia="Calibri"/>
                <w:sz w:val="20"/>
                <w:szCs w:val="20"/>
              </w:rPr>
              <w:t>Appeal allowed; cross-appeal dismissed</w:t>
            </w:r>
          </w:p>
          <w:p w:rsidR="00EA4658" w:rsidRPr="001D4A68" w:rsidRDefault="00EA4658" w:rsidP="00EA4658">
            <w:pPr>
              <w:jc w:val="both"/>
              <w:rPr>
                <w:rFonts w:eastAsia="Calibri"/>
                <w:sz w:val="20"/>
                <w:szCs w:val="20"/>
              </w:rPr>
            </w:pPr>
          </w:p>
        </w:tc>
      </w:tr>
      <w:tr w:rsidR="00EA4658" w:rsidRPr="001D4A68" w:rsidTr="00B70F2B">
        <w:trPr>
          <w:cantSplit/>
        </w:trPr>
        <w:tc>
          <w:tcPr>
            <w:tcW w:w="2427" w:type="pct"/>
          </w:tcPr>
          <w:p w:rsidR="00EA4658" w:rsidRPr="001D4A68" w:rsidRDefault="00EA4658" w:rsidP="00EA4658">
            <w:pPr>
              <w:jc w:val="both"/>
              <w:rPr>
                <w:rFonts w:eastAsia="Calibri"/>
                <w:sz w:val="20"/>
                <w:szCs w:val="20"/>
              </w:rPr>
            </w:pPr>
            <w:r w:rsidRPr="001D4A68">
              <w:rPr>
                <w:rFonts w:eastAsia="Calibri"/>
                <w:sz w:val="20"/>
                <w:szCs w:val="20"/>
              </w:rPr>
              <w:lastRenderedPageBreak/>
              <w:t>August 31, 2011</w:t>
            </w:r>
          </w:p>
          <w:p w:rsidR="00EA4658" w:rsidRPr="001D4A68" w:rsidRDefault="00EA4658" w:rsidP="00EA4658">
            <w:pPr>
              <w:jc w:val="both"/>
              <w:rPr>
                <w:rFonts w:eastAsia="Calibri"/>
                <w:sz w:val="20"/>
                <w:szCs w:val="20"/>
              </w:rPr>
            </w:pPr>
            <w:r w:rsidRPr="001D4A68">
              <w:rPr>
                <w:rFonts w:eastAsia="Calibri"/>
                <w:sz w:val="20"/>
                <w:szCs w:val="20"/>
              </w:rPr>
              <w:t>Supreme Court of Canada</w:t>
            </w:r>
          </w:p>
        </w:tc>
        <w:tc>
          <w:tcPr>
            <w:tcW w:w="250" w:type="pct"/>
          </w:tcPr>
          <w:p w:rsidR="00EA4658" w:rsidRPr="001D4A68" w:rsidRDefault="00EA4658" w:rsidP="00EA4658">
            <w:pPr>
              <w:jc w:val="both"/>
              <w:rPr>
                <w:rFonts w:eastAsia="Calibri"/>
                <w:sz w:val="20"/>
                <w:szCs w:val="20"/>
              </w:rPr>
            </w:pPr>
          </w:p>
        </w:tc>
        <w:tc>
          <w:tcPr>
            <w:tcW w:w="2323" w:type="pct"/>
          </w:tcPr>
          <w:p w:rsidR="00EA4658" w:rsidRPr="001D4A68" w:rsidRDefault="00EA4658" w:rsidP="00EA4658">
            <w:pPr>
              <w:jc w:val="both"/>
              <w:rPr>
                <w:rFonts w:eastAsia="Calibri"/>
                <w:sz w:val="20"/>
                <w:szCs w:val="20"/>
              </w:rPr>
            </w:pPr>
            <w:r w:rsidRPr="001D4A68">
              <w:rPr>
                <w:rFonts w:eastAsia="Calibri"/>
                <w:sz w:val="20"/>
                <w:szCs w:val="20"/>
              </w:rPr>
              <w:t>Application for leave to appeal filed</w:t>
            </w:r>
          </w:p>
          <w:p w:rsidR="00EA4658" w:rsidRPr="001D4A68" w:rsidRDefault="00EA4658" w:rsidP="00EA4658">
            <w:pPr>
              <w:jc w:val="both"/>
              <w:rPr>
                <w:rFonts w:eastAsia="Calibri"/>
                <w:sz w:val="20"/>
                <w:szCs w:val="20"/>
              </w:rPr>
            </w:pPr>
          </w:p>
        </w:tc>
      </w:tr>
    </w:tbl>
    <w:p w:rsidR="009B58BA" w:rsidRPr="00EA4658"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58"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5"/>
        <w:gridCol w:w="476"/>
        <w:gridCol w:w="4426"/>
      </w:tblGrid>
      <w:tr w:rsidR="00EA4658" w:rsidRPr="004061E0" w:rsidTr="00EA4658">
        <w:tc>
          <w:tcPr>
            <w:tcW w:w="5000" w:type="pct"/>
            <w:gridSpan w:val="3"/>
          </w:tcPr>
          <w:p w:rsidR="00EA4658" w:rsidRPr="001D4A68" w:rsidRDefault="00EA4658" w:rsidP="00EA4658">
            <w:pPr>
              <w:jc w:val="both"/>
              <w:rPr>
                <w:rFonts w:eastAsia="Calibri"/>
                <w:sz w:val="20"/>
                <w:szCs w:val="20"/>
                <w:lang w:val="fr-CA"/>
              </w:rPr>
            </w:pPr>
            <w:r w:rsidRPr="001D4A68">
              <w:rPr>
                <w:rFonts w:eastAsia="Calibri"/>
                <w:sz w:val="20"/>
                <w:szCs w:val="20"/>
                <w:lang w:val="fr-CA"/>
              </w:rPr>
              <w:t>Fiducies — Fiducies expresses — Validité de la déclaration de fiducie — Le demandeur a signé une déclaration de fiducie dans laquelle il a déclaré détenir ses actions dans une certaine compagnie en fiducie pour son épouse — La créancière intimée a allégué que la prétendue fiducie était un trompe</w:t>
            </w:r>
            <w:r w:rsidRPr="001D4A68">
              <w:rPr>
                <w:rFonts w:eastAsia="Calibri"/>
                <w:sz w:val="20"/>
                <w:szCs w:val="20"/>
                <w:lang w:val="fr-CA"/>
              </w:rPr>
              <w:noBreakHyphen/>
              <w:t>l’œil et qu'elle était invalide et inexécutoire — Le fait que le constituant conserve le contrôle des biens détenus en fiducie permet</w:t>
            </w:r>
            <w:r w:rsidRPr="001D4A68">
              <w:rPr>
                <w:rFonts w:eastAsia="Calibri"/>
                <w:sz w:val="20"/>
                <w:szCs w:val="20"/>
                <w:lang w:val="fr-CA"/>
              </w:rPr>
              <w:noBreakHyphen/>
              <w:t>il de conclure de façon déterminante qu'il n'avait pas l'intention nécessaire pour créer une fiducie? — Les tribunaux d'appel peuvent</w:t>
            </w:r>
            <w:r w:rsidRPr="001D4A68">
              <w:rPr>
                <w:rFonts w:eastAsia="Calibri"/>
                <w:sz w:val="20"/>
                <w:szCs w:val="20"/>
                <w:lang w:val="fr-CA"/>
              </w:rPr>
              <w:noBreakHyphen/>
              <w:t>ils infirmer une décision sur une conclusion de fait sans appliquer la norme de contrôle nécessaire?</w:t>
            </w:r>
          </w:p>
          <w:p w:rsidR="00EA4658" w:rsidRPr="001D4A68" w:rsidRDefault="00EA4658" w:rsidP="00EA4658">
            <w:pPr>
              <w:jc w:val="both"/>
              <w:rPr>
                <w:rFonts w:eastAsia="Calibri"/>
                <w:sz w:val="20"/>
                <w:szCs w:val="20"/>
                <w:lang w:val="fr-CA"/>
              </w:rPr>
            </w:pPr>
          </w:p>
        </w:tc>
      </w:tr>
      <w:tr w:rsidR="00EA4658" w:rsidRPr="004061E0" w:rsidTr="00EA4658">
        <w:tc>
          <w:tcPr>
            <w:tcW w:w="5000" w:type="pct"/>
            <w:gridSpan w:val="3"/>
          </w:tcPr>
          <w:p w:rsidR="00EA4658" w:rsidRPr="001D4A68" w:rsidRDefault="00EA4658" w:rsidP="00EA4658">
            <w:pPr>
              <w:jc w:val="both"/>
              <w:rPr>
                <w:rFonts w:eastAsia="Calibri"/>
                <w:sz w:val="20"/>
                <w:szCs w:val="20"/>
                <w:lang w:val="fr-CA"/>
              </w:rPr>
            </w:pPr>
            <w:r w:rsidRPr="001D4A68">
              <w:rPr>
                <w:rFonts w:eastAsia="Calibri"/>
                <w:sz w:val="20"/>
                <w:szCs w:val="20"/>
                <w:lang w:val="fr-CA"/>
              </w:rPr>
              <w:t>Le demandeur Albert Bozzo a signé une déclaration de fiducie dans laquelle il a déclaré  détenir ses actions dans une certaine compagnie en fiducie pour son épouse, Maria Bozzo.  La créancière intimée a intenté une action contestant la prétendue fiducie, alléguant qu'elle était un trompe</w:t>
            </w:r>
            <w:r w:rsidRPr="001D4A68">
              <w:rPr>
                <w:rFonts w:eastAsia="Calibri"/>
                <w:sz w:val="20"/>
                <w:szCs w:val="20"/>
                <w:lang w:val="fr-CA"/>
              </w:rPr>
              <w:noBreakHyphen/>
              <w:t>l’œil et qu'elle était invalide et inexécutoire.  Le juge de première instance a rejeté la demande de l'intimée.  La Cour d'appel a accueilli l'appel de l'intimée et a rendu jugement faisant droit à la demande.</w:t>
            </w:r>
          </w:p>
          <w:p w:rsidR="00EA4658" w:rsidRPr="001D4A68" w:rsidRDefault="00EA4658" w:rsidP="00EA4658">
            <w:pPr>
              <w:jc w:val="both"/>
              <w:rPr>
                <w:rFonts w:eastAsia="Calibri"/>
                <w:sz w:val="20"/>
                <w:szCs w:val="20"/>
                <w:lang w:val="fr-CA"/>
              </w:rPr>
            </w:pPr>
          </w:p>
        </w:tc>
      </w:tr>
      <w:tr w:rsidR="00EA4658" w:rsidRPr="001D4A68" w:rsidTr="00EA4658">
        <w:tc>
          <w:tcPr>
            <w:tcW w:w="2427" w:type="pct"/>
          </w:tcPr>
          <w:p w:rsidR="00EA4658" w:rsidRPr="001D4A68" w:rsidRDefault="00EA4658" w:rsidP="00EA4658">
            <w:pPr>
              <w:jc w:val="both"/>
              <w:rPr>
                <w:rFonts w:eastAsia="Calibri"/>
                <w:sz w:val="20"/>
                <w:szCs w:val="20"/>
                <w:lang w:val="fr-CA"/>
              </w:rPr>
            </w:pPr>
            <w:r w:rsidRPr="001D4A68">
              <w:rPr>
                <w:rFonts w:eastAsia="Calibri"/>
                <w:sz w:val="20"/>
                <w:szCs w:val="20"/>
                <w:lang w:val="fr-CA"/>
              </w:rPr>
              <w:t>27 mai 2010</w:t>
            </w:r>
          </w:p>
          <w:p w:rsidR="00EA4658" w:rsidRPr="001D4A68" w:rsidRDefault="00EA4658" w:rsidP="00EA4658">
            <w:pPr>
              <w:jc w:val="both"/>
              <w:rPr>
                <w:rFonts w:eastAsia="Calibri"/>
                <w:sz w:val="20"/>
                <w:szCs w:val="20"/>
                <w:lang w:val="fr-CA"/>
              </w:rPr>
            </w:pPr>
            <w:r w:rsidRPr="001D4A68">
              <w:rPr>
                <w:rFonts w:eastAsia="Calibri"/>
                <w:sz w:val="20"/>
                <w:szCs w:val="20"/>
                <w:lang w:val="fr-CA"/>
              </w:rPr>
              <w:t>Cour supérieure de justice de l'Ontario</w:t>
            </w:r>
          </w:p>
          <w:p w:rsidR="00EA4658" w:rsidRPr="001D4A68" w:rsidRDefault="00EA4658" w:rsidP="00EA4658">
            <w:pPr>
              <w:jc w:val="both"/>
              <w:rPr>
                <w:rFonts w:eastAsia="Calibri"/>
                <w:sz w:val="20"/>
                <w:szCs w:val="20"/>
                <w:lang w:val="fr-CA"/>
              </w:rPr>
            </w:pPr>
            <w:r w:rsidRPr="001D4A68">
              <w:rPr>
                <w:rFonts w:eastAsia="Calibri"/>
                <w:sz w:val="20"/>
                <w:szCs w:val="20"/>
                <w:lang w:val="fr-CA"/>
              </w:rPr>
              <w:t>(Juge Cumming)</w:t>
            </w:r>
          </w:p>
          <w:p w:rsidR="00EA4658" w:rsidRPr="001D4A68" w:rsidRDefault="00EA4658" w:rsidP="00EA4658">
            <w:pPr>
              <w:jc w:val="both"/>
              <w:rPr>
                <w:rFonts w:eastAsia="Calibri"/>
                <w:sz w:val="20"/>
                <w:szCs w:val="20"/>
                <w:lang w:val="fr-CA"/>
              </w:rPr>
            </w:pPr>
            <w:r w:rsidRPr="001D4A68">
              <w:rPr>
                <w:rFonts w:eastAsia="Calibri"/>
                <w:sz w:val="20"/>
                <w:szCs w:val="20"/>
                <w:lang w:val="fr-CA"/>
              </w:rPr>
              <w:t>2010 ONSC 3104</w:t>
            </w:r>
          </w:p>
          <w:p w:rsidR="00EA4658" w:rsidRPr="001D4A68" w:rsidRDefault="00EA4658" w:rsidP="00EA4658">
            <w:pPr>
              <w:jc w:val="both"/>
              <w:rPr>
                <w:rFonts w:eastAsia="Calibri"/>
                <w:sz w:val="20"/>
                <w:szCs w:val="20"/>
                <w:lang w:val="fr-CA"/>
              </w:rPr>
            </w:pPr>
          </w:p>
        </w:tc>
        <w:tc>
          <w:tcPr>
            <w:tcW w:w="250" w:type="pct"/>
          </w:tcPr>
          <w:p w:rsidR="00EA4658" w:rsidRPr="001D4A68" w:rsidRDefault="00EA4658" w:rsidP="00EA4658">
            <w:pPr>
              <w:jc w:val="both"/>
              <w:rPr>
                <w:rFonts w:eastAsia="Calibri"/>
                <w:sz w:val="20"/>
                <w:szCs w:val="20"/>
                <w:lang w:val="fr-CA"/>
              </w:rPr>
            </w:pPr>
          </w:p>
        </w:tc>
        <w:tc>
          <w:tcPr>
            <w:tcW w:w="2323" w:type="pct"/>
          </w:tcPr>
          <w:p w:rsidR="00EA4658" w:rsidRPr="001D4A68" w:rsidRDefault="00EA4658" w:rsidP="00EA4658">
            <w:pPr>
              <w:jc w:val="both"/>
              <w:rPr>
                <w:rFonts w:eastAsia="Calibri"/>
                <w:sz w:val="20"/>
                <w:szCs w:val="20"/>
                <w:lang w:val="fr-CA"/>
              </w:rPr>
            </w:pPr>
            <w:r w:rsidRPr="001D4A68">
              <w:rPr>
                <w:rFonts w:eastAsia="Calibri"/>
                <w:sz w:val="20"/>
                <w:szCs w:val="20"/>
                <w:lang w:val="fr-CA"/>
              </w:rPr>
              <w:t>Demande de l'intimée, rejetée</w:t>
            </w:r>
          </w:p>
          <w:p w:rsidR="00EA4658" w:rsidRPr="001D4A68" w:rsidRDefault="00EA4658" w:rsidP="00EA4658">
            <w:pPr>
              <w:jc w:val="both"/>
              <w:rPr>
                <w:rFonts w:eastAsia="Calibri"/>
                <w:sz w:val="20"/>
                <w:szCs w:val="20"/>
                <w:lang w:val="fr-CA"/>
              </w:rPr>
            </w:pPr>
          </w:p>
        </w:tc>
      </w:tr>
      <w:tr w:rsidR="00EA4658" w:rsidRPr="001D4A68" w:rsidTr="00EA4658">
        <w:tc>
          <w:tcPr>
            <w:tcW w:w="2427" w:type="pct"/>
          </w:tcPr>
          <w:p w:rsidR="00EA4658" w:rsidRPr="001D4A68" w:rsidRDefault="00EA4658" w:rsidP="00EA4658">
            <w:pPr>
              <w:jc w:val="both"/>
              <w:rPr>
                <w:rFonts w:eastAsia="Calibri"/>
                <w:sz w:val="20"/>
                <w:szCs w:val="20"/>
                <w:lang w:val="fr-CA"/>
              </w:rPr>
            </w:pPr>
            <w:r w:rsidRPr="001D4A68">
              <w:rPr>
                <w:rFonts w:eastAsia="Calibri"/>
                <w:sz w:val="20"/>
                <w:szCs w:val="20"/>
                <w:lang w:val="fr-CA"/>
              </w:rPr>
              <w:t>2 juin 2011</w:t>
            </w:r>
          </w:p>
          <w:p w:rsidR="00EA4658" w:rsidRPr="001D4A68" w:rsidRDefault="00EA4658" w:rsidP="00EA4658">
            <w:pPr>
              <w:jc w:val="both"/>
              <w:rPr>
                <w:rFonts w:eastAsia="Calibri"/>
                <w:sz w:val="20"/>
                <w:szCs w:val="20"/>
                <w:lang w:val="fr-CA"/>
              </w:rPr>
            </w:pPr>
            <w:r w:rsidRPr="001D4A68">
              <w:rPr>
                <w:rFonts w:eastAsia="Calibri"/>
                <w:sz w:val="20"/>
                <w:szCs w:val="20"/>
                <w:lang w:val="fr-CA"/>
              </w:rPr>
              <w:t xml:space="preserve">Cour d'appel de l'Ontario </w:t>
            </w:r>
          </w:p>
          <w:p w:rsidR="00EA4658" w:rsidRPr="001D4A68" w:rsidRDefault="00EA4658" w:rsidP="00EA4658">
            <w:pPr>
              <w:jc w:val="both"/>
              <w:rPr>
                <w:rFonts w:eastAsia="Calibri"/>
                <w:sz w:val="20"/>
                <w:szCs w:val="20"/>
                <w:lang w:val="fr-CA"/>
              </w:rPr>
            </w:pPr>
            <w:r w:rsidRPr="001D4A68">
              <w:rPr>
                <w:rFonts w:eastAsia="Calibri"/>
                <w:sz w:val="20"/>
                <w:szCs w:val="20"/>
                <w:lang w:val="fr-CA"/>
              </w:rPr>
              <w:t>(Juges Winkler, Simmons et Armstrong)</w:t>
            </w:r>
          </w:p>
          <w:p w:rsidR="00EA4658" w:rsidRPr="001D4A68" w:rsidRDefault="00EA4658" w:rsidP="00EA4658">
            <w:pPr>
              <w:jc w:val="both"/>
              <w:rPr>
                <w:rFonts w:eastAsia="Calibri"/>
                <w:sz w:val="20"/>
                <w:szCs w:val="20"/>
                <w:lang w:val="fr-CA"/>
              </w:rPr>
            </w:pPr>
            <w:r w:rsidRPr="001D4A68">
              <w:rPr>
                <w:rFonts w:eastAsia="Calibri"/>
                <w:sz w:val="20"/>
                <w:szCs w:val="20"/>
                <w:lang w:val="fr-CA"/>
              </w:rPr>
              <w:t>2011 ONCA 455</w:t>
            </w:r>
          </w:p>
          <w:p w:rsidR="00EA4658" w:rsidRPr="001D4A68" w:rsidRDefault="00EA4658" w:rsidP="00EA4658">
            <w:pPr>
              <w:jc w:val="both"/>
              <w:rPr>
                <w:rFonts w:eastAsia="Calibri"/>
                <w:sz w:val="20"/>
                <w:szCs w:val="20"/>
                <w:lang w:val="fr-CA"/>
              </w:rPr>
            </w:pPr>
          </w:p>
        </w:tc>
        <w:tc>
          <w:tcPr>
            <w:tcW w:w="250" w:type="pct"/>
          </w:tcPr>
          <w:p w:rsidR="00EA4658" w:rsidRPr="001D4A68" w:rsidRDefault="00EA4658" w:rsidP="00EA4658">
            <w:pPr>
              <w:jc w:val="both"/>
              <w:rPr>
                <w:rFonts w:eastAsia="Calibri"/>
                <w:sz w:val="20"/>
                <w:szCs w:val="20"/>
                <w:lang w:val="fr-CA"/>
              </w:rPr>
            </w:pPr>
          </w:p>
        </w:tc>
        <w:tc>
          <w:tcPr>
            <w:tcW w:w="2323" w:type="pct"/>
          </w:tcPr>
          <w:p w:rsidR="00EA4658" w:rsidRPr="001D4A68" w:rsidRDefault="00EA4658" w:rsidP="00EA4658">
            <w:pPr>
              <w:jc w:val="both"/>
              <w:rPr>
                <w:rFonts w:eastAsia="Calibri"/>
                <w:sz w:val="20"/>
                <w:szCs w:val="20"/>
                <w:lang w:val="fr-CA"/>
              </w:rPr>
            </w:pPr>
            <w:r w:rsidRPr="001D4A68">
              <w:rPr>
                <w:rFonts w:eastAsia="Calibri"/>
                <w:sz w:val="20"/>
                <w:szCs w:val="20"/>
                <w:lang w:val="fr-CA"/>
              </w:rPr>
              <w:t>Appel accueilli; appel incident, rejeté</w:t>
            </w:r>
          </w:p>
          <w:p w:rsidR="00EA4658" w:rsidRPr="001D4A68" w:rsidRDefault="00EA4658" w:rsidP="00EA4658">
            <w:pPr>
              <w:jc w:val="both"/>
              <w:rPr>
                <w:rFonts w:eastAsia="Calibri"/>
                <w:sz w:val="20"/>
                <w:szCs w:val="20"/>
                <w:lang w:val="fr-CA"/>
              </w:rPr>
            </w:pPr>
          </w:p>
        </w:tc>
      </w:tr>
      <w:tr w:rsidR="00EA4658" w:rsidRPr="001D4A68" w:rsidTr="00EA4658">
        <w:tc>
          <w:tcPr>
            <w:tcW w:w="2427" w:type="pct"/>
          </w:tcPr>
          <w:p w:rsidR="00EA4658" w:rsidRPr="001D4A68" w:rsidRDefault="00EA4658" w:rsidP="00EA4658">
            <w:pPr>
              <w:jc w:val="both"/>
              <w:rPr>
                <w:rFonts w:eastAsia="Calibri"/>
                <w:sz w:val="20"/>
                <w:szCs w:val="20"/>
                <w:lang w:val="fr-CA"/>
              </w:rPr>
            </w:pPr>
            <w:r w:rsidRPr="001D4A68">
              <w:rPr>
                <w:rFonts w:eastAsia="Calibri"/>
                <w:sz w:val="20"/>
                <w:szCs w:val="20"/>
                <w:lang w:val="fr-CA"/>
              </w:rPr>
              <w:t>31 août 2011</w:t>
            </w:r>
          </w:p>
          <w:p w:rsidR="00EA4658" w:rsidRPr="001D4A68" w:rsidRDefault="00EA4658" w:rsidP="00EA4658">
            <w:pPr>
              <w:jc w:val="both"/>
              <w:rPr>
                <w:rFonts w:eastAsia="Calibri"/>
                <w:sz w:val="20"/>
                <w:szCs w:val="20"/>
                <w:lang w:val="fr-CA"/>
              </w:rPr>
            </w:pPr>
            <w:r w:rsidRPr="001D4A68">
              <w:rPr>
                <w:rFonts w:eastAsia="Calibri"/>
                <w:sz w:val="20"/>
                <w:szCs w:val="20"/>
                <w:lang w:val="fr-CA"/>
              </w:rPr>
              <w:t>Cour suprême du Canada</w:t>
            </w:r>
          </w:p>
        </w:tc>
        <w:tc>
          <w:tcPr>
            <w:tcW w:w="250" w:type="pct"/>
          </w:tcPr>
          <w:p w:rsidR="00EA4658" w:rsidRPr="001D4A68" w:rsidRDefault="00EA4658" w:rsidP="00EA4658">
            <w:pPr>
              <w:jc w:val="both"/>
              <w:rPr>
                <w:rFonts w:eastAsia="Calibri"/>
                <w:sz w:val="20"/>
                <w:szCs w:val="20"/>
                <w:lang w:val="fr-CA"/>
              </w:rPr>
            </w:pPr>
          </w:p>
        </w:tc>
        <w:tc>
          <w:tcPr>
            <w:tcW w:w="2323" w:type="pct"/>
          </w:tcPr>
          <w:p w:rsidR="00EA4658" w:rsidRPr="001D4A68" w:rsidRDefault="00EA4658" w:rsidP="00EA4658">
            <w:pPr>
              <w:jc w:val="both"/>
              <w:rPr>
                <w:rFonts w:eastAsia="Calibri"/>
                <w:sz w:val="20"/>
                <w:szCs w:val="20"/>
                <w:lang w:val="fr-CA"/>
              </w:rPr>
            </w:pPr>
            <w:r w:rsidRPr="001D4A68">
              <w:rPr>
                <w:rFonts w:eastAsia="Calibri"/>
                <w:sz w:val="20"/>
                <w:szCs w:val="20"/>
                <w:lang w:val="fr-CA"/>
              </w:rPr>
              <w:t>Demande d'autorisation d'appel, déposée</w:t>
            </w:r>
          </w:p>
          <w:p w:rsidR="00EA4658" w:rsidRPr="001D4A68" w:rsidRDefault="00EA4658" w:rsidP="00EA4658">
            <w:pPr>
              <w:jc w:val="both"/>
              <w:rPr>
                <w:rFonts w:eastAsia="Calibri"/>
                <w:sz w:val="20"/>
                <w:szCs w:val="20"/>
                <w:lang w:val="fr-CA"/>
              </w:rPr>
            </w:pP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59"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70F2B" w:rsidRPr="00B70F2B" w:rsidTr="000202E0">
        <w:trPr>
          <w:cantSplit/>
        </w:trPr>
        <w:tc>
          <w:tcPr>
            <w:tcW w:w="1458" w:type="dxa"/>
          </w:tcPr>
          <w:p w:rsidR="00B70F2B" w:rsidRPr="00B70F2B" w:rsidRDefault="00B70F2B" w:rsidP="000202E0">
            <w:pPr>
              <w:rPr>
                <w:sz w:val="20"/>
                <w:szCs w:val="20"/>
              </w:rPr>
            </w:pPr>
            <w:r w:rsidRPr="00B70F2B">
              <w:rPr>
                <w:rStyle w:val="SCCFileNumberChar"/>
                <w:sz w:val="20"/>
                <w:szCs w:val="20"/>
              </w:rPr>
              <w:t>34420</w:t>
            </w:r>
          </w:p>
          <w:p w:rsidR="00B70F2B" w:rsidRPr="00B70F2B" w:rsidRDefault="00B70F2B" w:rsidP="000202E0">
            <w:pPr>
              <w:rPr>
                <w:b/>
                <w:sz w:val="20"/>
                <w:szCs w:val="20"/>
                <w:lang w:val="fr-CA"/>
              </w:rPr>
            </w:pPr>
          </w:p>
        </w:tc>
        <w:tc>
          <w:tcPr>
            <w:tcW w:w="8118" w:type="dxa"/>
          </w:tcPr>
          <w:p w:rsidR="00B70F2B" w:rsidRPr="00B70F2B" w:rsidRDefault="00B70F2B" w:rsidP="000202E0">
            <w:pPr>
              <w:rPr>
                <w:sz w:val="20"/>
                <w:szCs w:val="20"/>
              </w:rPr>
            </w:pPr>
            <w:r w:rsidRPr="00B70F2B">
              <w:rPr>
                <w:rStyle w:val="SCCLsocChar"/>
                <w:sz w:val="20"/>
                <w:szCs w:val="20"/>
                <w:lang w:val="en-CA"/>
              </w:rPr>
              <w:t>Her Majesty the Queen v. Stephen Soules</w:t>
            </w:r>
            <w:r w:rsidRPr="00B70F2B">
              <w:rPr>
                <w:sz w:val="20"/>
                <w:szCs w:val="20"/>
              </w:rPr>
              <w:t xml:space="preserve"> (Ont.) (Criminal) (By Leave)</w:t>
            </w:r>
          </w:p>
          <w:p w:rsidR="00B70F2B" w:rsidRPr="00B70F2B" w:rsidRDefault="00B70F2B" w:rsidP="000202E0">
            <w:pPr>
              <w:rPr>
                <w:sz w:val="20"/>
                <w:szCs w:val="20"/>
              </w:rPr>
            </w:pPr>
          </w:p>
        </w:tc>
      </w:tr>
      <w:tr w:rsidR="00B70F2B" w:rsidRPr="00B70F2B" w:rsidTr="000202E0">
        <w:trPr>
          <w:cantSplit/>
        </w:trPr>
        <w:tc>
          <w:tcPr>
            <w:tcW w:w="1458" w:type="dxa"/>
          </w:tcPr>
          <w:p w:rsidR="00B70F2B" w:rsidRPr="00B70F2B" w:rsidRDefault="00B70F2B" w:rsidP="000202E0">
            <w:pPr>
              <w:rPr>
                <w:sz w:val="20"/>
                <w:szCs w:val="20"/>
              </w:rPr>
            </w:pPr>
            <w:r w:rsidRPr="00B70F2B">
              <w:rPr>
                <w:sz w:val="20"/>
                <w:szCs w:val="20"/>
              </w:rPr>
              <w:t>Coram :</w:t>
            </w:r>
          </w:p>
        </w:tc>
        <w:tc>
          <w:tcPr>
            <w:tcW w:w="8118" w:type="dxa"/>
          </w:tcPr>
          <w:p w:rsidR="00B70F2B" w:rsidRPr="00B70F2B" w:rsidRDefault="00B70F2B" w:rsidP="000202E0">
            <w:pPr>
              <w:rPr>
                <w:sz w:val="20"/>
                <w:szCs w:val="20"/>
              </w:rPr>
            </w:pPr>
            <w:r w:rsidRPr="00B70F2B">
              <w:rPr>
                <w:rStyle w:val="SCCCoramChar"/>
                <w:sz w:val="20"/>
                <w:szCs w:val="20"/>
                <w:lang w:val="en-CA"/>
              </w:rPr>
              <w:t>McLachlin C.J. and Rothstein and Moldaver JJ.</w:t>
            </w:r>
          </w:p>
          <w:p w:rsidR="00B70F2B" w:rsidRPr="00B70F2B" w:rsidRDefault="00B70F2B" w:rsidP="000202E0">
            <w:pPr>
              <w:rPr>
                <w:sz w:val="20"/>
                <w:szCs w:val="20"/>
                <w:u w:val="single"/>
              </w:rPr>
            </w:pPr>
          </w:p>
        </w:tc>
      </w:tr>
      <w:tr w:rsidR="00B70F2B" w:rsidRPr="004061E0" w:rsidTr="000202E0">
        <w:trPr>
          <w:cantSplit/>
        </w:trPr>
        <w:tc>
          <w:tcPr>
            <w:tcW w:w="9576" w:type="dxa"/>
            <w:gridSpan w:val="2"/>
          </w:tcPr>
          <w:p w:rsidR="00B70F2B" w:rsidRPr="00B70F2B" w:rsidRDefault="00B70F2B" w:rsidP="000202E0">
            <w:pPr>
              <w:pStyle w:val="SCCShortJudgment"/>
              <w:rPr>
                <w:szCs w:val="20"/>
              </w:rPr>
            </w:pPr>
            <w:r w:rsidRPr="00B70F2B">
              <w:rPr>
                <w:szCs w:val="20"/>
              </w:rPr>
              <w:t>The application for leave to appeal from the judgment of the Court of Appeal for Ontario, Number C51842, 2011 ONCA 429, dated June 6, 2011, is dismissed without costs.</w:t>
            </w:r>
          </w:p>
          <w:p w:rsidR="00B70F2B" w:rsidRPr="00B70F2B" w:rsidRDefault="00B70F2B" w:rsidP="000202E0">
            <w:pPr>
              <w:pStyle w:val="SCCShortJudgment"/>
              <w:ind w:firstLine="0"/>
              <w:rPr>
                <w:szCs w:val="20"/>
              </w:rPr>
            </w:pPr>
          </w:p>
          <w:p w:rsidR="00B70F2B" w:rsidRPr="00B70F2B" w:rsidRDefault="00B70F2B" w:rsidP="000202E0">
            <w:pPr>
              <w:pStyle w:val="SCCShortJudgment"/>
              <w:rPr>
                <w:szCs w:val="20"/>
                <w:lang w:val="fr-CA"/>
              </w:rPr>
            </w:pPr>
            <w:r w:rsidRPr="00B70F2B">
              <w:rPr>
                <w:szCs w:val="20"/>
                <w:lang w:val="fr-CA"/>
              </w:rPr>
              <w:t>La demande d’autorisation d’appel de l’arrêt de la Cour d’appel de l’Ontario, numéro C51842, 2011 ONCA 429, daté du 6 juin 2011, est rejetée sans dépens.</w:t>
            </w:r>
          </w:p>
        </w:tc>
      </w:tr>
    </w:tbl>
    <w:p w:rsidR="009B58BA" w:rsidRPr="009B58BA" w:rsidRDefault="009B58BA"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9B1554" w:rsidRPr="001D4A68" w:rsidTr="009B1554">
        <w:tc>
          <w:tcPr>
            <w:tcW w:w="5000" w:type="pct"/>
            <w:gridSpan w:val="3"/>
          </w:tcPr>
          <w:p w:rsidR="009B1554" w:rsidRPr="001D4A68" w:rsidRDefault="009B1554" w:rsidP="009B1554">
            <w:pPr>
              <w:jc w:val="both"/>
              <w:rPr>
                <w:rFonts w:eastAsia="Calibri"/>
                <w:sz w:val="20"/>
              </w:rPr>
            </w:pPr>
            <w:r w:rsidRPr="001D4A68">
              <w:rPr>
                <w:rFonts w:eastAsia="Calibri"/>
                <w:i/>
                <w:sz w:val="20"/>
              </w:rPr>
              <w:t>Charter of Rights and Freedoms</w:t>
            </w:r>
            <w:r w:rsidRPr="001D4A68">
              <w:rPr>
                <w:rFonts w:eastAsia="Calibri"/>
                <w:sz w:val="20"/>
              </w:rPr>
              <w:t xml:space="preserve"> – Criminal law – Motor vehicles – Statements made by accused to officer were statutorily compelled and inadmissible pursuant to </w:t>
            </w:r>
            <w:r w:rsidRPr="001D4A68">
              <w:rPr>
                <w:rFonts w:eastAsia="Calibri"/>
                <w:i/>
                <w:sz w:val="20"/>
              </w:rPr>
              <w:t>R. v. White</w:t>
            </w:r>
            <w:r w:rsidRPr="001D4A68">
              <w:rPr>
                <w:rFonts w:eastAsia="Calibri"/>
                <w:sz w:val="20"/>
              </w:rPr>
              <w:t xml:space="preserve">, [1999] 2 S.C.R. 417 - Statements made by accused to officer under compulsion of the </w:t>
            </w:r>
            <w:r w:rsidRPr="001D4A68">
              <w:rPr>
                <w:rFonts w:eastAsia="Calibri"/>
                <w:i/>
                <w:sz w:val="20"/>
              </w:rPr>
              <w:t>Highway Traffic Act</w:t>
            </w:r>
            <w:r w:rsidRPr="001D4A68">
              <w:rPr>
                <w:rFonts w:eastAsia="Calibri"/>
                <w:sz w:val="20"/>
              </w:rPr>
              <w:t xml:space="preserve">, R.S.O. 1990, c. H.8 were inadmissible in the criminal </w:t>
            </w:r>
            <w:r w:rsidRPr="001D4A68">
              <w:rPr>
                <w:rFonts w:eastAsia="Calibri"/>
                <w:sz w:val="20"/>
              </w:rPr>
              <w:lastRenderedPageBreak/>
              <w:t xml:space="preserve">proceedings because they offended the principle against self-incrimination contained in s. 7 of the </w:t>
            </w:r>
            <w:r w:rsidRPr="001D4A68">
              <w:rPr>
                <w:rFonts w:eastAsia="Calibri"/>
                <w:i/>
                <w:sz w:val="20"/>
              </w:rPr>
              <w:t>Charter</w:t>
            </w:r>
            <w:r w:rsidRPr="001D4A68">
              <w:rPr>
                <w:rFonts w:eastAsia="Calibri"/>
                <w:sz w:val="20"/>
              </w:rPr>
              <w:t xml:space="preserve"> - Breath samples ruled inadmissible - Evidence excluded pursuant to s. 24(2) of the </w:t>
            </w:r>
            <w:r w:rsidRPr="001D4A68">
              <w:rPr>
                <w:rFonts w:eastAsia="Calibri"/>
                <w:i/>
                <w:sz w:val="20"/>
              </w:rPr>
              <w:t>Charter</w:t>
            </w:r>
            <w:r w:rsidRPr="001D4A68">
              <w:rPr>
                <w:rFonts w:eastAsia="Calibri"/>
                <w:sz w:val="20"/>
              </w:rPr>
              <w:t xml:space="preserve"> – Whether Court of Appeal erred in law – Whether there are issues of public importance raised.</w:t>
            </w:r>
          </w:p>
        </w:tc>
      </w:tr>
      <w:tr w:rsidR="009B1554" w:rsidRPr="001D4A68" w:rsidTr="009B1554">
        <w:tc>
          <w:tcPr>
            <w:tcW w:w="5000" w:type="pct"/>
            <w:gridSpan w:val="3"/>
          </w:tcPr>
          <w:p w:rsidR="009B1554" w:rsidRPr="001D4A68" w:rsidRDefault="009B1554" w:rsidP="009B1554">
            <w:pPr>
              <w:jc w:val="both"/>
              <w:rPr>
                <w:rFonts w:eastAsia="Calibri"/>
                <w:sz w:val="20"/>
              </w:rPr>
            </w:pPr>
          </w:p>
        </w:tc>
      </w:tr>
      <w:tr w:rsidR="009B1554" w:rsidRPr="001D4A68" w:rsidTr="009B1554">
        <w:tc>
          <w:tcPr>
            <w:tcW w:w="5000" w:type="pct"/>
            <w:gridSpan w:val="3"/>
          </w:tcPr>
          <w:p w:rsidR="009B1554" w:rsidRPr="001D4A68" w:rsidRDefault="009B1554" w:rsidP="009B1554">
            <w:pPr>
              <w:jc w:val="both"/>
              <w:rPr>
                <w:rFonts w:eastAsia="Calibri"/>
                <w:sz w:val="20"/>
              </w:rPr>
            </w:pPr>
            <w:r w:rsidRPr="001D4A68">
              <w:rPr>
                <w:rFonts w:eastAsia="Calibri"/>
                <w:sz w:val="20"/>
              </w:rPr>
              <w:t xml:space="preserve">The respondent Mr. Soules was involved in a four vehicle car accident. A police officer spoke to each driver inquiring as to what had happened. In response to this questioning, Mr. Soules identified himself as the driver of his vehicle. The police officer, due to his observations, suspected that Soules had alcohol in his system. The officer made an approved screening device demand which Soules failed. He was arrested for operating a motor vehicle with more than 80 milligrams of alcohol in 100 millilitres of blood and advised of his right to counsel. Soules indicated that he understood his right to counsel, that he was from Calgary and did not know whom to call but that he did wish to speak to a lawyer. He was transported to the police station and provided two samples of his breath into an approved instrument and was charged with operating a motor vehicle having a concentration of alcohol in his blood over 80 milligrams in 100 millilitres of blood, contrary to s. 253(b) of the </w:t>
            </w:r>
            <w:r w:rsidRPr="001D4A68">
              <w:rPr>
                <w:rFonts w:eastAsia="Calibri"/>
                <w:i/>
                <w:sz w:val="20"/>
              </w:rPr>
              <w:t>Criminal Code</w:t>
            </w:r>
            <w:r w:rsidRPr="001D4A68">
              <w:rPr>
                <w:rFonts w:eastAsia="Calibri"/>
                <w:sz w:val="20"/>
              </w:rPr>
              <w:t xml:space="preserve">. The trial judge acquitted him, finding that his s. 7 and 10(b) </w:t>
            </w:r>
            <w:r w:rsidRPr="001D4A68">
              <w:rPr>
                <w:rFonts w:eastAsia="Calibri"/>
                <w:i/>
                <w:sz w:val="20"/>
              </w:rPr>
              <w:t>Charter</w:t>
            </w:r>
            <w:r w:rsidRPr="001D4A68">
              <w:rPr>
                <w:rFonts w:eastAsia="Calibri"/>
                <w:sz w:val="20"/>
              </w:rPr>
              <w:t xml:space="preserve"> rights had been violated. The summary conviction appeal judge upheld the s. 7 violation and the exclusion of the breath results under s. 24(1) of the </w:t>
            </w:r>
            <w:r w:rsidRPr="001D4A68">
              <w:rPr>
                <w:rFonts w:eastAsia="Calibri"/>
                <w:i/>
                <w:sz w:val="20"/>
              </w:rPr>
              <w:t>Charter</w:t>
            </w:r>
            <w:r w:rsidRPr="001D4A68">
              <w:rPr>
                <w:rFonts w:eastAsia="Calibri"/>
                <w:sz w:val="20"/>
              </w:rPr>
              <w:t>. The Court of Appeal dismissed the appeal.</w:t>
            </w:r>
          </w:p>
          <w:p w:rsidR="009B1554" w:rsidRPr="001D4A68" w:rsidRDefault="009B1554" w:rsidP="009B1554">
            <w:pPr>
              <w:jc w:val="both"/>
              <w:rPr>
                <w:rFonts w:eastAsia="Calibri"/>
                <w:sz w:val="20"/>
              </w:rPr>
            </w:pPr>
          </w:p>
        </w:tc>
      </w:tr>
      <w:tr w:rsidR="009B1554" w:rsidRPr="001D4A68" w:rsidTr="009B1554">
        <w:tc>
          <w:tcPr>
            <w:tcW w:w="2427" w:type="pct"/>
          </w:tcPr>
          <w:p w:rsidR="009B1554" w:rsidRPr="001D4A68" w:rsidRDefault="009B1554" w:rsidP="009B1554">
            <w:pPr>
              <w:jc w:val="both"/>
              <w:rPr>
                <w:rFonts w:eastAsia="Calibri"/>
                <w:sz w:val="20"/>
              </w:rPr>
            </w:pPr>
            <w:r w:rsidRPr="001D4A68">
              <w:rPr>
                <w:rFonts w:eastAsia="Calibri"/>
                <w:sz w:val="20"/>
              </w:rPr>
              <w:t>July 17, 2009</w:t>
            </w:r>
          </w:p>
          <w:p w:rsidR="009B1554" w:rsidRPr="001D4A68" w:rsidRDefault="009B1554" w:rsidP="009B1554">
            <w:pPr>
              <w:jc w:val="both"/>
              <w:rPr>
                <w:rFonts w:eastAsia="Calibri"/>
                <w:sz w:val="20"/>
              </w:rPr>
            </w:pPr>
            <w:r w:rsidRPr="001D4A68">
              <w:rPr>
                <w:rFonts w:eastAsia="Calibri"/>
                <w:sz w:val="20"/>
              </w:rPr>
              <w:t>Ontario Court of Justice</w:t>
            </w:r>
          </w:p>
          <w:p w:rsidR="009B1554" w:rsidRPr="001D4A68" w:rsidRDefault="009B1554" w:rsidP="009B1554">
            <w:pPr>
              <w:jc w:val="both"/>
              <w:rPr>
                <w:rFonts w:eastAsia="Calibri"/>
                <w:sz w:val="20"/>
              </w:rPr>
            </w:pPr>
            <w:r w:rsidRPr="001D4A68">
              <w:rPr>
                <w:rFonts w:eastAsia="Calibri"/>
                <w:sz w:val="20"/>
              </w:rPr>
              <w:t>(Griffin J.)</w:t>
            </w:r>
          </w:p>
          <w:p w:rsidR="009B1554" w:rsidRPr="001D4A68" w:rsidRDefault="009B1554" w:rsidP="009B1554">
            <w:pPr>
              <w:jc w:val="both"/>
              <w:rPr>
                <w:rFonts w:eastAsia="Calibri"/>
                <w:sz w:val="20"/>
              </w:rPr>
            </w:pP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i/>
                <w:sz w:val="20"/>
              </w:rPr>
            </w:pPr>
            <w:r w:rsidRPr="001D4A68">
              <w:rPr>
                <w:rFonts w:eastAsia="Calibri"/>
                <w:sz w:val="20"/>
              </w:rPr>
              <w:t xml:space="preserve">Acquittal entered; evidence of both breath samples excluded pursuant to s. 24(2) of the </w:t>
            </w:r>
            <w:r w:rsidRPr="001D4A68">
              <w:rPr>
                <w:rFonts w:eastAsia="Calibri"/>
                <w:i/>
                <w:sz w:val="20"/>
              </w:rPr>
              <w:t>Charter</w:t>
            </w:r>
          </w:p>
          <w:p w:rsidR="009B1554" w:rsidRPr="001D4A68" w:rsidRDefault="009B1554" w:rsidP="009B1554">
            <w:pPr>
              <w:jc w:val="both"/>
              <w:rPr>
                <w:rFonts w:eastAsia="Calibri"/>
                <w:sz w:val="20"/>
              </w:rPr>
            </w:pPr>
          </w:p>
        </w:tc>
      </w:tr>
      <w:tr w:rsidR="009B1554" w:rsidRPr="001D4A68" w:rsidTr="009B1554">
        <w:tc>
          <w:tcPr>
            <w:tcW w:w="2427" w:type="pct"/>
          </w:tcPr>
          <w:p w:rsidR="009B1554" w:rsidRPr="001D4A68" w:rsidRDefault="009B1554" w:rsidP="009B1554">
            <w:pPr>
              <w:jc w:val="both"/>
              <w:rPr>
                <w:rFonts w:eastAsia="Calibri"/>
                <w:sz w:val="20"/>
              </w:rPr>
            </w:pPr>
            <w:r w:rsidRPr="001D4A68">
              <w:rPr>
                <w:rFonts w:eastAsia="Calibri"/>
                <w:sz w:val="20"/>
              </w:rPr>
              <w:t>February 11, 2010</w:t>
            </w:r>
          </w:p>
          <w:p w:rsidR="009B1554" w:rsidRPr="001D4A68" w:rsidRDefault="009B1554" w:rsidP="009B1554">
            <w:pPr>
              <w:jc w:val="both"/>
              <w:rPr>
                <w:rFonts w:eastAsia="Calibri"/>
                <w:sz w:val="20"/>
              </w:rPr>
            </w:pPr>
            <w:r w:rsidRPr="001D4A68">
              <w:rPr>
                <w:rFonts w:eastAsia="Calibri"/>
                <w:sz w:val="20"/>
              </w:rPr>
              <w:t>Ontario Superior Court of Justice</w:t>
            </w:r>
          </w:p>
          <w:p w:rsidR="009B1554" w:rsidRPr="001D4A68" w:rsidRDefault="009B1554" w:rsidP="009B1554">
            <w:pPr>
              <w:jc w:val="both"/>
              <w:rPr>
                <w:rFonts w:eastAsia="Calibri"/>
                <w:sz w:val="20"/>
              </w:rPr>
            </w:pPr>
            <w:r w:rsidRPr="001D4A68">
              <w:rPr>
                <w:rFonts w:eastAsia="Calibri"/>
                <w:sz w:val="20"/>
              </w:rPr>
              <w:t>(Tausendfreund J.)</w:t>
            </w:r>
          </w:p>
          <w:p w:rsidR="009B1554" w:rsidRPr="001D4A68" w:rsidRDefault="009B1554" w:rsidP="009B1554">
            <w:pPr>
              <w:jc w:val="both"/>
              <w:rPr>
                <w:rFonts w:eastAsia="Calibri"/>
                <w:sz w:val="20"/>
              </w:rPr>
            </w:pPr>
            <w:r w:rsidRPr="001D4A68">
              <w:rPr>
                <w:rFonts w:eastAsia="Calibri"/>
                <w:sz w:val="20"/>
              </w:rPr>
              <w:t>Neutral citation: 2010 ONSC 1014</w:t>
            </w:r>
          </w:p>
          <w:p w:rsidR="009B1554" w:rsidRPr="001D4A68" w:rsidRDefault="009B1554" w:rsidP="009B1554">
            <w:pPr>
              <w:jc w:val="both"/>
              <w:rPr>
                <w:rFonts w:eastAsia="Calibri"/>
                <w:sz w:val="20"/>
              </w:rPr>
            </w:pP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sz w:val="20"/>
              </w:rPr>
            </w:pPr>
            <w:r w:rsidRPr="001D4A68">
              <w:rPr>
                <w:rFonts w:eastAsia="Calibri"/>
                <w:sz w:val="20"/>
              </w:rPr>
              <w:t>Appeal dismissed</w:t>
            </w:r>
          </w:p>
          <w:p w:rsidR="009B1554" w:rsidRPr="001D4A68" w:rsidRDefault="009B1554" w:rsidP="009B1554">
            <w:pPr>
              <w:jc w:val="both"/>
              <w:rPr>
                <w:rFonts w:eastAsia="Calibri"/>
                <w:sz w:val="20"/>
              </w:rPr>
            </w:pPr>
          </w:p>
        </w:tc>
      </w:tr>
      <w:tr w:rsidR="009B1554" w:rsidRPr="001D4A68" w:rsidTr="009B1554">
        <w:tc>
          <w:tcPr>
            <w:tcW w:w="2427" w:type="pct"/>
          </w:tcPr>
          <w:p w:rsidR="009B1554" w:rsidRPr="001D4A68" w:rsidRDefault="009B1554" w:rsidP="009B1554">
            <w:pPr>
              <w:jc w:val="both"/>
              <w:rPr>
                <w:rFonts w:eastAsia="Calibri"/>
                <w:sz w:val="20"/>
              </w:rPr>
            </w:pPr>
            <w:r w:rsidRPr="001D4A68">
              <w:rPr>
                <w:rFonts w:eastAsia="Calibri"/>
                <w:sz w:val="20"/>
              </w:rPr>
              <w:t>June 6, 2011</w:t>
            </w:r>
          </w:p>
          <w:p w:rsidR="009B1554" w:rsidRPr="001D4A68" w:rsidRDefault="009B1554" w:rsidP="009B1554">
            <w:pPr>
              <w:jc w:val="both"/>
              <w:rPr>
                <w:rFonts w:eastAsia="Calibri"/>
                <w:sz w:val="20"/>
              </w:rPr>
            </w:pPr>
            <w:r w:rsidRPr="001D4A68">
              <w:rPr>
                <w:rFonts w:eastAsia="Calibri"/>
                <w:sz w:val="20"/>
              </w:rPr>
              <w:t>Court of Appeal for Ontario</w:t>
            </w:r>
          </w:p>
          <w:p w:rsidR="009B1554" w:rsidRPr="001D4A68" w:rsidRDefault="009B1554" w:rsidP="009B1554">
            <w:pPr>
              <w:jc w:val="both"/>
              <w:rPr>
                <w:rFonts w:eastAsia="Calibri"/>
                <w:sz w:val="20"/>
              </w:rPr>
            </w:pPr>
            <w:r w:rsidRPr="001D4A68">
              <w:rPr>
                <w:rFonts w:eastAsia="Calibri"/>
                <w:sz w:val="20"/>
              </w:rPr>
              <w:t>(Sharpe, MacFarland, LaForme JJ.A.)</w:t>
            </w:r>
          </w:p>
          <w:p w:rsidR="009B1554" w:rsidRPr="001D4A68" w:rsidRDefault="009B1554" w:rsidP="009B1554">
            <w:pPr>
              <w:jc w:val="both"/>
              <w:rPr>
                <w:rFonts w:eastAsia="Calibri"/>
                <w:sz w:val="20"/>
              </w:rPr>
            </w:pPr>
            <w:r w:rsidRPr="001D4A68">
              <w:rPr>
                <w:rFonts w:eastAsia="Calibri"/>
                <w:sz w:val="20"/>
              </w:rPr>
              <w:t>Neutral citation: 2010 ONCA 429</w:t>
            </w:r>
          </w:p>
          <w:p w:rsidR="009B1554" w:rsidRPr="001D4A68" w:rsidRDefault="009B1554" w:rsidP="009B1554">
            <w:pPr>
              <w:jc w:val="both"/>
              <w:rPr>
                <w:rFonts w:eastAsia="Calibri"/>
                <w:sz w:val="20"/>
              </w:rPr>
            </w:pP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sz w:val="20"/>
              </w:rPr>
            </w:pPr>
            <w:r w:rsidRPr="001D4A68">
              <w:rPr>
                <w:rFonts w:eastAsia="Calibri"/>
                <w:sz w:val="20"/>
              </w:rPr>
              <w:t>Appeal dismissed</w:t>
            </w:r>
          </w:p>
          <w:p w:rsidR="009B1554" w:rsidRPr="001D4A68" w:rsidRDefault="009B1554" w:rsidP="009B1554">
            <w:pPr>
              <w:jc w:val="both"/>
              <w:rPr>
                <w:rFonts w:eastAsia="Calibri"/>
                <w:sz w:val="20"/>
              </w:rPr>
            </w:pPr>
          </w:p>
        </w:tc>
      </w:tr>
      <w:tr w:rsidR="009B1554" w:rsidRPr="001D4A68" w:rsidTr="009B1554">
        <w:tc>
          <w:tcPr>
            <w:tcW w:w="2427" w:type="pct"/>
          </w:tcPr>
          <w:p w:rsidR="009B1554" w:rsidRPr="001D4A68" w:rsidRDefault="009B1554" w:rsidP="009B1554">
            <w:pPr>
              <w:jc w:val="both"/>
              <w:rPr>
                <w:rFonts w:eastAsia="Calibri"/>
                <w:sz w:val="20"/>
              </w:rPr>
            </w:pPr>
            <w:r w:rsidRPr="001D4A68">
              <w:rPr>
                <w:rFonts w:eastAsia="Calibri"/>
                <w:sz w:val="20"/>
              </w:rPr>
              <w:t>September 2, 2011</w:t>
            </w:r>
          </w:p>
          <w:p w:rsidR="009B1554" w:rsidRPr="001D4A68" w:rsidRDefault="009B1554" w:rsidP="009B1554">
            <w:pPr>
              <w:jc w:val="both"/>
              <w:rPr>
                <w:rFonts w:eastAsia="Calibri"/>
                <w:sz w:val="20"/>
              </w:rPr>
            </w:pPr>
            <w:r w:rsidRPr="001D4A68">
              <w:rPr>
                <w:rFonts w:eastAsia="Calibri"/>
                <w:sz w:val="20"/>
              </w:rPr>
              <w:t>Supreme Court of Canada</w:t>
            </w: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sz w:val="20"/>
              </w:rPr>
            </w:pPr>
            <w:r w:rsidRPr="001D4A68">
              <w:rPr>
                <w:rFonts w:eastAsia="Calibri"/>
                <w:sz w:val="20"/>
              </w:rPr>
              <w:t>Application for leave to appeal filed</w:t>
            </w:r>
          </w:p>
          <w:p w:rsidR="009B1554" w:rsidRPr="001D4A68" w:rsidRDefault="009B1554" w:rsidP="009B1554">
            <w:pPr>
              <w:jc w:val="both"/>
              <w:rPr>
                <w:rFonts w:eastAsia="Calibri"/>
                <w:sz w:val="20"/>
              </w:rPr>
            </w:pPr>
          </w:p>
        </w:tc>
      </w:tr>
    </w:tbl>
    <w:p w:rsidR="009B58BA" w:rsidRPr="009B1554"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60"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4"/>
        <w:gridCol w:w="463"/>
        <w:gridCol w:w="4440"/>
      </w:tblGrid>
      <w:tr w:rsidR="009B1554" w:rsidRPr="004061E0" w:rsidTr="009B1554">
        <w:tc>
          <w:tcPr>
            <w:tcW w:w="5000" w:type="pct"/>
            <w:gridSpan w:val="3"/>
          </w:tcPr>
          <w:p w:rsidR="009B1554" w:rsidRPr="001D4A68" w:rsidRDefault="009B1554" w:rsidP="009B1554">
            <w:pPr>
              <w:jc w:val="both"/>
              <w:rPr>
                <w:rFonts w:eastAsia="Calibri"/>
                <w:sz w:val="20"/>
                <w:lang w:val="fr-CA"/>
              </w:rPr>
            </w:pPr>
            <w:r w:rsidRPr="001D4A68">
              <w:rPr>
                <w:rFonts w:eastAsia="Calibri"/>
                <w:i/>
                <w:sz w:val="20"/>
                <w:lang w:val="fr-CA"/>
              </w:rPr>
              <w:t xml:space="preserve">Charte des droits et libertés </w:t>
            </w:r>
            <w:r w:rsidRPr="001D4A68">
              <w:rPr>
                <w:rFonts w:eastAsia="Calibri"/>
                <w:sz w:val="20"/>
                <w:lang w:val="fr-CA"/>
              </w:rPr>
              <w:t xml:space="preserve">– Droit criminel – Véhicules automobiles – Les déclarations faites par l'intimé au policier étaient exigées par la loi et étaient inadmissible en vertu de l'arrêt </w:t>
            </w:r>
            <w:r w:rsidRPr="001D4A68">
              <w:rPr>
                <w:rFonts w:eastAsia="Calibri"/>
                <w:i/>
                <w:sz w:val="20"/>
                <w:lang w:val="fr-CA"/>
              </w:rPr>
              <w:t>R. c. White</w:t>
            </w:r>
            <w:r w:rsidRPr="001D4A68">
              <w:rPr>
                <w:rFonts w:eastAsia="Calibri"/>
                <w:sz w:val="20"/>
                <w:lang w:val="fr-CA"/>
              </w:rPr>
              <w:t>, [1999] 2 R.C.S. 417 – Les déclarations faites par l'accusé au policier en vertu d’une obligation imposée par le</w:t>
            </w:r>
            <w:r w:rsidRPr="001D4A68">
              <w:rPr>
                <w:rFonts w:eastAsia="Calibri"/>
                <w:i/>
                <w:sz w:val="20"/>
                <w:lang w:val="fr-CA"/>
              </w:rPr>
              <w:t xml:space="preserve"> Code de la route</w:t>
            </w:r>
            <w:r w:rsidRPr="001D4A68">
              <w:rPr>
                <w:rFonts w:eastAsia="Calibri"/>
                <w:sz w:val="20"/>
                <w:lang w:val="fr-CA"/>
              </w:rPr>
              <w:t xml:space="preserve">, L.R.O. 1990, ch. H.8 étaient inadmissibles dans la procédure criminelle parce qu'elles contrevenaient au principe interdisant l'auto-incrimination prévu à l'art. 7 de la </w:t>
            </w:r>
            <w:r w:rsidRPr="001D4A68">
              <w:rPr>
                <w:rFonts w:eastAsia="Calibri"/>
                <w:i/>
                <w:sz w:val="20"/>
                <w:lang w:val="fr-CA"/>
              </w:rPr>
              <w:t>Charte</w:t>
            </w:r>
            <w:r w:rsidRPr="001D4A68">
              <w:rPr>
                <w:rFonts w:eastAsia="Calibri"/>
                <w:sz w:val="20"/>
                <w:lang w:val="fr-CA"/>
              </w:rPr>
              <w:t xml:space="preserve"> - Les échantillons d'haleine ont été jugés inadmissibles - Preuve exclue en application du par. 24(2) de la </w:t>
            </w:r>
            <w:r w:rsidRPr="001D4A68">
              <w:rPr>
                <w:rFonts w:eastAsia="Calibri"/>
                <w:i/>
                <w:sz w:val="20"/>
                <w:lang w:val="fr-CA"/>
              </w:rPr>
              <w:t>Charte</w:t>
            </w:r>
            <w:r w:rsidRPr="001D4A68">
              <w:rPr>
                <w:rFonts w:eastAsia="Calibri"/>
                <w:sz w:val="20"/>
                <w:lang w:val="fr-CA"/>
              </w:rPr>
              <w:t xml:space="preserve"> – La Cour d'appel a-t-elle commis une erreur de droit? – L'affaire soulève-t-elle des questions d'importance pour le public?</w:t>
            </w:r>
          </w:p>
        </w:tc>
      </w:tr>
      <w:tr w:rsidR="009B1554" w:rsidRPr="004061E0" w:rsidTr="009B1554">
        <w:tc>
          <w:tcPr>
            <w:tcW w:w="5000" w:type="pct"/>
            <w:gridSpan w:val="3"/>
          </w:tcPr>
          <w:p w:rsidR="009B1554" w:rsidRPr="001D4A68" w:rsidRDefault="009B1554" w:rsidP="009B1554">
            <w:pPr>
              <w:jc w:val="both"/>
              <w:rPr>
                <w:rFonts w:eastAsia="Calibri"/>
                <w:sz w:val="20"/>
                <w:lang w:val="fr-CA"/>
              </w:rPr>
            </w:pPr>
          </w:p>
        </w:tc>
      </w:tr>
      <w:tr w:rsidR="009B1554" w:rsidRPr="001D4A68" w:rsidTr="009B1554">
        <w:tc>
          <w:tcPr>
            <w:tcW w:w="5000" w:type="pct"/>
            <w:gridSpan w:val="3"/>
          </w:tcPr>
          <w:p w:rsidR="009B1554" w:rsidRPr="001D4A68" w:rsidRDefault="009B1554" w:rsidP="009B1554">
            <w:pPr>
              <w:jc w:val="both"/>
              <w:rPr>
                <w:rFonts w:eastAsia="Calibri"/>
                <w:sz w:val="20"/>
                <w:lang w:val="fr-CA"/>
              </w:rPr>
            </w:pPr>
            <w:r w:rsidRPr="001D4A68">
              <w:rPr>
                <w:rFonts w:eastAsia="Calibri"/>
                <w:sz w:val="20"/>
                <w:lang w:val="fr-CA"/>
              </w:rPr>
              <w:t xml:space="preserve">L'intimé M. Soules a eu un accident de la route impliquant quatre véhicules. Le policier a interrogé chacun des conducteurs pour savoir ce qui s'est passé. En réponse à ces questions, M. Soules s'est identifié comme le conducteur de son véhicule. Le policier, s'appuyant sur ses observations, a soupçonné que M. Soules avait consommé de l'alcool. Le policier a demandé à M. Soules de se soumettre à un alcootest au moyen d’un appareil de détection approuvé, test </w:t>
            </w:r>
            <w:r w:rsidRPr="001D4A68">
              <w:rPr>
                <w:rFonts w:eastAsia="Calibri"/>
                <w:sz w:val="20"/>
                <w:lang w:val="fr-CA"/>
              </w:rPr>
              <w:lastRenderedPageBreak/>
              <w:t>que M. Soules a échoué. Il a été arrêté pour avoir conduit un véhicule à moteur avec une alcoolémie dépassant 80 milligrammes d'alcool par 100 millilitres de sang et il a été informé de son droit à l'assistance d'un avocat. Monsieur Soules a fait savoir qu'il comprenait son droit à l'assistance d'un avocat, qu'il venait de Calgary et qu'il ne savait pas qui appeler, mais qu'il souhaitait parler à un avocat. Il a été amené au poste de police et il a fourni deux échantillons de son haleine dans un appareil approuvé et accusé d'avoir conduit un véhicule à moteur avec une alcoolémie dépassant 80 milligrammes d'alcool par 100 millilitres de sang, contrairement à l’al. 253</w:t>
            </w:r>
            <w:r w:rsidRPr="001D4A68">
              <w:rPr>
                <w:rFonts w:eastAsia="Calibri"/>
                <w:i/>
                <w:sz w:val="20"/>
                <w:lang w:val="fr-CA"/>
              </w:rPr>
              <w:t>b</w:t>
            </w:r>
            <w:r w:rsidRPr="001D4A68">
              <w:rPr>
                <w:rFonts w:eastAsia="Calibri"/>
                <w:sz w:val="20"/>
                <w:lang w:val="fr-CA"/>
              </w:rPr>
              <w:t>) du</w:t>
            </w:r>
            <w:r w:rsidRPr="001D4A68">
              <w:rPr>
                <w:rFonts w:eastAsia="Calibri"/>
                <w:i/>
                <w:sz w:val="20"/>
                <w:lang w:val="fr-CA"/>
              </w:rPr>
              <w:t xml:space="preserve"> Code criminel</w:t>
            </w:r>
            <w:r w:rsidRPr="001D4A68">
              <w:rPr>
                <w:rFonts w:eastAsia="Calibri"/>
                <w:sz w:val="20"/>
                <w:lang w:val="fr-CA"/>
              </w:rPr>
              <w:t>. Le juge du procès l'a acquitté, concluant que ses droits garantis par l’art. 7 et l’al. 10</w:t>
            </w:r>
            <w:r w:rsidRPr="001D4A68">
              <w:rPr>
                <w:rFonts w:eastAsia="Calibri"/>
                <w:i/>
                <w:sz w:val="20"/>
                <w:lang w:val="fr-CA"/>
              </w:rPr>
              <w:t>b</w:t>
            </w:r>
            <w:r w:rsidRPr="001D4A68">
              <w:rPr>
                <w:rFonts w:eastAsia="Calibri"/>
                <w:sz w:val="20"/>
                <w:lang w:val="fr-CA"/>
              </w:rPr>
              <w:t xml:space="preserve">) de la </w:t>
            </w:r>
            <w:r w:rsidRPr="001D4A68">
              <w:rPr>
                <w:rFonts w:eastAsia="Calibri"/>
                <w:i/>
                <w:sz w:val="20"/>
                <w:lang w:val="fr-CA"/>
              </w:rPr>
              <w:t>Charte</w:t>
            </w:r>
            <w:r w:rsidRPr="001D4A68">
              <w:rPr>
                <w:rFonts w:eastAsia="Calibri"/>
                <w:sz w:val="20"/>
                <w:lang w:val="fr-CA"/>
              </w:rPr>
              <w:t xml:space="preserve"> avaient été violés. Le juge d'appel en matière de poursuites sommaires a confirmé la violation de l’art. 7 et l'exclusion des résultats des alcootests en application du par. 24(1) de la </w:t>
            </w:r>
            <w:r w:rsidRPr="001D4A68">
              <w:rPr>
                <w:rFonts w:eastAsia="Calibri"/>
                <w:i/>
                <w:sz w:val="20"/>
                <w:lang w:val="fr-CA"/>
              </w:rPr>
              <w:t>Charte</w:t>
            </w:r>
            <w:r w:rsidRPr="001D4A68">
              <w:rPr>
                <w:rFonts w:eastAsia="Calibri"/>
                <w:sz w:val="20"/>
                <w:lang w:val="fr-CA"/>
              </w:rPr>
              <w:t>. La Cour d'appel a rejeté l'appel.</w:t>
            </w:r>
          </w:p>
          <w:p w:rsidR="009B1554" w:rsidRPr="001D4A68" w:rsidRDefault="009B1554" w:rsidP="009B1554">
            <w:pPr>
              <w:jc w:val="both"/>
              <w:rPr>
                <w:rFonts w:eastAsia="Calibri"/>
                <w:sz w:val="20"/>
                <w:lang w:val="fr-CA"/>
              </w:rPr>
            </w:pP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lastRenderedPageBreak/>
              <w:t>17 juillet 2009</w:t>
            </w:r>
          </w:p>
          <w:p w:rsidR="009B1554" w:rsidRPr="001D4A68" w:rsidRDefault="009B1554" w:rsidP="009B1554">
            <w:pPr>
              <w:jc w:val="both"/>
              <w:rPr>
                <w:rFonts w:eastAsia="Calibri"/>
                <w:sz w:val="20"/>
                <w:lang w:val="fr-CA"/>
              </w:rPr>
            </w:pPr>
            <w:r w:rsidRPr="001D4A68">
              <w:rPr>
                <w:rFonts w:eastAsia="Calibri"/>
                <w:sz w:val="20"/>
                <w:lang w:val="fr-CA"/>
              </w:rPr>
              <w:t xml:space="preserve">Cour de justice de l'Ontario </w:t>
            </w:r>
          </w:p>
          <w:p w:rsidR="009B1554" w:rsidRPr="001D4A68" w:rsidRDefault="009B1554" w:rsidP="009B1554">
            <w:pPr>
              <w:jc w:val="both"/>
              <w:rPr>
                <w:rFonts w:eastAsia="Calibri"/>
                <w:sz w:val="20"/>
                <w:lang w:val="fr-CA"/>
              </w:rPr>
            </w:pPr>
            <w:r w:rsidRPr="001D4A68">
              <w:rPr>
                <w:rFonts w:eastAsia="Calibri"/>
                <w:sz w:val="20"/>
                <w:lang w:val="fr-CA"/>
              </w:rPr>
              <w:t>(Juge Griffin)</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i/>
                <w:sz w:val="20"/>
                <w:lang w:val="fr-CA"/>
              </w:rPr>
            </w:pPr>
            <w:r w:rsidRPr="001D4A68">
              <w:rPr>
                <w:rFonts w:eastAsia="Calibri"/>
                <w:sz w:val="20"/>
                <w:lang w:val="fr-CA"/>
              </w:rPr>
              <w:t xml:space="preserve">Acquittement prononcé; preuve fondée sur les deux échantillons d'haleine exclue en application du par. 24(2) de la </w:t>
            </w:r>
            <w:r w:rsidRPr="001D4A68">
              <w:rPr>
                <w:rFonts w:eastAsia="Calibri"/>
                <w:i/>
                <w:sz w:val="20"/>
                <w:lang w:val="fr-CA"/>
              </w:rPr>
              <w:t>Charte</w:t>
            </w:r>
          </w:p>
          <w:p w:rsidR="009B1554" w:rsidRPr="001D4A68" w:rsidRDefault="009B1554" w:rsidP="009B1554">
            <w:pPr>
              <w:jc w:val="both"/>
              <w:rPr>
                <w:rFonts w:eastAsia="Calibri"/>
                <w:sz w:val="20"/>
                <w:lang w:val="fr-CA"/>
              </w:rPr>
            </w:pPr>
          </w:p>
        </w:tc>
      </w:tr>
      <w:tr w:rsidR="009B1554" w:rsidRPr="001D4A68"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11 février 2010</w:t>
            </w:r>
          </w:p>
          <w:p w:rsidR="009B1554" w:rsidRPr="001D4A68" w:rsidRDefault="009B1554" w:rsidP="009B1554">
            <w:pPr>
              <w:jc w:val="both"/>
              <w:rPr>
                <w:rFonts w:eastAsia="Calibri"/>
                <w:sz w:val="20"/>
                <w:lang w:val="fr-CA"/>
              </w:rPr>
            </w:pPr>
            <w:r w:rsidRPr="001D4A68">
              <w:rPr>
                <w:rFonts w:eastAsia="Calibri"/>
                <w:sz w:val="20"/>
                <w:lang w:val="fr-CA"/>
              </w:rPr>
              <w:t xml:space="preserve">Cour supérieure de justice de l'Ontario </w:t>
            </w:r>
          </w:p>
          <w:p w:rsidR="009B1554" w:rsidRPr="001D4A68" w:rsidRDefault="009B1554" w:rsidP="009B1554">
            <w:pPr>
              <w:jc w:val="both"/>
              <w:rPr>
                <w:rFonts w:eastAsia="Calibri"/>
                <w:sz w:val="20"/>
                <w:lang w:val="fr-CA"/>
              </w:rPr>
            </w:pPr>
            <w:r w:rsidRPr="001D4A68">
              <w:rPr>
                <w:rFonts w:eastAsia="Calibri"/>
                <w:sz w:val="20"/>
                <w:lang w:val="fr-CA"/>
              </w:rPr>
              <w:t>(Juge Tausendfreund)</w:t>
            </w:r>
          </w:p>
          <w:p w:rsidR="009B1554" w:rsidRPr="001D4A68" w:rsidRDefault="009B1554" w:rsidP="009B1554">
            <w:pPr>
              <w:jc w:val="both"/>
              <w:rPr>
                <w:rFonts w:eastAsia="Calibri"/>
                <w:sz w:val="20"/>
                <w:lang w:val="fr-CA"/>
              </w:rPr>
            </w:pPr>
            <w:r w:rsidRPr="001D4A68">
              <w:rPr>
                <w:rFonts w:eastAsia="Calibri"/>
                <w:sz w:val="20"/>
                <w:lang w:val="fr-CA"/>
              </w:rPr>
              <w:t>Référence neutre : 2010 ONSC 1014</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Appel rejeté</w:t>
            </w:r>
          </w:p>
          <w:p w:rsidR="009B1554" w:rsidRPr="001D4A68" w:rsidRDefault="009B1554" w:rsidP="009B1554">
            <w:pPr>
              <w:jc w:val="both"/>
              <w:rPr>
                <w:rFonts w:eastAsia="Calibri"/>
                <w:sz w:val="20"/>
                <w:lang w:val="fr-CA"/>
              </w:rPr>
            </w:pPr>
          </w:p>
        </w:tc>
      </w:tr>
      <w:tr w:rsidR="009B1554" w:rsidRPr="001D4A68"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6 juin 2011</w:t>
            </w:r>
          </w:p>
          <w:p w:rsidR="009B1554" w:rsidRPr="001D4A68" w:rsidRDefault="009B1554" w:rsidP="009B1554">
            <w:pPr>
              <w:jc w:val="both"/>
              <w:rPr>
                <w:rFonts w:eastAsia="Calibri"/>
                <w:sz w:val="20"/>
                <w:lang w:val="fr-CA"/>
              </w:rPr>
            </w:pPr>
            <w:r w:rsidRPr="001D4A68">
              <w:rPr>
                <w:rFonts w:eastAsia="Calibri"/>
                <w:sz w:val="20"/>
                <w:lang w:val="fr-CA"/>
              </w:rPr>
              <w:t xml:space="preserve">Cour d'appel de l'Ontario </w:t>
            </w:r>
          </w:p>
          <w:p w:rsidR="009B1554" w:rsidRPr="001D4A68" w:rsidRDefault="009B1554" w:rsidP="009B1554">
            <w:pPr>
              <w:jc w:val="both"/>
              <w:rPr>
                <w:rFonts w:eastAsia="Calibri"/>
                <w:sz w:val="20"/>
                <w:lang w:val="fr-CA"/>
              </w:rPr>
            </w:pPr>
            <w:r w:rsidRPr="001D4A68">
              <w:rPr>
                <w:rFonts w:eastAsia="Calibri"/>
                <w:sz w:val="20"/>
                <w:lang w:val="fr-CA"/>
              </w:rPr>
              <w:t>(Juges Sharpe, MacFarland et LaForme)</w:t>
            </w:r>
          </w:p>
          <w:p w:rsidR="009B1554" w:rsidRPr="001D4A68" w:rsidRDefault="009B1554" w:rsidP="009B1554">
            <w:pPr>
              <w:jc w:val="both"/>
              <w:rPr>
                <w:rFonts w:eastAsia="Calibri"/>
                <w:sz w:val="20"/>
                <w:lang w:val="fr-CA"/>
              </w:rPr>
            </w:pPr>
            <w:r w:rsidRPr="001D4A68">
              <w:rPr>
                <w:rFonts w:eastAsia="Calibri"/>
                <w:sz w:val="20"/>
                <w:lang w:val="fr-CA"/>
              </w:rPr>
              <w:t>Référence neutre : 2010 ONCA 429</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Appel rejeté</w:t>
            </w:r>
          </w:p>
          <w:p w:rsidR="009B1554" w:rsidRPr="001D4A68" w:rsidRDefault="009B1554" w:rsidP="009B1554">
            <w:pPr>
              <w:jc w:val="both"/>
              <w:rPr>
                <w:rFonts w:eastAsia="Calibri"/>
                <w:sz w:val="20"/>
                <w:lang w:val="fr-CA"/>
              </w:rPr>
            </w:pPr>
          </w:p>
        </w:tc>
      </w:tr>
      <w:tr w:rsidR="009B1554" w:rsidRPr="001D4A68"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2 septembre 2011</w:t>
            </w:r>
          </w:p>
          <w:p w:rsidR="009B1554" w:rsidRPr="001D4A68" w:rsidRDefault="009B1554" w:rsidP="009B1554">
            <w:pPr>
              <w:jc w:val="both"/>
              <w:rPr>
                <w:rFonts w:eastAsia="Calibri"/>
                <w:sz w:val="20"/>
                <w:lang w:val="fr-CA"/>
              </w:rPr>
            </w:pPr>
            <w:r w:rsidRPr="001D4A68">
              <w:rPr>
                <w:rFonts w:eastAsia="Calibri"/>
                <w:sz w:val="20"/>
                <w:lang w:val="fr-CA"/>
              </w:rPr>
              <w:t>Cour suprême du Canada</w:t>
            </w: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Demande d'autorisation d'appel, déposée</w:t>
            </w:r>
          </w:p>
          <w:p w:rsidR="009B1554" w:rsidRPr="001D4A68" w:rsidRDefault="009B1554" w:rsidP="009B1554">
            <w:pPr>
              <w:jc w:val="both"/>
              <w:rPr>
                <w:rFonts w:eastAsia="Calibri"/>
                <w:sz w:val="20"/>
                <w:lang w:val="fr-CA"/>
              </w:rPr>
            </w:pP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61"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70F2B" w:rsidRPr="00B70F2B" w:rsidTr="000202E0">
        <w:trPr>
          <w:cantSplit/>
        </w:trPr>
        <w:tc>
          <w:tcPr>
            <w:tcW w:w="1458" w:type="dxa"/>
          </w:tcPr>
          <w:p w:rsidR="00B70F2B" w:rsidRPr="00B70F2B" w:rsidRDefault="00B70F2B" w:rsidP="000202E0">
            <w:pPr>
              <w:rPr>
                <w:sz w:val="20"/>
                <w:szCs w:val="20"/>
              </w:rPr>
            </w:pPr>
            <w:r w:rsidRPr="00B70F2B">
              <w:rPr>
                <w:rStyle w:val="SCCFileNumberChar"/>
                <w:sz w:val="20"/>
                <w:szCs w:val="20"/>
              </w:rPr>
              <w:t>34455</w:t>
            </w:r>
          </w:p>
          <w:p w:rsidR="00B70F2B" w:rsidRPr="00B70F2B" w:rsidRDefault="00B70F2B" w:rsidP="000202E0">
            <w:pPr>
              <w:rPr>
                <w:b/>
                <w:sz w:val="20"/>
                <w:szCs w:val="20"/>
                <w:lang w:val="fr-CA"/>
              </w:rPr>
            </w:pPr>
          </w:p>
        </w:tc>
        <w:tc>
          <w:tcPr>
            <w:tcW w:w="8118" w:type="dxa"/>
          </w:tcPr>
          <w:p w:rsidR="00B70F2B" w:rsidRPr="00B70F2B" w:rsidRDefault="00B70F2B" w:rsidP="000202E0">
            <w:pPr>
              <w:rPr>
                <w:sz w:val="20"/>
                <w:szCs w:val="20"/>
              </w:rPr>
            </w:pPr>
            <w:r w:rsidRPr="00B70F2B">
              <w:rPr>
                <w:rStyle w:val="SCCLsocChar"/>
                <w:sz w:val="20"/>
                <w:szCs w:val="20"/>
                <w:lang w:val="en-CA"/>
              </w:rPr>
              <w:t>Joshua David Nicholson v. Her Majesty the Queen</w:t>
            </w:r>
            <w:r w:rsidRPr="00B70F2B">
              <w:rPr>
                <w:sz w:val="20"/>
                <w:szCs w:val="20"/>
              </w:rPr>
              <w:t xml:space="preserve"> (Alta.) (Criminal) (By Leave)</w:t>
            </w:r>
          </w:p>
          <w:p w:rsidR="00B70F2B" w:rsidRPr="00B70F2B" w:rsidRDefault="00B70F2B" w:rsidP="000202E0">
            <w:pPr>
              <w:rPr>
                <w:sz w:val="20"/>
                <w:szCs w:val="20"/>
              </w:rPr>
            </w:pPr>
          </w:p>
        </w:tc>
      </w:tr>
      <w:tr w:rsidR="00B70F2B" w:rsidRPr="00B70F2B" w:rsidTr="000202E0">
        <w:trPr>
          <w:cantSplit/>
        </w:trPr>
        <w:tc>
          <w:tcPr>
            <w:tcW w:w="1458" w:type="dxa"/>
          </w:tcPr>
          <w:p w:rsidR="00B70F2B" w:rsidRPr="00B70F2B" w:rsidRDefault="00B70F2B" w:rsidP="000202E0">
            <w:pPr>
              <w:rPr>
                <w:sz w:val="20"/>
                <w:szCs w:val="20"/>
              </w:rPr>
            </w:pPr>
            <w:r w:rsidRPr="00B70F2B">
              <w:rPr>
                <w:sz w:val="20"/>
                <w:szCs w:val="20"/>
              </w:rPr>
              <w:t>Coram :</w:t>
            </w:r>
          </w:p>
        </w:tc>
        <w:tc>
          <w:tcPr>
            <w:tcW w:w="8118" w:type="dxa"/>
          </w:tcPr>
          <w:p w:rsidR="00B70F2B" w:rsidRPr="00B70F2B" w:rsidRDefault="00B70F2B" w:rsidP="000202E0">
            <w:pPr>
              <w:rPr>
                <w:sz w:val="20"/>
                <w:szCs w:val="20"/>
              </w:rPr>
            </w:pPr>
            <w:r w:rsidRPr="00B70F2B">
              <w:rPr>
                <w:rStyle w:val="SCCCoramChar"/>
                <w:sz w:val="20"/>
                <w:szCs w:val="20"/>
                <w:lang w:val="en-CA"/>
              </w:rPr>
              <w:t>LeBel, Abella and Cromwell JJ.</w:t>
            </w:r>
          </w:p>
          <w:p w:rsidR="00B70F2B" w:rsidRPr="00B70F2B" w:rsidRDefault="00B70F2B" w:rsidP="000202E0">
            <w:pPr>
              <w:rPr>
                <w:sz w:val="20"/>
                <w:szCs w:val="20"/>
                <w:u w:val="single"/>
              </w:rPr>
            </w:pPr>
          </w:p>
        </w:tc>
      </w:tr>
      <w:tr w:rsidR="00B70F2B" w:rsidRPr="004061E0" w:rsidTr="000202E0">
        <w:trPr>
          <w:cantSplit/>
        </w:trPr>
        <w:tc>
          <w:tcPr>
            <w:tcW w:w="9576" w:type="dxa"/>
            <w:gridSpan w:val="2"/>
          </w:tcPr>
          <w:p w:rsidR="00B70F2B" w:rsidRPr="00B70F2B" w:rsidRDefault="00B70F2B" w:rsidP="000202E0">
            <w:pPr>
              <w:pStyle w:val="SCCShortJudgment"/>
              <w:rPr>
                <w:szCs w:val="20"/>
              </w:rPr>
            </w:pPr>
            <w:r w:rsidRPr="00B70F2B">
              <w:rPr>
                <w:szCs w:val="20"/>
              </w:rPr>
              <w:t>The application for leave to appeal from the judgment of the Court of Appeal of Alberta (Calgary), Number 1001-0268A, 2011 ABCA 218, dated July 26, 2011, is dismissed without costs.</w:t>
            </w:r>
          </w:p>
          <w:p w:rsidR="00B70F2B" w:rsidRPr="00B70F2B" w:rsidRDefault="00B70F2B" w:rsidP="000202E0">
            <w:pPr>
              <w:pStyle w:val="SCCShortJudgment"/>
              <w:ind w:firstLine="0"/>
              <w:rPr>
                <w:szCs w:val="20"/>
              </w:rPr>
            </w:pPr>
          </w:p>
          <w:p w:rsidR="00B70F2B" w:rsidRPr="00B70F2B" w:rsidRDefault="00B70F2B" w:rsidP="000202E0">
            <w:pPr>
              <w:pStyle w:val="SCCShortJudgment"/>
              <w:rPr>
                <w:szCs w:val="20"/>
                <w:lang w:val="fr-CA"/>
              </w:rPr>
            </w:pPr>
            <w:r w:rsidRPr="00B70F2B">
              <w:rPr>
                <w:szCs w:val="20"/>
                <w:lang w:val="fr-CA"/>
              </w:rPr>
              <w:t>La demande d’autorisation d’appel de l’arrêt de la Cour d’appel de l’Alberta (Calgary), numéro 1001-0268A, 2011 ABCA 218, daté du 26 juillet 2011, est rejetée sans dépens.</w:t>
            </w:r>
          </w:p>
        </w:tc>
      </w:tr>
    </w:tbl>
    <w:p w:rsidR="009B1554" w:rsidRPr="009B58BA" w:rsidRDefault="009B1554"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9B1554" w:rsidRPr="001D4A68" w:rsidTr="009B1554">
        <w:tc>
          <w:tcPr>
            <w:tcW w:w="5000" w:type="pct"/>
            <w:gridSpan w:val="3"/>
          </w:tcPr>
          <w:p w:rsidR="009B1554" w:rsidRPr="001D4A68" w:rsidRDefault="009B1554" w:rsidP="009B1554">
            <w:pPr>
              <w:jc w:val="both"/>
              <w:rPr>
                <w:rFonts w:eastAsia="Calibri"/>
                <w:sz w:val="20"/>
              </w:rPr>
            </w:pPr>
            <w:r w:rsidRPr="001D4A68">
              <w:rPr>
                <w:rFonts w:eastAsia="Calibri"/>
                <w:i/>
                <w:sz w:val="20"/>
              </w:rPr>
              <w:t>Charter</w:t>
            </w:r>
            <w:r w:rsidRPr="001D4A68">
              <w:rPr>
                <w:rFonts w:eastAsia="Calibri"/>
                <w:sz w:val="20"/>
              </w:rPr>
              <w:t xml:space="preserve"> — Criminal law — Right to retain and instruct counsel without delay — Remedy for denial of right — Accused arrested and his vehicle searched — Cocaine seized — Accused not permitted to contact counsel for nine hours while police conducted search of his residence — Accused convicted of possession of cocaine for purpose of trafficking — Conviction affirmed on appeal — Whether Crown proved beyond reasonable doubt that cocaine presented at trial was that seized from accused? — Whether trial judge and Court of Appeal erred in failing to provide remedy for breach of accused’s right to counsel? — </w:t>
            </w:r>
            <w:r w:rsidRPr="001D4A68">
              <w:rPr>
                <w:rFonts w:eastAsia="Calibri"/>
                <w:i/>
                <w:sz w:val="20"/>
              </w:rPr>
              <w:t>Canadian</w:t>
            </w:r>
            <w:r w:rsidRPr="001D4A68">
              <w:rPr>
                <w:rFonts w:eastAsia="Calibri"/>
                <w:sz w:val="20"/>
              </w:rPr>
              <w:t xml:space="preserve"> </w:t>
            </w:r>
            <w:r w:rsidRPr="001D4A68">
              <w:rPr>
                <w:rFonts w:eastAsia="Calibri"/>
                <w:i/>
                <w:sz w:val="20"/>
              </w:rPr>
              <w:t>Charter of Rights and Freedoms</w:t>
            </w:r>
            <w:r w:rsidRPr="001D4A68">
              <w:rPr>
                <w:rFonts w:eastAsia="Calibri"/>
                <w:sz w:val="20"/>
              </w:rPr>
              <w:t>, ss. 8, 10(b) and 24(2).</w:t>
            </w:r>
          </w:p>
          <w:p w:rsidR="009B1554" w:rsidRPr="001D4A68" w:rsidRDefault="009B1554" w:rsidP="009B1554">
            <w:pPr>
              <w:jc w:val="both"/>
              <w:rPr>
                <w:rFonts w:eastAsia="Calibri"/>
                <w:sz w:val="20"/>
              </w:rPr>
            </w:pPr>
          </w:p>
        </w:tc>
      </w:tr>
      <w:tr w:rsidR="009B1554" w:rsidRPr="001D4A68" w:rsidTr="009B1554">
        <w:tc>
          <w:tcPr>
            <w:tcW w:w="5000" w:type="pct"/>
            <w:gridSpan w:val="3"/>
          </w:tcPr>
          <w:p w:rsidR="009B1554" w:rsidRPr="001D4A68" w:rsidRDefault="009B1554" w:rsidP="009B1554">
            <w:pPr>
              <w:jc w:val="both"/>
              <w:rPr>
                <w:rFonts w:eastAsia="Calibri"/>
                <w:sz w:val="20"/>
              </w:rPr>
            </w:pPr>
            <w:r w:rsidRPr="001D4A68">
              <w:rPr>
                <w:rFonts w:eastAsia="Calibri"/>
                <w:sz w:val="20"/>
              </w:rPr>
              <w:t xml:space="preserve">The accused, Mr. Joshua Nicholson, was put under surveillance after the police received two tips from confidential informants stating that an individual named Josh was selling drugs in Okotoks, in Alberta.  The surveillance squad </w:t>
            </w:r>
            <w:r w:rsidRPr="001D4A68">
              <w:rPr>
                <w:rFonts w:eastAsia="Calibri"/>
                <w:sz w:val="20"/>
              </w:rPr>
              <w:lastRenderedPageBreak/>
              <w:t xml:space="preserve">observed five encounters involving Mr. Nicholson’s vehicle and a series of unknown individuals who entered and exited his vehicle for a short duration of time.  No other suspicious activity was noted over the five-day surveillance period.  The police arrested Mr. Nicholson and searched his vehicle incident to the arrest.  That search resulted in the seizure of a blackberry, a cell phone, and a black bag containing cocaine.  The police gave Mr. Nicholson his rights and he asked to speak with counsel but was not permitted to do so for nine hours while police conducted a search of his residence.  At trial, Mr. Nicholson challenged the search of his vehicle and the continuity of the cocaine seized.  The trial judge found that police had not breached Mr. Nicholson’s s. 8 </w:t>
            </w:r>
            <w:r w:rsidRPr="001D4A68">
              <w:rPr>
                <w:rFonts w:eastAsia="Calibri"/>
                <w:i/>
                <w:sz w:val="20"/>
              </w:rPr>
              <w:t>Charter</w:t>
            </w:r>
            <w:r w:rsidRPr="001D4A68">
              <w:rPr>
                <w:rFonts w:eastAsia="Calibri"/>
                <w:sz w:val="20"/>
              </w:rPr>
              <w:t xml:space="preserve"> right against unreasonable search and seizure, but breached his s. 10(b) right to counsel.  The trial judge declined to exclude the evidence as </w:t>
            </w:r>
            <w:proofErr w:type="gramStart"/>
            <w:r w:rsidRPr="001D4A68">
              <w:rPr>
                <w:rFonts w:eastAsia="Calibri"/>
                <w:sz w:val="20"/>
              </w:rPr>
              <w:t>a</w:t>
            </w:r>
            <w:proofErr w:type="gramEnd"/>
            <w:r w:rsidRPr="001D4A68">
              <w:rPr>
                <w:rFonts w:eastAsia="Calibri"/>
                <w:sz w:val="20"/>
              </w:rPr>
              <w:t xml:space="preserve"> s. 24(2) remedy for the s. 10(b).  The Court of Appeal dismissed Mr. Nicholson’s appeal against conviction.</w:t>
            </w:r>
          </w:p>
        </w:tc>
      </w:tr>
      <w:tr w:rsidR="009B1554" w:rsidRPr="001D4A68" w:rsidTr="009B1554">
        <w:tc>
          <w:tcPr>
            <w:tcW w:w="5000" w:type="pct"/>
            <w:gridSpan w:val="3"/>
          </w:tcPr>
          <w:p w:rsidR="009B1554" w:rsidRPr="001D4A68" w:rsidRDefault="009B1554" w:rsidP="009B1554">
            <w:pPr>
              <w:jc w:val="both"/>
              <w:rPr>
                <w:rFonts w:eastAsia="Calibri"/>
                <w:sz w:val="20"/>
              </w:rPr>
            </w:pPr>
          </w:p>
        </w:tc>
      </w:tr>
      <w:tr w:rsidR="009B1554" w:rsidRPr="001D4A68" w:rsidTr="009B1554">
        <w:tc>
          <w:tcPr>
            <w:tcW w:w="2427" w:type="pct"/>
          </w:tcPr>
          <w:p w:rsidR="009B1554" w:rsidRPr="001D4A68" w:rsidRDefault="009B1554" w:rsidP="009B1554">
            <w:pPr>
              <w:jc w:val="both"/>
              <w:rPr>
                <w:rFonts w:eastAsia="Calibri"/>
                <w:sz w:val="20"/>
              </w:rPr>
            </w:pPr>
            <w:r w:rsidRPr="001D4A68">
              <w:rPr>
                <w:rFonts w:eastAsia="Calibri"/>
                <w:sz w:val="20"/>
              </w:rPr>
              <w:t>June 3, 2010</w:t>
            </w:r>
          </w:p>
          <w:p w:rsidR="009B1554" w:rsidRPr="001D4A68" w:rsidRDefault="009B1554" w:rsidP="009B1554">
            <w:pPr>
              <w:jc w:val="both"/>
              <w:rPr>
                <w:rFonts w:eastAsia="Calibri"/>
                <w:sz w:val="20"/>
              </w:rPr>
            </w:pPr>
            <w:r w:rsidRPr="001D4A68">
              <w:rPr>
                <w:rFonts w:eastAsia="Calibri"/>
                <w:sz w:val="20"/>
              </w:rPr>
              <w:t>Court of Queen’s Bench of Alberta</w:t>
            </w:r>
          </w:p>
          <w:p w:rsidR="009B1554" w:rsidRPr="001D4A68" w:rsidRDefault="009B1554" w:rsidP="009B1554">
            <w:pPr>
              <w:jc w:val="both"/>
              <w:rPr>
                <w:rFonts w:eastAsia="Calibri"/>
                <w:sz w:val="20"/>
              </w:rPr>
            </w:pPr>
            <w:r w:rsidRPr="001D4A68">
              <w:rPr>
                <w:rFonts w:eastAsia="Calibri"/>
                <w:sz w:val="20"/>
              </w:rPr>
              <w:t>(Mahoney J.)</w:t>
            </w:r>
          </w:p>
          <w:p w:rsidR="009B1554" w:rsidRPr="001D4A68" w:rsidRDefault="009B1554" w:rsidP="009B1554">
            <w:pPr>
              <w:jc w:val="both"/>
              <w:rPr>
                <w:rFonts w:eastAsia="Calibri"/>
                <w:sz w:val="20"/>
              </w:rPr>
            </w:pPr>
            <w:r w:rsidRPr="001D4A68">
              <w:rPr>
                <w:rFonts w:eastAsia="Calibri"/>
                <w:sz w:val="20"/>
              </w:rPr>
              <w:t>Neutral citation: 2010 ABQB 379</w:t>
            </w:r>
          </w:p>
          <w:p w:rsidR="009B1554" w:rsidRPr="001D4A68" w:rsidRDefault="009B1554" w:rsidP="009B1554">
            <w:pPr>
              <w:jc w:val="both"/>
              <w:rPr>
                <w:rFonts w:eastAsia="Calibri"/>
                <w:sz w:val="20"/>
              </w:rPr>
            </w:pP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sz w:val="20"/>
              </w:rPr>
            </w:pPr>
            <w:r w:rsidRPr="001D4A68">
              <w:rPr>
                <w:rFonts w:eastAsia="Calibri"/>
                <w:sz w:val="20"/>
              </w:rPr>
              <w:t xml:space="preserve">Mr. Nicholson was convicted of possession of cocaine for purpose of trafficking. </w:t>
            </w:r>
          </w:p>
        </w:tc>
      </w:tr>
      <w:tr w:rsidR="009B1554" w:rsidRPr="001D4A68" w:rsidTr="009B1554">
        <w:tc>
          <w:tcPr>
            <w:tcW w:w="2427" w:type="pct"/>
          </w:tcPr>
          <w:p w:rsidR="009B1554" w:rsidRPr="001D4A68" w:rsidRDefault="009B1554" w:rsidP="009B1554">
            <w:pPr>
              <w:jc w:val="both"/>
              <w:rPr>
                <w:rFonts w:eastAsia="Calibri"/>
                <w:sz w:val="20"/>
              </w:rPr>
            </w:pPr>
            <w:r w:rsidRPr="001D4A68">
              <w:rPr>
                <w:rFonts w:eastAsia="Calibri"/>
                <w:sz w:val="20"/>
              </w:rPr>
              <w:t>July 26, 2011</w:t>
            </w:r>
          </w:p>
          <w:p w:rsidR="009B1554" w:rsidRPr="001D4A68" w:rsidRDefault="009B1554" w:rsidP="009B1554">
            <w:pPr>
              <w:jc w:val="both"/>
              <w:rPr>
                <w:rFonts w:eastAsia="Calibri"/>
                <w:sz w:val="20"/>
              </w:rPr>
            </w:pPr>
            <w:r w:rsidRPr="001D4A68">
              <w:rPr>
                <w:rFonts w:eastAsia="Calibri"/>
                <w:sz w:val="20"/>
              </w:rPr>
              <w:t>Court of Appeal of Alberta (Calgary)</w:t>
            </w:r>
          </w:p>
          <w:p w:rsidR="009B1554" w:rsidRPr="001D4A68" w:rsidRDefault="009B1554" w:rsidP="009B1554">
            <w:pPr>
              <w:jc w:val="both"/>
              <w:rPr>
                <w:rFonts w:eastAsia="Calibri"/>
                <w:sz w:val="20"/>
              </w:rPr>
            </w:pPr>
            <w:r w:rsidRPr="001D4A68">
              <w:rPr>
                <w:rFonts w:eastAsia="Calibri"/>
                <w:sz w:val="20"/>
              </w:rPr>
              <w:t>(Martin and Rowbotham JJ.A. and Strekaf J. (ad hoc))</w:t>
            </w:r>
          </w:p>
          <w:p w:rsidR="009B1554" w:rsidRPr="001D4A68" w:rsidRDefault="009B1554" w:rsidP="009B1554">
            <w:pPr>
              <w:jc w:val="both"/>
              <w:rPr>
                <w:rFonts w:eastAsia="Calibri"/>
                <w:sz w:val="20"/>
              </w:rPr>
            </w:pPr>
            <w:r w:rsidRPr="001D4A68">
              <w:rPr>
                <w:rFonts w:eastAsia="Calibri"/>
                <w:sz w:val="20"/>
              </w:rPr>
              <w:t>Neutral citation: 2011 ABCA 218</w:t>
            </w:r>
          </w:p>
          <w:p w:rsidR="009B1554" w:rsidRPr="001D4A68" w:rsidRDefault="009B1554" w:rsidP="009B1554">
            <w:pPr>
              <w:jc w:val="both"/>
              <w:rPr>
                <w:rFonts w:eastAsia="Calibri"/>
                <w:sz w:val="20"/>
              </w:rPr>
            </w:pP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sz w:val="20"/>
              </w:rPr>
            </w:pPr>
            <w:r w:rsidRPr="001D4A68">
              <w:rPr>
                <w:rFonts w:eastAsia="Calibri"/>
                <w:sz w:val="20"/>
              </w:rPr>
              <w:t>Mr. Nicholson’s appeal against conviction was dismissed.</w:t>
            </w:r>
          </w:p>
          <w:p w:rsidR="009B1554" w:rsidRPr="001D4A68" w:rsidRDefault="009B1554" w:rsidP="009B1554">
            <w:pPr>
              <w:jc w:val="both"/>
              <w:rPr>
                <w:rFonts w:eastAsia="Calibri"/>
                <w:sz w:val="20"/>
              </w:rPr>
            </w:pPr>
          </w:p>
        </w:tc>
      </w:tr>
      <w:tr w:rsidR="009B1554" w:rsidRPr="001D4A68" w:rsidTr="009B1554">
        <w:tc>
          <w:tcPr>
            <w:tcW w:w="2427" w:type="pct"/>
          </w:tcPr>
          <w:p w:rsidR="009B1554" w:rsidRPr="001D4A68" w:rsidRDefault="009B1554" w:rsidP="009B1554">
            <w:pPr>
              <w:jc w:val="both"/>
              <w:rPr>
                <w:rFonts w:eastAsia="Calibri"/>
                <w:sz w:val="20"/>
              </w:rPr>
            </w:pPr>
            <w:r w:rsidRPr="001D4A68">
              <w:rPr>
                <w:rFonts w:eastAsia="Calibri"/>
                <w:sz w:val="20"/>
              </w:rPr>
              <w:t>September 27, 2011</w:t>
            </w:r>
          </w:p>
          <w:p w:rsidR="009B1554" w:rsidRPr="001D4A68" w:rsidRDefault="009B1554" w:rsidP="009B1554">
            <w:pPr>
              <w:jc w:val="both"/>
              <w:rPr>
                <w:rFonts w:eastAsia="Calibri"/>
                <w:sz w:val="20"/>
              </w:rPr>
            </w:pPr>
            <w:r w:rsidRPr="001D4A68">
              <w:rPr>
                <w:rFonts w:eastAsia="Calibri"/>
                <w:sz w:val="20"/>
              </w:rPr>
              <w:t>Supreme Court of Canada</w:t>
            </w: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sz w:val="20"/>
              </w:rPr>
            </w:pPr>
            <w:r w:rsidRPr="001D4A68">
              <w:rPr>
                <w:rFonts w:eastAsia="Calibri"/>
                <w:sz w:val="20"/>
              </w:rPr>
              <w:t>Mr. Nicholson’s application for leave to appeal was filed.</w:t>
            </w:r>
          </w:p>
        </w:tc>
      </w:tr>
    </w:tbl>
    <w:p w:rsidR="009B58BA" w:rsidRPr="009B1554"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62"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4"/>
        <w:gridCol w:w="463"/>
        <w:gridCol w:w="4440"/>
      </w:tblGrid>
      <w:tr w:rsidR="009B1554" w:rsidRPr="004061E0" w:rsidTr="009B1554">
        <w:tc>
          <w:tcPr>
            <w:tcW w:w="5000" w:type="pct"/>
            <w:gridSpan w:val="3"/>
          </w:tcPr>
          <w:p w:rsidR="009B1554" w:rsidRPr="001D4A68" w:rsidRDefault="009B1554" w:rsidP="009B1554">
            <w:pPr>
              <w:jc w:val="both"/>
              <w:rPr>
                <w:rFonts w:eastAsia="Calibri"/>
                <w:sz w:val="20"/>
                <w:lang w:val="fr-CA"/>
              </w:rPr>
            </w:pPr>
            <w:r w:rsidRPr="001D4A68">
              <w:rPr>
                <w:rFonts w:eastAsia="Calibri"/>
                <w:i/>
                <w:sz w:val="20"/>
                <w:lang w:val="fr-CA"/>
              </w:rPr>
              <w:t>Charte</w:t>
            </w:r>
            <w:r w:rsidRPr="001D4A68">
              <w:rPr>
                <w:rFonts w:eastAsia="Calibri"/>
                <w:sz w:val="20"/>
                <w:lang w:val="fr-CA"/>
              </w:rPr>
              <w:t xml:space="preserve"> — Droit criminel — Droit d’avoir recours sans délai à l’assistance d’un avocat — Réparation de l'atteinte au droit — L'accusé a été arrêté et son véhicule a été fouillé — De la cocaïne a été saisie — L'accusé n'a pas été autorisé à communiquer avec un avocat pendant neuf heures alors que des policiers effectuaient une perquisition chez</w:t>
            </w:r>
            <w:r w:rsidRPr="001D4A68">
              <w:rPr>
                <w:rFonts w:eastAsia="Calibri"/>
                <w:sz w:val="20"/>
                <w:lang w:val="fr-CA"/>
              </w:rPr>
              <w:noBreakHyphen/>
              <w:t>lui — Accusé déclaré coupable de possession de cocaïne en vue d'en faire le trafic — Déclaration de culpabilité confirmée en appel — Le ministère public a</w:t>
            </w:r>
            <w:r w:rsidRPr="001D4A68">
              <w:rPr>
                <w:rFonts w:eastAsia="Calibri"/>
                <w:sz w:val="20"/>
                <w:lang w:val="fr-CA"/>
              </w:rPr>
              <w:noBreakHyphen/>
              <w:t>t</w:t>
            </w:r>
            <w:r w:rsidRPr="001D4A68">
              <w:rPr>
                <w:rFonts w:eastAsia="Calibri"/>
                <w:sz w:val="20"/>
                <w:lang w:val="fr-CA"/>
              </w:rPr>
              <w:noBreakHyphen/>
              <w:t>il prouvé hors de tout doute raisonnable que la cocaïne présentée au procès était celle qui avait été saisie de l'accusé? — Le juge procès et la Cour d'appel ont</w:t>
            </w:r>
            <w:r w:rsidRPr="001D4A68">
              <w:rPr>
                <w:rFonts w:eastAsia="Calibri"/>
                <w:sz w:val="20"/>
                <w:lang w:val="fr-CA"/>
              </w:rPr>
              <w:noBreakHyphen/>
              <w:t>ils eu tort de ne pas avoir ordonné de réparation pour l’atteinte au droit de l'accusé à l'assistance d'un avocat ? —</w:t>
            </w:r>
            <w:r w:rsidRPr="001D4A68">
              <w:rPr>
                <w:rFonts w:eastAsia="Calibri"/>
                <w:i/>
                <w:sz w:val="20"/>
                <w:lang w:val="fr-CA"/>
              </w:rPr>
              <w:t xml:space="preserve"> Charte canadienne des droits et libertés</w:t>
            </w:r>
            <w:r w:rsidRPr="001D4A68">
              <w:rPr>
                <w:rFonts w:eastAsia="Calibri"/>
                <w:sz w:val="20"/>
                <w:lang w:val="fr-CA"/>
              </w:rPr>
              <w:t>, art. 8, 10</w:t>
            </w:r>
            <w:r w:rsidRPr="001D4A68">
              <w:rPr>
                <w:rFonts w:eastAsia="Calibri"/>
                <w:i/>
                <w:sz w:val="20"/>
                <w:lang w:val="fr-CA"/>
              </w:rPr>
              <w:t>b</w:t>
            </w:r>
            <w:r w:rsidRPr="001D4A68">
              <w:rPr>
                <w:rFonts w:eastAsia="Calibri"/>
                <w:sz w:val="20"/>
                <w:lang w:val="fr-CA"/>
              </w:rPr>
              <w:t>) et 24(2).</w:t>
            </w:r>
          </w:p>
          <w:p w:rsidR="009B1554" w:rsidRPr="001D4A68" w:rsidRDefault="009B1554" w:rsidP="009B1554">
            <w:pPr>
              <w:jc w:val="both"/>
              <w:rPr>
                <w:rFonts w:eastAsia="Calibri"/>
                <w:sz w:val="20"/>
                <w:lang w:val="fr-CA"/>
              </w:rPr>
            </w:pPr>
          </w:p>
        </w:tc>
      </w:tr>
      <w:tr w:rsidR="009B1554" w:rsidRPr="004061E0" w:rsidTr="009B1554">
        <w:tc>
          <w:tcPr>
            <w:tcW w:w="5000" w:type="pct"/>
            <w:gridSpan w:val="3"/>
          </w:tcPr>
          <w:p w:rsidR="009B1554" w:rsidRPr="001D4A68" w:rsidRDefault="009B1554" w:rsidP="009B1554">
            <w:pPr>
              <w:jc w:val="both"/>
              <w:rPr>
                <w:rFonts w:eastAsia="Calibri"/>
                <w:sz w:val="20"/>
                <w:lang w:val="fr-CA"/>
              </w:rPr>
            </w:pPr>
            <w:r w:rsidRPr="001D4A68">
              <w:rPr>
                <w:rFonts w:eastAsia="Calibri"/>
                <w:sz w:val="20"/>
                <w:lang w:val="fr-CA"/>
              </w:rPr>
              <w:t>L'accusé, M. Joshua Nicholson, a été mis sous surveillance après que la police eut reçu deux tuyaux d'informateurs affirmant qu'un individu prénommé Josh vendait de la drogue à Okotoks, en Alberta.  L'escouade de surveillance a observé cinq rencontres impliquant le véhicule de M. Nicholson et une série d'individus inconnus qui entraient dans son véhicule et qui en sortaient peu de temps après.  Aucune autre activité suspecte n'a été notée pendant la période de surveillance de cinq jours.  Les policiers ont arrêté M. Nicholson et ont fouillé son véhicule accessoirement à l'arrestation.  Cette fouille a donné lieu à la saisie d’un Blackberry, d'un téléphone cellulaire et d'un sac noir renfermant de la cocaïne.  Les policiers ont informé M. Nicholson de ses droits et il a demandé de parler à un avocat, mais on ne lui a pas permis de le faire pendant neuf heures alors que les policiers effectuaient une perquisition chez</w:t>
            </w:r>
            <w:r w:rsidRPr="001D4A68">
              <w:rPr>
                <w:rFonts w:eastAsia="Calibri"/>
                <w:sz w:val="20"/>
                <w:lang w:val="fr-CA"/>
              </w:rPr>
              <w:noBreakHyphen/>
              <w:t xml:space="preserve">lui. Au procès, M. Nicholson a contesté la fouille de son véhicule et la continuité de possession de la cocaïne saisie.  Le juge du procès a conclu que les policiers n'avaient pas violé le droit de M. Nicholson contre les fouilles, perquisitions et saisies abusives garanti par l'art. 8 de la </w:t>
            </w:r>
            <w:r w:rsidRPr="001D4A68">
              <w:rPr>
                <w:rFonts w:eastAsia="Calibri"/>
                <w:i/>
                <w:sz w:val="20"/>
                <w:lang w:val="fr-CA"/>
              </w:rPr>
              <w:t>Charte</w:t>
            </w:r>
            <w:r w:rsidRPr="001D4A68">
              <w:rPr>
                <w:rFonts w:eastAsia="Calibri"/>
                <w:sz w:val="20"/>
                <w:lang w:val="fr-CA"/>
              </w:rPr>
              <w:t>, mais qu'ils avaient violé son droit à l'assistance d'un avocat garanti par l'al. 10</w:t>
            </w:r>
            <w:r w:rsidRPr="001D4A68">
              <w:rPr>
                <w:rFonts w:eastAsia="Calibri"/>
                <w:i/>
                <w:sz w:val="20"/>
                <w:lang w:val="fr-CA"/>
              </w:rPr>
              <w:t>b</w:t>
            </w:r>
            <w:r w:rsidRPr="001D4A68">
              <w:rPr>
                <w:rFonts w:eastAsia="Calibri"/>
                <w:sz w:val="20"/>
                <w:lang w:val="fr-CA"/>
              </w:rPr>
              <w:t>). Le juge du procès a refusé d'exclure la preuve en tant que réparation prévue au paragraphe 24(2) pour l'atteinte à l'al. 10</w:t>
            </w:r>
            <w:r w:rsidRPr="001D4A68">
              <w:rPr>
                <w:rFonts w:eastAsia="Calibri"/>
                <w:i/>
                <w:sz w:val="20"/>
                <w:lang w:val="fr-CA"/>
              </w:rPr>
              <w:t>b</w:t>
            </w:r>
            <w:r w:rsidRPr="001D4A68">
              <w:rPr>
                <w:rFonts w:eastAsia="Calibri"/>
                <w:sz w:val="20"/>
                <w:lang w:val="fr-CA"/>
              </w:rPr>
              <w:t>).  La Cour d'appel a rejeté l'appel de la condamnation interjeté par M. Nicholson.</w:t>
            </w:r>
          </w:p>
        </w:tc>
      </w:tr>
      <w:tr w:rsidR="009B1554" w:rsidRPr="004061E0" w:rsidTr="009B1554">
        <w:tc>
          <w:tcPr>
            <w:tcW w:w="5000" w:type="pct"/>
            <w:gridSpan w:val="3"/>
          </w:tcPr>
          <w:p w:rsidR="009B1554" w:rsidRPr="001D4A68" w:rsidRDefault="009B1554" w:rsidP="009B1554">
            <w:pPr>
              <w:jc w:val="both"/>
              <w:rPr>
                <w:rFonts w:eastAsia="Calibri"/>
                <w:sz w:val="20"/>
                <w:lang w:val="fr-CA"/>
              </w:rPr>
            </w:pP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lastRenderedPageBreak/>
              <w:t>3 juin 2010</w:t>
            </w:r>
          </w:p>
          <w:p w:rsidR="009B1554" w:rsidRPr="001D4A68" w:rsidRDefault="009B1554" w:rsidP="009B1554">
            <w:pPr>
              <w:jc w:val="both"/>
              <w:rPr>
                <w:rFonts w:eastAsia="Calibri"/>
                <w:sz w:val="20"/>
                <w:lang w:val="fr-CA"/>
              </w:rPr>
            </w:pPr>
            <w:r w:rsidRPr="001D4A68">
              <w:rPr>
                <w:rFonts w:eastAsia="Calibri"/>
                <w:sz w:val="20"/>
                <w:lang w:val="fr-CA"/>
              </w:rPr>
              <w:t xml:space="preserve">Cours de Banc de la Reine de l'Alberta </w:t>
            </w:r>
          </w:p>
          <w:p w:rsidR="009B1554" w:rsidRPr="001D4A68" w:rsidRDefault="009B1554" w:rsidP="009B1554">
            <w:pPr>
              <w:jc w:val="both"/>
              <w:rPr>
                <w:rFonts w:eastAsia="Calibri"/>
                <w:sz w:val="20"/>
                <w:lang w:val="fr-CA"/>
              </w:rPr>
            </w:pPr>
            <w:r w:rsidRPr="001D4A68">
              <w:rPr>
                <w:rFonts w:eastAsia="Calibri"/>
                <w:sz w:val="20"/>
                <w:lang w:val="fr-CA"/>
              </w:rPr>
              <w:t>(Juge Mahoney)</w:t>
            </w:r>
          </w:p>
          <w:p w:rsidR="009B1554" w:rsidRPr="001D4A68" w:rsidRDefault="009B1554" w:rsidP="009B1554">
            <w:pPr>
              <w:jc w:val="both"/>
              <w:rPr>
                <w:rFonts w:eastAsia="Calibri"/>
                <w:sz w:val="20"/>
                <w:lang w:val="fr-CA"/>
              </w:rPr>
            </w:pPr>
            <w:r w:rsidRPr="001D4A68">
              <w:rPr>
                <w:rFonts w:eastAsia="Calibri"/>
                <w:sz w:val="20"/>
                <w:lang w:val="fr-CA"/>
              </w:rPr>
              <w:t>Référence neutre : 2010 ABQB 379</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 xml:space="preserve">Monsieur Nicholson déclaré coupable de possession de cocaïne en vue d'en faire le trafic. </w:t>
            </w: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26 juillet 2011</w:t>
            </w:r>
          </w:p>
          <w:p w:rsidR="009B1554" w:rsidRPr="001D4A68" w:rsidRDefault="009B1554" w:rsidP="009B1554">
            <w:pPr>
              <w:jc w:val="both"/>
              <w:rPr>
                <w:rFonts w:eastAsia="Calibri"/>
                <w:sz w:val="20"/>
                <w:lang w:val="fr-CA"/>
              </w:rPr>
            </w:pPr>
            <w:r w:rsidRPr="001D4A68">
              <w:rPr>
                <w:rFonts w:eastAsia="Calibri"/>
                <w:sz w:val="20"/>
                <w:lang w:val="fr-CA"/>
              </w:rPr>
              <w:t>Cour d'appel de l'Alberta (Calgary)</w:t>
            </w:r>
          </w:p>
          <w:p w:rsidR="009B1554" w:rsidRPr="001D4A68" w:rsidRDefault="009B1554" w:rsidP="009B1554">
            <w:pPr>
              <w:jc w:val="both"/>
              <w:rPr>
                <w:rFonts w:eastAsia="Calibri"/>
                <w:sz w:val="20"/>
              </w:rPr>
            </w:pPr>
            <w:r w:rsidRPr="001D4A68">
              <w:rPr>
                <w:rFonts w:eastAsia="Calibri"/>
                <w:sz w:val="20"/>
              </w:rPr>
              <w:t>(Juges Martin, Rowbotham et Strekaf (ad hoc))</w:t>
            </w:r>
          </w:p>
          <w:p w:rsidR="009B1554" w:rsidRPr="001D4A68" w:rsidRDefault="009B1554" w:rsidP="009B1554">
            <w:pPr>
              <w:jc w:val="both"/>
              <w:rPr>
                <w:rFonts w:eastAsia="Calibri"/>
                <w:sz w:val="20"/>
                <w:lang w:val="fr-CA"/>
              </w:rPr>
            </w:pPr>
            <w:r w:rsidRPr="001D4A68">
              <w:rPr>
                <w:rFonts w:eastAsia="Calibri"/>
                <w:sz w:val="20"/>
                <w:lang w:val="fr-CA"/>
              </w:rPr>
              <w:t>Référence neutre : 2011 ABCA 218</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Appel de la condamnation interjeté par M. Nicholson, rejeté.</w:t>
            </w:r>
          </w:p>
          <w:p w:rsidR="009B1554" w:rsidRPr="001D4A68" w:rsidRDefault="009B1554" w:rsidP="009B1554">
            <w:pPr>
              <w:jc w:val="both"/>
              <w:rPr>
                <w:rFonts w:eastAsia="Calibri"/>
                <w:sz w:val="20"/>
                <w:lang w:val="fr-CA"/>
              </w:rPr>
            </w:pP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27 septembre 2011</w:t>
            </w:r>
          </w:p>
          <w:p w:rsidR="009B1554" w:rsidRPr="001D4A68" w:rsidRDefault="009B1554" w:rsidP="009B1554">
            <w:pPr>
              <w:jc w:val="both"/>
              <w:rPr>
                <w:rFonts w:eastAsia="Calibri"/>
                <w:sz w:val="20"/>
                <w:lang w:val="fr-CA"/>
              </w:rPr>
            </w:pPr>
            <w:r w:rsidRPr="001D4A68">
              <w:rPr>
                <w:rFonts w:eastAsia="Calibri"/>
                <w:sz w:val="20"/>
                <w:lang w:val="fr-CA"/>
              </w:rPr>
              <w:t>Cour suprême du Canada</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Demande d'autorisation d'appel de M. Nicholson, déposée.</w:t>
            </w:r>
          </w:p>
          <w:p w:rsidR="009B1554" w:rsidRPr="001D4A68" w:rsidRDefault="009B1554" w:rsidP="009B1554">
            <w:pPr>
              <w:jc w:val="both"/>
              <w:rPr>
                <w:rFonts w:eastAsia="Calibri"/>
                <w:sz w:val="20"/>
                <w:lang w:val="fr-CA"/>
              </w:rPr>
            </w:pP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63" style="width:2in;height:1pt" o:hrpct="0" o:hralign="center" o:hrstd="t" o:hrnoshade="t" o:hr="t" fillcolor="black [3213]" stroked="f"/>
        </w:pict>
      </w:r>
    </w:p>
    <w:p w:rsidR="009B58BA" w:rsidRDefault="009B58BA" w:rsidP="009B58BA">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70F2B" w:rsidRPr="00B70F2B" w:rsidTr="000202E0">
        <w:trPr>
          <w:cantSplit/>
        </w:trPr>
        <w:tc>
          <w:tcPr>
            <w:tcW w:w="1458" w:type="dxa"/>
          </w:tcPr>
          <w:p w:rsidR="00B70F2B" w:rsidRPr="00B70F2B" w:rsidRDefault="00B70F2B" w:rsidP="000202E0">
            <w:pPr>
              <w:rPr>
                <w:sz w:val="20"/>
                <w:szCs w:val="20"/>
              </w:rPr>
            </w:pPr>
            <w:r w:rsidRPr="00B70F2B">
              <w:rPr>
                <w:rStyle w:val="SCCFileNumberChar"/>
                <w:sz w:val="20"/>
                <w:szCs w:val="20"/>
              </w:rPr>
              <w:t>34464</w:t>
            </w:r>
          </w:p>
          <w:p w:rsidR="00B70F2B" w:rsidRPr="00B70F2B" w:rsidRDefault="00B70F2B" w:rsidP="000202E0">
            <w:pPr>
              <w:rPr>
                <w:b/>
                <w:sz w:val="20"/>
                <w:szCs w:val="20"/>
                <w:lang w:val="fr-CA"/>
              </w:rPr>
            </w:pPr>
          </w:p>
        </w:tc>
        <w:tc>
          <w:tcPr>
            <w:tcW w:w="8118" w:type="dxa"/>
          </w:tcPr>
          <w:p w:rsidR="00B70F2B" w:rsidRPr="00B70F2B" w:rsidRDefault="00B70F2B" w:rsidP="000202E0">
            <w:pPr>
              <w:rPr>
                <w:sz w:val="20"/>
                <w:szCs w:val="20"/>
              </w:rPr>
            </w:pPr>
            <w:r w:rsidRPr="00B70F2B">
              <w:rPr>
                <w:rStyle w:val="SCCLsocChar"/>
                <w:sz w:val="20"/>
                <w:szCs w:val="20"/>
                <w:lang w:val="en-CA"/>
              </w:rPr>
              <w:t>Ratiopharm Inc. v. Pfizer Canada Inc., Pfizer Limited</w:t>
            </w:r>
            <w:r>
              <w:rPr>
                <w:rStyle w:val="SCCLsocChar"/>
                <w:sz w:val="20"/>
                <w:szCs w:val="20"/>
                <w:lang w:val="en-CA"/>
              </w:rPr>
              <w:t xml:space="preserve"> and</w:t>
            </w:r>
            <w:r w:rsidRPr="00B70F2B">
              <w:rPr>
                <w:rStyle w:val="SCCLsocChar"/>
                <w:sz w:val="20"/>
                <w:szCs w:val="20"/>
                <w:lang w:val="en-CA"/>
              </w:rPr>
              <w:t xml:space="preserve"> Minister of Health</w:t>
            </w:r>
            <w:r w:rsidRPr="00B70F2B">
              <w:rPr>
                <w:sz w:val="20"/>
                <w:szCs w:val="20"/>
              </w:rPr>
              <w:t xml:space="preserve"> (F</w:t>
            </w:r>
            <w:r>
              <w:rPr>
                <w:sz w:val="20"/>
                <w:szCs w:val="20"/>
              </w:rPr>
              <w:t>.</w:t>
            </w:r>
            <w:r w:rsidRPr="00B70F2B">
              <w:rPr>
                <w:sz w:val="20"/>
                <w:szCs w:val="20"/>
              </w:rPr>
              <w:t>C</w:t>
            </w:r>
            <w:r>
              <w:rPr>
                <w:sz w:val="20"/>
                <w:szCs w:val="20"/>
              </w:rPr>
              <w:t>.</w:t>
            </w:r>
            <w:r w:rsidRPr="00B70F2B">
              <w:rPr>
                <w:sz w:val="20"/>
                <w:szCs w:val="20"/>
              </w:rPr>
              <w:t>) (Civil) (By Leave)</w:t>
            </w:r>
          </w:p>
          <w:p w:rsidR="00B70F2B" w:rsidRPr="00B70F2B" w:rsidRDefault="00B70F2B" w:rsidP="000202E0">
            <w:pPr>
              <w:rPr>
                <w:sz w:val="20"/>
                <w:szCs w:val="20"/>
              </w:rPr>
            </w:pPr>
          </w:p>
        </w:tc>
      </w:tr>
      <w:tr w:rsidR="00B70F2B" w:rsidRPr="00B70F2B" w:rsidTr="000202E0">
        <w:trPr>
          <w:cantSplit/>
        </w:trPr>
        <w:tc>
          <w:tcPr>
            <w:tcW w:w="1458" w:type="dxa"/>
          </w:tcPr>
          <w:p w:rsidR="00B70F2B" w:rsidRPr="00B70F2B" w:rsidRDefault="00B70F2B" w:rsidP="000202E0">
            <w:pPr>
              <w:rPr>
                <w:sz w:val="20"/>
                <w:szCs w:val="20"/>
              </w:rPr>
            </w:pPr>
            <w:r w:rsidRPr="00B70F2B">
              <w:rPr>
                <w:sz w:val="20"/>
                <w:szCs w:val="20"/>
              </w:rPr>
              <w:t>Coram :</w:t>
            </w:r>
          </w:p>
        </w:tc>
        <w:tc>
          <w:tcPr>
            <w:tcW w:w="8118" w:type="dxa"/>
          </w:tcPr>
          <w:p w:rsidR="00B70F2B" w:rsidRPr="00B70F2B" w:rsidRDefault="00B70F2B" w:rsidP="000202E0">
            <w:pPr>
              <w:rPr>
                <w:sz w:val="20"/>
                <w:szCs w:val="20"/>
              </w:rPr>
            </w:pPr>
            <w:r w:rsidRPr="00B70F2B">
              <w:rPr>
                <w:rStyle w:val="SCCCoramChar"/>
                <w:sz w:val="20"/>
                <w:szCs w:val="20"/>
                <w:lang w:val="en-CA"/>
              </w:rPr>
              <w:t>McLachlin C.J. and Rothstein and Moldaver JJ.</w:t>
            </w:r>
          </w:p>
          <w:p w:rsidR="00B70F2B" w:rsidRPr="00B70F2B" w:rsidRDefault="00B70F2B" w:rsidP="000202E0">
            <w:pPr>
              <w:rPr>
                <w:sz w:val="20"/>
                <w:szCs w:val="20"/>
                <w:u w:val="single"/>
              </w:rPr>
            </w:pPr>
          </w:p>
        </w:tc>
      </w:tr>
      <w:tr w:rsidR="00B70F2B" w:rsidRPr="004061E0" w:rsidTr="000202E0">
        <w:trPr>
          <w:cantSplit/>
        </w:trPr>
        <w:tc>
          <w:tcPr>
            <w:tcW w:w="9576" w:type="dxa"/>
            <w:gridSpan w:val="2"/>
          </w:tcPr>
          <w:p w:rsidR="00B70F2B" w:rsidRPr="00B70F2B" w:rsidRDefault="00B70F2B" w:rsidP="000202E0">
            <w:pPr>
              <w:pStyle w:val="SCCShortJudgment"/>
              <w:rPr>
                <w:szCs w:val="20"/>
              </w:rPr>
            </w:pPr>
            <w:r w:rsidRPr="00B70F2B">
              <w:rPr>
                <w:szCs w:val="20"/>
              </w:rPr>
              <w:t>The application for leave to appeal from the judgment of the Federal Court of Appeal, Number A-75-06, 2011 FCA 215, dated June 28, 2011, is dismissed with costs to the respondents Pfizer Canada Inc. and Pfizer Limited.</w:t>
            </w:r>
          </w:p>
          <w:p w:rsidR="00B70F2B" w:rsidRPr="00B70F2B" w:rsidRDefault="00B70F2B" w:rsidP="000202E0">
            <w:pPr>
              <w:pStyle w:val="SCCShortJudgment"/>
              <w:ind w:firstLine="0"/>
              <w:rPr>
                <w:szCs w:val="20"/>
              </w:rPr>
            </w:pPr>
          </w:p>
          <w:p w:rsidR="00B70F2B" w:rsidRPr="00B70F2B" w:rsidRDefault="00B70F2B" w:rsidP="000202E0">
            <w:pPr>
              <w:pStyle w:val="SCCShortJudgment"/>
              <w:rPr>
                <w:szCs w:val="20"/>
                <w:lang w:val="fr-CA"/>
              </w:rPr>
            </w:pPr>
            <w:r w:rsidRPr="00B70F2B">
              <w:rPr>
                <w:szCs w:val="20"/>
                <w:lang w:val="fr-CA"/>
              </w:rPr>
              <w:t>La demande d’autorisation d’appel de l’arrêt de la Cour d’appel fédérale, numéro A-75-06, 2011 CAF 215, daté du 28 juin 2011, est rejetée avec dépens en faveur des intimées Pfizer Canada Inc. et Pfizer Limited.</w:t>
            </w:r>
          </w:p>
        </w:tc>
      </w:tr>
    </w:tbl>
    <w:p w:rsidR="009B1554" w:rsidRPr="009B58BA" w:rsidRDefault="009B1554" w:rsidP="009B58BA">
      <w:pPr>
        <w:rPr>
          <w:sz w:val="20"/>
          <w:szCs w:val="20"/>
          <w:lang w:val="fr-CA"/>
        </w:rPr>
      </w:pPr>
    </w:p>
    <w:p w:rsidR="009B58BA" w:rsidRPr="001B157C" w:rsidRDefault="009B58BA" w:rsidP="009B58BA">
      <w:pPr>
        <w:rPr>
          <w:sz w:val="20"/>
          <w:szCs w:val="20"/>
          <w:u w:val="single"/>
        </w:rPr>
      </w:pPr>
      <w:r w:rsidRPr="001B157C">
        <w:rPr>
          <w:sz w:val="20"/>
          <w:szCs w:val="20"/>
          <w:u w:val="single"/>
        </w:rPr>
        <w:t>CASE SUMMARY</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4A0"/>
      </w:tblPr>
      <w:tblGrid>
        <w:gridCol w:w="4624"/>
        <w:gridCol w:w="463"/>
        <w:gridCol w:w="4440"/>
      </w:tblGrid>
      <w:tr w:rsidR="009B1554" w:rsidRPr="001D4A68" w:rsidTr="009B1554">
        <w:tc>
          <w:tcPr>
            <w:tcW w:w="5000" w:type="pct"/>
            <w:gridSpan w:val="3"/>
          </w:tcPr>
          <w:p w:rsidR="009B1554" w:rsidRPr="001D4A68" w:rsidRDefault="009B1554" w:rsidP="009B1554">
            <w:pPr>
              <w:rPr>
                <w:sz w:val="20"/>
              </w:rPr>
            </w:pPr>
            <w:r w:rsidRPr="001D4A68">
              <w:rPr>
                <w:sz w:val="20"/>
              </w:rPr>
              <w:t>(</w:t>
            </w:r>
            <w:r w:rsidRPr="001D4A68">
              <w:rPr>
                <w:smallCaps/>
                <w:sz w:val="20"/>
              </w:rPr>
              <w:t>Publication ban in case</w:t>
            </w:r>
            <w:r w:rsidRPr="001D4A68">
              <w:rPr>
                <w:sz w:val="20"/>
              </w:rPr>
              <w:t xml:space="preserve">) </w:t>
            </w:r>
          </w:p>
          <w:p w:rsidR="009B1554" w:rsidRPr="001D4A68" w:rsidRDefault="009B1554" w:rsidP="009B1554">
            <w:pPr>
              <w:rPr>
                <w:sz w:val="20"/>
              </w:rPr>
            </w:pPr>
          </w:p>
          <w:p w:rsidR="009B1554" w:rsidRPr="001D4A68" w:rsidRDefault="009B1554" w:rsidP="009B1554">
            <w:pPr>
              <w:jc w:val="both"/>
              <w:rPr>
                <w:sz w:val="20"/>
              </w:rPr>
            </w:pPr>
            <w:r w:rsidRPr="001D4A68">
              <w:rPr>
                <w:sz w:val="20"/>
              </w:rPr>
              <w:t xml:space="preserve">Intellectual property — Patents — Medicines — Patentee obtaining order of prohibition for a patent later declared invalid — Generic company applying to have prohibition order and underlying application set aside — Is liability for damages by an innovator drug company to a generic drug company required in order to maintain balance at the heart of the </w:t>
            </w:r>
            <w:r w:rsidRPr="001D4A68">
              <w:rPr>
                <w:i/>
                <w:sz w:val="20"/>
              </w:rPr>
              <w:t>Patented Medicines (Notice of Compliance)</w:t>
            </w:r>
            <w:r w:rsidRPr="001D4A68">
              <w:rPr>
                <w:sz w:val="20"/>
              </w:rPr>
              <w:t xml:space="preserve"> </w:t>
            </w:r>
            <w:r w:rsidRPr="001D4A68">
              <w:rPr>
                <w:i/>
                <w:sz w:val="20"/>
              </w:rPr>
              <w:t>Regulations</w:t>
            </w:r>
            <w:r w:rsidRPr="001D4A68">
              <w:rPr>
                <w:sz w:val="20"/>
              </w:rPr>
              <w:t>, SOR/93</w:t>
            </w:r>
            <w:r w:rsidRPr="001D4A68">
              <w:rPr>
                <w:sz w:val="20"/>
              </w:rPr>
              <w:noBreakHyphen/>
              <w:t xml:space="preserve">133 when the patent used to prohibit the approval of a generic drug is later declared invalid? — Whether order of prohibition should be set aside pursuant to </w:t>
            </w:r>
            <w:r w:rsidRPr="001D4A68">
              <w:rPr>
                <w:i/>
                <w:sz w:val="20"/>
              </w:rPr>
              <w:t>Federal Courts Rule</w:t>
            </w:r>
            <w:r w:rsidRPr="001D4A68">
              <w:rPr>
                <w:sz w:val="20"/>
              </w:rPr>
              <w:t xml:space="preserve"> 399(2)(a), as a matter subsequently arising, or pursuant the Court’s inherent jurisdiction? — Should order of prohibition be set aside pursuant to the </w:t>
            </w:r>
            <w:r w:rsidRPr="001D4A68">
              <w:rPr>
                <w:i/>
                <w:sz w:val="20"/>
              </w:rPr>
              <w:t>Federal Courts Rule</w:t>
            </w:r>
            <w:r w:rsidRPr="001D4A68">
              <w:rPr>
                <w:sz w:val="20"/>
              </w:rPr>
              <w:t xml:space="preserve"> 399(2)(b), which pertains to fraud, or pursuant to the Court’s inherent jurisdiction, when the patent which was used to secure a prohibition order is later declared invalid because it contains incorrect statements which are intended to mislead contrary to s. 53 of the </w:t>
            </w:r>
            <w:r w:rsidRPr="001D4A68">
              <w:rPr>
                <w:i/>
                <w:sz w:val="20"/>
              </w:rPr>
              <w:t>Patent Act</w:t>
            </w:r>
            <w:r w:rsidRPr="001D4A68">
              <w:rPr>
                <w:sz w:val="20"/>
              </w:rPr>
              <w:t>?</w:t>
            </w:r>
          </w:p>
          <w:p w:rsidR="009B1554" w:rsidRPr="001D4A68" w:rsidRDefault="009B1554" w:rsidP="009B1554">
            <w:pPr>
              <w:rPr>
                <w:sz w:val="20"/>
              </w:rPr>
            </w:pPr>
          </w:p>
        </w:tc>
      </w:tr>
      <w:tr w:rsidR="009B1554" w:rsidRPr="001D4A68" w:rsidTr="009B1554">
        <w:tc>
          <w:tcPr>
            <w:tcW w:w="5000" w:type="pct"/>
            <w:gridSpan w:val="3"/>
          </w:tcPr>
          <w:p w:rsidR="009B1554" w:rsidRPr="001D4A68" w:rsidRDefault="009B1554" w:rsidP="009B1554">
            <w:pPr>
              <w:pStyle w:val="loose"/>
              <w:spacing w:before="0"/>
              <w:jc w:val="both"/>
              <w:rPr>
                <w:sz w:val="20"/>
                <w:szCs w:val="20"/>
              </w:rPr>
            </w:pPr>
            <w:r w:rsidRPr="001D4A68">
              <w:rPr>
                <w:sz w:val="20"/>
                <w:szCs w:val="20"/>
                <w:lang w:val="en-CA"/>
              </w:rPr>
              <w:t xml:space="preserve">Pfizer Canada Inc. and Pfizer Limited (“Pfizer”) own the ‘393 patent </w:t>
            </w:r>
            <w:r w:rsidRPr="001D4A68">
              <w:rPr>
                <w:sz w:val="20"/>
                <w:szCs w:val="20"/>
              </w:rPr>
              <w:t xml:space="preserve">for the besylate salt of amlodipine, a blockbuster cardiac drug sold under the name, Norvasc.  The promise of the invention was that the besylate salt was a "unique combination" and "outstandingly suitable" for the preparation of the pharmaceutical formulation of amlodipine.  Ratiopharm Inc. (“Ratiopharm”) sought regulatory approval to bring its generic version of Norvasc to market.  On June 9, 2006, the Federal Court of Appeal issued an order prohibiting the Minister from granting a Notice of Compliance to Ratiopharm to market its generic version of Norvasc. In subsequent impeachment proceedings, Ratiopharm successfully had the ‘393 patent declared invalid due to obviousness, lack of utility and lack of sufficiency.  The next day, Ratiopharm received its NOC.  Ratiopharm then filed a motion to set aside the June 9, 2006 order and to dismiss Pfizer’s underlying application.  </w:t>
            </w:r>
          </w:p>
          <w:p w:rsidR="009B1554" w:rsidRPr="001D4A68" w:rsidRDefault="009B1554" w:rsidP="009B1554">
            <w:pPr>
              <w:rPr>
                <w:sz w:val="20"/>
              </w:rPr>
            </w:pPr>
          </w:p>
        </w:tc>
      </w:tr>
      <w:tr w:rsidR="009B1554" w:rsidRPr="001D4A68" w:rsidTr="009B1554">
        <w:tc>
          <w:tcPr>
            <w:tcW w:w="2427" w:type="pct"/>
          </w:tcPr>
          <w:p w:rsidR="009B1554" w:rsidRPr="001D4A68" w:rsidRDefault="009B1554" w:rsidP="009B1554">
            <w:pPr>
              <w:rPr>
                <w:sz w:val="20"/>
              </w:rPr>
            </w:pPr>
            <w:r w:rsidRPr="001D4A68">
              <w:rPr>
                <w:sz w:val="20"/>
              </w:rPr>
              <w:lastRenderedPageBreak/>
              <w:t>February 17, 2006</w:t>
            </w:r>
          </w:p>
          <w:p w:rsidR="009B1554" w:rsidRPr="001D4A68" w:rsidRDefault="009B1554" w:rsidP="009B1554">
            <w:pPr>
              <w:rPr>
                <w:sz w:val="20"/>
              </w:rPr>
            </w:pPr>
            <w:r w:rsidRPr="001D4A68">
              <w:rPr>
                <w:sz w:val="20"/>
              </w:rPr>
              <w:t>Federal Court</w:t>
            </w:r>
          </w:p>
          <w:p w:rsidR="009B1554" w:rsidRPr="001D4A68" w:rsidRDefault="009B1554" w:rsidP="009B1554">
            <w:pPr>
              <w:rPr>
                <w:sz w:val="20"/>
              </w:rPr>
            </w:pPr>
            <w:r w:rsidRPr="001D4A68">
              <w:rPr>
                <w:sz w:val="20"/>
              </w:rPr>
              <w:t>(Von Finckenstein J.)</w:t>
            </w:r>
          </w:p>
          <w:p w:rsidR="009B1554" w:rsidRPr="001D4A68" w:rsidRDefault="009B1554" w:rsidP="009B1554">
            <w:pPr>
              <w:rPr>
                <w:sz w:val="20"/>
              </w:rPr>
            </w:pPr>
            <w:r w:rsidRPr="001D4A68">
              <w:rPr>
                <w:sz w:val="20"/>
              </w:rPr>
              <w:t>2006 FC 220</w:t>
            </w:r>
          </w:p>
          <w:p w:rsidR="009B1554" w:rsidRPr="001D4A68" w:rsidRDefault="009B1554" w:rsidP="009B1554">
            <w:pPr>
              <w:rPr>
                <w:sz w:val="20"/>
              </w:rPr>
            </w:pPr>
          </w:p>
        </w:tc>
        <w:tc>
          <w:tcPr>
            <w:tcW w:w="243" w:type="pct"/>
          </w:tcPr>
          <w:p w:rsidR="009B1554" w:rsidRPr="001D4A68" w:rsidRDefault="009B1554" w:rsidP="009B1554">
            <w:pPr>
              <w:rPr>
                <w:sz w:val="20"/>
              </w:rPr>
            </w:pPr>
          </w:p>
        </w:tc>
        <w:tc>
          <w:tcPr>
            <w:tcW w:w="2330" w:type="pct"/>
          </w:tcPr>
          <w:p w:rsidR="009B1554" w:rsidRPr="001D4A68" w:rsidRDefault="009B1554" w:rsidP="009B1554">
            <w:pPr>
              <w:jc w:val="both"/>
              <w:rPr>
                <w:sz w:val="20"/>
              </w:rPr>
            </w:pPr>
            <w:r w:rsidRPr="001D4A68">
              <w:rPr>
                <w:sz w:val="20"/>
              </w:rPr>
              <w:t xml:space="preserve">Pfizer’s application for prohibition order dismissed </w:t>
            </w:r>
          </w:p>
          <w:p w:rsidR="009B1554" w:rsidRPr="001D4A68" w:rsidRDefault="009B1554" w:rsidP="009B1554">
            <w:pPr>
              <w:jc w:val="both"/>
              <w:rPr>
                <w:sz w:val="20"/>
              </w:rPr>
            </w:pPr>
          </w:p>
        </w:tc>
      </w:tr>
      <w:tr w:rsidR="009B1554" w:rsidRPr="001D4A68" w:rsidTr="009B1554">
        <w:tc>
          <w:tcPr>
            <w:tcW w:w="2427" w:type="pct"/>
          </w:tcPr>
          <w:p w:rsidR="009B1554" w:rsidRPr="001D4A68" w:rsidRDefault="009B1554" w:rsidP="009B1554">
            <w:pPr>
              <w:rPr>
                <w:sz w:val="20"/>
              </w:rPr>
            </w:pPr>
            <w:r w:rsidRPr="001D4A68">
              <w:rPr>
                <w:sz w:val="20"/>
              </w:rPr>
              <w:t>June 9, 2006</w:t>
            </w:r>
          </w:p>
          <w:p w:rsidR="009B1554" w:rsidRPr="001D4A68" w:rsidRDefault="009B1554" w:rsidP="009B1554">
            <w:pPr>
              <w:rPr>
                <w:sz w:val="20"/>
              </w:rPr>
            </w:pPr>
            <w:r w:rsidRPr="001D4A68">
              <w:rPr>
                <w:sz w:val="20"/>
              </w:rPr>
              <w:t>Federal Court of Appeal</w:t>
            </w:r>
          </w:p>
          <w:p w:rsidR="009B1554" w:rsidRPr="001D4A68" w:rsidRDefault="009B1554" w:rsidP="009B1554">
            <w:pPr>
              <w:rPr>
                <w:sz w:val="20"/>
              </w:rPr>
            </w:pPr>
            <w:r w:rsidRPr="001D4A68">
              <w:rPr>
                <w:sz w:val="20"/>
              </w:rPr>
              <w:t>(Linden, Létourneau and Malone JJ.A.)</w:t>
            </w:r>
          </w:p>
          <w:p w:rsidR="009B1554" w:rsidRPr="001D4A68" w:rsidRDefault="009B1554" w:rsidP="009B1554">
            <w:pPr>
              <w:rPr>
                <w:sz w:val="20"/>
              </w:rPr>
            </w:pPr>
            <w:r w:rsidRPr="001D4A68">
              <w:rPr>
                <w:sz w:val="20"/>
              </w:rPr>
              <w:t>2006 FCA 214</w:t>
            </w:r>
          </w:p>
          <w:p w:rsidR="009B1554" w:rsidRPr="001D4A68" w:rsidRDefault="009B1554" w:rsidP="009B1554">
            <w:pPr>
              <w:rPr>
                <w:sz w:val="20"/>
                <w:lang w:val="fr-CA"/>
              </w:rPr>
            </w:pPr>
          </w:p>
        </w:tc>
        <w:tc>
          <w:tcPr>
            <w:tcW w:w="243" w:type="pct"/>
          </w:tcPr>
          <w:p w:rsidR="009B1554" w:rsidRPr="001D4A68" w:rsidRDefault="009B1554" w:rsidP="009B1554">
            <w:pPr>
              <w:rPr>
                <w:sz w:val="20"/>
                <w:lang w:val="fr-CA"/>
              </w:rPr>
            </w:pPr>
          </w:p>
        </w:tc>
        <w:tc>
          <w:tcPr>
            <w:tcW w:w="2330" w:type="pct"/>
          </w:tcPr>
          <w:p w:rsidR="009B1554" w:rsidRPr="001D4A68" w:rsidRDefault="009B1554" w:rsidP="009B1554">
            <w:pPr>
              <w:jc w:val="both"/>
              <w:rPr>
                <w:sz w:val="20"/>
              </w:rPr>
            </w:pPr>
            <w:r w:rsidRPr="001D4A68">
              <w:rPr>
                <w:sz w:val="20"/>
              </w:rPr>
              <w:t>Pfizer’s appeal allowed; Order prohibiting Minister from granting Notice of Compliance to Ratiopharm</w:t>
            </w:r>
          </w:p>
          <w:p w:rsidR="009B1554" w:rsidRPr="001D4A68" w:rsidRDefault="009B1554" w:rsidP="009B1554">
            <w:pPr>
              <w:jc w:val="both"/>
              <w:rPr>
                <w:sz w:val="20"/>
              </w:rPr>
            </w:pPr>
          </w:p>
          <w:p w:rsidR="009B1554" w:rsidRPr="001D4A68" w:rsidRDefault="009B1554" w:rsidP="009B1554">
            <w:pPr>
              <w:jc w:val="both"/>
              <w:rPr>
                <w:sz w:val="20"/>
              </w:rPr>
            </w:pPr>
          </w:p>
        </w:tc>
      </w:tr>
      <w:tr w:rsidR="009B1554" w:rsidRPr="001D4A68" w:rsidTr="009B1554">
        <w:tc>
          <w:tcPr>
            <w:tcW w:w="2427" w:type="pct"/>
          </w:tcPr>
          <w:p w:rsidR="009B1554" w:rsidRPr="001D4A68" w:rsidRDefault="009B1554" w:rsidP="009B1554">
            <w:pPr>
              <w:rPr>
                <w:sz w:val="20"/>
              </w:rPr>
            </w:pPr>
            <w:r w:rsidRPr="001D4A68">
              <w:rPr>
                <w:sz w:val="20"/>
              </w:rPr>
              <w:t>December 17, 2007</w:t>
            </w:r>
          </w:p>
          <w:p w:rsidR="009B1554" w:rsidRPr="001D4A68" w:rsidRDefault="009B1554" w:rsidP="009B1554">
            <w:pPr>
              <w:rPr>
                <w:sz w:val="20"/>
              </w:rPr>
            </w:pPr>
            <w:r w:rsidRPr="001D4A68">
              <w:rPr>
                <w:sz w:val="20"/>
              </w:rPr>
              <w:t>Federal Court of Appeal</w:t>
            </w:r>
          </w:p>
          <w:p w:rsidR="009B1554" w:rsidRPr="001D4A68" w:rsidRDefault="009B1554" w:rsidP="009B1554">
            <w:pPr>
              <w:rPr>
                <w:sz w:val="20"/>
              </w:rPr>
            </w:pPr>
            <w:r w:rsidRPr="001D4A68">
              <w:rPr>
                <w:sz w:val="20"/>
              </w:rPr>
              <w:t>(Létourneau J.)</w:t>
            </w:r>
          </w:p>
          <w:p w:rsidR="009B1554" w:rsidRPr="001D4A68" w:rsidRDefault="009B1554" w:rsidP="009B1554">
            <w:pPr>
              <w:rPr>
                <w:sz w:val="20"/>
              </w:rPr>
            </w:pPr>
            <w:r w:rsidRPr="001D4A68">
              <w:rPr>
                <w:sz w:val="20"/>
              </w:rPr>
              <w:t>2007 FC 407</w:t>
            </w:r>
          </w:p>
          <w:p w:rsidR="009B1554" w:rsidRPr="001D4A68" w:rsidRDefault="009B1554" w:rsidP="009B1554">
            <w:pPr>
              <w:rPr>
                <w:sz w:val="20"/>
              </w:rPr>
            </w:pPr>
          </w:p>
        </w:tc>
        <w:tc>
          <w:tcPr>
            <w:tcW w:w="243" w:type="pct"/>
          </w:tcPr>
          <w:p w:rsidR="009B1554" w:rsidRPr="001D4A68" w:rsidRDefault="009B1554" w:rsidP="009B1554">
            <w:pPr>
              <w:rPr>
                <w:sz w:val="20"/>
              </w:rPr>
            </w:pPr>
          </w:p>
        </w:tc>
        <w:tc>
          <w:tcPr>
            <w:tcW w:w="2330" w:type="pct"/>
          </w:tcPr>
          <w:p w:rsidR="009B1554" w:rsidRPr="001D4A68" w:rsidRDefault="009B1554" w:rsidP="009B1554">
            <w:pPr>
              <w:jc w:val="both"/>
              <w:rPr>
                <w:sz w:val="20"/>
              </w:rPr>
            </w:pPr>
            <w:r w:rsidRPr="001D4A68">
              <w:rPr>
                <w:sz w:val="20"/>
              </w:rPr>
              <w:t>Ratiopharm’s application to set aside June 9, 2006 order dismissed</w:t>
            </w:r>
          </w:p>
        </w:tc>
      </w:tr>
      <w:tr w:rsidR="009B1554" w:rsidRPr="001D4A68" w:rsidTr="009B1554">
        <w:tc>
          <w:tcPr>
            <w:tcW w:w="2427" w:type="pct"/>
          </w:tcPr>
          <w:p w:rsidR="009B1554" w:rsidRPr="001D4A68" w:rsidRDefault="009B1554" w:rsidP="009B1554">
            <w:pPr>
              <w:rPr>
                <w:sz w:val="20"/>
              </w:rPr>
            </w:pPr>
            <w:r w:rsidRPr="001D4A68">
              <w:rPr>
                <w:sz w:val="20"/>
              </w:rPr>
              <w:t>July 8, 2009</w:t>
            </w:r>
          </w:p>
          <w:p w:rsidR="009B1554" w:rsidRPr="001D4A68" w:rsidRDefault="009B1554" w:rsidP="009B1554">
            <w:pPr>
              <w:rPr>
                <w:sz w:val="20"/>
              </w:rPr>
            </w:pPr>
            <w:r w:rsidRPr="001D4A68">
              <w:rPr>
                <w:sz w:val="20"/>
              </w:rPr>
              <w:t>Federal Court</w:t>
            </w:r>
          </w:p>
          <w:p w:rsidR="009B1554" w:rsidRPr="001D4A68" w:rsidRDefault="009B1554" w:rsidP="009B1554">
            <w:pPr>
              <w:rPr>
                <w:sz w:val="20"/>
              </w:rPr>
            </w:pPr>
            <w:r w:rsidRPr="001D4A68">
              <w:rPr>
                <w:sz w:val="20"/>
              </w:rPr>
              <w:t>(Hughes J.)</w:t>
            </w:r>
          </w:p>
          <w:p w:rsidR="009B1554" w:rsidRPr="001D4A68" w:rsidRDefault="009B1554" w:rsidP="009B1554">
            <w:pPr>
              <w:rPr>
                <w:sz w:val="20"/>
              </w:rPr>
            </w:pPr>
            <w:r w:rsidRPr="001D4A68">
              <w:rPr>
                <w:sz w:val="20"/>
              </w:rPr>
              <w:t>2009 FC 711</w:t>
            </w:r>
          </w:p>
          <w:p w:rsidR="009B1554" w:rsidRPr="001D4A68" w:rsidRDefault="009B1554" w:rsidP="009B1554">
            <w:pPr>
              <w:rPr>
                <w:sz w:val="20"/>
              </w:rPr>
            </w:pPr>
          </w:p>
        </w:tc>
        <w:tc>
          <w:tcPr>
            <w:tcW w:w="243" w:type="pct"/>
          </w:tcPr>
          <w:p w:rsidR="009B1554" w:rsidRPr="001D4A68" w:rsidRDefault="009B1554" w:rsidP="009B1554">
            <w:pPr>
              <w:rPr>
                <w:sz w:val="20"/>
              </w:rPr>
            </w:pPr>
          </w:p>
        </w:tc>
        <w:tc>
          <w:tcPr>
            <w:tcW w:w="2330" w:type="pct"/>
          </w:tcPr>
          <w:p w:rsidR="009B1554" w:rsidRPr="001D4A68" w:rsidRDefault="009B1554" w:rsidP="009B1554">
            <w:pPr>
              <w:jc w:val="both"/>
              <w:rPr>
                <w:sz w:val="20"/>
              </w:rPr>
            </w:pPr>
            <w:r w:rsidRPr="001D4A68">
              <w:rPr>
                <w:sz w:val="20"/>
              </w:rPr>
              <w:t xml:space="preserve">Pfizer’s ‘393 patent declared invalid under s. 60(1) of the </w:t>
            </w:r>
            <w:r w:rsidRPr="001D4A68">
              <w:rPr>
                <w:i/>
                <w:sz w:val="20"/>
              </w:rPr>
              <w:t>Patent Act</w:t>
            </w:r>
            <w:r w:rsidRPr="001D4A68">
              <w:rPr>
                <w:sz w:val="20"/>
              </w:rPr>
              <w:t xml:space="preserve"> in impeachment proceedings</w:t>
            </w:r>
          </w:p>
          <w:p w:rsidR="009B1554" w:rsidRPr="001D4A68" w:rsidRDefault="009B1554" w:rsidP="009B1554">
            <w:pPr>
              <w:jc w:val="both"/>
              <w:rPr>
                <w:sz w:val="20"/>
              </w:rPr>
            </w:pPr>
          </w:p>
        </w:tc>
      </w:tr>
      <w:tr w:rsidR="009B1554" w:rsidRPr="001D4A68" w:rsidTr="009B1554">
        <w:tc>
          <w:tcPr>
            <w:tcW w:w="2427" w:type="pct"/>
          </w:tcPr>
          <w:p w:rsidR="009B1554" w:rsidRPr="001D4A68" w:rsidRDefault="009B1554" w:rsidP="009B1554">
            <w:pPr>
              <w:rPr>
                <w:sz w:val="20"/>
              </w:rPr>
            </w:pPr>
            <w:r w:rsidRPr="001D4A68">
              <w:rPr>
                <w:sz w:val="20"/>
              </w:rPr>
              <w:t>November 16, 2009</w:t>
            </w:r>
          </w:p>
          <w:p w:rsidR="009B1554" w:rsidRPr="001D4A68" w:rsidRDefault="009B1554" w:rsidP="009B1554">
            <w:pPr>
              <w:rPr>
                <w:sz w:val="20"/>
              </w:rPr>
            </w:pPr>
            <w:r w:rsidRPr="001D4A68">
              <w:rPr>
                <w:sz w:val="20"/>
              </w:rPr>
              <w:t>Federal Court</w:t>
            </w:r>
          </w:p>
          <w:p w:rsidR="009B1554" w:rsidRPr="001D4A68" w:rsidRDefault="009B1554" w:rsidP="009B1554">
            <w:pPr>
              <w:rPr>
                <w:sz w:val="20"/>
              </w:rPr>
            </w:pPr>
            <w:r w:rsidRPr="001D4A68">
              <w:rPr>
                <w:sz w:val="20"/>
              </w:rPr>
              <w:t>(Hughes J.)</w:t>
            </w:r>
          </w:p>
          <w:p w:rsidR="009B1554" w:rsidRPr="001D4A68" w:rsidRDefault="009B1554" w:rsidP="009B1554">
            <w:pPr>
              <w:rPr>
                <w:sz w:val="20"/>
              </w:rPr>
            </w:pPr>
            <w:r w:rsidRPr="001D4A68">
              <w:rPr>
                <w:sz w:val="20"/>
              </w:rPr>
              <w:t>2009 FC 1165</w:t>
            </w:r>
          </w:p>
        </w:tc>
        <w:tc>
          <w:tcPr>
            <w:tcW w:w="243" w:type="pct"/>
          </w:tcPr>
          <w:p w:rsidR="009B1554" w:rsidRPr="001D4A68" w:rsidRDefault="009B1554" w:rsidP="009B1554">
            <w:pPr>
              <w:rPr>
                <w:sz w:val="20"/>
              </w:rPr>
            </w:pPr>
          </w:p>
        </w:tc>
        <w:tc>
          <w:tcPr>
            <w:tcW w:w="2330" w:type="pct"/>
          </w:tcPr>
          <w:p w:rsidR="009B1554" w:rsidRPr="001D4A68" w:rsidRDefault="009B1554" w:rsidP="009B1554">
            <w:pPr>
              <w:jc w:val="both"/>
              <w:rPr>
                <w:sz w:val="20"/>
              </w:rPr>
            </w:pPr>
            <w:r w:rsidRPr="001D4A68">
              <w:rPr>
                <w:sz w:val="20"/>
              </w:rPr>
              <w:t>Ratiopharm’s motion to set aside the order of the Federal Court of Appeal dated June 9, 2006 and to dismiss Pfizer’s application in that proceeding, dismissed.  Pfizer’s cross</w:t>
            </w:r>
            <w:r w:rsidRPr="001D4A68">
              <w:rPr>
                <w:sz w:val="20"/>
              </w:rPr>
              <w:noBreakHyphen/>
              <w:t>motion to quash Ratiopharm’s motion dismissed</w:t>
            </w:r>
          </w:p>
          <w:p w:rsidR="009B1554" w:rsidRPr="001D4A68" w:rsidRDefault="009B1554" w:rsidP="009B1554">
            <w:pPr>
              <w:jc w:val="both"/>
              <w:rPr>
                <w:sz w:val="20"/>
              </w:rPr>
            </w:pPr>
          </w:p>
        </w:tc>
      </w:tr>
      <w:tr w:rsidR="009B1554" w:rsidRPr="001D4A68" w:rsidTr="009B1554">
        <w:tc>
          <w:tcPr>
            <w:tcW w:w="2427" w:type="pct"/>
          </w:tcPr>
          <w:p w:rsidR="009B1554" w:rsidRPr="001D4A68" w:rsidRDefault="009B1554" w:rsidP="009B1554">
            <w:pPr>
              <w:rPr>
                <w:sz w:val="20"/>
              </w:rPr>
            </w:pPr>
            <w:r w:rsidRPr="001D4A68">
              <w:rPr>
                <w:sz w:val="20"/>
              </w:rPr>
              <w:t>June 28, 2011</w:t>
            </w:r>
          </w:p>
          <w:p w:rsidR="009B1554" w:rsidRPr="001D4A68" w:rsidRDefault="009B1554" w:rsidP="009B1554">
            <w:pPr>
              <w:rPr>
                <w:sz w:val="20"/>
              </w:rPr>
            </w:pPr>
            <w:r w:rsidRPr="001D4A68">
              <w:rPr>
                <w:sz w:val="20"/>
              </w:rPr>
              <w:t>Federal Court of Appeal</w:t>
            </w:r>
          </w:p>
          <w:p w:rsidR="009B1554" w:rsidRPr="001D4A68" w:rsidRDefault="009B1554" w:rsidP="009B1554">
            <w:pPr>
              <w:rPr>
                <w:sz w:val="20"/>
              </w:rPr>
            </w:pPr>
            <w:r w:rsidRPr="001D4A68">
              <w:rPr>
                <w:sz w:val="20"/>
              </w:rPr>
              <w:t>(Létourneau, Dawson and Stratas JJ.A.)</w:t>
            </w:r>
          </w:p>
          <w:p w:rsidR="009B1554" w:rsidRPr="001D4A68" w:rsidRDefault="009B1554" w:rsidP="009B1554">
            <w:pPr>
              <w:rPr>
                <w:sz w:val="20"/>
              </w:rPr>
            </w:pPr>
            <w:r w:rsidRPr="001D4A68">
              <w:rPr>
                <w:sz w:val="20"/>
              </w:rPr>
              <w:t>2011 FCA 215</w:t>
            </w:r>
          </w:p>
          <w:p w:rsidR="009B1554" w:rsidRPr="001D4A68" w:rsidRDefault="009B1554" w:rsidP="009B1554">
            <w:pPr>
              <w:rPr>
                <w:sz w:val="20"/>
              </w:rPr>
            </w:pPr>
            <w:r w:rsidRPr="001D4A68">
              <w:rPr>
                <w:sz w:val="20"/>
              </w:rPr>
              <w:t>Docket: A</w:t>
            </w:r>
            <w:r w:rsidRPr="001D4A68">
              <w:rPr>
                <w:sz w:val="20"/>
              </w:rPr>
              <w:noBreakHyphen/>
              <w:t>75</w:t>
            </w:r>
            <w:r w:rsidRPr="001D4A68">
              <w:rPr>
                <w:sz w:val="20"/>
              </w:rPr>
              <w:noBreakHyphen/>
              <w:t>06</w:t>
            </w:r>
          </w:p>
          <w:p w:rsidR="009B1554" w:rsidRPr="001D4A68" w:rsidRDefault="009B1554" w:rsidP="009B1554">
            <w:pPr>
              <w:rPr>
                <w:sz w:val="20"/>
                <w:lang w:val="fr-CA"/>
              </w:rPr>
            </w:pPr>
          </w:p>
        </w:tc>
        <w:tc>
          <w:tcPr>
            <w:tcW w:w="243" w:type="pct"/>
          </w:tcPr>
          <w:p w:rsidR="009B1554" w:rsidRPr="001D4A68" w:rsidRDefault="009B1554" w:rsidP="009B1554">
            <w:pPr>
              <w:rPr>
                <w:sz w:val="20"/>
                <w:lang w:val="fr-CA"/>
              </w:rPr>
            </w:pPr>
          </w:p>
        </w:tc>
        <w:tc>
          <w:tcPr>
            <w:tcW w:w="2330" w:type="pct"/>
          </w:tcPr>
          <w:p w:rsidR="009B1554" w:rsidRPr="001D4A68" w:rsidRDefault="009B1554" w:rsidP="009B1554">
            <w:pPr>
              <w:jc w:val="both"/>
              <w:rPr>
                <w:sz w:val="20"/>
              </w:rPr>
            </w:pPr>
            <w:r w:rsidRPr="001D4A68">
              <w:rPr>
                <w:sz w:val="20"/>
              </w:rPr>
              <w:t>Ratiopharm’s motion to set aside the order of the Federal Court of Appeal dated June 9, 2006 and to dismiss Pfizer’s application, dismissed.</w:t>
            </w:r>
          </w:p>
          <w:p w:rsidR="009B1554" w:rsidRPr="001D4A68" w:rsidRDefault="009B1554" w:rsidP="009B1554">
            <w:pPr>
              <w:jc w:val="both"/>
              <w:rPr>
                <w:sz w:val="20"/>
              </w:rPr>
            </w:pPr>
          </w:p>
          <w:p w:rsidR="009B1554" w:rsidRPr="001D4A68" w:rsidRDefault="009B1554" w:rsidP="009B1554">
            <w:pPr>
              <w:jc w:val="both"/>
              <w:rPr>
                <w:sz w:val="20"/>
              </w:rPr>
            </w:pPr>
          </w:p>
        </w:tc>
      </w:tr>
      <w:tr w:rsidR="009B1554" w:rsidRPr="001D4A68" w:rsidTr="009B1554">
        <w:tc>
          <w:tcPr>
            <w:tcW w:w="2427" w:type="pct"/>
          </w:tcPr>
          <w:p w:rsidR="009B1554" w:rsidRPr="001D4A68" w:rsidRDefault="009B1554" w:rsidP="009B1554">
            <w:pPr>
              <w:rPr>
                <w:sz w:val="20"/>
              </w:rPr>
            </w:pPr>
            <w:r w:rsidRPr="001D4A68">
              <w:rPr>
                <w:sz w:val="20"/>
              </w:rPr>
              <w:t>September 27, 2011</w:t>
            </w:r>
          </w:p>
          <w:p w:rsidR="009B1554" w:rsidRPr="001D4A68" w:rsidRDefault="009B1554" w:rsidP="009B1554">
            <w:pPr>
              <w:rPr>
                <w:sz w:val="20"/>
              </w:rPr>
            </w:pPr>
            <w:r w:rsidRPr="001D4A68">
              <w:rPr>
                <w:sz w:val="20"/>
              </w:rPr>
              <w:t>Supreme Court of Canada</w:t>
            </w:r>
          </w:p>
        </w:tc>
        <w:tc>
          <w:tcPr>
            <w:tcW w:w="243" w:type="pct"/>
          </w:tcPr>
          <w:p w:rsidR="009B1554" w:rsidRPr="001D4A68" w:rsidRDefault="009B1554" w:rsidP="009B1554">
            <w:pPr>
              <w:rPr>
                <w:sz w:val="20"/>
              </w:rPr>
            </w:pPr>
          </w:p>
        </w:tc>
        <w:tc>
          <w:tcPr>
            <w:tcW w:w="2330" w:type="pct"/>
          </w:tcPr>
          <w:p w:rsidR="009B1554" w:rsidRPr="001D4A68" w:rsidRDefault="009B1554" w:rsidP="009B1554">
            <w:pPr>
              <w:jc w:val="both"/>
              <w:rPr>
                <w:sz w:val="20"/>
              </w:rPr>
            </w:pPr>
            <w:r w:rsidRPr="001D4A68">
              <w:rPr>
                <w:sz w:val="20"/>
              </w:rPr>
              <w:t>Application for leave to appeal filed</w:t>
            </w:r>
          </w:p>
          <w:p w:rsidR="009B1554" w:rsidRPr="001D4A68" w:rsidRDefault="009B1554" w:rsidP="009B1554">
            <w:pPr>
              <w:jc w:val="both"/>
              <w:rPr>
                <w:sz w:val="20"/>
              </w:rPr>
            </w:pPr>
          </w:p>
        </w:tc>
      </w:tr>
    </w:tbl>
    <w:p w:rsidR="009B58BA" w:rsidRPr="009B1554" w:rsidRDefault="009B58BA" w:rsidP="009B58BA">
      <w:pPr>
        <w:rPr>
          <w:sz w:val="20"/>
          <w:szCs w:val="20"/>
        </w:rPr>
      </w:pPr>
    </w:p>
    <w:p w:rsidR="009B58BA" w:rsidRPr="00C50A5C" w:rsidRDefault="00586706" w:rsidP="009B58BA">
      <w:pPr>
        <w:rPr>
          <w:sz w:val="20"/>
          <w:szCs w:val="20"/>
        </w:rPr>
      </w:pPr>
      <w:r w:rsidRPr="00586706">
        <w:rPr>
          <w:sz w:val="20"/>
          <w:szCs w:val="20"/>
          <w:lang w:val="fr-CA"/>
        </w:rPr>
        <w:pict>
          <v:rect id="_x0000_i1064" style="width:2in;height:1pt" o:hrpct="0" o:hralign="center" o:hrstd="t" o:hrnoshade="t" o:hr="t" fillcolor="black [3213]" stroked="f"/>
        </w:pict>
      </w:r>
    </w:p>
    <w:p w:rsidR="009B58BA" w:rsidRDefault="009B58BA" w:rsidP="009B58BA">
      <w:pPr>
        <w:rPr>
          <w:sz w:val="20"/>
          <w:szCs w:val="20"/>
        </w:rPr>
      </w:pPr>
    </w:p>
    <w:p w:rsidR="009B58BA" w:rsidRDefault="009B58BA" w:rsidP="009B58BA">
      <w:pPr>
        <w:rPr>
          <w:sz w:val="20"/>
          <w:szCs w:val="20"/>
          <w:lang w:val="fr-CA"/>
        </w:rPr>
      </w:pPr>
      <w:r w:rsidRPr="001B157C">
        <w:rPr>
          <w:sz w:val="20"/>
          <w:szCs w:val="20"/>
          <w:u w:val="single"/>
          <w:lang w:val="fr-CA"/>
        </w:rPr>
        <w:t>RÉSUMÉ DE L’AFFAIRE</w:t>
      </w:r>
    </w:p>
    <w:p w:rsidR="009B58BA" w:rsidRDefault="009B58BA" w:rsidP="009B58BA">
      <w:pPr>
        <w:rPr>
          <w:sz w:val="20"/>
          <w:szCs w:val="20"/>
          <w:lang w:val="fr-CA"/>
        </w:rPr>
      </w:pPr>
    </w:p>
    <w:tbl>
      <w:tblPr>
        <w:tblW w:w="4952" w:type="pct"/>
        <w:tblLayout w:type="fixed"/>
        <w:tblCellMar>
          <w:left w:w="0" w:type="dxa"/>
          <w:bottom w:w="99" w:type="dxa"/>
          <w:right w:w="0" w:type="dxa"/>
        </w:tblCellMar>
        <w:tblLook w:val="00A0"/>
      </w:tblPr>
      <w:tblGrid>
        <w:gridCol w:w="4624"/>
        <w:gridCol w:w="463"/>
        <w:gridCol w:w="4440"/>
      </w:tblGrid>
      <w:tr w:rsidR="009B1554" w:rsidRPr="001D4A68" w:rsidTr="009B1554">
        <w:tc>
          <w:tcPr>
            <w:tcW w:w="5000" w:type="pct"/>
            <w:gridSpan w:val="3"/>
          </w:tcPr>
          <w:p w:rsidR="009B1554" w:rsidRPr="001D4A68" w:rsidRDefault="009B1554" w:rsidP="009B1554">
            <w:pPr>
              <w:spacing w:after="200"/>
              <w:jc w:val="both"/>
              <w:rPr>
                <w:rFonts w:eastAsia="Calibri"/>
                <w:sz w:val="20"/>
                <w:lang w:val="fr-CA"/>
              </w:rPr>
            </w:pPr>
            <w:r w:rsidRPr="001D4A68">
              <w:rPr>
                <w:rFonts w:eastAsia="Calibri"/>
                <w:sz w:val="20"/>
                <w:lang w:val="fr-CA"/>
              </w:rPr>
              <w:t>(</w:t>
            </w:r>
            <w:r w:rsidRPr="001D4A68">
              <w:rPr>
                <w:rFonts w:eastAsia="Calibri"/>
                <w:smallCaps/>
                <w:sz w:val="20"/>
                <w:lang w:val="fr-CA"/>
              </w:rPr>
              <w:t>Ordonnance de non</w:t>
            </w:r>
            <w:r w:rsidRPr="001D4A68">
              <w:rPr>
                <w:rFonts w:eastAsia="Calibri"/>
                <w:smallCaps/>
                <w:sz w:val="20"/>
                <w:lang w:val="fr-CA"/>
              </w:rPr>
              <w:noBreakHyphen/>
              <w:t>publication dans le dossier</w:t>
            </w:r>
            <w:r w:rsidRPr="001D4A68">
              <w:rPr>
                <w:rFonts w:eastAsia="Calibri"/>
                <w:sz w:val="20"/>
                <w:lang w:val="fr-CA"/>
              </w:rPr>
              <w:t xml:space="preserve">) </w:t>
            </w:r>
          </w:p>
          <w:p w:rsidR="009B1554" w:rsidRPr="001D4A68" w:rsidRDefault="009B1554" w:rsidP="009B1554">
            <w:pPr>
              <w:jc w:val="both"/>
              <w:rPr>
                <w:rFonts w:eastAsia="Calibri"/>
                <w:sz w:val="20"/>
                <w:lang w:val="fr-CA"/>
              </w:rPr>
            </w:pPr>
            <w:r w:rsidRPr="001D4A68">
              <w:rPr>
                <w:rFonts w:eastAsia="Calibri"/>
                <w:sz w:val="20"/>
                <w:lang w:val="fr-CA"/>
              </w:rPr>
              <w:t>Propriété intellectuelle — Brevets — Médicaments — Le breveté a obtenu une ordonnance d'interdiction pour un brevet déclaré invalide par la suite — Le fabricant de médicaments génériques a demandé l'annulation de l'ordonnance d'interdiction et de la demande sous</w:t>
            </w:r>
            <w:r w:rsidRPr="001D4A68">
              <w:rPr>
                <w:rFonts w:eastAsia="Calibri"/>
                <w:sz w:val="20"/>
                <w:lang w:val="fr-CA"/>
              </w:rPr>
              <w:noBreakHyphen/>
              <w:t xml:space="preserve">jacente </w:t>
            </w:r>
            <w:r w:rsidRPr="001D4A68">
              <w:rPr>
                <w:rFonts w:eastAsia="Calibri"/>
                <w:sz w:val="20"/>
                <w:lang w:val="fr-CA"/>
              </w:rPr>
              <w:noBreakHyphen/>
              <w:t xml:space="preserve"> La responsabilité en dommages</w:t>
            </w:r>
            <w:r w:rsidRPr="001D4A68">
              <w:rPr>
                <w:rFonts w:eastAsia="Calibri"/>
                <w:sz w:val="20"/>
                <w:lang w:val="fr-CA"/>
              </w:rPr>
              <w:noBreakHyphen/>
              <w:t>intérêts d'une société pharmaceutique innovatrice envers un fabricant de médicaments génériques est</w:t>
            </w:r>
            <w:r w:rsidRPr="001D4A68">
              <w:rPr>
                <w:rFonts w:eastAsia="Calibri"/>
                <w:sz w:val="20"/>
                <w:lang w:val="fr-CA"/>
              </w:rPr>
              <w:noBreakHyphen/>
              <w:t>elle nécessaire pour assurer l’équilibre au cœur du</w:t>
            </w:r>
            <w:r w:rsidRPr="001D4A68">
              <w:rPr>
                <w:rFonts w:eastAsia="Calibri"/>
                <w:i/>
                <w:sz w:val="20"/>
                <w:lang w:val="fr-CA"/>
              </w:rPr>
              <w:t xml:space="preserve"> Règlement sur les médicaments brevetés (avis de conformité)</w:t>
            </w:r>
            <w:r w:rsidRPr="001D4A68">
              <w:rPr>
                <w:rFonts w:eastAsia="Calibri"/>
                <w:sz w:val="20"/>
                <w:lang w:val="fr-CA"/>
              </w:rPr>
              <w:t>, DORS/93</w:t>
            </w:r>
            <w:r w:rsidRPr="001D4A68">
              <w:rPr>
                <w:rFonts w:eastAsia="Calibri"/>
                <w:sz w:val="20"/>
                <w:lang w:val="fr-CA"/>
              </w:rPr>
              <w:noBreakHyphen/>
              <w:t>133 lorsque le brevet invoqué pour interdire l'approbation d'un médicament générique est déclaré invalide par la suite? — L'ordonnance d'interdiction devrait</w:t>
            </w:r>
            <w:r w:rsidRPr="001D4A68">
              <w:rPr>
                <w:rFonts w:eastAsia="Calibri"/>
                <w:sz w:val="20"/>
                <w:lang w:val="fr-CA"/>
              </w:rPr>
              <w:noBreakHyphen/>
              <w:t>elle être annulée en vertu de la règle 399(2)</w:t>
            </w:r>
            <w:r w:rsidRPr="001D4A68">
              <w:rPr>
                <w:rFonts w:eastAsia="Calibri"/>
                <w:i/>
                <w:sz w:val="20"/>
                <w:lang w:val="fr-CA"/>
              </w:rPr>
              <w:t>a</w:t>
            </w:r>
            <w:r w:rsidRPr="001D4A68">
              <w:rPr>
                <w:rFonts w:eastAsia="Calibri"/>
                <w:sz w:val="20"/>
                <w:lang w:val="fr-CA"/>
              </w:rPr>
              <w:t>) des</w:t>
            </w:r>
            <w:r w:rsidRPr="001D4A68">
              <w:rPr>
                <w:rFonts w:eastAsia="Calibri"/>
                <w:i/>
                <w:sz w:val="20"/>
                <w:lang w:val="fr-CA"/>
              </w:rPr>
              <w:t xml:space="preserve"> Règles des Cours fédérales</w:t>
            </w:r>
            <w:r w:rsidRPr="001D4A68">
              <w:rPr>
                <w:rFonts w:eastAsia="Calibri"/>
                <w:sz w:val="20"/>
                <w:lang w:val="fr-CA"/>
              </w:rPr>
              <w:t xml:space="preserve"> en tant que question survenue par la suite ou en vertu de la compétence inhérente de la Cour? </w:t>
            </w:r>
            <w:r w:rsidRPr="001D4A68">
              <w:rPr>
                <w:rFonts w:eastAsia="Calibri"/>
                <w:sz w:val="20"/>
                <w:lang w:val="fr-CA"/>
              </w:rPr>
              <w:noBreakHyphen/>
              <w:t xml:space="preserve"> L'ordonnance d'interdiction devrait</w:t>
            </w:r>
            <w:r w:rsidRPr="001D4A68">
              <w:rPr>
                <w:rFonts w:eastAsia="Calibri"/>
                <w:sz w:val="20"/>
                <w:lang w:val="fr-CA"/>
              </w:rPr>
              <w:noBreakHyphen/>
              <w:t>elle être annulée en vertu de la règle 399(2)</w:t>
            </w:r>
            <w:r w:rsidRPr="001D4A68">
              <w:rPr>
                <w:rFonts w:eastAsia="Calibri"/>
                <w:i/>
                <w:sz w:val="20"/>
                <w:lang w:val="fr-CA"/>
              </w:rPr>
              <w:t>b</w:t>
            </w:r>
            <w:r w:rsidRPr="001D4A68">
              <w:rPr>
                <w:rFonts w:eastAsia="Calibri"/>
                <w:sz w:val="20"/>
                <w:lang w:val="fr-CA"/>
              </w:rPr>
              <w:t>) des</w:t>
            </w:r>
            <w:r w:rsidRPr="001D4A68">
              <w:rPr>
                <w:rFonts w:eastAsia="Calibri"/>
                <w:i/>
                <w:sz w:val="20"/>
                <w:lang w:val="fr-CA"/>
              </w:rPr>
              <w:t xml:space="preserve"> Règles des Cours fédérales</w:t>
            </w:r>
            <w:r w:rsidRPr="001D4A68">
              <w:rPr>
                <w:rFonts w:eastAsia="Calibri"/>
                <w:sz w:val="20"/>
                <w:lang w:val="fr-CA"/>
              </w:rPr>
              <w:t xml:space="preserve">, qui a trait à la fraude, ou en vertu de la compétence inhérente de la </w:t>
            </w:r>
            <w:r w:rsidRPr="001D4A68">
              <w:rPr>
                <w:rFonts w:eastAsia="Calibri"/>
                <w:sz w:val="20"/>
                <w:lang w:val="fr-CA"/>
              </w:rPr>
              <w:lastRenderedPageBreak/>
              <w:t>Cour, lorsque le brevet invoqué pour obtenir une ordonnance d'interdiction est déclaré invalide par la suite parce qu'il renferme des déclarations inexactes dans le but d'induire en erreur, contrairement à l'art. 53 de la</w:t>
            </w:r>
            <w:r w:rsidRPr="001D4A68">
              <w:rPr>
                <w:rFonts w:eastAsia="Calibri"/>
                <w:i/>
                <w:sz w:val="20"/>
                <w:lang w:val="fr-CA"/>
              </w:rPr>
              <w:t xml:space="preserve"> Loi sur les brevets</w:t>
            </w:r>
            <w:r w:rsidRPr="001D4A68">
              <w:rPr>
                <w:rFonts w:eastAsia="Calibri"/>
                <w:sz w:val="20"/>
                <w:lang w:val="fr-CA"/>
              </w:rPr>
              <w:t>?</w:t>
            </w:r>
          </w:p>
          <w:p w:rsidR="009B1554" w:rsidRPr="001D4A68" w:rsidRDefault="009B1554" w:rsidP="009B1554">
            <w:pPr>
              <w:jc w:val="both"/>
              <w:rPr>
                <w:rFonts w:eastAsia="Calibri"/>
                <w:sz w:val="20"/>
                <w:lang w:val="fr-CA"/>
              </w:rPr>
            </w:pPr>
          </w:p>
        </w:tc>
      </w:tr>
      <w:tr w:rsidR="009B1554" w:rsidRPr="004061E0" w:rsidTr="009B1554">
        <w:tc>
          <w:tcPr>
            <w:tcW w:w="5000" w:type="pct"/>
            <w:gridSpan w:val="3"/>
          </w:tcPr>
          <w:p w:rsidR="009B1554" w:rsidRPr="001D4A68" w:rsidRDefault="009B1554" w:rsidP="009B1554">
            <w:pPr>
              <w:jc w:val="both"/>
              <w:rPr>
                <w:color w:val="000000"/>
                <w:sz w:val="20"/>
                <w:lang w:val="fr-CA"/>
              </w:rPr>
            </w:pPr>
            <w:r w:rsidRPr="001D4A68">
              <w:rPr>
                <w:color w:val="000000"/>
                <w:sz w:val="20"/>
                <w:lang w:val="fr-CA"/>
              </w:rPr>
              <w:lastRenderedPageBreak/>
              <w:t>Pfizer Canada Inc. et Pfizer Limited (« Pfizer ») sont titulaires du brevet ‘393 pour le bésylate d’amlodipine, un médicament vedette pour le cœur commercialisé sous le nom de Norvasc.  La promesse de l’invention était que le bésylate était une « combinaison unique » et était  « nettement plus approprié » pour la préparation de la formulation pharmaceutique d’amlodipine.  Ratiopharm Inc. (« Ratiopharm ») a demandé l’approbation règlementaire pour commercialiser sa version générique du Norvasc.  Le 9 juin</w:t>
            </w:r>
            <w:r w:rsidRPr="001D4A68">
              <w:rPr>
                <w:sz w:val="20"/>
                <w:lang w:val="fr-CA"/>
              </w:rPr>
              <w:t xml:space="preserve"> 2006, la Cour d’appel fédérale a rendu une ordonnance interdisant au ministre de délivrer un avis de conformité à Ratiopharm pour commercialiser sa version générique du Norvasc. Dans une instance subséquente en invalidation, Ratiopharm a réussi à faire déclarer invalide le brevet ‘393 pour évidence, inutilité et insuffisance</w:t>
            </w:r>
            <w:r w:rsidRPr="001D4A68">
              <w:rPr>
                <w:color w:val="000000"/>
                <w:sz w:val="20"/>
                <w:lang w:val="fr-CA"/>
              </w:rPr>
              <w:t xml:space="preserve">.  </w:t>
            </w:r>
            <w:r w:rsidRPr="001D4A68">
              <w:rPr>
                <w:sz w:val="20"/>
                <w:lang w:val="fr-CA"/>
              </w:rPr>
              <w:t>Le jour suivant, Ratiopharm a reçu son AC.  Ratiopharm a alors déposé une requête en annulation de l’ordonnance du 9 juin 2006 et en rejet de la demande sous</w:t>
            </w:r>
            <w:r w:rsidRPr="001D4A68">
              <w:rPr>
                <w:sz w:val="20"/>
                <w:lang w:val="fr-CA"/>
              </w:rPr>
              <w:noBreakHyphen/>
              <w:t xml:space="preserve">jacente de Pfizer.  </w:t>
            </w:r>
          </w:p>
          <w:p w:rsidR="009B1554" w:rsidRPr="001D4A68" w:rsidRDefault="009B1554" w:rsidP="009B1554">
            <w:pPr>
              <w:jc w:val="both"/>
              <w:rPr>
                <w:rFonts w:eastAsia="Calibri"/>
                <w:sz w:val="20"/>
                <w:lang w:val="fr-CA"/>
              </w:rPr>
            </w:pP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17 février 2006</w:t>
            </w:r>
          </w:p>
          <w:p w:rsidR="009B1554" w:rsidRPr="001D4A68" w:rsidRDefault="009B1554" w:rsidP="009B1554">
            <w:pPr>
              <w:jc w:val="both"/>
              <w:rPr>
                <w:rFonts w:eastAsia="Calibri"/>
                <w:sz w:val="20"/>
                <w:lang w:val="fr-CA"/>
              </w:rPr>
            </w:pPr>
            <w:r w:rsidRPr="001D4A68">
              <w:rPr>
                <w:rFonts w:eastAsia="Calibri"/>
                <w:sz w:val="20"/>
                <w:lang w:val="fr-CA"/>
              </w:rPr>
              <w:t xml:space="preserve">Cours fédérale </w:t>
            </w:r>
          </w:p>
          <w:p w:rsidR="009B1554" w:rsidRPr="001D4A68" w:rsidRDefault="009B1554" w:rsidP="009B1554">
            <w:pPr>
              <w:jc w:val="both"/>
              <w:rPr>
                <w:rFonts w:eastAsia="Calibri"/>
                <w:sz w:val="20"/>
                <w:lang w:val="fr-CA"/>
              </w:rPr>
            </w:pPr>
            <w:r w:rsidRPr="001D4A68">
              <w:rPr>
                <w:rFonts w:eastAsia="Calibri"/>
                <w:sz w:val="20"/>
                <w:lang w:val="fr-CA"/>
              </w:rPr>
              <w:t>(Juge Von Finckenstein)</w:t>
            </w:r>
          </w:p>
          <w:p w:rsidR="009B1554" w:rsidRPr="001D4A68" w:rsidRDefault="009B1554" w:rsidP="009B1554">
            <w:pPr>
              <w:jc w:val="both"/>
              <w:rPr>
                <w:rFonts w:eastAsia="Calibri"/>
                <w:sz w:val="20"/>
                <w:lang w:val="fr-CA"/>
              </w:rPr>
            </w:pPr>
            <w:r w:rsidRPr="001D4A68">
              <w:rPr>
                <w:rFonts w:eastAsia="Calibri"/>
                <w:sz w:val="20"/>
                <w:lang w:val="fr-CA"/>
              </w:rPr>
              <w:t>2006 FC 220</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Demande de Pfizer en vue d'obtenir une ordonnance d'interdiction, rejetée</w:t>
            </w:r>
          </w:p>
          <w:p w:rsidR="009B1554" w:rsidRPr="001D4A68" w:rsidRDefault="009B1554" w:rsidP="009B1554">
            <w:pPr>
              <w:jc w:val="both"/>
              <w:rPr>
                <w:rFonts w:eastAsia="Calibri"/>
                <w:sz w:val="20"/>
                <w:lang w:val="fr-CA"/>
              </w:rPr>
            </w:pP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9 juin 2006</w:t>
            </w:r>
          </w:p>
          <w:p w:rsidR="009B1554" w:rsidRPr="001D4A68" w:rsidRDefault="009B1554" w:rsidP="009B1554">
            <w:pPr>
              <w:jc w:val="both"/>
              <w:rPr>
                <w:rFonts w:eastAsia="Calibri"/>
                <w:sz w:val="20"/>
                <w:lang w:val="fr-CA"/>
              </w:rPr>
            </w:pPr>
            <w:r w:rsidRPr="001D4A68">
              <w:rPr>
                <w:rFonts w:eastAsia="Calibri"/>
                <w:sz w:val="20"/>
                <w:lang w:val="fr-CA"/>
              </w:rPr>
              <w:t xml:space="preserve">Cour d'appel fédérale </w:t>
            </w:r>
          </w:p>
          <w:p w:rsidR="009B1554" w:rsidRPr="001D4A68" w:rsidRDefault="009B1554" w:rsidP="009B1554">
            <w:pPr>
              <w:jc w:val="both"/>
              <w:rPr>
                <w:rFonts w:eastAsia="Calibri"/>
                <w:sz w:val="20"/>
                <w:lang w:val="fr-CA"/>
              </w:rPr>
            </w:pPr>
            <w:r w:rsidRPr="001D4A68">
              <w:rPr>
                <w:rFonts w:eastAsia="Calibri"/>
                <w:sz w:val="20"/>
                <w:lang w:val="fr-CA"/>
              </w:rPr>
              <w:t>(Juges Linden, Létourneau et Malone)</w:t>
            </w:r>
          </w:p>
          <w:p w:rsidR="009B1554" w:rsidRPr="001D4A68" w:rsidRDefault="009B1554" w:rsidP="009B1554">
            <w:pPr>
              <w:jc w:val="both"/>
              <w:rPr>
                <w:rFonts w:eastAsia="Calibri"/>
                <w:sz w:val="20"/>
                <w:lang w:val="fr-CA"/>
              </w:rPr>
            </w:pPr>
            <w:r w:rsidRPr="001D4A68">
              <w:rPr>
                <w:rFonts w:eastAsia="Calibri"/>
                <w:sz w:val="20"/>
                <w:lang w:val="fr-CA"/>
              </w:rPr>
              <w:t>2006 FCA 214</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Appel de Pfizer, accueilli; ordonnance interdisant au ministre de délivrer un avis de conformité à Ratiopharm</w:t>
            </w:r>
          </w:p>
          <w:p w:rsidR="009B1554" w:rsidRPr="001D4A68" w:rsidRDefault="009B1554" w:rsidP="009B1554">
            <w:pPr>
              <w:jc w:val="both"/>
              <w:rPr>
                <w:rFonts w:eastAsia="Calibri"/>
                <w:sz w:val="20"/>
                <w:lang w:val="fr-CA"/>
              </w:rPr>
            </w:pPr>
          </w:p>
          <w:p w:rsidR="009B1554" w:rsidRPr="001D4A68" w:rsidRDefault="009B1554" w:rsidP="009B1554">
            <w:pPr>
              <w:jc w:val="both"/>
              <w:rPr>
                <w:rFonts w:eastAsia="Calibri"/>
                <w:sz w:val="20"/>
                <w:lang w:val="fr-CA"/>
              </w:rPr>
            </w:pP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17 décembre 2007</w:t>
            </w:r>
          </w:p>
          <w:p w:rsidR="009B1554" w:rsidRPr="001D4A68" w:rsidRDefault="009B1554" w:rsidP="009B1554">
            <w:pPr>
              <w:jc w:val="both"/>
              <w:rPr>
                <w:rFonts w:eastAsia="Calibri"/>
                <w:sz w:val="20"/>
                <w:lang w:val="fr-CA"/>
              </w:rPr>
            </w:pPr>
            <w:r w:rsidRPr="001D4A68">
              <w:rPr>
                <w:rFonts w:eastAsia="Calibri"/>
                <w:sz w:val="20"/>
                <w:lang w:val="fr-CA"/>
              </w:rPr>
              <w:t>Cour d'appel fédérale</w:t>
            </w:r>
          </w:p>
          <w:p w:rsidR="009B1554" w:rsidRPr="001D4A68" w:rsidRDefault="009B1554" w:rsidP="009B1554">
            <w:pPr>
              <w:jc w:val="both"/>
              <w:rPr>
                <w:rFonts w:eastAsia="Calibri"/>
                <w:sz w:val="20"/>
                <w:lang w:val="fr-CA"/>
              </w:rPr>
            </w:pPr>
            <w:r w:rsidRPr="001D4A68">
              <w:rPr>
                <w:rFonts w:eastAsia="Calibri"/>
                <w:sz w:val="20"/>
                <w:lang w:val="fr-CA"/>
              </w:rPr>
              <w:t>(Juge Létourneau)</w:t>
            </w:r>
          </w:p>
          <w:p w:rsidR="009B1554" w:rsidRPr="001D4A68" w:rsidRDefault="009B1554" w:rsidP="009B1554">
            <w:pPr>
              <w:jc w:val="both"/>
              <w:rPr>
                <w:rFonts w:eastAsia="Calibri"/>
                <w:sz w:val="20"/>
                <w:lang w:val="fr-CA"/>
              </w:rPr>
            </w:pPr>
            <w:r w:rsidRPr="001D4A68">
              <w:rPr>
                <w:rFonts w:eastAsia="Calibri"/>
                <w:sz w:val="20"/>
                <w:lang w:val="fr-CA"/>
              </w:rPr>
              <w:t>2007 FC 407</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Demande de Ratiopharm en annulation de l'ordonnance du 9 juin 2006, rejetée</w:t>
            </w:r>
          </w:p>
        </w:tc>
      </w:tr>
      <w:tr w:rsidR="009B1554" w:rsidRPr="004061E0" w:rsidTr="009B1554">
        <w:tc>
          <w:tcPr>
            <w:tcW w:w="2427" w:type="pct"/>
          </w:tcPr>
          <w:p w:rsidR="009B1554" w:rsidRPr="001D4A68" w:rsidRDefault="009B1554" w:rsidP="009B1554">
            <w:pPr>
              <w:jc w:val="both"/>
              <w:rPr>
                <w:rFonts w:eastAsia="Calibri"/>
                <w:sz w:val="20"/>
                <w:lang w:val="fr-CA"/>
              </w:rPr>
            </w:pPr>
            <w:r w:rsidRPr="001D4A68">
              <w:rPr>
                <w:rFonts w:eastAsia="Calibri"/>
                <w:sz w:val="20"/>
                <w:lang w:val="fr-CA"/>
              </w:rPr>
              <w:t>8 juillet 2009</w:t>
            </w:r>
          </w:p>
          <w:p w:rsidR="009B1554" w:rsidRPr="001D4A68" w:rsidRDefault="009B1554" w:rsidP="009B1554">
            <w:pPr>
              <w:jc w:val="both"/>
              <w:rPr>
                <w:rFonts w:eastAsia="Calibri"/>
                <w:sz w:val="20"/>
                <w:lang w:val="fr-CA"/>
              </w:rPr>
            </w:pPr>
            <w:r w:rsidRPr="001D4A68">
              <w:rPr>
                <w:rFonts w:eastAsia="Calibri"/>
                <w:sz w:val="20"/>
                <w:lang w:val="fr-CA"/>
              </w:rPr>
              <w:t>Cour fédérale</w:t>
            </w:r>
          </w:p>
          <w:p w:rsidR="009B1554" w:rsidRPr="001D4A68" w:rsidRDefault="009B1554" w:rsidP="009B1554">
            <w:pPr>
              <w:jc w:val="both"/>
              <w:rPr>
                <w:rFonts w:eastAsia="Calibri"/>
                <w:sz w:val="20"/>
                <w:lang w:val="fr-CA"/>
              </w:rPr>
            </w:pPr>
            <w:r w:rsidRPr="001D4A68">
              <w:rPr>
                <w:rFonts w:eastAsia="Calibri"/>
                <w:sz w:val="20"/>
                <w:lang w:val="fr-CA"/>
              </w:rPr>
              <w:t>(Juge Hughes)</w:t>
            </w:r>
          </w:p>
          <w:p w:rsidR="009B1554" w:rsidRPr="001D4A68" w:rsidRDefault="009B1554" w:rsidP="009B1554">
            <w:pPr>
              <w:jc w:val="both"/>
              <w:rPr>
                <w:rFonts w:eastAsia="Calibri"/>
                <w:sz w:val="20"/>
                <w:lang w:val="fr-CA"/>
              </w:rPr>
            </w:pPr>
            <w:r w:rsidRPr="001D4A68">
              <w:rPr>
                <w:rFonts w:eastAsia="Calibri"/>
                <w:sz w:val="20"/>
                <w:lang w:val="fr-CA"/>
              </w:rPr>
              <w:t>2009 FC 711</w:t>
            </w:r>
          </w:p>
          <w:p w:rsidR="009B1554" w:rsidRPr="001D4A68" w:rsidRDefault="009B1554" w:rsidP="009B1554">
            <w:pPr>
              <w:jc w:val="both"/>
              <w:rPr>
                <w:rFonts w:eastAsia="Calibri"/>
                <w:sz w:val="20"/>
                <w:lang w:val="fr-CA"/>
              </w:rPr>
            </w:pP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Brevet ‘393 de Pfizer déclaré invalide en vertu du par. 60(1) de la</w:t>
            </w:r>
            <w:r w:rsidRPr="001D4A68">
              <w:rPr>
                <w:rFonts w:eastAsia="Calibri"/>
                <w:i/>
                <w:sz w:val="20"/>
                <w:lang w:val="fr-CA"/>
              </w:rPr>
              <w:t xml:space="preserve"> Loi sur les brevets</w:t>
            </w:r>
            <w:r w:rsidRPr="001D4A68">
              <w:rPr>
                <w:rFonts w:eastAsia="Calibri"/>
                <w:sz w:val="20"/>
                <w:lang w:val="fr-CA"/>
              </w:rPr>
              <w:t xml:space="preserve"> dans le cadre d'une instance en invalidation</w:t>
            </w:r>
          </w:p>
          <w:p w:rsidR="009B1554" w:rsidRPr="001D4A68" w:rsidRDefault="009B1554" w:rsidP="009B1554">
            <w:pPr>
              <w:jc w:val="both"/>
              <w:rPr>
                <w:rFonts w:eastAsia="Calibri"/>
                <w:sz w:val="20"/>
                <w:lang w:val="fr-CA"/>
              </w:rPr>
            </w:pPr>
          </w:p>
        </w:tc>
      </w:tr>
      <w:tr w:rsidR="009B1554" w:rsidRPr="004061E0" w:rsidTr="00B70F2B">
        <w:trPr>
          <w:cantSplit/>
        </w:trPr>
        <w:tc>
          <w:tcPr>
            <w:tcW w:w="2427" w:type="pct"/>
          </w:tcPr>
          <w:p w:rsidR="009B1554" w:rsidRPr="001D4A68" w:rsidRDefault="009B1554" w:rsidP="009B1554">
            <w:pPr>
              <w:jc w:val="both"/>
              <w:rPr>
                <w:rFonts w:eastAsia="Calibri"/>
                <w:sz w:val="20"/>
                <w:lang w:val="fr-CA"/>
              </w:rPr>
            </w:pPr>
            <w:r w:rsidRPr="001D4A68">
              <w:rPr>
                <w:rFonts w:eastAsia="Calibri"/>
                <w:sz w:val="20"/>
                <w:lang w:val="fr-CA"/>
              </w:rPr>
              <w:t>16 novembre 2009</w:t>
            </w:r>
          </w:p>
          <w:p w:rsidR="009B1554" w:rsidRPr="001D4A68" w:rsidRDefault="009B1554" w:rsidP="009B1554">
            <w:pPr>
              <w:jc w:val="both"/>
              <w:rPr>
                <w:rFonts w:eastAsia="Calibri"/>
                <w:sz w:val="20"/>
                <w:lang w:val="fr-CA"/>
              </w:rPr>
            </w:pPr>
            <w:r w:rsidRPr="001D4A68">
              <w:rPr>
                <w:rFonts w:eastAsia="Calibri"/>
                <w:sz w:val="20"/>
                <w:lang w:val="fr-CA"/>
              </w:rPr>
              <w:t>Cour fédérale</w:t>
            </w:r>
          </w:p>
          <w:p w:rsidR="009B1554" w:rsidRPr="001D4A68" w:rsidRDefault="009B1554" w:rsidP="009B1554">
            <w:pPr>
              <w:jc w:val="both"/>
              <w:rPr>
                <w:rFonts w:eastAsia="Calibri"/>
                <w:sz w:val="20"/>
                <w:lang w:val="fr-CA"/>
              </w:rPr>
            </w:pPr>
            <w:r w:rsidRPr="001D4A68">
              <w:rPr>
                <w:rFonts w:eastAsia="Calibri"/>
                <w:sz w:val="20"/>
                <w:lang w:val="fr-CA"/>
              </w:rPr>
              <w:t>(Juge Hughes)</w:t>
            </w:r>
          </w:p>
          <w:p w:rsidR="009B1554" w:rsidRPr="001D4A68" w:rsidRDefault="009B1554" w:rsidP="009B1554">
            <w:pPr>
              <w:jc w:val="both"/>
              <w:rPr>
                <w:rFonts w:eastAsia="Calibri"/>
                <w:sz w:val="20"/>
                <w:lang w:val="fr-CA"/>
              </w:rPr>
            </w:pPr>
            <w:r w:rsidRPr="001D4A68">
              <w:rPr>
                <w:rFonts w:eastAsia="Calibri"/>
                <w:sz w:val="20"/>
                <w:lang w:val="fr-CA"/>
              </w:rPr>
              <w:t>2009 FC 1165</w:t>
            </w: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 xml:space="preserve">Requête de Ratiopharm en annulation de l'ordonnance de la Cour d'appel fédérale en date du 9 juin 2006 et en vue de faire rejeter la demande de Pfizer dans cette instance, rejetée. Requête incidente de Pfizer en annulation de la requête de Ratiopharm, rejetée </w:t>
            </w:r>
          </w:p>
          <w:p w:rsidR="009B1554" w:rsidRPr="001D4A68" w:rsidRDefault="009B1554" w:rsidP="009B1554">
            <w:pPr>
              <w:jc w:val="both"/>
              <w:rPr>
                <w:rFonts w:eastAsia="Calibri"/>
                <w:sz w:val="20"/>
                <w:lang w:val="fr-CA"/>
              </w:rPr>
            </w:pPr>
          </w:p>
        </w:tc>
      </w:tr>
      <w:tr w:rsidR="009B1554" w:rsidRPr="004061E0" w:rsidTr="00B70F2B">
        <w:trPr>
          <w:cantSplit/>
        </w:trPr>
        <w:tc>
          <w:tcPr>
            <w:tcW w:w="2427" w:type="pct"/>
          </w:tcPr>
          <w:p w:rsidR="009B1554" w:rsidRPr="001D4A68" w:rsidRDefault="009B1554" w:rsidP="009B1554">
            <w:pPr>
              <w:jc w:val="both"/>
              <w:rPr>
                <w:rFonts w:eastAsia="Calibri"/>
                <w:sz w:val="20"/>
                <w:lang w:val="fr-CA"/>
              </w:rPr>
            </w:pPr>
            <w:r w:rsidRPr="001D4A68">
              <w:rPr>
                <w:rFonts w:eastAsia="Calibri"/>
                <w:sz w:val="20"/>
                <w:lang w:val="fr-CA"/>
              </w:rPr>
              <w:t>28 juin 2011</w:t>
            </w:r>
          </w:p>
          <w:p w:rsidR="009B1554" w:rsidRPr="001D4A68" w:rsidRDefault="009B1554" w:rsidP="009B1554">
            <w:pPr>
              <w:jc w:val="both"/>
              <w:rPr>
                <w:rFonts w:eastAsia="Calibri"/>
                <w:sz w:val="20"/>
                <w:lang w:val="fr-CA"/>
              </w:rPr>
            </w:pPr>
            <w:r w:rsidRPr="001D4A68">
              <w:rPr>
                <w:rFonts w:eastAsia="Calibri"/>
                <w:sz w:val="20"/>
                <w:lang w:val="fr-CA"/>
              </w:rPr>
              <w:t>Cour d'appel fédérale</w:t>
            </w:r>
          </w:p>
          <w:p w:rsidR="009B1554" w:rsidRPr="001D4A68" w:rsidRDefault="009B1554" w:rsidP="009B1554">
            <w:pPr>
              <w:jc w:val="both"/>
              <w:rPr>
                <w:rFonts w:eastAsia="Calibri"/>
                <w:sz w:val="20"/>
                <w:lang w:val="fr-CA"/>
              </w:rPr>
            </w:pPr>
            <w:r w:rsidRPr="001D4A68">
              <w:rPr>
                <w:rFonts w:eastAsia="Calibri"/>
                <w:sz w:val="20"/>
                <w:lang w:val="fr-CA"/>
              </w:rPr>
              <w:t>(Juges Létourneau, Dawson et Stratas)</w:t>
            </w:r>
          </w:p>
          <w:p w:rsidR="009B1554" w:rsidRPr="001D4A68" w:rsidRDefault="009B1554" w:rsidP="009B1554">
            <w:pPr>
              <w:jc w:val="both"/>
              <w:rPr>
                <w:rFonts w:eastAsia="Calibri"/>
                <w:sz w:val="20"/>
              </w:rPr>
            </w:pPr>
            <w:r w:rsidRPr="001D4A68">
              <w:rPr>
                <w:rFonts w:eastAsia="Calibri"/>
                <w:sz w:val="20"/>
              </w:rPr>
              <w:t>2011 FCA 215</w:t>
            </w:r>
          </w:p>
          <w:p w:rsidR="009B1554" w:rsidRPr="001D4A68" w:rsidRDefault="009B1554" w:rsidP="009B1554">
            <w:pPr>
              <w:jc w:val="both"/>
              <w:rPr>
                <w:rFonts w:eastAsia="Calibri"/>
                <w:sz w:val="20"/>
              </w:rPr>
            </w:pPr>
            <w:r w:rsidRPr="001D4A68">
              <w:rPr>
                <w:rFonts w:eastAsia="Calibri"/>
                <w:sz w:val="20"/>
              </w:rPr>
              <w:t>N</w:t>
            </w:r>
            <w:r w:rsidRPr="001D4A68">
              <w:rPr>
                <w:rFonts w:eastAsia="Calibri"/>
                <w:sz w:val="20"/>
                <w:vertAlign w:val="superscript"/>
              </w:rPr>
              <w:t>o</w:t>
            </w:r>
            <w:r w:rsidRPr="001D4A68">
              <w:rPr>
                <w:rFonts w:eastAsia="Calibri"/>
                <w:sz w:val="20"/>
              </w:rPr>
              <w:t xml:space="preserve"> du greffe : A</w:t>
            </w:r>
            <w:r w:rsidRPr="001D4A68">
              <w:rPr>
                <w:rFonts w:eastAsia="Calibri"/>
                <w:sz w:val="20"/>
              </w:rPr>
              <w:noBreakHyphen/>
              <w:t>75</w:t>
            </w:r>
            <w:r w:rsidRPr="001D4A68">
              <w:rPr>
                <w:rFonts w:eastAsia="Calibri"/>
                <w:sz w:val="20"/>
              </w:rPr>
              <w:noBreakHyphen/>
              <w:t>06</w:t>
            </w:r>
          </w:p>
          <w:p w:rsidR="009B1554" w:rsidRPr="001D4A68" w:rsidRDefault="009B1554" w:rsidP="009B1554">
            <w:pPr>
              <w:jc w:val="both"/>
              <w:rPr>
                <w:rFonts w:eastAsia="Calibri"/>
                <w:sz w:val="20"/>
              </w:rPr>
            </w:pPr>
          </w:p>
        </w:tc>
        <w:tc>
          <w:tcPr>
            <w:tcW w:w="243" w:type="pct"/>
          </w:tcPr>
          <w:p w:rsidR="009B1554" w:rsidRPr="001D4A68" w:rsidRDefault="009B1554" w:rsidP="009B1554">
            <w:pPr>
              <w:jc w:val="both"/>
              <w:rPr>
                <w:rFonts w:eastAsia="Calibri"/>
                <w:sz w:val="20"/>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Requête de Ratiopharm en annulation de l'ordonnance de la Cour d'appel fédérale en date du 9 juin 2006 et en vue de faire rejeter la demande de Pfizer, rejetée.</w:t>
            </w:r>
          </w:p>
          <w:p w:rsidR="009B1554" w:rsidRPr="001D4A68" w:rsidRDefault="009B1554" w:rsidP="009B1554">
            <w:pPr>
              <w:jc w:val="both"/>
              <w:rPr>
                <w:rFonts w:eastAsia="Calibri"/>
                <w:sz w:val="20"/>
                <w:lang w:val="fr-CA"/>
              </w:rPr>
            </w:pPr>
          </w:p>
          <w:p w:rsidR="009B1554" w:rsidRPr="001D4A68" w:rsidRDefault="009B1554" w:rsidP="009B1554">
            <w:pPr>
              <w:jc w:val="both"/>
              <w:rPr>
                <w:rFonts w:eastAsia="Calibri"/>
                <w:sz w:val="20"/>
                <w:lang w:val="fr-CA"/>
              </w:rPr>
            </w:pPr>
          </w:p>
        </w:tc>
      </w:tr>
      <w:tr w:rsidR="009B1554" w:rsidRPr="001D4A68" w:rsidTr="00B70F2B">
        <w:trPr>
          <w:cantSplit/>
        </w:trPr>
        <w:tc>
          <w:tcPr>
            <w:tcW w:w="2427" w:type="pct"/>
          </w:tcPr>
          <w:p w:rsidR="009B1554" w:rsidRPr="001D4A68" w:rsidRDefault="009B1554" w:rsidP="009B1554">
            <w:pPr>
              <w:jc w:val="both"/>
              <w:rPr>
                <w:rFonts w:eastAsia="Calibri"/>
                <w:sz w:val="20"/>
                <w:lang w:val="fr-CA"/>
              </w:rPr>
            </w:pPr>
            <w:r w:rsidRPr="001D4A68">
              <w:rPr>
                <w:rFonts w:eastAsia="Calibri"/>
                <w:sz w:val="20"/>
                <w:lang w:val="fr-CA"/>
              </w:rPr>
              <w:t>27 septembre 2011</w:t>
            </w:r>
          </w:p>
          <w:p w:rsidR="009B1554" w:rsidRPr="001D4A68" w:rsidRDefault="009B1554" w:rsidP="009B1554">
            <w:pPr>
              <w:jc w:val="both"/>
              <w:rPr>
                <w:rFonts w:eastAsia="Calibri"/>
                <w:sz w:val="20"/>
                <w:lang w:val="fr-CA"/>
              </w:rPr>
            </w:pPr>
            <w:r w:rsidRPr="001D4A68">
              <w:rPr>
                <w:rFonts w:eastAsia="Calibri"/>
                <w:sz w:val="20"/>
                <w:lang w:val="fr-CA"/>
              </w:rPr>
              <w:t>Cour suprême du Canada</w:t>
            </w:r>
          </w:p>
        </w:tc>
        <w:tc>
          <w:tcPr>
            <w:tcW w:w="243" w:type="pct"/>
          </w:tcPr>
          <w:p w:rsidR="009B1554" w:rsidRPr="001D4A68" w:rsidRDefault="009B1554" w:rsidP="009B1554">
            <w:pPr>
              <w:jc w:val="both"/>
              <w:rPr>
                <w:rFonts w:eastAsia="Calibri"/>
                <w:sz w:val="20"/>
                <w:lang w:val="fr-CA"/>
              </w:rPr>
            </w:pPr>
          </w:p>
        </w:tc>
        <w:tc>
          <w:tcPr>
            <w:tcW w:w="2330" w:type="pct"/>
          </w:tcPr>
          <w:p w:rsidR="009B1554" w:rsidRPr="001D4A68" w:rsidRDefault="009B1554" w:rsidP="009B1554">
            <w:pPr>
              <w:jc w:val="both"/>
              <w:rPr>
                <w:rFonts w:eastAsia="Calibri"/>
                <w:sz w:val="20"/>
                <w:lang w:val="fr-CA"/>
              </w:rPr>
            </w:pPr>
            <w:r w:rsidRPr="001D4A68">
              <w:rPr>
                <w:rFonts w:eastAsia="Calibri"/>
                <w:sz w:val="20"/>
                <w:lang w:val="fr-CA"/>
              </w:rPr>
              <w:t>Demande d'autorisation d'appel, déposée</w:t>
            </w:r>
          </w:p>
          <w:p w:rsidR="009B1554" w:rsidRPr="001D4A68" w:rsidRDefault="009B1554" w:rsidP="009B1554">
            <w:pPr>
              <w:jc w:val="both"/>
              <w:rPr>
                <w:rFonts w:eastAsia="Calibri"/>
                <w:sz w:val="20"/>
                <w:lang w:val="fr-CA"/>
              </w:rPr>
            </w:pPr>
          </w:p>
        </w:tc>
      </w:tr>
    </w:tbl>
    <w:p w:rsidR="009B58BA" w:rsidRDefault="009B58BA" w:rsidP="009B58BA">
      <w:pPr>
        <w:rPr>
          <w:sz w:val="20"/>
          <w:szCs w:val="20"/>
          <w:lang w:val="fr-CA"/>
        </w:rPr>
      </w:pPr>
    </w:p>
    <w:p w:rsidR="009B58BA" w:rsidRDefault="00586706" w:rsidP="009B58BA">
      <w:pPr>
        <w:rPr>
          <w:sz w:val="20"/>
          <w:szCs w:val="20"/>
          <w:lang w:val="fr-CA"/>
        </w:rPr>
      </w:pPr>
      <w:r w:rsidRPr="00586706">
        <w:rPr>
          <w:sz w:val="20"/>
          <w:szCs w:val="20"/>
          <w:lang w:val="fr-CA"/>
        </w:rPr>
        <w:pict>
          <v:rect id="_x0000_i1065" style="width:2in;height:1pt" o:hrpct="0" o:hralign="center" o:hrstd="t" o:hrnoshade="t" o:hr="t" fillcolor="black [3213]" stroked="f"/>
        </w:pict>
      </w:r>
    </w:p>
    <w:p w:rsidR="007503AD" w:rsidRPr="00C50A5C" w:rsidRDefault="007503AD"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23"/>
          <w:headerReference w:type="default" r:id="rId24"/>
          <w:footerReference w:type="even" r:id="rId25"/>
          <w:footerReference w:type="default" r:id="rId26"/>
          <w:headerReference w:type="first" r:id="rId27"/>
          <w:footerReference w:type="first" r:id="rId28"/>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Default="00890FEB" w:rsidP="00890FEB">
      <w:pPr>
        <w:rPr>
          <w:sz w:val="20"/>
          <w:szCs w:val="20"/>
        </w:rPr>
      </w:pPr>
    </w:p>
    <w:p w:rsidR="00A30BAF" w:rsidRPr="00A30BAF" w:rsidRDefault="00A30BAF" w:rsidP="00A30BAF">
      <w:pPr>
        <w:tabs>
          <w:tab w:val="left" w:pos="-1440"/>
          <w:tab w:val="left" w:pos="-720"/>
        </w:tabs>
        <w:jc w:val="both"/>
        <w:rPr>
          <w:sz w:val="20"/>
          <w:szCs w:val="20"/>
          <w:lang w:val="fr-CA"/>
        </w:rPr>
      </w:pPr>
      <w:r w:rsidRPr="00A30BAF">
        <w:rPr>
          <w:sz w:val="20"/>
          <w:szCs w:val="20"/>
          <w:lang w:val="fr-CA"/>
        </w:rPr>
        <w:t>14.12.2011</w:t>
      </w:r>
    </w:p>
    <w:p w:rsidR="00A30BAF" w:rsidRPr="00A30BAF" w:rsidRDefault="00A30BAF" w:rsidP="00A30BAF">
      <w:pPr>
        <w:tabs>
          <w:tab w:val="left" w:pos="-1440"/>
          <w:tab w:val="left" w:pos="-720"/>
        </w:tabs>
        <w:jc w:val="both"/>
        <w:rPr>
          <w:sz w:val="20"/>
          <w:szCs w:val="20"/>
          <w:lang w:val="fr-CA"/>
        </w:rPr>
      </w:pPr>
    </w:p>
    <w:p w:rsidR="00A30BAF" w:rsidRPr="00A30BAF" w:rsidRDefault="00A30BAF" w:rsidP="00A30BAF">
      <w:pPr>
        <w:jc w:val="both"/>
        <w:rPr>
          <w:sz w:val="20"/>
          <w:szCs w:val="20"/>
          <w:lang w:val="fr-CA"/>
        </w:rPr>
      </w:pPr>
      <w:r w:rsidRPr="00A30BAF">
        <w:rPr>
          <w:sz w:val="20"/>
          <w:szCs w:val="20"/>
          <w:lang w:val="fr-CA"/>
        </w:rPr>
        <w:t xml:space="preserve">Before / Devant:   THE REGISTRAR / LE REGISTRAIRE </w:t>
      </w:r>
    </w:p>
    <w:p w:rsidR="00A30BAF" w:rsidRPr="00A30BAF" w:rsidRDefault="00A30BAF" w:rsidP="00A30BAF">
      <w:pPr>
        <w:tabs>
          <w:tab w:val="left" w:pos="-1440"/>
          <w:tab w:val="left" w:pos="-720"/>
        </w:tabs>
        <w:jc w:val="both"/>
        <w:rPr>
          <w:sz w:val="20"/>
          <w:szCs w:val="20"/>
          <w:lang w:val="fr-CA"/>
        </w:rPr>
      </w:pPr>
    </w:p>
    <w:tbl>
      <w:tblPr>
        <w:tblStyle w:val="TableGrid"/>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A30BAF" w:rsidRPr="001512C2" w:rsidTr="005D052A">
        <w:tc>
          <w:tcPr>
            <w:tcW w:w="4338" w:type="dxa"/>
          </w:tcPr>
          <w:p w:rsidR="00A30BAF" w:rsidRPr="00A30BAF" w:rsidRDefault="00A30BAF" w:rsidP="005D052A">
            <w:pPr>
              <w:jc w:val="both"/>
              <w:rPr>
                <w:b/>
                <w:bCs/>
                <w:sz w:val="20"/>
                <w:szCs w:val="20"/>
              </w:rPr>
            </w:pPr>
            <w:r w:rsidRPr="00A30BAF">
              <w:rPr>
                <w:b/>
                <w:bCs/>
                <w:sz w:val="20"/>
                <w:szCs w:val="20"/>
              </w:rPr>
              <w:t xml:space="preserve">Motion to extend time </w:t>
            </w:r>
            <w:r w:rsidR="00586706" w:rsidRPr="00A30BAF">
              <w:rPr>
                <w:sz w:val="20"/>
                <w:szCs w:val="20"/>
              </w:rPr>
              <w:fldChar w:fldCharType="begin"/>
            </w:r>
            <w:r w:rsidRPr="00A30BAF">
              <w:rPr>
                <w:sz w:val="20"/>
                <w:szCs w:val="20"/>
              </w:rPr>
              <w:instrText xml:space="preserve"> SEQ CHAPTER \h \r 1</w:instrText>
            </w:r>
            <w:r w:rsidR="00586706" w:rsidRPr="00A30BAF">
              <w:rPr>
                <w:sz w:val="20"/>
                <w:szCs w:val="20"/>
              </w:rPr>
              <w:fldChar w:fldCharType="end"/>
            </w:r>
            <w:r w:rsidRPr="00A30BAF">
              <w:rPr>
                <w:b/>
                <w:bCs/>
                <w:sz w:val="20"/>
                <w:szCs w:val="20"/>
              </w:rPr>
              <w:t xml:space="preserve">to serve and file the appellant’s </w:t>
            </w:r>
            <w:r w:rsidR="00586706" w:rsidRPr="00A30BAF">
              <w:rPr>
                <w:sz w:val="20"/>
                <w:szCs w:val="20"/>
              </w:rPr>
              <w:fldChar w:fldCharType="begin"/>
            </w:r>
            <w:r w:rsidRPr="00A30BAF">
              <w:rPr>
                <w:sz w:val="20"/>
                <w:szCs w:val="20"/>
              </w:rPr>
              <w:instrText xml:space="preserve"> SEQ CHAPTER \h \r 1</w:instrText>
            </w:r>
            <w:r w:rsidR="00586706" w:rsidRPr="00A30BAF">
              <w:rPr>
                <w:sz w:val="20"/>
                <w:szCs w:val="20"/>
              </w:rPr>
              <w:fldChar w:fldCharType="end"/>
            </w:r>
            <w:r w:rsidR="00586706" w:rsidRPr="00A30BAF">
              <w:rPr>
                <w:sz w:val="20"/>
                <w:szCs w:val="20"/>
              </w:rPr>
              <w:fldChar w:fldCharType="begin"/>
            </w:r>
            <w:r w:rsidRPr="00A30BAF">
              <w:rPr>
                <w:sz w:val="20"/>
                <w:szCs w:val="20"/>
              </w:rPr>
              <w:instrText xml:space="preserve"> SEQ CHAPTER \h \r 1</w:instrText>
            </w:r>
            <w:r w:rsidR="00586706" w:rsidRPr="00A30BAF">
              <w:rPr>
                <w:sz w:val="20"/>
                <w:szCs w:val="20"/>
              </w:rPr>
              <w:fldChar w:fldCharType="end"/>
            </w:r>
            <w:r w:rsidRPr="00A30BAF">
              <w:rPr>
                <w:b/>
                <w:bCs/>
                <w:sz w:val="20"/>
                <w:szCs w:val="20"/>
              </w:rPr>
              <w:t>factum and book of authorities to November 25, 2011</w:t>
            </w:r>
          </w:p>
          <w:p w:rsidR="00A30BAF" w:rsidRPr="00A30BAF" w:rsidRDefault="00586706" w:rsidP="005D052A">
            <w:pPr>
              <w:jc w:val="both"/>
              <w:rPr>
                <w:b/>
                <w:sz w:val="20"/>
                <w:szCs w:val="20"/>
              </w:rPr>
            </w:pPr>
            <w:r w:rsidRPr="00A30BAF">
              <w:rPr>
                <w:b/>
                <w:sz w:val="20"/>
                <w:szCs w:val="20"/>
              </w:rPr>
              <w:fldChar w:fldCharType="begin"/>
            </w:r>
            <w:r w:rsidR="00A30BAF" w:rsidRPr="00A30BAF">
              <w:rPr>
                <w:b/>
                <w:sz w:val="20"/>
                <w:szCs w:val="20"/>
              </w:rPr>
              <w:instrText xml:space="preserve"> SEQ CHAPTER \h \r 1</w:instrText>
            </w:r>
            <w:r w:rsidRPr="00A30BAF">
              <w:rPr>
                <w:b/>
                <w:sz w:val="20"/>
                <w:szCs w:val="20"/>
              </w:rPr>
              <w:fldChar w:fldCharType="end"/>
            </w:r>
          </w:p>
        </w:tc>
        <w:tc>
          <w:tcPr>
            <w:tcW w:w="1170" w:type="dxa"/>
          </w:tcPr>
          <w:p w:rsidR="00A30BAF" w:rsidRPr="00A30BAF" w:rsidRDefault="00A30BAF" w:rsidP="005D052A">
            <w:pPr>
              <w:rPr>
                <w:sz w:val="20"/>
                <w:szCs w:val="20"/>
              </w:rPr>
            </w:pPr>
          </w:p>
          <w:p w:rsidR="00A30BAF" w:rsidRPr="00A30BAF" w:rsidRDefault="00A30BAF" w:rsidP="005D052A">
            <w:pPr>
              <w:rPr>
                <w:sz w:val="20"/>
                <w:szCs w:val="20"/>
              </w:rPr>
            </w:pPr>
          </w:p>
          <w:p w:rsidR="00A30BAF" w:rsidRPr="00A30BAF" w:rsidRDefault="00A30BAF" w:rsidP="005D052A">
            <w:pPr>
              <w:rPr>
                <w:sz w:val="20"/>
                <w:szCs w:val="20"/>
              </w:rPr>
            </w:pPr>
          </w:p>
        </w:tc>
        <w:tc>
          <w:tcPr>
            <w:tcW w:w="4327" w:type="dxa"/>
          </w:tcPr>
          <w:p w:rsidR="00A30BAF" w:rsidRPr="00A30BAF" w:rsidRDefault="00A30BAF" w:rsidP="005D052A">
            <w:pPr>
              <w:jc w:val="both"/>
              <w:rPr>
                <w:b/>
                <w:bCs/>
                <w:sz w:val="20"/>
                <w:szCs w:val="20"/>
                <w:lang w:val="fr-CA"/>
              </w:rPr>
            </w:pPr>
            <w:r w:rsidRPr="00A30BAF">
              <w:rPr>
                <w:b/>
                <w:bCs/>
                <w:sz w:val="20"/>
                <w:szCs w:val="20"/>
                <w:lang w:val="fr-CA"/>
              </w:rPr>
              <w:t xml:space="preserve">Requête en prorogation du délai de signification et de dépôt des </w:t>
            </w:r>
            <w:proofErr w:type="gramStart"/>
            <w:r w:rsidRPr="00A30BAF">
              <w:rPr>
                <w:b/>
                <w:bCs/>
                <w:sz w:val="20"/>
                <w:szCs w:val="20"/>
                <w:lang w:val="fr-CA"/>
              </w:rPr>
              <w:t>mémoire</w:t>
            </w:r>
            <w:proofErr w:type="gramEnd"/>
            <w:r w:rsidRPr="00A30BAF">
              <w:rPr>
                <w:b/>
                <w:bCs/>
                <w:sz w:val="20"/>
                <w:szCs w:val="20"/>
                <w:lang w:val="fr-CA"/>
              </w:rPr>
              <w:t xml:space="preserve"> et recueil de sources de l’appelante jusqu’au 25 novembre 2011</w:t>
            </w:r>
          </w:p>
          <w:p w:rsidR="00A30BAF" w:rsidRPr="00A30BAF" w:rsidRDefault="00586706" w:rsidP="005D052A">
            <w:pPr>
              <w:rPr>
                <w:b/>
                <w:sz w:val="20"/>
                <w:szCs w:val="20"/>
                <w:lang w:val="fr-CA"/>
              </w:rPr>
            </w:pPr>
            <w:r w:rsidRPr="00A30BAF">
              <w:rPr>
                <w:b/>
                <w:sz w:val="20"/>
                <w:szCs w:val="20"/>
              </w:rPr>
              <w:fldChar w:fldCharType="begin"/>
            </w:r>
            <w:r w:rsidR="00A30BAF" w:rsidRPr="00A30BAF">
              <w:rPr>
                <w:b/>
                <w:sz w:val="20"/>
                <w:szCs w:val="20"/>
                <w:lang w:val="fr-CA"/>
              </w:rPr>
              <w:instrText xml:space="preserve"> SEQ CHAPTER \h \r 1</w:instrText>
            </w:r>
            <w:r w:rsidRPr="00A30BAF">
              <w:rPr>
                <w:b/>
                <w:sz w:val="20"/>
                <w:szCs w:val="20"/>
              </w:rPr>
              <w:fldChar w:fldCharType="end"/>
            </w:r>
          </w:p>
        </w:tc>
      </w:tr>
      <w:tr w:rsidR="00A30BAF" w:rsidRPr="00A30BAF" w:rsidTr="005D052A">
        <w:tc>
          <w:tcPr>
            <w:tcW w:w="4338" w:type="dxa"/>
          </w:tcPr>
          <w:p w:rsidR="00A30BAF" w:rsidRPr="00A30BAF" w:rsidRDefault="00A30BAF" w:rsidP="005D052A">
            <w:pPr>
              <w:tabs>
                <w:tab w:val="left" w:pos="-1440"/>
                <w:tab w:val="left" w:pos="-720"/>
              </w:tabs>
              <w:jc w:val="both"/>
              <w:rPr>
                <w:sz w:val="20"/>
                <w:szCs w:val="20"/>
              </w:rPr>
            </w:pPr>
            <w:r w:rsidRPr="00A30BAF">
              <w:rPr>
                <w:sz w:val="20"/>
                <w:szCs w:val="20"/>
              </w:rPr>
              <w:t>Her Majesty the Queen</w:t>
            </w:r>
          </w:p>
          <w:p w:rsidR="00A30BAF" w:rsidRPr="00A30BAF" w:rsidRDefault="00A30BAF" w:rsidP="005D052A">
            <w:pPr>
              <w:tabs>
                <w:tab w:val="left" w:pos="-1440"/>
                <w:tab w:val="left" w:pos="-720"/>
              </w:tabs>
              <w:jc w:val="both"/>
              <w:rPr>
                <w:sz w:val="20"/>
                <w:szCs w:val="20"/>
              </w:rPr>
            </w:pPr>
          </w:p>
          <w:p w:rsidR="00A30BAF" w:rsidRPr="00A30BAF" w:rsidRDefault="00A30BAF" w:rsidP="005D052A">
            <w:pPr>
              <w:tabs>
                <w:tab w:val="left" w:pos="-1440"/>
                <w:tab w:val="left" w:pos="-720"/>
              </w:tabs>
              <w:jc w:val="both"/>
              <w:rPr>
                <w:sz w:val="20"/>
                <w:szCs w:val="20"/>
              </w:rPr>
            </w:pPr>
            <w:r w:rsidRPr="00A30BAF">
              <w:rPr>
                <w:sz w:val="20"/>
                <w:szCs w:val="20"/>
              </w:rPr>
              <w:tab/>
              <w:t>v. (34228)</w:t>
            </w:r>
          </w:p>
          <w:p w:rsidR="00A30BAF" w:rsidRPr="00A30BAF" w:rsidRDefault="00A30BAF" w:rsidP="005D052A">
            <w:pPr>
              <w:tabs>
                <w:tab w:val="left" w:pos="-1440"/>
                <w:tab w:val="left" w:pos="-720"/>
              </w:tabs>
              <w:jc w:val="both"/>
              <w:rPr>
                <w:sz w:val="20"/>
                <w:szCs w:val="20"/>
              </w:rPr>
            </w:pPr>
          </w:p>
          <w:p w:rsidR="00A30BAF" w:rsidRPr="00A30BAF" w:rsidRDefault="00A30BAF" w:rsidP="005D052A">
            <w:pPr>
              <w:tabs>
                <w:tab w:val="left" w:pos="-1440"/>
                <w:tab w:val="left" w:pos="-720"/>
              </w:tabs>
              <w:jc w:val="both"/>
              <w:rPr>
                <w:sz w:val="20"/>
                <w:szCs w:val="20"/>
              </w:rPr>
            </w:pPr>
            <w:r w:rsidRPr="00A30BAF">
              <w:rPr>
                <w:sz w:val="20"/>
                <w:szCs w:val="20"/>
              </w:rPr>
              <w:t>Marius Nedelcu (Crim.) (Ont.)</w:t>
            </w:r>
          </w:p>
        </w:tc>
        <w:tc>
          <w:tcPr>
            <w:tcW w:w="1170" w:type="dxa"/>
          </w:tcPr>
          <w:p w:rsidR="00A30BAF" w:rsidRPr="00A30BAF" w:rsidRDefault="00A30BAF" w:rsidP="005D052A">
            <w:pPr>
              <w:tabs>
                <w:tab w:val="left" w:pos="-1440"/>
                <w:tab w:val="left" w:pos="-720"/>
              </w:tabs>
              <w:jc w:val="both"/>
              <w:rPr>
                <w:sz w:val="20"/>
                <w:szCs w:val="20"/>
              </w:rPr>
            </w:pPr>
          </w:p>
        </w:tc>
        <w:tc>
          <w:tcPr>
            <w:tcW w:w="4327" w:type="dxa"/>
          </w:tcPr>
          <w:p w:rsidR="00A30BAF" w:rsidRPr="00A30BAF" w:rsidRDefault="00A30BAF" w:rsidP="005D052A">
            <w:pPr>
              <w:tabs>
                <w:tab w:val="left" w:pos="-1440"/>
                <w:tab w:val="left" w:pos="-720"/>
              </w:tabs>
              <w:jc w:val="both"/>
              <w:rPr>
                <w:sz w:val="20"/>
                <w:szCs w:val="20"/>
              </w:rPr>
            </w:pPr>
          </w:p>
        </w:tc>
      </w:tr>
    </w:tbl>
    <w:p w:rsidR="00A30BAF" w:rsidRPr="00A30BAF" w:rsidRDefault="00A30BAF" w:rsidP="00A30BAF">
      <w:pPr>
        <w:rPr>
          <w:sz w:val="20"/>
          <w:szCs w:val="20"/>
        </w:rPr>
      </w:pPr>
    </w:p>
    <w:p w:rsidR="00A30BAF" w:rsidRPr="00A30BAF" w:rsidRDefault="00A30BAF" w:rsidP="00A30BAF">
      <w:pPr>
        <w:tabs>
          <w:tab w:val="left" w:pos="-1440"/>
          <w:tab w:val="left" w:pos="-720"/>
        </w:tabs>
        <w:jc w:val="both"/>
        <w:rPr>
          <w:b/>
          <w:sz w:val="20"/>
          <w:szCs w:val="20"/>
        </w:rPr>
      </w:pPr>
      <w:r w:rsidRPr="00A30BAF">
        <w:rPr>
          <w:b/>
          <w:sz w:val="20"/>
          <w:szCs w:val="20"/>
        </w:rPr>
        <w:t>GRANTED / ACCORDÉE</w:t>
      </w:r>
    </w:p>
    <w:p w:rsidR="00A30BAF" w:rsidRPr="00A30BAF" w:rsidRDefault="00A30BAF" w:rsidP="00A30BAF">
      <w:pPr>
        <w:tabs>
          <w:tab w:val="left" w:pos="-1440"/>
          <w:tab w:val="left" w:pos="-720"/>
        </w:tabs>
        <w:jc w:val="both"/>
        <w:rPr>
          <w:sz w:val="20"/>
          <w:szCs w:val="20"/>
          <w:lang w:val="fr-FR"/>
        </w:rPr>
      </w:pPr>
    </w:p>
    <w:p w:rsidR="00A30BAF" w:rsidRPr="00A30BAF" w:rsidRDefault="00586706" w:rsidP="00A30BAF">
      <w:pPr>
        <w:tabs>
          <w:tab w:val="left" w:pos="-1440"/>
          <w:tab w:val="left" w:pos="-720"/>
        </w:tabs>
        <w:jc w:val="both"/>
        <w:rPr>
          <w:sz w:val="20"/>
          <w:szCs w:val="20"/>
          <w:lang w:val="fr-CA"/>
        </w:rPr>
      </w:pPr>
      <w:r w:rsidRPr="00586706">
        <w:rPr>
          <w:sz w:val="20"/>
          <w:szCs w:val="20"/>
          <w:lang w:val="fr-CA"/>
        </w:rPr>
        <w:pict>
          <v:rect id="_x0000_i1068" style="width:2in;height:1pt" o:hrpct="0" o:hralign="center" o:hrstd="t" o:hrnoshade="t" o:hr="t" fillcolor="black [3213]" stroked="f"/>
        </w:pict>
      </w:r>
    </w:p>
    <w:p w:rsidR="00A30BAF" w:rsidRPr="00A30BAF" w:rsidRDefault="00A30BAF" w:rsidP="00A30BAF">
      <w:pPr>
        <w:tabs>
          <w:tab w:val="left" w:pos="-1440"/>
          <w:tab w:val="left" w:pos="-720"/>
        </w:tabs>
        <w:jc w:val="both"/>
        <w:rPr>
          <w:sz w:val="20"/>
          <w:szCs w:val="20"/>
        </w:rPr>
      </w:pPr>
    </w:p>
    <w:p w:rsidR="00A30BAF" w:rsidRPr="00A30BAF" w:rsidRDefault="00A30BAF" w:rsidP="00A30BAF">
      <w:pPr>
        <w:tabs>
          <w:tab w:val="left" w:pos="-1440"/>
          <w:tab w:val="left" w:pos="-720"/>
        </w:tabs>
        <w:jc w:val="both"/>
        <w:rPr>
          <w:sz w:val="20"/>
          <w:szCs w:val="20"/>
          <w:lang w:val="fr-CA"/>
        </w:rPr>
      </w:pPr>
      <w:r w:rsidRPr="00A30BAF">
        <w:rPr>
          <w:sz w:val="20"/>
          <w:szCs w:val="20"/>
          <w:lang w:val="fr-CA"/>
        </w:rPr>
        <w:t>14.12.2011</w:t>
      </w:r>
    </w:p>
    <w:p w:rsidR="00A30BAF" w:rsidRPr="00A30BAF" w:rsidRDefault="00A30BAF" w:rsidP="00A30BAF">
      <w:pPr>
        <w:tabs>
          <w:tab w:val="left" w:pos="-1440"/>
          <w:tab w:val="left" w:pos="-720"/>
        </w:tabs>
        <w:jc w:val="both"/>
        <w:rPr>
          <w:sz w:val="20"/>
          <w:szCs w:val="20"/>
          <w:lang w:val="fr-CA"/>
        </w:rPr>
      </w:pPr>
    </w:p>
    <w:p w:rsidR="00A30BAF" w:rsidRPr="00A30BAF" w:rsidRDefault="00A30BAF" w:rsidP="00A30BAF">
      <w:pPr>
        <w:jc w:val="both"/>
        <w:rPr>
          <w:sz w:val="20"/>
          <w:szCs w:val="20"/>
          <w:lang w:val="fr-CA"/>
        </w:rPr>
      </w:pPr>
      <w:r w:rsidRPr="00A30BAF">
        <w:rPr>
          <w:sz w:val="20"/>
          <w:szCs w:val="20"/>
          <w:lang w:val="fr-CA"/>
        </w:rPr>
        <w:t xml:space="preserve">Before / Devant:   THE REGISTRAR / LE REGISTRAIRE </w:t>
      </w:r>
    </w:p>
    <w:p w:rsidR="00A30BAF" w:rsidRPr="00A30BAF" w:rsidRDefault="00A30BAF" w:rsidP="00A30BAF">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A30BAF" w:rsidRPr="004061E0" w:rsidTr="005D052A">
        <w:tc>
          <w:tcPr>
            <w:tcW w:w="4338" w:type="dxa"/>
          </w:tcPr>
          <w:p w:rsidR="00A30BAF" w:rsidRPr="00A30BAF" w:rsidRDefault="00A30BAF" w:rsidP="005D052A">
            <w:pPr>
              <w:jc w:val="both"/>
              <w:rPr>
                <w:sz w:val="20"/>
                <w:szCs w:val="20"/>
              </w:rPr>
            </w:pPr>
            <w:r w:rsidRPr="00A30BAF">
              <w:rPr>
                <w:b/>
                <w:bCs/>
                <w:sz w:val="20"/>
                <w:szCs w:val="20"/>
              </w:rPr>
              <w:t>Motion to extend the time to serve and file the respondent’s record to December 6, 2011</w:t>
            </w:r>
          </w:p>
          <w:p w:rsidR="00A30BAF" w:rsidRPr="00A30BAF" w:rsidRDefault="00A30BAF" w:rsidP="005D052A">
            <w:pPr>
              <w:rPr>
                <w:b/>
                <w:sz w:val="20"/>
                <w:szCs w:val="20"/>
              </w:rPr>
            </w:pPr>
          </w:p>
          <w:p w:rsidR="00A30BAF" w:rsidRPr="00A30BAF" w:rsidRDefault="00586706" w:rsidP="005D052A">
            <w:pPr>
              <w:rPr>
                <w:b/>
                <w:sz w:val="20"/>
                <w:szCs w:val="20"/>
              </w:rPr>
            </w:pPr>
            <w:r w:rsidRPr="00A30BAF">
              <w:rPr>
                <w:b/>
                <w:sz w:val="20"/>
                <w:szCs w:val="20"/>
              </w:rPr>
              <w:fldChar w:fldCharType="begin"/>
            </w:r>
            <w:r w:rsidR="00A30BAF" w:rsidRPr="00A30BAF">
              <w:rPr>
                <w:b/>
                <w:sz w:val="20"/>
                <w:szCs w:val="20"/>
              </w:rPr>
              <w:instrText xml:space="preserve"> SEQ CHAPTER \h \r 1</w:instrText>
            </w:r>
            <w:r w:rsidRPr="00A30BAF">
              <w:rPr>
                <w:b/>
                <w:sz w:val="20"/>
                <w:szCs w:val="20"/>
              </w:rPr>
              <w:fldChar w:fldCharType="end"/>
            </w:r>
          </w:p>
        </w:tc>
        <w:tc>
          <w:tcPr>
            <w:tcW w:w="1170" w:type="dxa"/>
          </w:tcPr>
          <w:p w:rsidR="00A30BAF" w:rsidRPr="00A30BAF" w:rsidRDefault="00A30BAF" w:rsidP="005D052A">
            <w:pPr>
              <w:rPr>
                <w:sz w:val="20"/>
                <w:szCs w:val="20"/>
              </w:rPr>
            </w:pPr>
          </w:p>
          <w:p w:rsidR="00A30BAF" w:rsidRPr="00A30BAF" w:rsidRDefault="00A30BAF" w:rsidP="005D052A">
            <w:pPr>
              <w:rPr>
                <w:sz w:val="20"/>
                <w:szCs w:val="20"/>
              </w:rPr>
            </w:pPr>
          </w:p>
          <w:p w:rsidR="00A30BAF" w:rsidRPr="00A30BAF" w:rsidRDefault="00A30BAF" w:rsidP="005D052A">
            <w:pPr>
              <w:rPr>
                <w:sz w:val="20"/>
                <w:szCs w:val="20"/>
              </w:rPr>
            </w:pPr>
          </w:p>
        </w:tc>
        <w:tc>
          <w:tcPr>
            <w:tcW w:w="4327" w:type="dxa"/>
          </w:tcPr>
          <w:p w:rsidR="00A30BAF" w:rsidRPr="00A30BAF" w:rsidRDefault="00A30BAF" w:rsidP="005D052A">
            <w:pPr>
              <w:jc w:val="both"/>
              <w:rPr>
                <w:b/>
                <w:sz w:val="20"/>
                <w:szCs w:val="20"/>
                <w:lang w:val="fr-CA"/>
              </w:rPr>
            </w:pPr>
            <w:r w:rsidRPr="00A30BAF">
              <w:rPr>
                <w:b/>
                <w:bCs/>
                <w:sz w:val="20"/>
                <w:szCs w:val="20"/>
                <w:lang w:val="fr-CA"/>
              </w:rPr>
              <w:t>Requête en prorogation du délai de signification et de dépôt du dossier de l’intimée jusqu’au 6 décembre 2011</w:t>
            </w:r>
            <w:r w:rsidR="00586706" w:rsidRPr="00A30BAF">
              <w:rPr>
                <w:b/>
                <w:sz w:val="20"/>
                <w:szCs w:val="20"/>
              </w:rPr>
              <w:fldChar w:fldCharType="begin"/>
            </w:r>
            <w:r w:rsidRPr="00A30BAF">
              <w:rPr>
                <w:b/>
                <w:sz w:val="20"/>
                <w:szCs w:val="20"/>
                <w:lang w:val="fr-CA"/>
              </w:rPr>
              <w:instrText xml:space="preserve"> SEQ CHAPTER \h \r 1</w:instrText>
            </w:r>
            <w:r w:rsidR="00586706" w:rsidRPr="00A30BAF">
              <w:rPr>
                <w:b/>
                <w:sz w:val="20"/>
                <w:szCs w:val="20"/>
              </w:rPr>
              <w:fldChar w:fldCharType="end"/>
            </w:r>
          </w:p>
        </w:tc>
      </w:tr>
      <w:tr w:rsidR="00A30BAF" w:rsidRPr="00A30BAF" w:rsidTr="005D052A">
        <w:tc>
          <w:tcPr>
            <w:tcW w:w="4338" w:type="dxa"/>
          </w:tcPr>
          <w:p w:rsidR="00A30BAF" w:rsidRPr="00A30BAF" w:rsidRDefault="00A30BAF" w:rsidP="005D052A">
            <w:pPr>
              <w:tabs>
                <w:tab w:val="left" w:pos="-1440"/>
                <w:tab w:val="left" w:pos="-720"/>
              </w:tabs>
              <w:jc w:val="both"/>
              <w:rPr>
                <w:sz w:val="20"/>
                <w:szCs w:val="20"/>
              </w:rPr>
            </w:pPr>
            <w:r w:rsidRPr="00A30BAF">
              <w:rPr>
                <w:sz w:val="20"/>
                <w:szCs w:val="20"/>
              </w:rPr>
              <w:t>Sam Tuan Vu</w:t>
            </w:r>
          </w:p>
          <w:p w:rsidR="00A30BAF" w:rsidRPr="00A30BAF" w:rsidRDefault="00A30BAF" w:rsidP="005D052A">
            <w:pPr>
              <w:tabs>
                <w:tab w:val="left" w:pos="-1440"/>
                <w:tab w:val="left" w:pos="-720"/>
              </w:tabs>
              <w:jc w:val="both"/>
              <w:rPr>
                <w:sz w:val="20"/>
                <w:szCs w:val="20"/>
              </w:rPr>
            </w:pPr>
          </w:p>
          <w:p w:rsidR="00A30BAF" w:rsidRPr="00A30BAF" w:rsidRDefault="00A30BAF" w:rsidP="005D052A">
            <w:pPr>
              <w:tabs>
                <w:tab w:val="left" w:pos="-1440"/>
                <w:tab w:val="left" w:pos="-720"/>
              </w:tabs>
              <w:jc w:val="both"/>
              <w:rPr>
                <w:sz w:val="20"/>
                <w:szCs w:val="20"/>
              </w:rPr>
            </w:pPr>
            <w:r w:rsidRPr="00A30BAF">
              <w:rPr>
                <w:sz w:val="20"/>
                <w:szCs w:val="20"/>
              </w:rPr>
              <w:tab/>
              <w:t>v. (34286)</w:t>
            </w:r>
          </w:p>
          <w:p w:rsidR="00A30BAF" w:rsidRPr="00A30BAF" w:rsidRDefault="00A30BAF" w:rsidP="005D052A">
            <w:pPr>
              <w:tabs>
                <w:tab w:val="left" w:pos="-1440"/>
                <w:tab w:val="left" w:pos="-720"/>
              </w:tabs>
              <w:jc w:val="both"/>
              <w:rPr>
                <w:sz w:val="20"/>
                <w:szCs w:val="20"/>
              </w:rPr>
            </w:pPr>
          </w:p>
          <w:p w:rsidR="00A30BAF" w:rsidRPr="00A30BAF" w:rsidRDefault="00A30BAF" w:rsidP="005D052A">
            <w:pPr>
              <w:tabs>
                <w:tab w:val="left" w:pos="-1440"/>
                <w:tab w:val="left" w:pos="-720"/>
              </w:tabs>
              <w:jc w:val="both"/>
              <w:rPr>
                <w:sz w:val="20"/>
                <w:szCs w:val="20"/>
              </w:rPr>
            </w:pPr>
            <w:r w:rsidRPr="00A30BAF">
              <w:rPr>
                <w:sz w:val="20"/>
                <w:szCs w:val="20"/>
              </w:rPr>
              <w:t>Her Majesty the Queen (Crim.) (B.C.)</w:t>
            </w:r>
          </w:p>
        </w:tc>
        <w:tc>
          <w:tcPr>
            <w:tcW w:w="1170" w:type="dxa"/>
          </w:tcPr>
          <w:p w:rsidR="00A30BAF" w:rsidRPr="00A30BAF" w:rsidRDefault="00A30BAF" w:rsidP="005D052A">
            <w:pPr>
              <w:tabs>
                <w:tab w:val="left" w:pos="-1440"/>
                <w:tab w:val="left" w:pos="-720"/>
              </w:tabs>
              <w:jc w:val="both"/>
              <w:rPr>
                <w:sz w:val="20"/>
                <w:szCs w:val="20"/>
              </w:rPr>
            </w:pPr>
          </w:p>
        </w:tc>
        <w:tc>
          <w:tcPr>
            <w:tcW w:w="4327" w:type="dxa"/>
          </w:tcPr>
          <w:p w:rsidR="00A30BAF" w:rsidRPr="00A30BAF" w:rsidRDefault="00A30BAF" w:rsidP="005D052A">
            <w:pPr>
              <w:tabs>
                <w:tab w:val="left" w:pos="-1440"/>
                <w:tab w:val="left" w:pos="-720"/>
              </w:tabs>
              <w:jc w:val="both"/>
              <w:rPr>
                <w:sz w:val="20"/>
                <w:szCs w:val="20"/>
              </w:rPr>
            </w:pPr>
          </w:p>
        </w:tc>
      </w:tr>
    </w:tbl>
    <w:p w:rsidR="00A30BAF" w:rsidRPr="00A30BAF" w:rsidRDefault="00A30BAF" w:rsidP="00A30BAF">
      <w:pPr>
        <w:rPr>
          <w:sz w:val="20"/>
          <w:szCs w:val="20"/>
        </w:rPr>
      </w:pPr>
    </w:p>
    <w:p w:rsidR="00A30BAF" w:rsidRPr="00A30BAF" w:rsidRDefault="00A30BAF" w:rsidP="00A30BAF">
      <w:pPr>
        <w:tabs>
          <w:tab w:val="left" w:pos="-1440"/>
          <w:tab w:val="left" w:pos="-720"/>
        </w:tabs>
        <w:jc w:val="both"/>
        <w:rPr>
          <w:b/>
          <w:sz w:val="20"/>
          <w:szCs w:val="20"/>
        </w:rPr>
      </w:pPr>
      <w:r w:rsidRPr="00A30BAF">
        <w:rPr>
          <w:b/>
          <w:sz w:val="20"/>
          <w:szCs w:val="20"/>
        </w:rPr>
        <w:t>GRANTED / ACCORDÉE</w:t>
      </w:r>
    </w:p>
    <w:p w:rsidR="00A30BAF" w:rsidRPr="00A30BAF" w:rsidRDefault="00A30BAF" w:rsidP="00A30BAF">
      <w:pPr>
        <w:tabs>
          <w:tab w:val="left" w:pos="-1440"/>
          <w:tab w:val="left" w:pos="-720"/>
        </w:tabs>
        <w:jc w:val="both"/>
        <w:rPr>
          <w:sz w:val="20"/>
          <w:szCs w:val="20"/>
          <w:lang w:val="fr-FR"/>
        </w:rPr>
      </w:pPr>
    </w:p>
    <w:p w:rsidR="00A30BAF" w:rsidRPr="00A30BAF" w:rsidRDefault="00586706" w:rsidP="00A30BAF">
      <w:pPr>
        <w:tabs>
          <w:tab w:val="left" w:pos="-1440"/>
          <w:tab w:val="left" w:pos="-720"/>
        </w:tabs>
        <w:jc w:val="both"/>
        <w:rPr>
          <w:sz w:val="20"/>
          <w:szCs w:val="20"/>
          <w:lang w:val="fr-CA"/>
        </w:rPr>
      </w:pPr>
      <w:r w:rsidRPr="00586706">
        <w:rPr>
          <w:sz w:val="20"/>
          <w:szCs w:val="20"/>
          <w:lang w:val="fr-CA"/>
        </w:rPr>
        <w:pict>
          <v:rect id="_x0000_i1069" style="width:2in;height:1pt" o:hrpct="0" o:hralign="center" o:hrstd="t" o:hrnoshade="t" o:hr="t" fillcolor="black [3213]" stroked="f"/>
        </w:pict>
      </w:r>
    </w:p>
    <w:p w:rsidR="00A30BAF" w:rsidRPr="00A30BAF" w:rsidRDefault="00A30BAF" w:rsidP="00A30BAF">
      <w:pPr>
        <w:tabs>
          <w:tab w:val="left" w:pos="-1440"/>
          <w:tab w:val="left" w:pos="-720"/>
        </w:tabs>
        <w:jc w:val="both"/>
        <w:rPr>
          <w:sz w:val="20"/>
          <w:szCs w:val="20"/>
          <w:lang w:val="fr-CA"/>
        </w:rPr>
      </w:pPr>
    </w:p>
    <w:p w:rsidR="00A30BAF" w:rsidRPr="00A30BAF" w:rsidRDefault="00A30BAF" w:rsidP="00A30BAF">
      <w:pPr>
        <w:tabs>
          <w:tab w:val="left" w:pos="-1440"/>
          <w:tab w:val="left" w:pos="-720"/>
        </w:tabs>
        <w:jc w:val="both"/>
        <w:rPr>
          <w:sz w:val="20"/>
          <w:szCs w:val="20"/>
          <w:lang w:val="fr-CA"/>
        </w:rPr>
      </w:pPr>
      <w:r w:rsidRPr="00A30BAF">
        <w:rPr>
          <w:sz w:val="20"/>
          <w:szCs w:val="20"/>
          <w:lang w:val="fr-CA"/>
        </w:rPr>
        <w:t>15.12.2011</w:t>
      </w:r>
    </w:p>
    <w:p w:rsidR="00A30BAF" w:rsidRPr="00A30BAF" w:rsidRDefault="00A30BAF" w:rsidP="00A30BAF">
      <w:pPr>
        <w:tabs>
          <w:tab w:val="left" w:pos="-1440"/>
          <w:tab w:val="left" w:pos="-720"/>
        </w:tabs>
        <w:jc w:val="both"/>
        <w:rPr>
          <w:sz w:val="20"/>
          <w:szCs w:val="20"/>
          <w:lang w:val="fr-CA"/>
        </w:rPr>
      </w:pPr>
    </w:p>
    <w:p w:rsidR="00A30BAF" w:rsidRPr="00A30BAF" w:rsidRDefault="00A30BAF" w:rsidP="00A30BAF">
      <w:pPr>
        <w:jc w:val="both"/>
        <w:rPr>
          <w:sz w:val="20"/>
          <w:szCs w:val="20"/>
          <w:lang w:val="fr-CA"/>
        </w:rPr>
      </w:pPr>
      <w:r w:rsidRPr="00A30BAF">
        <w:rPr>
          <w:sz w:val="20"/>
          <w:szCs w:val="20"/>
          <w:lang w:val="fr-CA"/>
        </w:rPr>
        <w:t xml:space="preserve">Before / Devant:   THE REGISTRAR / LE REGISTRAIRE </w:t>
      </w:r>
    </w:p>
    <w:p w:rsidR="00A30BAF" w:rsidRPr="00A30BAF" w:rsidRDefault="00A30BAF" w:rsidP="00A30BAF">
      <w:pPr>
        <w:tabs>
          <w:tab w:val="left" w:pos="-1440"/>
          <w:tab w:val="left" w:pos="-720"/>
        </w:tabs>
        <w:jc w:val="both"/>
        <w:rPr>
          <w:sz w:val="20"/>
          <w:szCs w:val="20"/>
          <w:lang w:val="fr-CA"/>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7"/>
        <w:gridCol w:w="1137"/>
        <w:gridCol w:w="4212"/>
      </w:tblGrid>
      <w:tr w:rsidR="00A30BAF" w:rsidRPr="004061E0" w:rsidTr="005D052A">
        <w:trPr>
          <w:cantSplit/>
          <w:trHeight w:val="151"/>
        </w:trPr>
        <w:tc>
          <w:tcPr>
            <w:tcW w:w="4227" w:type="dxa"/>
          </w:tcPr>
          <w:p w:rsidR="00A30BAF" w:rsidRPr="00A30BAF" w:rsidRDefault="00A30BAF" w:rsidP="005D052A">
            <w:pPr>
              <w:jc w:val="both"/>
              <w:rPr>
                <w:b/>
                <w:bCs/>
                <w:i/>
                <w:iCs/>
              </w:rPr>
            </w:pPr>
            <w:r w:rsidRPr="00A30BAF">
              <w:rPr>
                <w:b/>
                <w:bCs/>
              </w:rPr>
              <w:t>Motion to file additional documents</w:t>
            </w:r>
            <w:r w:rsidRPr="00A30BAF">
              <w:rPr>
                <w:b/>
              </w:rPr>
              <w:t xml:space="preserve"> </w:t>
            </w:r>
            <w:r w:rsidRPr="00A30BAF">
              <w:rPr>
                <w:b/>
                <w:bCs/>
              </w:rPr>
              <w:t xml:space="preserve">pursuant to Rule 32(2) of the </w:t>
            </w:r>
            <w:r w:rsidRPr="00A30BAF">
              <w:rPr>
                <w:b/>
                <w:bCs/>
                <w:i/>
                <w:iCs/>
              </w:rPr>
              <w:t>Rules of the Supreme Court of Canada</w:t>
            </w:r>
          </w:p>
          <w:p w:rsidR="00A30BAF" w:rsidRPr="00A30BAF" w:rsidRDefault="00A30BAF" w:rsidP="005D052A">
            <w:pPr>
              <w:jc w:val="both"/>
            </w:pPr>
          </w:p>
        </w:tc>
        <w:tc>
          <w:tcPr>
            <w:tcW w:w="1137" w:type="dxa"/>
          </w:tcPr>
          <w:p w:rsidR="00A30BAF" w:rsidRPr="00A30BAF" w:rsidRDefault="00A30BAF" w:rsidP="005D052A">
            <w:pPr>
              <w:jc w:val="both"/>
            </w:pPr>
          </w:p>
        </w:tc>
        <w:tc>
          <w:tcPr>
            <w:tcW w:w="4212" w:type="dxa"/>
          </w:tcPr>
          <w:p w:rsidR="00A30BAF" w:rsidRPr="00A30BAF" w:rsidRDefault="00A30BAF" w:rsidP="005D052A">
            <w:pPr>
              <w:jc w:val="both"/>
              <w:rPr>
                <w:lang w:val="fr-CA"/>
              </w:rPr>
            </w:pPr>
            <w:r w:rsidRPr="00A30BAF">
              <w:rPr>
                <w:b/>
                <w:bCs/>
                <w:lang w:val="fr-CA"/>
              </w:rPr>
              <w:t>Requête en vue de déposer des documents supplémentaires</w:t>
            </w:r>
            <w:r w:rsidRPr="00A30BAF">
              <w:rPr>
                <w:lang w:val="fr-CA"/>
              </w:rPr>
              <w:t xml:space="preserve"> </w:t>
            </w:r>
            <w:r w:rsidRPr="00A30BAF">
              <w:rPr>
                <w:b/>
                <w:bCs/>
                <w:lang w:val="fr-CA"/>
              </w:rPr>
              <w:t xml:space="preserve">en vertu du paragraphe 32(2) des </w:t>
            </w:r>
            <w:r w:rsidRPr="00A30BAF">
              <w:rPr>
                <w:b/>
                <w:bCs/>
                <w:i/>
                <w:iCs/>
                <w:lang w:val="fr-CA"/>
              </w:rPr>
              <w:t>Règles de la Cour suprême du Canada</w:t>
            </w:r>
            <w:r w:rsidRPr="00A30BAF">
              <w:rPr>
                <w:lang w:val="fr-CA"/>
              </w:rPr>
              <w:t xml:space="preserve"> </w:t>
            </w:r>
            <w:r w:rsidR="00586706" w:rsidRPr="00A30BAF">
              <w:fldChar w:fldCharType="begin"/>
            </w:r>
            <w:r w:rsidRPr="00A30BAF">
              <w:rPr>
                <w:lang w:val="fr-CA"/>
              </w:rPr>
              <w:instrText xml:space="preserve"> SEQ CHAPTER \h \r 1</w:instrText>
            </w:r>
            <w:r w:rsidR="00586706" w:rsidRPr="00A30BAF">
              <w:fldChar w:fldCharType="end"/>
            </w:r>
          </w:p>
        </w:tc>
      </w:tr>
      <w:tr w:rsidR="00A30BAF" w:rsidRPr="00A30BAF" w:rsidTr="005D05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227" w:type="dxa"/>
            <w:tcBorders>
              <w:top w:val="nil"/>
              <w:left w:val="nil"/>
              <w:bottom w:val="nil"/>
              <w:right w:val="nil"/>
            </w:tcBorders>
          </w:tcPr>
          <w:p w:rsidR="00A30BAF" w:rsidRPr="00A30BAF" w:rsidRDefault="00A30BAF" w:rsidP="005D052A">
            <w:pPr>
              <w:tabs>
                <w:tab w:val="left" w:pos="-1440"/>
                <w:tab w:val="left" w:pos="-720"/>
              </w:tabs>
              <w:jc w:val="both"/>
            </w:pPr>
            <w:r w:rsidRPr="00A30BAF">
              <w:t>Eva Notburga Marita Sydel</w:t>
            </w:r>
          </w:p>
          <w:p w:rsidR="00A30BAF" w:rsidRPr="00A30BAF" w:rsidRDefault="00A30BAF" w:rsidP="005D052A">
            <w:pPr>
              <w:tabs>
                <w:tab w:val="left" w:pos="-1440"/>
                <w:tab w:val="left" w:pos="-720"/>
              </w:tabs>
              <w:jc w:val="both"/>
            </w:pPr>
          </w:p>
          <w:p w:rsidR="00A30BAF" w:rsidRPr="00A30BAF" w:rsidRDefault="00A30BAF" w:rsidP="005D052A">
            <w:pPr>
              <w:tabs>
                <w:tab w:val="left" w:pos="-1440"/>
                <w:tab w:val="left" w:pos="-720"/>
              </w:tabs>
              <w:jc w:val="both"/>
            </w:pPr>
            <w:r w:rsidRPr="00A30BAF">
              <w:tab/>
              <w:t>v. (34366)</w:t>
            </w:r>
          </w:p>
          <w:p w:rsidR="00A30BAF" w:rsidRPr="00A30BAF" w:rsidRDefault="00A30BAF" w:rsidP="005D052A">
            <w:pPr>
              <w:tabs>
                <w:tab w:val="left" w:pos="-1440"/>
                <w:tab w:val="left" w:pos="-720"/>
              </w:tabs>
              <w:jc w:val="both"/>
            </w:pPr>
          </w:p>
          <w:p w:rsidR="00A30BAF" w:rsidRPr="00A30BAF" w:rsidRDefault="00A30BAF" w:rsidP="005D052A">
            <w:pPr>
              <w:tabs>
                <w:tab w:val="left" w:pos="-1440"/>
                <w:tab w:val="left" w:pos="-720"/>
              </w:tabs>
              <w:jc w:val="both"/>
            </w:pPr>
            <w:r w:rsidRPr="00A30BAF">
              <w:t>Her Majesty the Queen in Right of Canada et al. (B.C.)</w:t>
            </w:r>
          </w:p>
        </w:tc>
        <w:tc>
          <w:tcPr>
            <w:tcW w:w="1137" w:type="dxa"/>
            <w:tcBorders>
              <w:top w:val="nil"/>
              <w:left w:val="nil"/>
              <w:bottom w:val="nil"/>
              <w:right w:val="nil"/>
            </w:tcBorders>
          </w:tcPr>
          <w:p w:rsidR="00A30BAF" w:rsidRPr="00A30BAF" w:rsidRDefault="00A30BAF" w:rsidP="005D052A">
            <w:pPr>
              <w:tabs>
                <w:tab w:val="left" w:pos="-1440"/>
                <w:tab w:val="left" w:pos="-720"/>
              </w:tabs>
              <w:jc w:val="both"/>
            </w:pPr>
          </w:p>
        </w:tc>
        <w:tc>
          <w:tcPr>
            <w:tcW w:w="4212" w:type="dxa"/>
            <w:tcBorders>
              <w:top w:val="nil"/>
              <w:left w:val="nil"/>
              <w:bottom w:val="nil"/>
              <w:right w:val="nil"/>
            </w:tcBorders>
          </w:tcPr>
          <w:p w:rsidR="00A30BAF" w:rsidRPr="00A30BAF" w:rsidRDefault="00A30BAF" w:rsidP="005D052A">
            <w:pPr>
              <w:tabs>
                <w:tab w:val="left" w:pos="-1440"/>
                <w:tab w:val="left" w:pos="-720"/>
              </w:tabs>
              <w:jc w:val="both"/>
            </w:pPr>
          </w:p>
        </w:tc>
      </w:tr>
    </w:tbl>
    <w:p w:rsidR="00A30BAF" w:rsidRPr="00A30BAF" w:rsidRDefault="00A30BAF" w:rsidP="00A30BAF">
      <w:pPr>
        <w:tabs>
          <w:tab w:val="left" w:pos="-1440"/>
          <w:tab w:val="left" w:pos="-720"/>
        </w:tabs>
        <w:jc w:val="both"/>
        <w:rPr>
          <w:sz w:val="20"/>
          <w:szCs w:val="20"/>
        </w:rPr>
      </w:pPr>
    </w:p>
    <w:p w:rsidR="00A30BAF" w:rsidRPr="00A30BAF" w:rsidRDefault="00A30BAF" w:rsidP="00A30BAF">
      <w:pPr>
        <w:jc w:val="both"/>
        <w:rPr>
          <w:b/>
          <w:sz w:val="20"/>
          <w:szCs w:val="20"/>
        </w:rPr>
      </w:pPr>
      <w:r w:rsidRPr="00A30BAF">
        <w:rPr>
          <w:b/>
          <w:sz w:val="20"/>
          <w:szCs w:val="20"/>
        </w:rPr>
        <w:t>DISMISSED / REJETÉE</w:t>
      </w:r>
    </w:p>
    <w:p w:rsidR="00A30BAF" w:rsidRPr="00A30BAF" w:rsidRDefault="00A30BAF" w:rsidP="00A30BAF">
      <w:pPr>
        <w:jc w:val="both"/>
        <w:rPr>
          <w:sz w:val="20"/>
          <w:szCs w:val="20"/>
        </w:rPr>
      </w:pPr>
    </w:p>
    <w:p w:rsidR="00A30BAF" w:rsidRPr="00A30BAF" w:rsidRDefault="00A30BAF" w:rsidP="00A30BAF">
      <w:pPr>
        <w:jc w:val="both"/>
        <w:rPr>
          <w:sz w:val="20"/>
          <w:szCs w:val="20"/>
        </w:rPr>
      </w:pPr>
      <w:r w:rsidRPr="00A30BAF">
        <w:rPr>
          <w:b/>
          <w:sz w:val="20"/>
          <w:szCs w:val="20"/>
        </w:rPr>
        <w:lastRenderedPageBreak/>
        <w:t>UPON APPLICATION</w:t>
      </w:r>
      <w:r w:rsidRPr="00A30BAF">
        <w:rPr>
          <w:sz w:val="20"/>
          <w:szCs w:val="20"/>
        </w:rPr>
        <w:t xml:space="preserve"> </w:t>
      </w:r>
      <w:r w:rsidR="00586706" w:rsidRPr="00A30BAF">
        <w:rPr>
          <w:sz w:val="20"/>
          <w:szCs w:val="20"/>
        </w:rPr>
        <w:fldChar w:fldCharType="begin"/>
      </w:r>
      <w:r w:rsidRPr="00A30BAF">
        <w:rPr>
          <w:sz w:val="20"/>
          <w:szCs w:val="20"/>
        </w:rPr>
        <w:instrText xml:space="preserve"> SEQ CHAPTER \h \r 1</w:instrText>
      </w:r>
      <w:r w:rsidR="00586706" w:rsidRPr="00A30BAF">
        <w:rPr>
          <w:sz w:val="20"/>
          <w:szCs w:val="20"/>
        </w:rPr>
        <w:fldChar w:fldCharType="end"/>
      </w:r>
      <w:r w:rsidRPr="00A30BAF">
        <w:rPr>
          <w:sz w:val="20"/>
          <w:szCs w:val="20"/>
        </w:rPr>
        <w:t>made on behalf of the Applicant pursuant to the provisions of Rule 32(2) for an order to file additional material namely a motion for disclosure</w:t>
      </w:r>
      <w:r w:rsidRPr="00A30BAF">
        <w:rPr>
          <w:i/>
          <w:sz w:val="20"/>
          <w:szCs w:val="20"/>
        </w:rPr>
        <w:t xml:space="preserve"> </w:t>
      </w:r>
      <w:r w:rsidRPr="00A30BAF">
        <w:rPr>
          <w:sz w:val="20"/>
          <w:szCs w:val="20"/>
        </w:rPr>
        <w:t>to be submitted to the leave panel;</w:t>
      </w:r>
    </w:p>
    <w:p w:rsidR="00A30BAF" w:rsidRPr="00A30BAF" w:rsidRDefault="00A30BAF" w:rsidP="00A30BAF">
      <w:pPr>
        <w:rPr>
          <w:sz w:val="20"/>
          <w:szCs w:val="20"/>
        </w:rPr>
      </w:pPr>
    </w:p>
    <w:p w:rsidR="00A30BAF" w:rsidRPr="00A30BAF" w:rsidRDefault="00586706" w:rsidP="00A30BAF">
      <w:pPr>
        <w:rPr>
          <w:sz w:val="20"/>
          <w:szCs w:val="20"/>
        </w:rPr>
      </w:pPr>
      <w:r w:rsidRPr="00A30BAF">
        <w:rPr>
          <w:sz w:val="20"/>
          <w:szCs w:val="20"/>
        </w:rPr>
        <w:fldChar w:fldCharType="begin"/>
      </w:r>
      <w:r w:rsidR="00A30BAF" w:rsidRPr="00A30BAF">
        <w:rPr>
          <w:sz w:val="20"/>
          <w:szCs w:val="20"/>
        </w:rPr>
        <w:instrText xml:space="preserve"> SEQ CHAPTER \h \r 1</w:instrText>
      </w:r>
      <w:r w:rsidRPr="00A30BAF">
        <w:rPr>
          <w:sz w:val="20"/>
          <w:szCs w:val="20"/>
        </w:rPr>
        <w:fldChar w:fldCharType="end"/>
      </w:r>
      <w:r w:rsidR="00A30BAF" w:rsidRPr="00A30BAF">
        <w:rPr>
          <w:b/>
          <w:bCs/>
          <w:sz w:val="20"/>
          <w:szCs w:val="20"/>
        </w:rPr>
        <w:t>AND HAVING READ</w:t>
      </w:r>
      <w:r w:rsidR="00A30BAF" w:rsidRPr="00A30BAF">
        <w:rPr>
          <w:sz w:val="20"/>
          <w:szCs w:val="20"/>
        </w:rPr>
        <w:t xml:space="preserve"> the material filed;</w:t>
      </w:r>
    </w:p>
    <w:p w:rsidR="00A30BAF" w:rsidRPr="00A30BAF" w:rsidRDefault="00A30BAF" w:rsidP="00A30BAF">
      <w:pPr>
        <w:rPr>
          <w:sz w:val="20"/>
          <w:szCs w:val="20"/>
        </w:rPr>
      </w:pPr>
    </w:p>
    <w:p w:rsidR="00A30BAF" w:rsidRPr="00A30BAF" w:rsidRDefault="00A30BAF" w:rsidP="00A30BAF">
      <w:pPr>
        <w:rPr>
          <w:b/>
          <w:sz w:val="20"/>
          <w:szCs w:val="20"/>
        </w:rPr>
      </w:pPr>
      <w:r w:rsidRPr="00A30BAF">
        <w:rPr>
          <w:b/>
          <w:sz w:val="20"/>
          <w:szCs w:val="20"/>
        </w:rPr>
        <w:t>IT IS HEREBY ORDERED THAT:</w:t>
      </w:r>
    </w:p>
    <w:p w:rsidR="00A30BAF" w:rsidRPr="00A30BAF" w:rsidRDefault="00A30BAF" w:rsidP="00A30BAF">
      <w:pPr>
        <w:pStyle w:val="ListParagraph"/>
        <w:ind w:left="360"/>
        <w:rPr>
          <w:sz w:val="20"/>
          <w:szCs w:val="20"/>
        </w:rPr>
      </w:pPr>
    </w:p>
    <w:p w:rsidR="00A30BAF" w:rsidRPr="00A30BAF" w:rsidRDefault="00A30BAF" w:rsidP="00A30BAF">
      <w:pPr>
        <w:pStyle w:val="ListParagraph"/>
        <w:ind w:left="360"/>
        <w:rPr>
          <w:sz w:val="20"/>
          <w:szCs w:val="20"/>
          <w:lang w:val="fr-CA"/>
        </w:rPr>
      </w:pPr>
      <w:r w:rsidRPr="00A30BAF">
        <w:rPr>
          <w:sz w:val="20"/>
          <w:szCs w:val="20"/>
          <w:lang w:val="fr-CA"/>
        </w:rPr>
        <w:t>The motion is dismissed.</w:t>
      </w:r>
    </w:p>
    <w:p w:rsidR="00A30BAF" w:rsidRPr="00A30BAF" w:rsidRDefault="00A30BAF" w:rsidP="00A30BAF">
      <w:pPr>
        <w:tabs>
          <w:tab w:val="left" w:pos="-1440"/>
          <w:tab w:val="left" w:pos="-720"/>
        </w:tabs>
        <w:jc w:val="both"/>
        <w:rPr>
          <w:sz w:val="20"/>
          <w:szCs w:val="20"/>
          <w:lang w:val="fr-CA"/>
        </w:rPr>
      </w:pPr>
    </w:p>
    <w:p w:rsidR="00A30BAF" w:rsidRPr="00A30BAF" w:rsidRDefault="00A30BAF" w:rsidP="00A30BAF">
      <w:pPr>
        <w:tabs>
          <w:tab w:val="left" w:pos="-1440"/>
          <w:tab w:val="left" w:pos="-720"/>
        </w:tabs>
        <w:jc w:val="both"/>
        <w:rPr>
          <w:sz w:val="20"/>
          <w:szCs w:val="20"/>
          <w:lang w:val="fr-CA"/>
        </w:rPr>
      </w:pPr>
    </w:p>
    <w:p w:rsidR="00A30BAF" w:rsidRPr="00A30BAF" w:rsidRDefault="00A30BAF" w:rsidP="00A30BAF">
      <w:pPr>
        <w:tabs>
          <w:tab w:val="left" w:pos="-1440"/>
          <w:tab w:val="left" w:pos="-720"/>
        </w:tabs>
        <w:jc w:val="both"/>
        <w:rPr>
          <w:sz w:val="20"/>
          <w:szCs w:val="20"/>
          <w:lang w:val="fr-CA"/>
        </w:rPr>
      </w:pPr>
    </w:p>
    <w:p w:rsidR="00A30BAF" w:rsidRPr="00A30BAF" w:rsidRDefault="00A30BAF" w:rsidP="00A30BAF">
      <w:pPr>
        <w:jc w:val="both"/>
        <w:rPr>
          <w:sz w:val="20"/>
          <w:szCs w:val="20"/>
          <w:lang w:val="fr-CA"/>
        </w:rPr>
      </w:pPr>
      <w:r w:rsidRPr="00A30BAF">
        <w:rPr>
          <w:b/>
          <w:sz w:val="20"/>
          <w:szCs w:val="20"/>
          <w:lang w:val="fr-CA"/>
        </w:rPr>
        <w:t>À LA SUITE D’UNE REQUÊTE</w:t>
      </w:r>
      <w:r w:rsidRPr="00A30BAF">
        <w:rPr>
          <w:sz w:val="20"/>
          <w:szCs w:val="20"/>
          <w:lang w:val="fr-CA"/>
        </w:rPr>
        <w:t xml:space="preserve"> présentée au nom de la demanderesse sollicitant la permission de déposer un document supplémentaire en vertu du paragraphe 32(2) des </w:t>
      </w:r>
      <w:r w:rsidRPr="00A30BAF">
        <w:rPr>
          <w:i/>
          <w:sz w:val="20"/>
          <w:szCs w:val="20"/>
          <w:lang w:val="fr-CA"/>
        </w:rPr>
        <w:t>Règles</w:t>
      </w:r>
      <w:r w:rsidRPr="00A30BAF">
        <w:rPr>
          <w:sz w:val="20"/>
          <w:szCs w:val="20"/>
          <w:lang w:val="fr-CA"/>
        </w:rPr>
        <w:t>, en vue de présenter une demande de divulgation à la formation saisie de la demande d’autorisation d’appel;</w:t>
      </w:r>
    </w:p>
    <w:p w:rsidR="00A30BAF" w:rsidRPr="00A30BAF" w:rsidRDefault="00A30BAF" w:rsidP="00A30BAF">
      <w:pPr>
        <w:rPr>
          <w:sz w:val="20"/>
          <w:szCs w:val="20"/>
          <w:lang w:val="fr-CA"/>
        </w:rPr>
      </w:pPr>
    </w:p>
    <w:p w:rsidR="00A30BAF" w:rsidRPr="00A30BAF" w:rsidRDefault="00586706" w:rsidP="00A30BAF">
      <w:pPr>
        <w:rPr>
          <w:sz w:val="20"/>
          <w:szCs w:val="20"/>
          <w:lang w:val="fr-CA"/>
        </w:rPr>
      </w:pPr>
      <w:r w:rsidRPr="00A30BAF">
        <w:rPr>
          <w:sz w:val="20"/>
          <w:szCs w:val="20"/>
          <w:lang w:val="fr-CA"/>
        </w:rPr>
        <w:fldChar w:fldCharType="begin"/>
      </w:r>
      <w:r w:rsidR="00A30BAF" w:rsidRPr="00A30BAF">
        <w:rPr>
          <w:sz w:val="20"/>
          <w:szCs w:val="20"/>
          <w:lang w:val="fr-CA"/>
        </w:rPr>
        <w:instrText xml:space="preserve"> SEQ CHAPTER \h \r 1</w:instrText>
      </w:r>
      <w:r w:rsidRPr="00A30BAF">
        <w:rPr>
          <w:sz w:val="20"/>
          <w:szCs w:val="20"/>
          <w:lang w:val="fr-CA"/>
        </w:rPr>
        <w:fldChar w:fldCharType="end"/>
      </w:r>
      <w:r w:rsidR="00A30BAF" w:rsidRPr="00A30BAF">
        <w:rPr>
          <w:b/>
          <w:bCs/>
          <w:sz w:val="20"/>
          <w:szCs w:val="20"/>
          <w:lang w:val="fr-CA"/>
        </w:rPr>
        <w:t>APRÈS EXAMEN</w:t>
      </w:r>
      <w:r w:rsidR="00A30BAF" w:rsidRPr="00A30BAF">
        <w:rPr>
          <w:sz w:val="20"/>
          <w:szCs w:val="20"/>
          <w:lang w:val="fr-CA"/>
        </w:rPr>
        <w:t xml:space="preserve"> des documents déposés;</w:t>
      </w:r>
    </w:p>
    <w:p w:rsidR="00A30BAF" w:rsidRPr="00A30BAF" w:rsidRDefault="00A30BAF" w:rsidP="00A30BAF">
      <w:pPr>
        <w:rPr>
          <w:sz w:val="20"/>
          <w:szCs w:val="20"/>
          <w:lang w:val="fr-CA"/>
        </w:rPr>
      </w:pPr>
    </w:p>
    <w:p w:rsidR="00A30BAF" w:rsidRPr="00A30BAF" w:rsidRDefault="00A30BAF" w:rsidP="00A30BAF">
      <w:pPr>
        <w:rPr>
          <w:b/>
          <w:sz w:val="20"/>
          <w:szCs w:val="20"/>
          <w:lang w:val="fr-CA"/>
        </w:rPr>
      </w:pPr>
      <w:r w:rsidRPr="00A30BAF">
        <w:rPr>
          <w:b/>
          <w:sz w:val="20"/>
          <w:szCs w:val="20"/>
          <w:lang w:val="fr-CA"/>
        </w:rPr>
        <w:t>IL EST ORDONNÉ CE QUI SUIT :</w:t>
      </w:r>
    </w:p>
    <w:p w:rsidR="00A30BAF" w:rsidRPr="00A30BAF" w:rsidRDefault="00A30BAF" w:rsidP="00A30BAF">
      <w:pPr>
        <w:pStyle w:val="ListParagraph"/>
        <w:ind w:left="360"/>
        <w:rPr>
          <w:sz w:val="20"/>
          <w:szCs w:val="20"/>
          <w:lang w:val="fr-CA"/>
        </w:rPr>
      </w:pPr>
    </w:p>
    <w:p w:rsidR="00A30BAF" w:rsidRPr="00A30BAF" w:rsidRDefault="00A30BAF" w:rsidP="00A30BAF">
      <w:pPr>
        <w:pStyle w:val="ListParagraph"/>
        <w:ind w:left="360"/>
        <w:rPr>
          <w:sz w:val="20"/>
          <w:szCs w:val="20"/>
          <w:lang w:val="fr-CA"/>
        </w:rPr>
      </w:pPr>
      <w:r w:rsidRPr="00A30BAF">
        <w:rPr>
          <w:sz w:val="20"/>
          <w:szCs w:val="20"/>
          <w:lang w:val="fr-CA"/>
        </w:rPr>
        <w:t>La requête est rejetée.</w:t>
      </w:r>
    </w:p>
    <w:p w:rsidR="00A30BAF" w:rsidRPr="00A30BAF" w:rsidRDefault="00A30BAF" w:rsidP="00A30BAF">
      <w:pPr>
        <w:tabs>
          <w:tab w:val="left" w:pos="-1440"/>
          <w:tab w:val="left" w:pos="-720"/>
        </w:tabs>
        <w:jc w:val="both"/>
        <w:rPr>
          <w:sz w:val="20"/>
          <w:szCs w:val="20"/>
        </w:rPr>
      </w:pPr>
    </w:p>
    <w:p w:rsidR="00A30BAF" w:rsidRPr="00A30BAF" w:rsidRDefault="00586706" w:rsidP="00A30BAF">
      <w:pPr>
        <w:tabs>
          <w:tab w:val="left" w:pos="-1440"/>
          <w:tab w:val="left" w:pos="-720"/>
        </w:tabs>
        <w:jc w:val="both"/>
        <w:rPr>
          <w:sz w:val="20"/>
          <w:szCs w:val="20"/>
          <w:lang w:val="fr-CA"/>
        </w:rPr>
      </w:pPr>
      <w:r w:rsidRPr="00586706">
        <w:rPr>
          <w:sz w:val="20"/>
          <w:szCs w:val="20"/>
          <w:lang w:val="fr-CA"/>
        </w:rPr>
        <w:pict>
          <v:rect id="_x0000_i1070" style="width:2in;height:1pt" o:hrpct="0" o:hralign="center" o:hrstd="t" o:hrnoshade="t" o:hr="t" fillcolor="black [3213]" stroked="f"/>
        </w:pict>
      </w:r>
    </w:p>
    <w:p w:rsidR="00A30BAF" w:rsidRPr="00A30BAF" w:rsidRDefault="00A30BAF" w:rsidP="00A30BAF">
      <w:pPr>
        <w:tabs>
          <w:tab w:val="left" w:pos="-1440"/>
          <w:tab w:val="left" w:pos="-720"/>
        </w:tabs>
        <w:jc w:val="both"/>
        <w:rPr>
          <w:sz w:val="20"/>
          <w:szCs w:val="20"/>
          <w:lang w:val="fr-CA"/>
        </w:rPr>
      </w:pP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29"/>
          <w:headerReference w:type="default" r:id="rId30"/>
          <w:footerReference w:type="even" r:id="rId31"/>
          <w:footerReference w:type="default" r:id="rId32"/>
          <w:headerReference w:type="first" r:id="rId33"/>
          <w:footerReference w:type="first" r:id="rId34"/>
          <w:pgSz w:w="12240" w:h="15840"/>
          <w:pgMar w:top="720" w:right="965" w:bottom="1080" w:left="1656" w:header="720" w:footer="965" w:gutter="0"/>
          <w:cols w:space="720"/>
          <w:titlePg/>
          <w:docGrid w:linePitch="326"/>
        </w:sectPr>
      </w:pPr>
    </w:p>
    <w:tbl>
      <w:tblPr>
        <w:tblW w:w="9630" w:type="dxa"/>
        <w:tblBorders>
          <w:bottom w:val="single" w:sz="12" w:space="0" w:color="auto"/>
        </w:tblBorders>
        <w:tblLayout w:type="fixed"/>
        <w:tblCellMar>
          <w:left w:w="0" w:type="dxa"/>
          <w:right w:w="0" w:type="dxa"/>
        </w:tblCellMar>
        <w:tblLook w:val="0000"/>
      </w:tblPr>
      <w:tblGrid>
        <w:gridCol w:w="4200"/>
        <w:gridCol w:w="1200"/>
        <w:gridCol w:w="4230"/>
      </w:tblGrid>
      <w:tr w:rsidR="00F40249" w:rsidRPr="004061E0" w:rsidTr="00EB2B90">
        <w:tc>
          <w:tcPr>
            <w:tcW w:w="4200" w:type="dxa"/>
            <w:shd w:val="clear" w:color="auto" w:fill="auto"/>
            <w:tcMar>
              <w:left w:w="0" w:type="dxa"/>
              <w:right w:w="0" w:type="dxa"/>
            </w:tcMar>
          </w:tcPr>
          <w:p w:rsidR="00F40249" w:rsidRPr="002D72EB" w:rsidRDefault="00F40249" w:rsidP="00EB2B90">
            <w:pPr>
              <w:rPr>
                <w:b/>
                <w:szCs w:val="24"/>
              </w:rPr>
            </w:pPr>
            <w:r w:rsidRPr="002D72EB">
              <w:rPr>
                <w:b/>
                <w:szCs w:val="24"/>
              </w:rPr>
              <w:lastRenderedPageBreak/>
              <w:t>NOTICES OF APPEAL FILED SINCE LAST ISSUE</w:t>
            </w:r>
          </w:p>
        </w:tc>
        <w:tc>
          <w:tcPr>
            <w:tcW w:w="1200" w:type="dxa"/>
            <w:shd w:val="clear" w:color="auto" w:fill="auto"/>
            <w:tcMar>
              <w:left w:w="0" w:type="dxa"/>
              <w:right w:w="0" w:type="dxa"/>
            </w:tcMar>
          </w:tcPr>
          <w:p w:rsidR="00F40249" w:rsidRPr="002D72EB" w:rsidRDefault="00F40249" w:rsidP="00F40249">
            <w:pPr>
              <w:jc w:val="center"/>
              <w:rPr>
                <w:szCs w:val="24"/>
              </w:rPr>
            </w:pPr>
          </w:p>
          <w:p w:rsidR="00F33CCE" w:rsidRPr="002D72EB" w:rsidRDefault="00F33CCE" w:rsidP="00F40249">
            <w:pPr>
              <w:jc w:val="center"/>
              <w:rPr>
                <w:szCs w:val="24"/>
              </w:rPr>
            </w:pPr>
          </w:p>
          <w:p w:rsidR="00F33CCE" w:rsidRPr="002D72EB" w:rsidRDefault="00F33CCE" w:rsidP="00F40249">
            <w:pPr>
              <w:jc w:val="center"/>
              <w:rPr>
                <w:szCs w:val="24"/>
              </w:rPr>
            </w:pPr>
          </w:p>
        </w:tc>
        <w:tc>
          <w:tcPr>
            <w:tcW w:w="4230" w:type="dxa"/>
            <w:shd w:val="clear" w:color="auto" w:fill="auto"/>
            <w:tcMar>
              <w:left w:w="0" w:type="dxa"/>
              <w:right w:w="0" w:type="dxa"/>
            </w:tcMar>
          </w:tcPr>
          <w:p w:rsidR="00F40249" w:rsidRPr="002D72EB" w:rsidRDefault="00F40249" w:rsidP="00EB2B90">
            <w:pPr>
              <w:rPr>
                <w:b/>
                <w:szCs w:val="24"/>
                <w:lang w:val="fr-CA"/>
              </w:rPr>
            </w:pPr>
            <w:r w:rsidRPr="002D72EB">
              <w:rPr>
                <w:b/>
                <w:szCs w:val="24"/>
                <w:lang w:val="fr-CA"/>
              </w:rPr>
              <w:t>AVIS D’APPEL DÉPOSÉS DEPUIS LA DERNIÈRE PARUTION</w:t>
            </w:r>
          </w:p>
        </w:tc>
      </w:tr>
    </w:tbl>
    <w:p w:rsidR="00F40249" w:rsidRPr="00C50A5C" w:rsidRDefault="00F40249" w:rsidP="00F40249">
      <w:pPr>
        <w:rPr>
          <w:sz w:val="20"/>
          <w:szCs w:val="20"/>
          <w:lang w:val="fr-CA"/>
        </w:rPr>
      </w:pPr>
    </w:p>
    <w:tbl>
      <w:tblPr>
        <w:tblW w:w="5000" w:type="pct"/>
        <w:tblCellMar>
          <w:left w:w="0" w:type="dxa"/>
          <w:right w:w="0" w:type="dxa"/>
        </w:tblCellMar>
        <w:tblLook w:val="0000"/>
      </w:tblPr>
      <w:tblGrid>
        <w:gridCol w:w="4244"/>
        <w:gridCol w:w="1131"/>
        <w:gridCol w:w="4244"/>
      </w:tblGrid>
      <w:tr w:rsidR="0010587F" w:rsidRPr="003B3977" w:rsidTr="0010587F">
        <w:trPr>
          <w:cantSplit/>
        </w:trPr>
        <w:tc>
          <w:tcPr>
            <w:tcW w:w="2206" w:type="pct"/>
            <w:tcMar>
              <w:left w:w="0" w:type="dxa"/>
              <w:right w:w="0" w:type="dxa"/>
            </w:tcMar>
          </w:tcPr>
          <w:p w:rsidR="0010587F" w:rsidRPr="00FD31B7" w:rsidRDefault="009D2FA0" w:rsidP="003B3977">
            <w:pPr>
              <w:rPr>
                <w:sz w:val="20"/>
                <w:szCs w:val="20"/>
                <w:lang w:val="fr-CA"/>
              </w:rPr>
            </w:pPr>
            <w:r w:rsidRPr="00FD31B7">
              <w:rPr>
                <w:sz w:val="20"/>
                <w:szCs w:val="20"/>
                <w:lang w:val="fr-CA"/>
              </w:rPr>
              <w:t>19</w:t>
            </w:r>
            <w:r w:rsidR="0010587F" w:rsidRPr="00FD31B7">
              <w:rPr>
                <w:sz w:val="20"/>
                <w:szCs w:val="20"/>
                <w:lang w:val="fr-CA"/>
              </w:rPr>
              <w:t>.1</w:t>
            </w:r>
            <w:r w:rsidRPr="00FD31B7">
              <w:rPr>
                <w:sz w:val="20"/>
                <w:szCs w:val="20"/>
                <w:lang w:val="fr-CA"/>
              </w:rPr>
              <w:t>2</w:t>
            </w:r>
            <w:r w:rsidR="0010587F" w:rsidRPr="00FD31B7">
              <w:rPr>
                <w:sz w:val="20"/>
                <w:szCs w:val="20"/>
                <w:lang w:val="fr-CA"/>
              </w:rPr>
              <w:t>.201</w:t>
            </w:r>
            <w:r w:rsidRPr="00FD31B7">
              <w:rPr>
                <w:sz w:val="20"/>
                <w:szCs w:val="20"/>
                <w:lang w:val="fr-CA"/>
              </w:rPr>
              <w:t>1</w:t>
            </w:r>
          </w:p>
          <w:p w:rsidR="0010587F" w:rsidRPr="00FD31B7" w:rsidRDefault="0010587F" w:rsidP="003B3977">
            <w:pPr>
              <w:rPr>
                <w:sz w:val="20"/>
                <w:szCs w:val="20"/>
                <w:lang w:val="fr-CA"/>
              </w:rPr>
            </w:pPr>
          </w:p>
          <w:p w:rsidR="0010587F" w:rsidRPr="009D2FA0" w:rsidRDefault="009D2FA0" w:rsidP="003B3977">
            <w:pPr>
              <w:rPr>
                <w:b/>
                <w:sz w:val="20"/>
                <w:szCs w:val="20"/>
                <w:lang w:val="fr-CA"/>
              </w:rPr>
            </w:pPr>
            <w:r w:rsidRPr="009D2FA0">
              <w:rPr>
                <w:b/>
                <w:sz w:val="20"/>
                <w:szCs w:val="20"/>
                <w:lang w:val="fr-CA"/>
              </w:rPr>
              <w:t xml:space="preserve">George L. Miller </w:t>
            </w:r>
            <w:r w:rsidR="0010587F" w:rsidRPr="009D2FA0">
              <w:rPr>
                <w:b/>
                <w:sz w:val="20"/>
                <w:szCs w:val="20"/>
                <w:lang w:val="fr-CA"/>
              </w:rPr>
              <w:t>e</w:t>
            </w:r>
            <w:r w:rsidRPr="009D2FA0">
              <w:rPr>
                <w:b/>
                <w:sz w:val="20"/>
                <w:szCs w:val="20"/>
                <w:lang w:val="fr-CA"/>
              </w:rPr>
              <w:t xml:space="preserve">t </w:t>
            </w:r>
            <w:r w:rsidR="0010587F" w:rsidRPr="009D2FA0">
              <w:rPr>
                <w:b/>
                <w:sz w:val="20"/>
                <w:szCs w:val="20"/>
                <w:lang w:val="fr-CA"/>
              </w:rPr>
              <w:t>a</w:t>
            </w:r>
            <w:r w:rsidRPr="009D2FA0">
              <w:rPr>
                <w:b/>
                <w:sz w:val="20"/>
                <w:szCs w:val="20"/>
                <w:lang w:val="fr-CA"/>
              </w:rPr>
              <w:t>l.</w:t>
            </w:r>
          </w:p>
          <w:p w:rsidR="0010587F" w:rsidRPr="009D2FA0" w:rsidRDefault="0010587F" w:rsidP="003B3977">
            <w:pPr>
              <w:rPr>
                <w:b/>
                <w:sz w:val="20"/>
                <w:szCs w:val="20"/>
                <w:lang w:val="fr-CA"/>
              </w:rPr>
            </w:pPr>
          </w:p>
          <w:p w:rsidR="0010587F" w:rsidRPr="009D2FA0" w:rsidRDefault="0010587F" w:rsidP="003B3977">
            <w:pPr>
              <w:rPr>
                <w:b/>
                <w:sz w:val="20"/>
                <w:szCs w:val="20"/>
                <w:lang w:val="fr-CA"/>
              </w:rPr>
            </w:pPr>
            <w:r w:rsidRPr="009D2FA0">
              <w:rPr>
                <w:b/>
                <w:sz w:val="20"/>
                <w:szCs w:val="20"/>
                <w:lang w:val="fr-CA"/>
              </w:rPr>
              <w:tab/>
              <w:t>v. (34</w:t>
            </w:r>
            <w:r w:rsidR="009D2FA0" w:rsidRPr="009D2FA0">
              <w:rPr>
                <w:b/>
                <w:sz w:val="20"/>
                <w:szCs w:val="20"/>
                <w:lang w:val="fr-CA"/>
              </w:rPr>
              <w:t>308</w:t>
            </w:r>
            <w:r w:rsidRPr="009D2FA0">
              <w:rPr>
                <w:b/>
                <w:sz w:val="20"/>
                <w:szCs w:val="20"/>
                <w:lang w:val="fr-CA"/>
              </w:rPr>
              <w:t>)</w:t>
            </w:r>
          </w:p>
          <w:p w:rsidR="0010587F" w:rsidRPr="009D2FA0" w:rsidRDefault="0010587F" w:rsidP="003B3977">
            <w:pPr>
              <w:rPr>
                <w:b/>
                <w:sz w:val="20"/>
                <w:szCs w:val="20"/>
                <w:lang w:val="fr-CA"/>
              </w:rPr>
            </w:pPr>
          </w:p>
          <w:p w:rsidR="0010587F" w:rsidRPr="009D2FA0" w:rsidRDefault="009D2FA0" w:rsidP="003B3977">
            <w:pPr>
              <w:rPr>
                <w:b/>
                <w:sz w:val="20"/>
                <w:szCs w:val="20"/>
                <w:lang w:val="fr-CA"/>
              </w:rPr>
            </w:pPr>
            <w:r w:rsidRPr="009D2FA0">
              <w:rPr>
                <w:b/>
                <w:sz w:val="20"/>
                <w:szCs w:val="20"/>
                <w:lang w:val="fr-CA"/>
              </w:rPr>
              <w:t>Sun Indal</w:t>
            </w:r>
            <w:r w:rsidR="0010587F" w:rsidRPr="009D2FA0">
              <w:rPr>
                <w:b/>
                <w:sz w:val="20"/>
                <w:szCs w:val="20"/>
                <w:lang w:val="fr-CA"/>
              </w:rPr>
              <w:t>e</w:t>
            </w:r>
            <w:r w:rsidRPr="009D2FA0">
              <w:rPr>
                <w:b/>
                <w:sz w:val="20"/>
                <w:szCs w:val="20"/>
                <w:lang w:val="fr-CA"/>
              </w:rPr>
              <w:t>x Finance, LLC et a</w:t>
            </w:r>
            <w:r>
              <w:rPr>
                <w:b/>
                <w:sz w:val="20"/>
                <w:szCs w:val="20"/>
                <w:lang w:val="fr-CA"/>
              </w:rPr>
              <w:t xml:space="preserve">l. </w:t>
            </w:r>
            <w:r w:rsidR="0010587F" w:rsidRPr="009D2FA0">
              <w:rPr>
                <w:b/>
                <w:sz w:val="20"/>
                <w:szCs w:val="20"/>
                <w:lang w:val="fr-CA"/>
              </w:rPr>
              <w:t>(</w:t>
            </w:r>
            <w:r>
              <w:rPr>
                <w:b/>
                <w:sz w:val="20"/>
                <w:szCs w:val="20"/>
                <w:lang w:val="fr-CA"/>
              </w:rPr>
              <w:t>Ont</w:t>
            </w:r>
            <w:r w:rsidR="0010587F" w:rsidRPr="009D2FA0">
              <w:rPr>
                <w:b/>
                <w:sz w:val="20"/>
                <w:szCs w:val="20"/>
                <w:lang w:val="fr-CA"/>
              </w:rPr>
              <w:t>.)</w:t>
            </w:r>
          </w:p>
          <w:p w:rsidR="0010587F" w:rsidRPr="009D2FA0" w:rsidRDefault="0010587F" w:rsidP="003B3977">
            <w:pPr>
              <w:rPr>
                <w:sz w:val="20"/>
                <w:szCs w:val="20"/>
                <w:lang w:val="fr-CA"/>
              </w:rPr>
            </w:pPr>
          </w:p>
          <w:p w:rsidR="0010587F" w:rsidRPr="003B3977" w:rsidRDefault="0010587F" w:rsidP="003B3977">
            <w:pPr>
              <w:rPr>
                <w:sz w:val="20"/>
                <w:szCs w:val="20"/>
              </w:rPr>
            </w:pPr>
            <w:r w:rsidRPr="003B3977">
              <w:rPr>
                <w:sz w:val="20"/>
                <w:szCs w:val="20"/>
              </w:rPr>
              <w:t>(</w:t>
            </w:r>
            <w:r w:rsidR="009D2FA0">
              <w:rPr>
                <w:sz w:val="20"/>
                <w:szCs w:val="20"/>
              </w:rPr>
              <w:t>By Leave)</w:t>
            </w:r>
          </w:p>
          <w:p w:rsidR="0010587F" w:rsidRPr="003B3977" w:rsidRDefault="0010587F" w:rsidP="003B3977">
            <w:pPr>
              <w:rPr>
                <w:sz w:val="20"/>
                <w:szCs w:val="20"/>
              </w:rPr>
            </w:pPr>
          </w:p>
          <w:p w:rsidR="0010587F" w:rsidRPr="009D2FA0" w:rsidRDefault="00586706" w:rsidP="003B3977">
            <w:pPr>
              <w:rPr>
                <w:sz w:val="20"/>
                <w:szCs w:val="20"/>
              </w:rPr>
            </w:pPr>
            <w:r w:rsidRPr="00586706">
              <w:rPr>
                <w:sz w:val="20"/>
                <w:szCs w:val="20"/>
                <w:lang w:val="fr-CA"/>
              </w:rPr>
              <w:pict>
                <v:rect id="_x0000_i1073" style="width:106.1pt;height:1pt" o:hrpct="500" o:hralign="center" o:hrstd="t" o:hrnoshade="t" o:hr="t" fillcolor="black [3213]" stroked="f"/>
              </w:pict>
            </w:r>
          </w:p>
        </w:tc>
        <w:tc>
          <w:tcPr>
            <w:tcW w:w="588" w:type="pct"/>
          </w:tcPr>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tc>
        <w:tc>
          <w:tcPr>
            <w:tcW w:w="2206" w:type="pct"/>
          </w:tcPr>
          <w:p w:rsidR="0010587F" w:rsidRPr="003B3977" w:rsidRDefault="009D2FA0" w:rsidP="003B3977">
            <w:pPr>
              <w:rPr>
                <w:sz w:val="20"/>
                <w:szCs w:val="20"/>
              </w:rPr>
            </w:pPr>
            <w:r>
              <w:rPr>
                <w:sz w:val="20"/>
                <w:szCs w:val="20"/>
              </w:rPr>
              <w:t>19</w:t>
            </w:r>
            <w:r w:rsidR="0010587F" w:rsidRPr="003B3977">
              <w:rPr>
                <w:sz w:val="20"/>
                <w:szCs w:val="20"/>
              </w:rPr>
              <w:t>.1</w:t>
            </w:r>
            <w:r>
              <w:rPr>
                <w:sz w:val="20"/>
                <w:szCs w:val="20"/>
              </w:rPr>
              <w:t>2</w:t>
            </w:r>
            <w:r w:rsidR="0010587F" w:rsidRPr="003B3977">
              <w:rPr>
                <w:sz w:val="20"/>
                <w:szCs w:val="20"/>
              </w:rPr>
              <w:t>.201</w:t>
            </w:r>
            <w:r>
              <w:rPr>
                <w:sz w:val="20"/>
                <w:szCs w:val="20"/>
              </w:rPr>
              <w:t>1</w:t>
            </w:r>
          </w:p>
          <w:p w:rsidR="0010587F" w:rsidRPr="003B3977" w:rsidRDefault="0010587F" w:rsidP="003B3977">
            <w:pPr>
              <w:rPr>
                <w:sz w:val="20"/>
                <w:szCs w:val="20"/>
              </w:rPr>
            </w:pPr>
          </w:p>
          <w:p w:rsidR="0010587F" w:rsidRPr="003B3977" w:rsidRDefault="009D2FA0" w:rsidP="003B3977">
            <w:pPr>
              <w:rPr>
                <w:b/>
                <w:sz w:val="20"/>
                <w:szCs w:val="20"/>
              </w:rPr>
            </w:pPr>
            <w:r>
              <w:rPr>
                <w:b/>
                <w:sz w:val="20"/>
                <w:szCs w:val="20"/>
              </w:rPr>
              <w:t xml:space="preserve">FTI Consulting Canada ULC et al. </w:t>
            </w:r>
          </w:p>
          <w:p w:rsidR="0010587F" w:rsidRPr="003B3977" w:rsidRDefault="0010587F" w:rsidP="003B3977">
            <w:pPr>
              <w:rPr>
                <w:b/>
                <w:sz w:val="20"/>
                <w:szCs w:val="20"/>
              </w:rPr>
            </w:pPr>
          </w:p>
          <w:p w:rsidR="0010587F" w:rsidRPr="003B3977" w:rsidRDefault="0010587F" w:rsidP="003B3977">
            <w:pPr>
              <w:rPr>
                <w:b/>
                <w:sz w:val="20"/>
                <w:szCs w:val="20"/>
              </w:rPr>
            </w:pPr>
            <w:r w:rsidRPr="003B3977">
              <w:rPr>
                <w:b/>
                <w:sz w:val="20"/>
                <w:szCs w:val="20"/>
              </w:rPr>
              <w:tab/>
              <w:t>v. (3</w:t>
            </w:r>
            <w:r w:rsidR="009D2FA0">
              <w:rPr>
                <w:b/>
                <w:sz w:val="20"/>
                <w:szCs w:val="20"/>
              </w:rPr>
              <w:t>4</w:t>
            </w:r>
            <w:r w:rsidRPr="003B3977">
              <w:rPr>
                <w:b/>
                <w:sz w:val="20"/>
                <w:szCs w:val="20"/>
              </w:rPr>
              <w:t>3</w:t>
            </w:r>
            <w:r w:rsidR="009D2FA0">
              <w:rPr>
                <w:b/>
                <w:sz w:val="20"/>
                <w:szCs w:val="20"/>
              </w:rPr>
              <w:t>08</w:t>
            </w:r>
            <w:r w:rsidRPr="003B3977">
              <w:rPr>
                <w:b/>
                <w:sz w:val="20"/>
                <w:szCs w:val="20"/>
              </w:rPr>
              <w:t>)</w:t>
            </w:r>
          </w:p>
          <w:p w:rsidR="0010587F" w:rsidRPr="003B3977" w:rsidRDefault="0010587F" w:rsidP="003B3977">
            <w:pPr>
              <w:rPr>
                <w:b/>
                <w:sz w:val="20"/>
                <w:szCs w:val="20"/>
              </w:rPr>
            </w:pPr>
          </w:p>
          <w:p w:rsidR="0010587F" w:rsidRPr="009D2FA0" w:rsidRDefault="009D2FA0" w:rsidP="003B3977">
            <w:pPr>
              <w:rPr>
                <w:b/>
                <w:sz w:val="20"/>
                <w:szCs w:val="20"/>
              </w:rPr>
            </w:pPr>
            <w:r>
              <w:rPr>
                <w:b/>
                <w:sz w:val="20"/>
                <w:szCs w:val="20"/>
              </w:rPr>
              <w:t xml:space="preserve">Keith Carruthers </w:t>
            </w:r>
            <w:r w:rsidR="0010587F" w:rsidRPr="009D2FA0">
              <w:rPr>
                <w:b/>
                <w:sz w:val="20"/>
                <w:szCs w:val="20"/>
              </w:rPr>
              <w:t>et al. (Ont.)</w:t>
            </w:r>
          </w:p>
          <w:p w:rsidR="0010587F" w:rsidRPr="009D2FA0" w:rsidRDefault="0010587F" w:rsidP="003B3977">
            <w:pPr>
              <w:rPr>
                <w:sz w:val="20"/>
                <w:szCs w:val="20"/>
              </w:rPr>
            </w:pPr>
          </w:p>
          <w:p w:rsidR="0010587F" w:rsidRPr="003B3977" w:rsidRDefault="0010587F" w:rsidP="003B3977">
            <w:pPr>
              <w:rPr>
                <w:sz w:val="20"/>
                <w:szCs w:val="20"/>
              </w:rPr>
            </w:pPr>
            <w:r w:rsidRPr="003B3977">
              <w:rPr>
                <w:sz w:val="20"/>
                <w:szCs w:val="20"/>
              </w:rPr>
              <w:t>(</w:t>
            </w:r>
            <w:r w:rsidR="009D2FA0">
              <w:rPr>
                <w:sz w:val="20"/>
                <w:szCs w:val="20"/>
              </w:rPr>
              <w:t>By Leave</w:t>
            </w:r>
            <w:r w:rsidRPr="003B3977">
              <w:rPr>
                <w:sz w:val="20"/>
                <w:szCs w:val="20"/>
              </w:rPr>
              <w:t>)</w:t>
            </w:r>
          </w:p>
          <w:p w:rsidR="0010587F" w:rsidRPr="003B3977" w:rsidRDefault="0010587F" w:rsidP="003B3977">
            <w:pPr>
              <w:rPr>
                <w:sz w:val="20"/>
                <w:szCs w:val="20"/>
              </w:rPr>
            </w:pPr>
          </w:p>
          <w:p w:rsidR="0010587F" w:rsidRPr="003B3977" w:rsidRDefault="00586706" w:rsidP="003B3977">
            <w:pPr>
              <w:rPr>
                <w:sz w:val="20"/>
                <w:szCs w:val="20"/>
              </w:rPr>
            </w:pPr>
            <w:r w:rsidRPr="00586706">
              <w:rPr>
                <w:sz w:val="20"/>
                <w:szCs w:val="20"/>
                <w:lang w:val="fr-CA"/>
              </w:rPr>
              <w:pict>
                <v:rect id="_x0000_i1074" style="width:106.1pt;height:1pt" o:hrpct="500" o:hralign="center" o:hrstd="t" o:hrnoshade="t" o:hr="t" fillcolor="black [3213]" stroked="f"/>
              </w:pict>
            </w:r>
          </w:p>
        </w:tc>
      </w:tr>
    </w:tbl>
    <w:p w:rsidR="00F40249" w:rsidRDefault="00F40249" w:rsidP="00F40249">
      <w:pPr>
        <w:rPr>
          <w:sz w:val="20"/>
          <w:szCs w:val="20"/>
        </w:rPr>
      </w:pPr>
    </w:p>
    <w:p w:rsidR="0010587F" w:rsidRPr="00C50A5C" w:rsidRDefault="0010587F" w:rsidP="00F40249">
      <w:pPr>
        <w:rPr>
          <w:sz w:val="20"/>
          <w:szCs w:val="20"/>
        </w:rPr>
      </w:pPr>
    </w:p>
    <w:p w:rsidR="00EB2B90" w:rsidRPr="00C50A5C" w:rsidRDefault="00EB2B90" w:rsidP="00F40249">
      <w:pPr>
        <w:rPr>
          <w:sz w:val="20"/>
          <w:szCs w:val="20"/>
        </w:rPr>
        <w:sectPr w:rsidR="00EB2B90" w:rsidRPr="00C50A5C" w:rsidSect="00F40249">
          <w:headerReference w:type="even" r:id="rId35"/>
          <w:headerReference w:type="default" r:id="rId36"/>
          <w:footerReference w:type="even" r:id="rId37"/>
          <w:footerReference w:type="default" r:id="rId38"/>
          <w:headerReference w:type="first" r:id="rId39"/>
          <w:footerReference w:type="first" r:id="rId40"/>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FF6EEC" w:rsidRPr="004061E0"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lastRenderedPageBreak/>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Pr="003B3977" w:rsidRDefault="00FF6EEC" w:rsidP="00FF6EEC">
      <w:pPr>
        <w:rPr>
          <w:b/>
          <w:sz w:val="20"/>
          <w:szCs w:val="20"/>
          <w:lang w:val="fr-CA"/>
        </w:rPr>
      </w:pPr>
    </w:p>
    <w:p w:rsidR="00AF1715" w:rsidRPr="003B3977" w:rsidRDefault="00485698" w:rsidP="00AF1715">
      <w:pPr>
        <w:rPr>
          <w:b/>
          <w:sz w:val="20"/>
          <w:szCs w:val="20"/>
        </w:rPr>
      </w:pPr>
      <w:r>
        <w:rPr>
          <w:b/>
          <w:sz w:val="20"/>
          <w:szCs w:val="20"/>
        </w:rPr>
        <w:t>DECE</w:t>
      </w:r>
      <w:r w:rsidR="00AF1715" w:rsidRPr="003B3977">
        <w:rPr>
          <w:b/>
          <w:sz w:val="20"/>
          <w:szCs w:val="20"/>
        </w:rPr>
        <w:t xml:space="preserve">MBER </w:t>
      </w:r>
      <w:r>
        <w:rPr>
          <w:b/>
          <w:sz w:val="20"/>
          <w:szCs w:val="20"/>
        </w:rPr>
        <w:t>21</w:t>
      </w:r>
      <w:r w:rsidR="00AF1715" w:rsidRPr="003B3977">
        <w:rPr>
          <w:b/>
          <w:sz w:val="20"/>
          <w:szCs w:val="20"/>
        </w:rPr>
        <w:t>, 201</w:t>
      </w:r>
      <w:r>
        <w:rPr>
          <w:b/>
          <w:sz w:val="20"/>
          <w:szCs w:val="20"/>
        </w:rPr>
        <w:t>1</w:t>
      </w:r>
      <w:r w:rsidR="00AF1715" w:rsidRPr="003B3977">
        <w:rPr>
          <w:b/>
          <w:sz w:val="20"/>
          <w:szCs w:val="20"/>
        </w:rPr>
        <w:t xml:space="preserve"> / LE </w:t>
      </w:r>
      <w:r>
        <w:rPr>
          <w:b/>
          <w:sz w:val="20"/>
          <w:szCs w:val="20"/>
        </w:rPr>
        <w:t>21 DÉC</w:t>
      </w:r>
      <w:r w:rsidR="00AF1715" w:rsidRPr="003B3977">
        <w:rPr>
          <w:b/>
          <w:sz w:val="20"/>
          <w:szCs w:val="20"/>
        </w:rPr>
        <w:t>EMBRE 201</w:t>
      </w:r>
      <w:r>
        <w:rPr>
          <w:b/>
          <w:sz w:val="20"/>
          <w:szCs w:val="20"/>
        </w:rPr>
        <w:t>1</w:t>
      </w:r>
    </w:p>
    <w:p w:rsidR="00AF1715" w:rsidRDefault="00AF1715" w:rsidP="00AF1715">
      <w:pPr>
        <w:rPr>
          <w:sz w:val="20"/>
          <w:szCs w:val="20"/>
        </w:rPr>
      </w:pPr>
    </w:p>
    <w:p w:rsidR="00485698" w:rsidRPr="00E2735E" w:rsidRDefault="00485698" w:rsidP="00485698">
      <w:pPr>
        <w:ind w:left="1440" w:hanging="1440"/>
        <w:jc w:val="both"/>
        <w:rPr>
          <w:rFonts w:eastAsia="Calibri" w:cs="Times New Roman"/>
          <w:sz w:val="20"/>
          <w:szCs w:val="20"/>
        </w:rPr>
      </w:pPr>
      <w:r w:rsidRPr="00E2735E">
        <w:rPr>
          <w:rFonts w:eastAsia="Calibri" w:cs="Times New Roman"/>
          <w:b/>
          <w:sz w:val="20"/>
          <w:szCs w:val="20"/>
        </w:rPr>
        <w:t>33749</w:t>
      </w:r>
      <w:r w:rsidRPr="00E2735E">
        <w:rPr>
          <w:rFonts w:eastAsia="Calibri" w:cs="Times New Roman"/>
          <w:sz w:val="20"/>
          <w:szCs w:val="20"/>
        </w:rPr>
        <w:tab/>
      </w:r>
      <w:r w:rsidRPr="00E2735E">
        <w:rPr>
          <w:rFonts w:eastAsia="Calibri" w:cs="Times New Roman"/>
          <w:b/>
          <w:iCs/>
          <w:sz w:val="20"/>
          <w:szCs w:val="20"/>
          <w:u w:val="single"/>
        </w:rPr>
        <w:t>L.M.P v. L.S. – and – Women's Legal Education and Action Fund and DisAbled Women's Network Canada</w:t>
      </w:r>
      <w:r w:rsidRPr="00E2735E">
        <w:rPr>
          <w:rFonts w:eastAsia="Calibri" w:cs="Times New Roman"/>
          <w:iCs/>
          <w:sz w:val="20"/>
          <w:szCs w:val="20"/>
        </w:rPr>
        <w:t xml:space="preserve"> (Que.)</w:t>
      </w:r>
    </w:p>
    <w:p w:rsidR="00485698" w:rsidRPr="00E2735E" w:rsidRDefault="00485698" w:rsidP="00485698">
      <w:pPr>
        <w:ind w:left="1440" w:hanging="1440"/>
        <w:jc w:val="both"/>
        <w:rPr>
          <w:rFonts w:eastAsia="Calibri" w:cs="Times New Roman"/>
          <w:b/>
          <w:sz w:val="20"/>
          <w:szCs w:val="20"/>
        </w:rPr>
      </w:pPr>
      <w:r w:rsidRPr="00E2735E">
        <w:rPr>
          <w:rFonts w:eastAsia="Calibri" w:cs="Times New Roman"/>
          <w:b/>
          <w:sz w:val="20"/>
          <w:szCs w:val="20"/>
        </w:rPr>
        <w:tab/>
        <w:t>2011 SCC 64 / 2011 CSC 64</w:t>
      </w:r>
    </w:p>
    <w:p w:rsidR="00485698" w:rsidRPr="00E2735E" w:rsidRDefault="00485698" w:rsidP="00485698">
      <w:pPr>
        <w:ind w:left="1440" w:hanging="1440"/>
        <w:jc w:val="both"/>
        <w:rPr>
          <w:rFonts w:eastAsia="Calibri" w:cs="Times New Roman"/>
          <w:b/>
          <w:sz w:val="20"/>
          <w:szCs w:val="20"/>
        </w:rPr>
      </w:pPr>
    </w:p>
    <w:p w:rsidR="00485698" w:rsidRPr="00E2735E" w:rsidRDefault="00485698" w:rsidP="00485698">
      <w:pPr>
        <w:ind w:left="1440" w:hanging="1440"/>
        <w:jc w:val="both"/>
        <w:rPr>
          <w:rFonts w:eastAsia="Calibri" w:cs="Times New Roman"/>
          <w:sz w:val="20"/>
          <w:szCs w:val="20"/>
          <w:u w:val="single"/>
        </w:rPr>
      </w:pPr>
      <w:r w:rsidRPr="00E2735E">
        <w:rPr>
          <w:rFonts w:eastAsia="Calibri" w:cs="Times New Roman"/>
          <w:sz w:val="20"/>
          <w:szCs w:val="20"/>
        </w:rPr>
        <w:t>Coram:</w:t>
      </w:r>
      <w:r>
        <w:rPr>
          <w:sz w:val="20"/>
          <w:szCs w:val="20"/>
        </w:rPr>
        <w:tab/>
      </w:r>
      <w:r w:rsidRPr="00E2735E">
        <w:rPr>
          <w:rFonts w:eastAsia="Calibri" w:cs="Times New Roman"/>
          <w:sz w:val="20"/>
          <w:szCs w:val="20"/>
          <w:u w:val="single"/>
        </w:rPr>
        <w:t>McLachlin C.J. and Binnie, LeBel, Deschamps, Abella, Rothstein and Cromwell JJ.</w:t>
      </w:r>
    </w:p>
    <w:p w:rsidR="00485698" w:rsidRPr="00E2735E" w:rsidRDefault="00485698" w:rsidP="0048569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Calibri" w:cs="Times New Roman"/>
          <w:sz w:val="20"/>
          <w:szCs w:val="20"/>
        </w:rPr>
      </w:pPr>
    </w:p>
    <w:p w:rsidR="00485698" w:rsidRPr="00E2735E" w:rsidRDefault="00485698" w:rsidP="00485698">
      <w:pPr>
        <w:jc w:val="both"/>
        <w:rPr>
          <w:rFonts w:eastAsia="Calibri" w:cs="Times New Roman"/>
          <w:sz w:val="20"/>
          <w:szCs w:val="20"/>
        </w:rPr>
      </w:pPr>
      <w:r w:rsidRPr="00E2735E">
        <w:rPr>
          <w:rFonts w:eastAsia="Calibri" w:cs="Times New Roman"/>
          <w:sz w:val="20"/>
          <w:szCs w:val="20"/>
        </w:rPr>
        <w:t xml:space="preserve">The appeal from the judgment of the Court of Appeal of Quebec (Montréal), Number 500-09-019946-094, </w:t>
      </w:r>
      <w:proofErr w:type="gramStart"/>
      <w:r w:rsidRPr="00E2735E">
        <w:rPr>
          <w:rFonts w:eastAsia="Calibri" w:cs="Times New Roman"/>
          <w:sz w:val="20"/>
          <w:szCs w:val="20"/>
        </w:rPr>
        <w:t>2010</w:t>
      </w:r>
      <w:proofErr w:type="gramEnd"/>
      <w:r w:rsidRPr="00E2735E">
        <w:rPr>
          <w:rFonts w:eastAsia="Calibri" w:cs="Times New Roman"/>
          <w:sz w:val="20"/>
          <w:szCs w:val="20"/>
        </w:rPr>
        <w:t xml:space="preserve"> QCCA 793, dated April 21, 2010, heard on April 20, 2011, is allowed with costs throughout.  The indexed spousal support in the original order is to continue, effective retroactively to the date it was varied by the trial court.</w:t>
      </w:r>
    </w:p>
    <w:p w:rsidR="00485698" w:rsidRPr="00E2735E" w:rsidRDefault="00485698" w:rsidP="00485698">
      <w:pPr>
        <w:jc w:val="both"/>
        <w:rPr>
          <w:rFonts w:eastAsia="Calibri" w:cs="Times New Roman"/>
          <w:sz w:val="20"/>
          <w:szCs w:val="20"/>
        </w:rPr>
      </w:pPr>
    </w:p>
    <w:p w:rsidR="00485698" w:rsidRPr="00E2735E" w:rsidRDefault="00485698" w:rsidP="00485698">
      <w:pPr>
        <w:jc w:val="both"/>
        <w:rPr>
          <w:rFonts w:eastAsia="Calibri" w:cs="Times New Roman"/>
          <w:sz w:val="20"/>
          <w:szCs w:val="20"/>
          <w:lang w:val="fr-CA"/>
        </w:rPr>
      </w:pPr>
      <w:r w:rsidRPr="00E2735E">
        <w:rPr>
          <w:rFonts w:eastAsia="Calibri" w:cs="Times New Roman"/>
          <w:sz w:val="20"/>
          <w:szCs w:val="20"/>
          <w:lang w:val="fr-CA"/>
        </w:rPr>
        <w:t>L’appel interjeté contre l’arrêt de la Cour d’appel du Québec (Montréal), numéro  500-09-019946-094, 2010 QCCA 793, en date du 21 avril 2010, entendu le 20 avril 2011, est accueilli avec dépens devant toutes les cours.  La pension alimentaire indexée au profit de l’épouse fixée dans l’ordonnance initiale est maintenue et sera versée rétroactivement à la date à laquelle la pension alimentaire a été modifiée par la juridiction de première instance.</w:t>
      </w:r>
    </w:p>
    <w:p w:rsidR="00485698" w:rsidRPr="00485698" w:rsidRDefault="00485698" w:rsidP="00AF1715">
      <w:pPr>
        <w:rPr>
          <w:sz w:val="20"/>
          <w:szCs w:val="20"/>
          <w:lang w:val="fr-CA"/>
        </w:rPr>
      </w:pPr>
    </w:p>
    <w:p w:rsidR="00AF1715" w:rsidRPr="003B3977" w:rsidRDefault="00586706" w:rsidP="00AF1715">
      <w:pPr>
        <w:spacing w:line="0" w:lineRule="atLeast"/>
        <w:rPr>
          <w:sz w:val="20"/>
          <w:szCs w:val="20"/>
        </w:rPr>
      </w:pPr>
      <w:r w:rsidRPr="00586706">
        <w:rPr>
          <w:b/>
          <w:sz w:val="20"/>
          <w:szCs w:val="20"/>
        </w:rPr>
        <w:pict>
          <v:rect id="_x0000_i1077" style="width:144.3pt;height:1pt" o:hrpct="300" o:hralign="center" o:hrstd="t" o:hrnoshade="t" o:hr="t" fillcolor="black [3213]" stroked="f"/>
        </w:pict>
      </w:r>
    </w:p>
    <w:p w:rsidR="00AF1715" w:rsidRDefault="00AF1715" w:rsidP="00AF1715">
      <w:pPr>
        <w:spacing w:line="0" w:lineRule="atLeast"/>
        <w:rPr>
          <w:sz w:val="20"/>
          <w:szCs w:val="20"/>
        </w:rPr>
      </w:pPr>
    </w:p>
    <w:p w:rsidR="00485698" w:rsidRPr="00E2735E" w:rsidRDefault="00485698" w:rsidP="00485698">
      <w:pPr>
        <w:ind w:left="1440" w:hanging="1440"/>
        <w:jc w:val="both"/>
        <w:rPr>
          <w:rFonts w:eastAsia="Calibri" w:cs="Times New Roman"/>
          <w:sz w:val="20"/>
          <w:szCs w:val="20"/>
          <w:lang w:val="fr-CA"/>
        </w:rPr>
      </w:pPr>
      <w:r w:rsidRPr="00E2735E">
        <w:rPr>
          <w:rFonts w:eastAsia="Calibri" w:cs="Times New Roman"/>
          <w:b/>
          <w:sz w:val="20"/>
          <w:szCs w:val="20"/>
          <w:lang w:val="fr-CA"/>
        </w:rPr>
        <w:t>33698</w:t>
      </w:r>
      <w:r w:rsidRPr="00E2735E">
        <w:rPr>
          <w:rFonts w:eastAsia="Calibri" w:cs="Times New Roman"/>
          <w:sz w:val="20"/>
          <w:szCs w:val="20"/>
          <w:lang w:val="fr-CA"/>
        </w:rPr>
        <w:tab/>
      </w:r>
      <w:r w:rsidRPr="00E2735E">
        <w:rPr>
          <w:rFonts w:eastAsia="Calibri" w:cs="Times New Roman"/>
          <w:b/>
          <w:sz w:val="20"/>
          <w:szCs w:val="20"/>
          <w:u w:val="single"/>
          <w:lang w:val="fr-CA"/>
        </w:rPr>
        <w:t>R.P. v. R.C.</w:t>
      </w:r>
      <w:r w:rsidRPr="00E2735E">
        <w:rPr>
          <w:rFonts w:eastAsia="Calibri" w:cs="Times New Roman"/>
          <w:iCs/>
          <w:sz w:val="20"/>
          <w:szCs w:val="20"/>
          <w:lang w:val="fr-CA"/>
        </w:rPr>
        <w:t xml:space="preserve"> (Que.)</w:t>
      </w:r>
    </w:p>
    <w:p w:rsidR="00485698" w:rsidRPr="00E2735E" w:rsidRDefault="00485698" w:rsidP="00485698">
      <w:pPr>
        <w:ind w:left="1440" w:hanging="1440"/>
        <w:jc w:val="both"/>
        <w:rPr>
          <w:rFonts w:eastAsia="Calibri" w:cs="Times New Roman"/>
          <w:b/>
          <w:sz w:val="20"/>
          <w:szCs w:val="20"/>
          <w:lang w:val="fr-CA"/>
        </w:rPr>
      </w:pPr>
      <w:r w:rsidRPr="00E2735E">
        <w:rPr>
          <w:rFonts w:eastAsia="Calibri" w:cs="Times New Roman"/>
          <w:b/>
          <w:sz w:val="20"/>
          <w:szCs w:val="20"/>
          <w:lang w:val="fr-CA"/>
        </w:rPr>
        <w:tab/>
        <w:t>2011 SCC 65 / 2011 CSC 65</w:t>
      </w:r>
    </w:p>
    <w:p w:rsidR="00485698" w:rsidRPr="00E2735E" w:rsidRDefault="00485698" w:rsidP="00485698">
      <w:pPr>
        <w:ind w:left="1440" w:hanging="1440"/>
        <w:jc w:val="both"/>
        <w:rPr>
          <w:rFonts w:eastAsia="Calibri" w:cs="Times New Roman"/>
          <w:b/>
          <w:sz w:val="20"/>
          <w:szCs w:val="20"/>
          <w:lang w:val="fr-CA"/>
        </w:rPr>
      </w:pPr>
    </w:p>
    <w:p w:rsidR="00485698" w:rsidRPr="00E2735E" w:rsidRDefault="00485698" w:rsidP="00485698">
      <w:pPr>
        <w:ind w:left="1440" w:hanging="1440"/>
        <w:jc w:val="both"/>
        <w:rPr>
          <w:rFonts w:eastAsia="Calibri" w:cs="Times New Roman"/>
          <w:sz w:val="20"/>
          <w:szCs w:val="20"/>
          <w:u w:val="single"/>
        </w:rPr>
      </w:pPr>
      <w:r>
        <w:rPr>
          <w:sz w:val="20"/>
          <w:szCs w:val="20"/>
        </w:rPr>
        <w:t>Coram:</w:t>
      </w:r>
      <w:r>
        <w:rPr>
          <w:sz w:val="20"/>
          <w:szCs w:val="20"/>
        </w:rPr>
        <w:tab/>
      </w:r>
      <w:r w:rsidRPr="00E2735E">
        <w:rPr>
          <w:rFonts w:eastAsia="Calibri" w:cs="Times New Roman"/>
          <w:sz w:val="20"/>
          <w:szCs w:val="20"/>
          <w:u w:val="single"/>
        </w:rPr>
        <w:t>McLachlin C.J. and Binnie, LeBel, Deschamps, Abella, Rothstein and Cromwell JJ.</w:t>
      </w:r>
    </w:p>
    <w:p w:rsidR="00485698" w:rsidRPr="00485698" w:rsidRDefault="00485698" w:rsidP="00485698">
      <w:pPr>
        <w:jc w:val="both"/>
        <w:rPr>
          <w:rFonts w:eastAsia="Calibri" w:cs="Times New Roman"/>
          <w:sz w:val="20"/>
          <w:szCs w:val="20"/>
        </w:rPr>
      </w:pPr>
    </w:p>
    <w:p w:rsidR="00485698" w:rsidRPr="00E2735E" w:rsidRDefault="00485698" w:rsidP="00485698">
      <w:pPr>
        <w:jc w:val="both"/>
        <w:rPr>
          <w:rFonts w:eastAsia="Calibri" w:cs="Times New Roman"/>
          <w:sz w:val="20"/>
          <w:szCs w:val="20"/>
        </w:rPr>
      </w:pPr>
      <w:r w:rsidRPr="00E2735E">
        <w:rPr>
          <w:rFonts w:eastAsia="Calibri" w:cs="Times New Roman"/>
          <w:sz w:val="20"/>
          <w:szCs w:val="20"/>
        </w:rPr>
        <w:t xml:space="preserve">The appeal from the judgment of the Court of Appeal of Quebec (Montréal), Number 500-09-019600-097, </w:t>
      </w:r>
      <w:proofErr w:type="gramStart"/>
      <w:r w:rsidRPr="00E2735E">
        <w:rPr>
          <w:rFonts w:eastAsia="Calibri" w:cs="Times New Roman"/>
          <w:sz w:val="20"/>
          <w:szCs w:val="20"/>
        </w:rPr>
        <w:t>2010</w:t>
      </w:r>
      <w:proofErr w:type="gramEnd"/>
      <w:r w:rsidRPr="00E2735E">
        <w:rPr>
          <w:rFonts w:eastAsia="Calibri" w:cs="Times New Roman"/>
          <w:sz w:val="20"/>
          <w:szCs w:val="20"/>
        </w:rPr>
        <w:t xml:space="preserve"> QCCA 478, dated March 12, 2010, heard on April 20, 2011, is allowed with costs throughout.  The indexed spousal support in the 1991 Order is to continue, effective retroactively to the date it was varied by the trial court.  </w:t>
      </w:r>
    </w:p>
    <w:p w:rsidR="00485698" w:rsidRPr="00E2735E" w:rsidRDefault="00485698" w:rsidP="00485698">
      <w:pPr>
        <w:jc w:val="both"/>
        <w:rPr>
          <w:rFonts w:eastAsia="Calibri" w:cs="Times New Roman"/>
          <w:sz w:val="20"/>
          <w:szCs w:val="20"/>
        </w:rPr>
      </w:pPr>
    </w:p>
    <w:p w:rsidR="00485698" w:rsidRPr="00E2735E" w:rsidRDefault="00485698" w:rsidP="00485698">
      <w:pPr>
        <w:jc w:val="both"/>
        <w:rPr>
          <w:rFonts w:eastAsia="Calibri" w:cs="Times New Roman"/>
          <w:sz w:val="20"/>
          <w:szCs w:val="20"/>
          <w:lang w:val="fr-CA"/>
        </w:rPr>
      </w:pPr>
      <w:r w:rsidRPr="00E2735E">
        <w:rPr>
          <w:rFonts w:eastAsia="Calibri" w:cs="Times New Roman"/>
          <w:sz w:val="20"/>
          <w:szCs w:val="20"/>
          <w:lang w:val="fr-CA"/>
        </w:rPr>
        <w:t>L’appel interjeté contre l’arrêt de la Cour d’appel du Québec (Montréal), numéro 500-09-019600-097, 2010 QCCA 478, en date du 12 mars 2010, entendu le 20 avril 2011, est accueilli avec dépens devant toutes les cours.  La pension indexée au profit de l’épouse fixée dans l’ordonnance de 1991 est maintenue et sera versée rétroactivement à la date à laquelle</w:t>
      </w:r>
      <w:r w:rsidR="00EC4BD6">
        <w:rPr>
          <w:rFonts w:eastAsia="Calibri" w:cs="Times New Roman"/>
          <w:sz w:val="20"/>
          <w:szCs w:val="20"/>
          <w:lang w:val="fr-CA"/>
        </w:rPr>
        <w:t xml:space="preserve"> elle</w:t>
      </w:r>
      <w:r w:rsidRPr="00E2735E">
        <w:rPr>
          <w:rFonts w:eastAsia="Calibri" w:cs="Times New Roman"/>
          <w:sz w:val="20"/>
          <w:szCs w:val="20"/>
          <w:lang w:val="fr-CA"/>
        </w:rPr>
        <w:t xml:space="preserve"> a été modifiée par la juridiction de première instance.</w:t>
      </w:r>
    </w:p>
    <w:p w:rsidR="00485698" w:rsidRPr="00485698" w:rsidRDefault="00485698" w:rsidP="00AF1715">
      <w:pPr>
        <w:spacing w:line="0" w:lineRule="atLeast"/>
        <w:rPr>
          <w:sz w:val="20"/>
          <w:szCs w:val="20"/>
          <w:lang w:val="fr-CA"/>
        </w:rPr>
      </w:pPr>
    </w:p>
    <w:p w:rsidR="00AF1715" w:rsidRPr="006C5F7A" w:rsidRDefault="00586706" w:rsidP="00AF1715">
      <w:pPr>
        <w:spacing w:line="0" w:lineRule="atLeast"/>
        <w:rPr>
          <w:rFonts w:cs="Times New Roman"/>
          <w:b/>
          <w:sz w:val="20"/>
          <w:szCs w:val="20"/>
        </w:rPr>
      </w:pPr>
      <w:r w:rsidRPr="00586706">
        <w:rPr>
          <w:rFonts w:cs="Times New Roman"/>
          <w:b/>
          <w:sz w:val="20"/>
          <w:szCs w:val="20"/>
        </w:rPr>
        <w:pict>
          <v:rect id="_x0000_i1078" style="width:144.3pt;height:1pt" o:hrpct="300" o:hralign="center" o:hrstd="t" o:hrnoshade="t" o:hr="t" fillcolor="black [3213]" stroked="f"/>
        </w:pict>
      </w:r>
    </w:p>
    <w:p w:rsidR="00AF1715" w:rsidRPr="006C5F7A" w:rsidRDefault="00AF1715" w:rsidP="00AF1715">
      <w:pPr>
        <w:spacing w:line="0" w:lineRule="atLeast"/>
        <w:rPr>
          <w:rFonts w:cs="Times New Roman"/>
          <w:b/>
          <w:sz w:val="20"/>
          <w:szCs w:val="20"/>
        </w:rPr>
      </w:pPr>
    </w:p>
    <w:p w:rsidR="00AF1715" w:rsidRPr="006C5F7A" w:rsidRDefault="00485698" w:rsidP="00AF1715">
      <w:pPr>
        <w:rPr>
          <w:rFonts w:cs="Times New Roman"/>
          <w:b/>
          <w:sz w:val="20"/>
          <w:szCs w:val="20"/>
        </w:rPr>
      </w:pPr>
      <w:r>
        <w:rPr>
          <w:rFonts w:cs="Times New Roman"/>
          <w:b/>
          <w:sz w:val="20"/>
          <w:szCs w:val="20"/>
        </w:rPr>
        <w:t>DEC</w:t>
      </w:r>
      <w:r w:rsidR="00AF1715" w:rsidRPr="006C5F7A">
        <w:rPr>
          <w:rFonts w:cs="Times New Roman"/>
          <w:b/>
          <w:sz w:val="20"/>
          <w:szCs w:val="20"/>
        </w:rPr>
        <w:t xml:space="preserve">EMBER </w:t>
      </w:r>
      <w:r>
        <w:rPr>
          <w:rFonts w:cs="Times New Roman"/>
          <w:b/>
          <w:sz w:val="20"/>
          <w:szCs w:val="20"/>
        </w:rPr>
        <w:t>22</w:t>
      </w:r>
      <w:r w:rsidR="00AF1715" w:rsidRPr="006C5F7A">
        <w:rPr>
          <w:rFonts w:cs="Times New Roman"/>
          <w:b/>
          <w:sz w:val="20"/>
          <w:szCs w:val="20"/>
        </w:rPr>
        <w:t>, 201</w:t>
      </w:r>
      <w:r>
        <w:rPr>
          <w:rFonts w:cs="Times New Roman"/>
          <w:b/>
          <w:sz w:val="20"/>
          <w:szCs w:val="20"/>
        </w:rPr>
        <w:t>1</w:t>
      </w:r>
      <w:r w:rsidR="00AF1715" w:rsidRPr="006C5F7A">
        <w:rPr>
          <w:rFonts w:cs="Times New Roman"/>
          <w:b/>
          <w:sz w:val="20"/>
          <w:szCs w:val="20"/>
        </w:rPr>
        <w:t xml:space="preserve"> / LE </w:t>
      </w:r>
      <w:r>
        <w:rPr>
          <w:rFonts w:cs="Times New Roman"/>
          <w:b/>
          <w:sz w:val="20"/>
          <w:szCs w:val="20"/>
        </w:rPr>
        <w:t>22 DÉC</w:t>
      </w:r>
      <w:r w:rsidR="00AF1715" w:rsidRPr="006C5F7A">
        <w:rPr>
          <w:rFonts w:cs="Times New Roman"/>
          <w:b/>
          <w:sz w:val="20"/>
          <w:szCs w:val="20"/>
        </w:rPr>
        <w:t>EMBRE 201</w:t>
      </w:r>
      <w:r>
        <w:rPr>
          <w:rFonts w:cs="Times New Roman"/>
          <w:b/>
          <w:sz w:val="20"/>
          <w:szCs w:val="20"/>
        </w:rPr>
        <w:t>1</w:t>
      </w:r>
    </w:p>
    <w:p w:rsidR="00AF1715" w:rsidRDefault="00AF1715" w:rsidP="00AF1715">
      <w:pPr>
        <w:spacing w:line="0" w:lineRule="atLeast"/>
        <w:rPr>
          <w:rFonts w:cs="Times New Roman"/>
          <w:sz w:val="20"/>
          <w:szCs w:val="20"/>
        </w:rPr>
      </w:pPr>
    </w:p>
    <w:p w:rsidR="003D345A" w:rsidRPr="00561473" w:rsidRDefault="003D345A" w:rsidP="003D345A">
      <w:pPr>
        <w:ind w:left="1440" w:hanging="1440"/>
        <w:jc w:val="both"/>
        <w:rPr>
          <w:rFonts w:eastAsia="Calibri" w:cs="Times New Roman"/>
          <w:sz w:val="20"/>
          <w:szCs w:val="20"/>
        </w:rPr>
      </w:pPr>
      <w:r w:rsidRPr="00561473">
        <w:rPr>
          <w:rFonts w:eastAsia="Calibri" w:cs="Times New Roman"/>
          <w:b/>
          <w:sz w:val="20"/>
          <w:szCs w:val="20"/>
        </w:rPr>
        <w:t>33718</w:t>
      </w:r>
      <w:r w:rsidRPr="00561473">
        <w:rPr>
          <w:rFonts w:eastAsia="Calibri" w:cs="Times New Roman"/>
          <w:b/>
          <w:sz w:val="20"/>
          <w:szCs w:val="20"/>
        </w:rPr>
        <w:tab/>
      </w:r>
      <w:r w:rsidRPr="00561473">
        <w:rPr>
          <w:rFonts w:eastAsia="Calibri" w:cs="Times New Roman"/>
          <w:b/>
          <w:sz w:val="20"/>
          <w:szCs w:val="20"/>
          <w:u w:val="single"/>
        </w:rPr>
        <w:t xml:space="preserve">In the Matter of a Reference by the Governor in Council pursuant to section 53 of the </w:t>
      </w:r>
      <w:r w:rsidRPr="00561473">
        <w:rPr>
          <w:rFonts w:eastAsia="Calibri" w:cs="Times New Roman"/>
          <w:b/>
          <w:i/>
          <w:sz w:val="20"/>
          <w:szCs w:val="20"/>
          <w:u w:val="single"/>
        </w:rPr>
        <w:t>Supreme Court Act</w:t>
      </w:r>
      <w:r w:rsidRPr="00561473">
        <w:rPr>
          <w:rFonts w:eastAsia="Calibri" w:cs="Times New Roman"/>
          <w:b/>
          <w:sz w:val="20"/>
          <w:szCs w:val="20"/>
          <w:u w:val="single"/>
        </w:rPr>
        <w:t xml:space="preserve">, R.S.C. 1985, c. S-26, as set out in Order in Council P.C. 2010-667, dated May 26, 2010, concerning the </w:t>
      </w:r>
      <w:r w:rsidRPr="00561473">
        <w:rPr>
          <w:rFonts w:eastAsia="Calibri" w:cs="Times New Roman"/>
          <w:b/>
          <w:i/>
          <w:sz w:val="20"/>
          <w:szCs w:val="20"/>
          <w:u w:val="single"/>
        </w:rPr>
        <w:t>Proposed Canadian Securities Act</w:t>
      </w:r>
    </w:p>
    <w:p w:rsidR="003D345A" w:rsidRPr="00561473" w:rsidRDefault="003D345A" w:rsidP="003D345A">
      <w:pPr>
        <w:ind w:left="1440" w:hanging="1440"/>
        <w:jc w:val="both"/>
        <w:rPr>
          <w:rFonts w:eastAsia="Calibri" w:cs="Times New Roman"/>
          <w:b/>
          <w:sz w:val="20"/>
          <w:szCs w:val="20"/>
        </w:rPr>
      </w:pPr>
      <w:r w:rsidRPr="00561473">
        <w:rPr>
          <w:rFonts w:eastAsia="Calibri" w:cs="Times New Roman"/>
          <w:b/>
          <w:sz w:val="20"/>
          <w:szCs w:val="20"/>
        </w:rPr>
        <w:tab/>
        <w:t>2011 SCC 66 / 2011 CSC 66</w:t>
      </w:r>
    </w:p>
    <w:p w:rsidR="003D345A" w:rsidRPr="00561473" w:rsidRDefault="003D345A" w:rsidP="003D345A">
      <w:pPr>
        <w:ind w:left="1440" w:hanging="1440"/>
        <w:jc w:val="both"/>
        <w:rPr>
          <w:rFonts w:eastAsia="Calibri" w:cs="Times New Roman"/>
          <w:b/>
          <w:sz w:val="20"/>
          <w:szCs w:val="20"/>
        </w:rPr>
      </w:pPr>
    </w:p>
    <w:p w:rsidR="003D345A" w:rsidRPr="00561473" w:rsidRDefault="003D345A" w:rsidP="006336CC">
      <w:pPr>
        <w:ind w:left="1440" w:hanging="1440"/>
        <w:jc w:val="both"/>
        <w:rPr>
          <w:rFonts w:eastAsia="Calibri" w:cs="Times New Roman"/>
          <w:sz w:val="20"/>
          <w:szCs w:val="20"/>
          <w:u w:val="single"/>
        </w:rPr>
      </w:pPr>
      <w:r w:rsidRPr="00561473">
        <w:rPr>
          <w:rFonts w:eastAsia="Calibri" w:cs="Times New Roman"/>
          <w:sz w:val="20"/>
          <w:szCs w:val="20"/>
        </w:rPr>
        <w:t>Coram:</w:t>
      </w:r>
      <w:r w:rsidR="00482452">
        <w:rPr>
          <w:rFonts w:eastAsia="Calibri" w:cs="Times New Roman"/>
          <w:sz w:val="20"/>
          <w:szCs w:val="20"/>
        </w:rPr>
        <w:tab/>
      </w:r>
      <w:r w:rsidRPr="00561473">
        <w:rPr>
          <w:rFonts w:eastAsia="Calibri" w:cs="Times New Roman"/>
          <w:sz w:val="20"/>
          <w:szCs w:val="20"/>
          <w:u w:val="single"/>
        </w:rPr>
        <w:t>McLachlin C.J. and Binnie, LeBel, Deschamps, Fish, Abella, Charron, Rothstein and Cromwell JJ.</w:t>
      </w:r>
    </w:p>
    <w:p w:rsidR="003D345A" w:rsidRPr="00561473" w:rsidRDefault="003D345A" w:rsidP="003D345A">
      <w:pPr>
        <w:jc w:val="both"/>
        <w:rPr>
          <w:rFonts w:eastAsia="Calibri" w:cs="Times New Roman"/>
          <w:sz w:val="20"/>
          <w:szCs w:val="20"/>
        </w:rPr>
      </w:pPr>
    </w:p>
    <w:p w:rsidR="003D345A" w:rsidRPr="00561473" w:rsidRDefault="003D345A" w:rsidP="003D345A">
      <w:pPr>
        <w:jc w:val="both"/>
        <w:rPr>
          <w:rFonts w:eastAsia="Calibri" w:cs="Times New Roman"/>
          <w:sz w:val="20"/>
          <w:szCs w:val="20"/>
        </w:rPr>
      </w:pPr>
      <w:r w:rsidRPr="00561473">
        <w:rPr>
          <w:rFonts w:eastAsia="Calibri" w:cs="Times New Roman"/>
          <w:sz w:val="20"/>
          <w:szCs w:val="20"/>
        </w:rPr>
        <w:t>The Reference by the Governor in Council concerning the proposal for an Act respecting securities was heard on April 13 and 14, 2011.  The reference question is answered as follows:</w:t>
      </w:r>
    </w:p>
    <w:p w:rsidR="003D345A" w:rsidRPr="00561473" w:rsidRDefault="003D345A" w:rsidP="003D345A">
      <w:pPr>
        <w:jc w:val="both"/>
        <w:rPr>
          <w:rFonts w:eastAsia="Calibri" w:cs="Times New Roman"/>
          <w:sz w:val="20"/>
          <w:szCs w:val="20"/>
        </w:rPr>
      </w:pPr>
    </w:p>
    <w:p w:rsidR="003D345A" w:rsidRPr="00561473" w:rsidRDefault="003D345A" w:rsidP="003D345A">
      <w:pPr>
        <w:jc w:val="both"/>
        <w:rPr>
          <w:rFonts w:eastAsia="Calibri" w:cs="Times New Roman"/>
          <w:sz w:val="20"/>
          <w:szCs w:val="20"/>
        </w:rPr>
      </w:pPr>
      <w:r w:rsidRPr="00561473">
        <w:rPr>
          <w:rFonts w:eastAsia="Calibri" w:cs="Times New Roman"/>
          <w:sz w:val="20"/>
          <w:szCs w:val="20"/>
        </w:rPr>
        <w:t xml:space="preserve">The </w:t>
      </w:r>
      <w:r w:rsidRPr="00561473">
        <w:rPr>
          <w:rFonts w:eastAsia="Calibri" w:cs="Times New Roman"/>
          <w:i/>
          <w:sz w:val="20"/>
          <w:szCs w:val="20"/>
        </w:rPr>
        <w:t xml:space="preserve">Securities Act </w:t>
      </w:r>
      <w:r w:rsidRPr="00561473">
        <w:rPr>
          <w:rFonts w:eastAsia="Calibri" w:cs="Times New Roman"/>
          <w:sz w:val="20"/>
          <w:szCs w:val="20"/>
        </w:rPr>
        <w:t xml:space="preserve">as presently drafted is not valid under the general branch of the federal power to regulate trade and commerce under s. 91(2) of the </w:t>
      </w:r>
      <w:r w:rsidRPr="00561473">
        <w:rPr>
          <w:rFonts w:eastAsia="Calibri" w:cs="Times New Roman"/>
          <w:i/>
          <w:sz w:val="20"/>
          <w:szCs w:val="20"/>
        </w:rPr>
        <w:t>Constitution Act, 1867</w:t>
      </w:r>
      <w:r w:rsidRPr="00561473">
        <w:rPr>
          <w:rFonts w:eastAsia="Calibri" w:cs="Times New Roman"/>
          <w:sz w:val="20"/>
          <w:szCs w:val="20"/>
        </w:rPr>
        <w:t>.</w:t>
      </w:r>
    </w:p>
    <w:p w:rsidR="003D345A" w:rsidRPr="00561473" w:rsidRDefault="003D345A" w:rsidP="003D345A">
      <w:pPr>
        <w:jc w:val="both"/>
        <w:rPr>
          <w:rFonts w:eastAsia="Calibri" w:cs="Times New Roman"/>
          <w:sz w:val="20"/>
          <w:szCs w:val="20"/>
        </w:rPr>
      </w:pPr>
    </w:p>
    <w:p w:rsidR="003D345A" w:rsidRPr="00561473" w:rsidRDefault="003D345A" w:rsidP="003D345A">
      <w:pPr>
        <w:jc w:val="both"/>
        <w:rPr>
          <w:rFonts w:eastAsia="Calibri" w:cs="Times New Roman"/>
          <w:sz w:val="20"/>
          <w:szCs w:val="20"/>
        </w:rPr>
      </w:pPr>
    </w:p>
    <w:p w:rsidR="003D345A" w:rsidRPr="003D345A" w:rsidRDefault="003D345A" w:rsidP="003D345A">
      <w:pPr>
        <w:jc w:val="both"/>
        <w:rPr>
          <w:rFonts w:eastAsia="Calibri" w:cs="Times New Roman"/>
          <w:sz w:val="20"/>
          <w:szCs w:val="20"/>
          <w:lang w:val="fr-CA"/>
        </w:rPr>
      </w:pPr>
      <w:r w:rsidRPr="00561473">
        <w:rPr>
          <w:rFonts w:eastAsia="Calibri" w:cs="Times New Roman"/>
          <w:sz w:val="20"/>
          <w:szCs w:val="20"/>
          <w:lang w:val="fr-CA"/>
        </w:rPr>
        <w:lastRenderedPageBreak/>
        <w:t>Le renvoi du Gouverneur en conseil au sujet de la proposition de loi concernant les valeurs mobilières a été entendu les 13 et 14 avril 2011.  La question posée dans le renvoi reçoit la réponse suivante :</w:t>
      </w:r>
    </w:p>
    <w:p w:rsidR="003D345A" w:rsidRPr="00561473" w:rsidRDefault="003D345A" w:rsidP="003D345A">
      <w:pPr>
        <w:jc w:val="both"/>
        <w:rPr>
          <w:rFonts w:eastAsia="Calibri" w:cs="Times New Roman"/>
          <w:sz w:val="20"/>
          <w:szCs w:val="20"/>
          <w:lang w:val="fr-CA"/>
        </w:rPr>
      </w:pPr>
    </w:p>
    <w:p w:rsidR="003D345A" w:rsidRPr="00561473" w:rsidRDefault="003D345A" w:rsidP="003D345A">
      <w:pPr>
        <w:jc w:val="both"/>
        <w:rPr>
          <w:rFonts w:eastAsia="Calibri" w:cs="Times New Roman"/>
          <w:sz w:val="20"/>
          <w:szCs w:val="20"/>
          <w:lang w:val="fr-CA"/>
        </w:rPr>
      </w:pPr>
      <w:r w:rsidRPr="00561473">
        <w:rPr>
          <w:rFonts w:eastAsia="Calibri" w:cs="Times New Roman"/>
          <w:sz w:val="20"/>
          <w:szCs w:val="20"/>
          <w:lang w:val="fr-CA"/>
        </w:rPr>
        <w:t xml:space="preserve">La </w:t>
      </w:r>
      <w:r w:rsidRPr="00561473">
        <w:rPr>
          <w:rFonts w:eastAsia="Calibri" w:cs="Times New Roman"/>
          <w:i/>
          <w:sz w:val="20"/>
          <w:szCs w:val="20"/>
          <w:lang w:val="fr-CA"/>
        </w:rPr>
        <w:t>Loi sur les valeurs mobilières</w:t>
      </w:r>
      <w:r w:rsidRPr="00561473">
        <w:rPr>
          <w:rFonts w:eastAsia="Calibri" w:cs="Times New Roman"/>
          <w:sz w:val="20"/>
          <w:szCs w:val="20"/>
          <w:lang w:val="fr-CA"/>
        </w:rPr>
        <w:t xml:space="preserve">, dans sa version actuelle, n’est pas valide, car elle ne relève pas du pouvoir général de réglementation en matière de trafic et de commerce conféré au Parlement par le par. 91(2) de la </w:t>
      </w:r>
      <w:r w:rsidRPr="00561473">
        <w:rPr>
          <w:rFonts w:eastAsia="Calibri" w:cs="Times New Roman"/>
          <w:i/>
          <w:sz w:val="20"/>
          <w:szCs w:val="20"/>
          <w:lang w:val="fr-CA"/>
        </w:rPr>
        <w:t>Loi constitutionnelle de 1867</w:t>
      </w:r>
      <w:r w:rsidRPr="00561473">
        <w:rPr>
          <w:rFonts w:eastAsia="Calibri" w:cs="Times New Roman"/>
          <w:sz w:val="20"/>
          <w:szCs w:val="20"/>
          <w:lang w:val="fr-CA"/>
        </w:rPr>
        <w:t>.</w:t>
      </w:r>
    </w:p>
    <w:p w:rsidR="00485698" w:rsidRPr="003D345A" w:rsidRDefault="00485698" w:rsidP="00AF1715">
      <w:pPr>
        <w:spacing w:line="0" w:lineRule="atLeast"/>
        <w:rPr>
          <w:rFonts w:cs="Times New Roman"/>
          <w:sz w:val="20"/>
          <w:szCs w:val="20"/>
          <w:lang w:val="fr-CA"/>
        </w:rPr>
      </w:pPr>
    </w:p>
    <w:p w:rsidR="00AF1715" w:rsidRDefault="00586706"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b/>
          <w:sz w:val="20"/>
          <w:szCs w:val="20"/>
        </w:rPr>
      </w:pPr>
      <w:r w:rsidRPr="00586706">
        <w:rPr>
          <w:rFonts w:cs="Times New Roman"/>
          <w:b/>
          <w:sz w:val="20"/>
          <w:szCs w:val="20"/>
        </w:rPr>
        <w:pict>
          <v:rect id="_x0000_i1079" style="width:144.3pt;height:1pt" o:hrpct="300" o:hralign="center" o:hrstd="t" o:hrnoshade="t" o:hr="t" fillcolor="black [3213]" stroked="f"/>
        </w:pict>
      </w:r>
    </w:p>
    <w:p w:rsidR="00485698" w:rsidRPr="00485698" w:rsidRDefault="00485698"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rPr>
      </w:pPr>
    </w:p>
    <w:p w:rsidR="00485698" w:rsidRPr="00485698" w:rsidRDefault="00485698"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rPr>
      </w:pPr>
    </w:p>
    <w:p w:rsidR="00485698" w:rsidRPr="006C5F7A" w:rsidRDefault="00485698"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tblPr>
      <w:tblGrid>
        <w:gridCol w:w="4200"/>
        <w:gridCol w:w="1200"/>
        <w:gridCol w:w="4080"/>
      </w:tblGrid>
      <w:tr w:rsidR="00782AE4" w:rsidRPr="00C1697B" w:rsidTr="0085476B">
        <w:tc>
          <w:tcPr>
            <w:tcW w:w="4200" w:type="dxa"/>
            <w:tcMar>
              <w:left w:w="0" w:type="dxa"/>
              <w:right w:w="0" w:type="dxa"/>
            </w:tcMar>
          </w:tcPr>
          <w:p w:rsidR="00782AE4" w:rsidRPr="00C1697B" w:rsidRDefault="00782AE4" w:rsidP="00782AE4">
            <w:pPr>
              <w:keepNext/>
              <w:keepLines/>
              <w:jc w:val="both"/>
              <w:rPr>
                <w:b/>
                <w:szCs w:val="24"/>
              </w:rPr>
            </w:pPr>
            <w:r w:rsidRPr="00C1697B">
              <w:rPr>
                <w:b/>
                <w:szCs w:val="24"/>
              </w:rPr>
              <w:lastRenderedPageBreak/>
              <w:t>HEADNOTES OF RECENT</w:t>
            </w:r>
          </w:p>
          <w:p w:rsidR="00782AE4" w:rsidRPr="00C1697B" w:rsidRDefault="00782AE4" w:rsidP="00782AE4">
            <w:pPr>
              <w:keepNext/>
              <w:keepLines/>
              <w:jc w:val="both"/>
              <w:rPr>
                <w:b/>
                <w:szCs w:val="24"/>
              </w:rPr>
            </w:pPr>
            <w:r w:rsidRPr="00C1697B">
              <w:rPr>
                <w:b/>
                <w:szCs w:val="24"/>
              </w:rPr>
              <w:t>JUDGMENTS</w:t>
            </w:r>
          </w:p>
        </w:tc>
        <w:tc>
          <w:tcPr>
            <w:tcW w:w="1200" w:type="dxa"/>
            <w:tcMar>
              <w:left w:w="0" w:type="dxa"/>
              <w:right w:w="0" w:type="dxa"/>
            </w:tcMar>
          </w:tcPr>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tc>
        <w:tc>
          <w:tcPr>
            <w:tcW w:w="4080" w:type="dxa"/>
            <w:tcMar>
              <w:left w:w="0" w:type="dxa"/>
              <w:right w:w="0" w:type="dxa"/>
            </w:tcMar>
          </w:tcPr>
          <w:p w:rsidR="00782AE4" w:rsidRPr="00C1697B" w:rsidRDefault="00782AE4" w:rsidP="00782AE4">
            <w:pPr>
              <w:keepNext/>
              <w:keepLines/>
              <w:rPr>
                <w:b/>
                <w:szCs w:val="24"/>
              </w:rPr>
            </w:pPr>
            <w:r w:rsidRPr="00C1697B">
              <w:rPr>
                <w:b/>
                <w:szCs w:val="24"/>
              </w:rPr>
              <w:t>SOMMAIRES DE JUGEMENTS RÉCENTS</w:t>
            </w:r>
          </w:p>
        </w:tc>
      </w:tr>
    </w:tbl>
    <w:p w:rsidR="003B3977" w:rsidRPr="003B3977" w:rsidRDefault="003B3977" w:rsidP="005C6840">
      <w:pPr>
        <w:rPr>
          <w:rFonts w:cs="Times New Roman"/>
          <w:i/>
          <w:sz w:val="20"/>
          <w:szCs w:val="20"/>
        </w:rPr>
      </w:pPr>
    </w:p>
    <w:p w:rsidR="0001134C" w:rsidRDefault="0001134C" w:rsidP="005C6840">
      <w:pPr>
        <w:rPr>
          <w:sz w:val="20"/>
          <w:szCs w:val="20"/>
          <w:lang w:val="fr-CA"/>
        </w:rPr>
      </w:pPr>
      <w:r w:rsidRPr="00CB658A">
        <w:rPr>
          <w:rFonts w:eastAsia="Calibri" w:cs="Times New Roman"/>
          <w:i/>
          <w:sz w:val="20"/>
          <w:szCs w:val="20"/>
          <w:lang w:val="fr-CA"/>
        </w:rPr>
        <w:t>L.M.P. v. L.S.</w:t>
      </w:r>
      <w:r w:rsidRPr="00CB658A">
        <w:rPr>
          <w:rFonts w:eastAsia="Calibri" w:cs="Times New Roman"/>
          <w:sz w:val="20"/>
          <w:szCs w:val="20"/>
          <w:lang w:val="fr-CA"/>
        </w:rPr>
        <w:t xml:space="preserve"> (Que.) (33749)</w:t>
      </w:r>
    </w:p>
    <w:p w:rsidR="00C45F3C" w:rsidRPr="00C45F3C" w:rsidRDefault="00C45F3C" w:rsidP="00C45F3C">
      <w:pPr>
        <w:jc w:val="both"/>
        <w:rPr>
          <w:b/>
          <w:sz w:val="20"/>
          <w:szCs w:val="20"/>
          <w:lang w:val="fr-CA"/>
        </w:rPr>
      </w:pPr>
      <w:r w:rsidRPr="00C45F3C">
        <w:rPr>
          <w:b/>
          <w:sz w:val="20"/>
          <w:szCs w:val="20"/>
          <w:lang w:val="fr-CA"/>
        </w:rPr>
        <w:t>Indexed as</w:t>
      </w:r>
      <w:proofErr w:type="gramStart"/>
      <w:r w:rsidRPr="00C45F3C">
        <w:rPr>
          <w:b/>
          <w:sz w:val="20"/>
          <w:szCs w:val="20"/>
          <w:lang w:val="fr-CA"/>
        </w:rPr>
        <w:t>:  L.M.P</w:t>
      </w:r>
      <w:proofErr w:type="gramEnd"/>
      <w:r w:rsidRPr="00C45F3C">
        <w:rPr>
          <w:b/>
          <w:sz w:val="20"/>
          <w:szCs w:val="20"/>
          <w:lang w:val="fr-CA"/>
        </w:rPr>
        <w:t>. </w:t>
      </w:r>
      <w:r w:rsidRPr="00C45F3C">
        <w:rPr>
          <w:b/>
          <w:i/>
          <w:sz w:val="20"/>
          <w:szCs w:val="20"/>
          <w:lang w:val="fr-CA"/>
        </w:rPr>
        <w:t>v.</w:t>
      </w:r>
      <w:r w:rsidRPr="00C45F3C">
        <w:rPr>
          <w:b/>
          <w:sz w:val="20"/>
          <w:szCs w:val="20"/>
          <w:lang w:val="fr-CA"/>
        </w:rPr>
        <w:t xml:space="preserve"> L.S. / Répertorié : L.M.P. </w:t>
      </w:r>
      <w:r w:rsidRPr="00C45F3C">
        <w:rPr>
          <w:b/>
          <w:i/>
          <w:sz w:val="20"/>
          <w:szCs w:val="20"/>
          <w:lang w:val="fr-CA"/>
        </w:rPr>
        <w:t>c.</w:t>
      </w:r>
      <w:r w:rsidRPr="00C45F3C">
        <w:rPr>
          <w:b/>
          <w:sz w:val="20"/>
          <w:szCs w:val="20"/>
          <w:lang w:val="fr-CA"/>
        </w:rPr>
        <w:t xml:space="preserve"> L.S.</w:t>
      </w:r>
    </w:p>
    <w:p w:rsidR="005C6840" w:rsidRPr="003B3977" w:rsidRDefault="005C6840" w:rsidP="005C6840">
      <w:pPr>
        <w:pStyle w:val="SCCSystemYear"/>
        <w:jc w:val="both"/>
        <w:rPr>
          <w:sz w:val="20"/>
        </w:rPr>
      </w:pPr>
      <w:r w:rsidRPr="003B3977">
        <w:rPr>
          <w:sz w:val="20"/>
        </w:rPr>
        <w:t>Neutral citation</w:t>
      </w:r>
      <w:proofErr w:type="gramStart"/>
      <w:r w:rsidRPr="003B3977">
        <w:rPr>
          <w:sz w:val="20"/>
        </w:rPr>
        <w:t>:  201</w:t>
      </w:r>
      <w:r w:rsidR="007F387B">
        <w:rPr>
          <w:sz w:val="20"/>
        </w:rPr>
        <w:t>1</w:t>
      </w:r>
      <w:proofErr w:type="gramEnd"/>
      <w:r w:rsidRPr="003B3977">
        <w:rPr>
          <w:sz w:val="20"/>
        </w:rPr>
        <w:t xml:space="preserve"> SCC </w:t>
      </w:r>
      <w:r w:rsidR="0001134C">
        <w:rPr>
          <w:sz w:val="20"/>
        </w:rPr>
        <w:t>64</w:t>
      </w:r>
      <w:r w:rsidRPr="003B3977">
        <w:rPr>
          <w:sz w:val="20"/>
        </w:rPr>
        <w:t xml:space="preserve"> / Référence neutre : 201</w:t>
      </w:r>
      <w:r w:rsidR="007F387B">
        <w:rPr>
          <w:sz w:val="20"/>
        </w:rPr>
        <w:t>1</w:t>
      </w:r>
      <w:r w:rsidRPr="003B3977">
        <w:rPr>
          <w:sz w:val="20"/>
        </w:rPr>
        <w:t xml:space="preserve"> CSC </w:t>
      </w:r>
      <w:r w:rsidR="0001134C">
        <w:rPr>
          <w:sz w:val="20"/>
        </w:rPr>
        <w:t>64</w:t>
      </w:r>
    </w:p>
    <w:p w:rsidR="005C6840" w:rsidRPr="003B3977" w:rsidRDefault="005C6840" w:rsidP="005C6840">
      <w:pPr>
        <w:rPr>
          <w:rFonts w:cs="Times New Roman"/>
          <w:sz w:val="20"/>
          <w:szCs w:val="20"/>
          <w:lang w:val="fr-CA"/>
        </w:rPr>
      </w:pPr>
      <w:r w:rsidRPr="003B3977">
        <w:rPr>
          <w:rFonts w:cs="Times New Roman"/>
          <w:sz w:val="20"/>
          <w:szCs w:val="20"/>
          <w:lang w:val="fr-CA"/>
        </w:rPr>
        <w:t>Hearing</w:t>
      </w:r>
      <w:proofErr w:type="gramStart"/>
      <w:r w:rsidRPr="003B3977">
        <w:rPr>
          <w:rFonts w:cs="Times New Roman"/>
          <w:sz w:val="20"/>
          <w:szCs w:val="20"/>
          <w:lang w:val="fr-CA"/>
        </w:rPr>
        <w:t xml:space="preserve">:  </w:t>
      </w:r>
      <w:r w:rsidR="0001134C">
        <w:rPr>
          <w:rFonts w:cs="Times New Roman"/>
          <w:sz w:val="20"/>
          <w:szCs w:val="20"/>
          <w:lang w:val="fr-CA"/>
        </w:rPr>
        <w:t>April</w:t>
      </w:r>
      <w:proofErr w:type="gramEnd"/>
      <w:r w:rsidR="0001134C">
        <w:rPr>
          <w:rFonts w:cs="Times New Roman"/>
          <w:sz w:val="20"/>
          <w:szCs w:val="20"/>
          <w:lang w:val="fr-CA"/>
        </w:rPr>
        <w:t xml:space="preserve"> 20</w:t>
      </w:r>
      <w:r w:rsidRPr="003B3977">
        <w:rPr>
          <w:rFonts w:cs="Times New Roman"/>
          <w:sz w:val="20"/>
          <w:szCs w:val="20"/>
          <w:lang w:val="fr-CA"/>
        </w:rPr>
        <w:t>, 201</w:t>
      </w:r>
      <w:r w:rsidR="0001134C">
        <w:rPr>
          <w:rFonts w:cs="Times New Roman"/>
          <w:sz w:val="20"/>
          <w:szCs w:val="20"/>
          <w:lang w:val="fr-CA"/>
        </w:rPr>
        <w:t>1</w:t>
      </w:r>
      <w:r w:rsidRPr="003B3977">
        <w:rPr>
          <w:rFonts w:cs="Times New Roman"/>
          <w:sz w:val="20"/>
          <w:szCs w:val="20"/>
          <w:lang w:val="fr-CA"/>
        </w:rPr>
        <w:t xml:space="preserve"> / Judgment:  </w:t>
      </w:r>
      <w:r w:rsidR="0001134C">
        <w:rPr>
          <w:rFonts w:cs="Times New Roman"/>
          <w:sz w:val="20"/>
          <w:szCs w:val="20"/>
          <w:lang w:val="fr-CA"/>
        </w:rPr>
        <w:t>Decembe</w:t>
      </w:r>
      <w:r w:rsidRPr="003B3977">
        <w:rPr>
          <w:rFonts w:cs="Times New Roman"/>
          <w:sz w:val="20"/>
          <w:szCs w:val="20"/>
          <w:lang w:val="fr-CA"/>
        </w:rPr>
        <w:t>r 2</w:t>
      </w:r>
      <w:r w:rsidR="0001134C">
        <w:rPr>
          <w:rFonts w:cs="Times New Roman"/>
          <w:sz w:val="20"/>
          <w:szCs w:val="20"/>
          <w:lang w:val="fr-CA"/>
        </w:rPr>
        <w:t>1</w:t>
      </w:r>
      <w:r w:rsidRPr="003B3977">
        <w:rPr>
          <w:rFonts w:cs="Times New Roman"/>
          <w:sz w:val="20"/>
          <w:szCs w:val="20"/>
          <w:lang w:val="fr-CA"/>
        </w:rPr>
        <w:t>, 201</w:t>
      </w:r>
      <w:r w:rsidR="0001134C">
        <w:rPr>
          <w:rFonts w:cs="Times New Roman"/>
          <w:sz w:val="20"/>
          <w:szCs w:val="20"/>
          <w:lang w:val="fr-CA"/>
        </w:rPr>
        <w:t>1</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Audition : Le </w:t>
      </w:r>
      <w:r w:rsidR="0001134C">
        <w:rPr>
          <w:rFonts w:cs="Times New Roman"/>
          <w:sz w:val="20"/>
          <w:szCs w:val="20"/>
          <w:lang w:val="fr-CA"/>
        </w:rPr>
        <w:t>20 av</w:t>
      </w:r>
      <w:r w:rsidRPr="003B3977">
        <w:rPr>
          <w:rFonts w:cs="Times New Roman"/>
          <w:sz w:val="20"/>
          <w:szCs w:val="20"/>
          <w:lang w:val="fr-CA"/>
        </w:rPr>
        <w:t>r</w:t>
      </w:r>
      <w:r w:rsidR="0001134C">
        <w:rPr>
          <w:rFonts w:cs="Times New Roman"/>
          <w:sz w:val="20"/>
          <w:szCs w:val="20"/>
          <w:lang w:val="fr-CA"/>
        </w:rPr>
        <w:t>il</w:t>
      </w:r>
      <w:r w:rsidRPr="003B3977">
        <w:rPr>
          <w:rFonts w:cs="Times New Roman"/>
          <w:sz w:val="20"/>
          <w:szCs w:val="20"/>
          <w:lang w:val="fr-CA"/>
        </w:rPr>
        <w:t xml:space="preserve"> 201</w:t>
      </w:r>
      <w:r w:rsidR="0001134C">
        <w:rPr>
          <w:rFonts w:cs="Times New Roman"/>
          <w:sz w:val="20"/>
          <w:szCs w:val="20"/>
          <w:lang w:val="fr-CA"/>
        </w:rPr>
        <w:t>1</w:t>
      </w:r>
      <w:r w:rsidRPr="003B3977">
        <w:rPr>
          <w:rFonts w:cs="Times New Roman"/>
          <w:sz w:val="20"/>
          <w:szCs w:val="20"/>
          <w:lang w:val="fr-CA"/>
        </w:rPr>
        <w:t xml:space="preserve"> / Jugement : Le 2</w:t>
      </w:r>
      <w:r w:rsidR="0001134C">
        <w:rPr>
          <w:rFonts w:cs="Times New Roman"/>
          <w:sz w:val="20"/>
          <w:szCs w:val="20"/>
          <w:lang w:val="fr-CA"/>
        </w:rPr>
        <w:t>1 décem</w:t>
      </w:r>
      <w:r w:rsidRPr="003B3977">
        <w:rPr>
          <w:rFonts w:cs="Times New Roman"/>
          <w:sz w:val="20"/>
          <w:szCs w:val="20"/>
          <w:lang w:val="fr-CA"/>
        </w:rPr>
        <w:t>bre 201</w:t>
      </w:r>
      <w:r w:rsidR="0001134C">
        <w:rPr>
          <w:rFonts w:cs="Times New Roman"/>
          <w:sz w:val="20"/>
          <w:szCs w:val="20"/>
          <w:lang w:val="fr-CA"/>
        </w:rPr>
        <w:t>1</w:t>
      </w:r>
    </w:p>
    <w:p w:rsidR="005C6840" w:rsidRPr="003B3977" w:rsidRDefault="00586706" w:rsidP="005C6840">
      <w:pPr>
        <w:rPr>
          <w:rFonts w:cs="Times New Roman"/>
          <w:sz w:val="20"/>
          <w:szCs w:val="20"/>
          <w:lang w:val="fr-CA"/>
        </w:rPr>
      </w:pPr>
      <w:r w:rsidRPr="00586706">
        <w:rPr>
          <w:rFonts w:cs="Times New Roman"/>
          <w:i/>
          <w:sz w:val="20"/>
          <w:szCs w:val="20"/>
        </w:rPr>
        <w:pict>
          <v:rect id="_x0000_i1082" style="width:480.95pt;height:1pt" o:hralign="center" o:hrstd="t" o:hrnoshade="t" o:hr="t" fillcolor="black [3213]" stroked="f"/>
        </w:pict>
      </w:r>
    </w:p>
    <w:p w:rsidR="005C6840" w:rsidRDefault="005C6840" w:rsidP="005C6840">
      <w:pPr>
        <w:rPr>
          <w:rFonts w:cs="Times New Roman"/>
          <w:sz w:val="20"/>
          <w:szCs w:val="20"/>
          <w:lang w:val="fr-CA"/>
        </w:rPr>
      </w:pPr>
    </w:p>
    <w:p w:rsidR="00641906" w:rsidRPr="004802CE" w:rsidRDefault="00641906" w:rsidP="00641906">
      <w:pPr>
        <w:jc w:val="both"/>
        <w:rPr>
          <w:sz w:val="20"/>
          <w:szCs w:val="20"/>
        </w:rPr>
      </w:pPr>
      <w:r w:rsidRPr="004802CE">
        <w:rPr>
          <w:sz w:val="20"/>
          <w:szCs w:val="20"/>
        </w:rPr>
        <w:t>Present:  McLachlin C.J. and Binnie, LeBel, Deschamps, Abella, Rothstein and Cromwell JJ.</w:t>
      </w:r>
    </w:p>
    <w:p w:rsidR="00641906" w:rsidRDefault="00641906" w:rsidP="00641906">
      <w:pPr>
        <w:pStyle w:val="SCCLowerCourtNameLowercase"/>
        <w:spacing w:line="240" w:lineRule="auto"/>
        <w:rPr>
          <w:sz w:val="20"/>
        </w:rPr>
      </w:pPr>
    </w:p>
    <w:p w:rsidR="00641906" w:rsidRPr="004802CE" w:rsidRDefault="00641906" w:rsidP="00641906">
      <w:pPr>
        <w:pStyle w:val="SCCNormalDoubleSpacing"/>
        <w:spacing w:line="240" w:lineRule="auto"/>
        <w:rPr>
          <w:i/>
          <w:sz w:val="20"/>
        </w:rPr>
      </w:pPr>
      <w:r w:rsidRPr="004802CE">
        <w:rPr>
          <w:i/>
          <w:sz w:val="20"/>
        </w:rPr>
        <w:tab/>
        <w:t>Family law — Support — Spousal support — Variation — Material change in circumstances — Court order incorporating terms of separation agreement — Husband applying to reduce and terminate spousal support order on basis of change in his financial circumstances and wife’s failure to become self</w:t>
      </w:r>
      <w:r w:rsidRPr="004802CE">
        <w:rPr>
          <w:i/>
          <w:sz w:val="20"/>
        </w:rPr>
        <w:noBreakHyphen/>
        <w:t>sufficient since the date of order — What is proper approach to application for variation of spousal support order under s. 17(4.1) of the Divorce Act where support terms of agreement have been incorporated into an order? — Whether approach differs from initial applications for spousal support under s. 15.2 — Divorce Act, R.S.C. 1985, c. 3 (2nd Supp.), ss. 15.2 and 17.</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t xml:space="preserve">Shortly after the parties married in 1988, the wife was diagnosed with multiple sclerosis and has not worked since then.  During the marriage, the husband pursued his career while the wife looked after the household and children.  After the parties separated in 2002, they entered into a comprehensive agreement that was incorporated into a court order in 2003. Under its terms, the wife was to receive spousal support in the amount of $3,688 per month, indexed.  The order did not specify a termination date for spousal support.  In 2007, the husband brought a variation application under s. 17 of the </w:t>
      </w:r>
      <w:r w:rsidRPr="004802CE">
        <w:rPr>
          <w:i/>
          <w:sz w:val="20"/>
        </w:rPr>
        <w:t>Divorce Act</w:t>
      </w:r>
      <w:r w:rsidRPr="004802CE">
        <w:rPr>
          <w:sz w:val="20"/>
        </w:rPr>
        <w:t xml:space="preserve"> seeking a reduction and, ultimately, a cancellation of spousal support on the grounds that there was a change in his financial circumstances and that the wife should seek employment.  The trial judge rejected the husband’s claim that his financial circumstances had changed, but concluded that the wife was able to work outside the home. As a result, an order was made reducing, then terminating her spousal support as of August, 2010.  The trial judge made no finding about whether there had been a material change of circumstances.  The Court of Appeal rejected the wife’s appeal, concluding that her failure to become self</w:t>
      </w:r>
      <w:r w:rsidRPr="004802CE">
        <w:rPr>
          <w:sz w:val="20"/>
        </w:rPr>
        <w:noBreakHyphen/>
        <w:t>sufficient over time gave rise to a material change in circumstances.</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r>
      <w:r w:rsidRPr="004802CE">
        <w:rPr>
          <w:i/>
          <w:sz w:val="20"/>
        </w:rPr>
        <w:t>Held</w:t>
      </w:r>
      <w:r w:rsidRPr="004802CE">
        <w:rPr>
          <w:sz w:val="20"/>
        </w:rPr>
        <w:t>:  The appeal should be allowed and the original 2003 order should be restored.</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r>
      <w:r w:rsidRPr="004802CE">
        <w:rPr>
          <w:i/>
          <w:sz w:val="20"/>
        </w:rPr>
        <w:t>Per</w:t>
      </w:r>
      <w:r w:rsidRPr="004802CE">
        <w:rPr>
          <w:sz w:val="20"/>
        </w:rPr>
        <w:t xml:space="preserve"> Binnie, LeBel, Deschamps, </w:t>
      </w:r>
      <w:r w:rsidRPr="004802CE">
        <w:rPr>
          <w:b/>
          <w:sz w:val="20"/>
        </w:rPr>
        <w:t>Abella</w:t>
      </w:r>
      <w:r w:rsidRPr="004802CE">
        <w:rPr>
          <w:sz w:val="20"/>
        </w:rPr>
        <w:t xml:space="preserve"> and </w:t>
      </w:r>
      <w:r w:rsidRPr="004802CE">
        <w:rPr>
          <w:b/>
          <w:sz w:val="20"/>
        </w:rPr>
        <w:t>Rothstein</w:t>
      </w:r>
      <w:r w:rsidRPr="004802CE">
        <w:rPr>
          <w:sz w:val="20"/>
        </w:rPr>
        <w:t xml:space="preserve"> JJ.:  The </w:t>
      </w:r>
      <w:r w:rsidRPr="004802CE">
        <w:rPr>
          <w:i/>
          <w:sz w:val="20"/>
        </w:rPr>
        <w:t>Divorce Ac</w:t>
      </w:r>
      <w:r w:rsidRPr="004802CE">
        <w:rPr>
          <w:sz w:val="20"/>
        </w:rPr>
        <w:t>t authorizes courts to vary spousal support terms either on an initial application for support under s. 15.2, or on an application to vary an existing court order under s. 17.  It authorizes courts to make an initial order which may be at odds with the terms of the agreement if those terms do not comply with the objectives of the Act.  The two</w:t>
      </w:r>
      <w:r w:rsidRPr="004802CE">
        <w:rPr>
          <w:sz w:val="20"/>
        </w:rPr>
        <w:noBreakHyphen/>
        <w:t xml:space="preserve">stage test outlined in </w:t>
      </w:r>
      <w:r w:rsidRPr="004802CE">
        <w:rPr>
          <w:i/>
          <w:sz w:val="20"/>
        </w:rPr>
        <w:t>Miglin</w:t>
      </w:r>
      <w:r w:rsidRPr="004802CE">
        <w:rPr>
          <w:sz w:val="20"/>
        </w:rPr>
        <w:t xml:space="preserve"> addresses the direction in s. 15.2(4</w:t>
      </w:r>
      <w:proofErr w:type="gramStart"/>
      <w:r w:rsidRPr="004802CE">
        <w:rPr>
          <w:sz w:val="20"/>
        </w:rPr>
        <w:t>)(</w:t>
      </w:r>
      <w:proofErr w:type="gramEnd"/>
      <w:r w:rsidRPr="004802CE">
        <w:rPr>
          <w:i/>
          <w:sz w:val="20"/>
        </w:rPr>
        <w:t>c</w:t>
      </w:r>
      <w:r w:rsidRPr="004802CE">
        <w:rPr>
          <w:sz w:val="20"/>
        </w:rPr>
        <w:t xml:space="preserve">) that on an </w:t>
      </w:r>
      <w:r w:rsidRPr="004802CE">
        <w:rPr>
          <w:i/>
          <w:sz w:val="20"/>
        </w:rPr>
        <w:t>initial</w:t>
      </w:r>
      <w:r w:rsidRPr="004802CE">
        <w:rPr>
          <w:sz w:val="20"/>
        </w:rPr>
        <w:t xml:space="preserve"> application for support, a court shall consider “any order, agreement or arrangement relating to support of either spouse”.  Unlike the situation in </w:t>
      </w:r>
      <w:r w:rsidRPr="004802CE">
        <w:rPr>
          <w:i/>
          <w:sz w:val="20"/>
        </w:rPr>
        <w:t>Miglin</w:t>
      </w:r>
      <w:r w:rsidRPr="004802CE">
        <w:rPr>
          <w:sz w:val="20"/>
        </w:rPr>
        <w:t xml:space="preserve">, however, this appeal concerns an application under s. 17 to vary a spousal support order where there had been a spousal support agreement prior to the s. 15.2 </w:t>
      </w:r>
      <w:proofErr w:type="gramStart"/>
      <w:r w:rsidRPr="004802CE">
        <w:rPr>
          <w:sz w:val="20"/>
        </w:rPr>
        <w:t>order</w:t>
      </w:r>
      <w:proofErr w:type="gramEnd"/>
      <w:r w:rsidRPr="004802CE">
        <w:rPr>
          <w:sz w:val="20"/>
        </w:rPr>
        <w:t>.  Section 17 authorizes a court to vary, rescind or suspend prior orders, defines the factors allowing for variation, and sets out the objectives such a variation should serve.  Notably, unlike on an initial application for spousal support under s. 15.2(4</w:t>
      </w:r>
      <w:proofErr w:type="gramStart"/>
      <w:r w:rsidRPr="004802CE">
        <w:rPr>
          <w:sz w:val="20"/>
        </w:rPr>
        <w:t>)(</w:t>
      </w:r>
      <w:proofErr w:type="gramEnd"/>
      <w:r w:rsidRPr="004802CE">
        <w:rPr>
          <w:i/>
          <w:sz w:val="20"/>
        </w:rPr>
        <w:t>c</w:t>
      </w:r>
      <w:r w:rsidRPr="004802CE">
        <w:rPr>
          <w:sz w:val="20"/>
        </w:rPr>
        <w:t xml:space="preserve">), which specifically directs that a court consider “any order, agreement or arrangement relating to support of either spouse”, s. 17(4.1) makes no reference to agreements and simply requires that a court be satisfied “that a change in the condition, means, needs or other circumstances of either former spouse has occurred” since the making of the prior order or the last variation.  The different language employed by Parliament in ss. 15.2 and 17 was recognized by the majority in </w:t>
      </w:r>
      <w:r w:rsidRPr="004802CE">
        <w:rPr>
          <w:i/>
          <w:sz w:val="20"/>
        </w:rPr>
        <w:t>Miglin</w:t>
      </w:r>
      <w:r w:rsidRPr="004802CE">
        <w:rPr>
          <w:sz w:val="20"/>
        </w:rPr>
        <w:t xml:space="preserve"> as requiring a different approach to initial and variation applications.  While the </w:t>
      </w:r>
      <w:r w:rsidRPr="004802CE">
        <w:rPr>
          <w:i/>
          <w:sz w:val="20"/>
        </w:rPr>
        <w:t>objectives</w:t>
      </w:r>
      <w:r w:rsidRPr="004802CE">
        <w:rPr>
          <w:sz w:val="20"/>
        </w:rPr>
        <w:t xml:space="preserve"> of the variation order are virtually identical in s. 17 to those in s. 15.2 dealing with an initial support order, the </w:t>
      </w:r>
      <w:r w:rsidRPr="004802CE">
        <w:rPr>
          <w:i/>
          <w:sz w:val="20"/>
        </w:rPr>
        <w:t>factors</w:t>
      </w:r>
      <w:r w:rsidRPr="004802CE">
        <w:rPr>
          <w:sz w:val="20"/>
        </w:rPr>
        <w:t xml:space="preserve"> to be considered in ss. 17(4.1) and 15.2(4) are significantly different.  Under either s. 15.2 or s. 17, the parties’ mutually acceptable agreement is not ignored, but its treatment will be different because of the different purposes of each provision.</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t xml:space="preserve">The proper approach under s. 17 to the variation of existing orders is found in </w:t>
      </w:r>
      <w:r w:rsidRPr="004802CE">
        <w:rPr>
          <w:i/>
          <w:sz w:val="20"/>
        </w:rPr>
        <w:t xml:space="preserve">Willick </w:t>
      </w:r>
      <w:r w:rsidRPr="004802CE">
        <w:rPr>
          <w:sz w:val="20"/>
        </w:rPr>
        <w:t>and</w:t>
      </w:r>
      <w:r w:rsidRPr="004802CE">
        <w:rPr>
          <w:i/>
          <w:sz w:val="20"/>
        </w:rPr>
        <w:t xml:space="preserve"> G. (L.)</w:t>
      </w:r>
      <w:r w:rsidRPr="004802CE">
        <w:rPr>
          <w:sz w:val="20"/>
        </w:rPr>
        <w:t xml:space="preserve">, where it was held that a court must be satisfied that there has been a material change in circumstances since the making of the prior order or variation, meaning a change that, “if known at the time, would likely have resulted in different terms”.  The </w:t>
      </w:r>
      <w:r w:rsidRPr="004802CE">
        <w:rPr>
          <w:sz w:val="20"/>
        </w:rPr>
        <w:lastRenderedPageBreak/>
        <w:t xml:space="preserve">threshold variation question is the same whether or not a spousal support order incorporates an agreement, namely, has a material change of circumstances occurred since the making of the order?  The terms of the prior order are presumed to have been in compliance </w:t>
      </w:r>
      <w:proofErr w:type="gramStart"/>
      <w:r w:rsidRPr="004802CE">
        <w:rPr>
          <w:sz w:val="20"/>
        </w:rPr>
        <w:t>with  the</w:t>
      </w:r>
      <w:proofErr w:type="gramEnd"/>
      <w:r w:rsidRPr="004802CE">
        <w:rPr>
          <w:sz w:val="20"/>
        </w:rPr>
        <w:t xml:space="preserve"> objectives of the Act at the time the order was made.  A term stating that a specific type of change will — or will not — give rise to a variation, informs the court’s application of the </w:t>
      </w:r>
      <w:r w:rsidRPr="004802CE">
        <w:rPr>
          <w:i/>
          <w:iCs/>
          <w:sz w:val="20"/>
        </w:rPr>
        <w:t>Willick</w:t>
      </w:r>
      <w:r w:rsidRPr="004802CE">
        <w:rPr>
          <w:sz w:val="20"/>
        </w:rPr>
        <w:t xml:space="preserve"> test.  An agreement containing only general terms, such as a general statement of finality, provides little guidance in practice on whether or not a particular event or circumstance was contemplated by the parties or what consequences they would have ascribed to it.  Once a material change in circumstances has been established, the variation order should properly reflect that change and the objectives set out in s. 17(7).</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t xml:space="preserve">In this case, the trial judge erred in conducting a </w:t>
      </w:r>
      <w:r w:rsidRPr="004802CE">
        <w:rPr>
          <w:i/>
          <w:sz w:val="20"/>
        </w:rPr>
        <w:t>de novo</w:t>
      </w:r>
      <w:r w:rsidRPr="004802CE">
        <w:rPr>
          <w:sz w:val="20"/>
        </w:rPr>
        <w:t xml:space="preserve"> hearing on the issue of the wife’s ability to work and in concluding that she should become economically self</w:t>
      </w:r>
      <w:r w:rsidRPr="004802CE">
        <w:rPr>
          <w:sz w:val="20"/>
        </w:rPr>
        <w:noBreakHyphen/>
        <w:t xml:space="preserve">sufficient without making a finding about whether there had been a material change in the wife’s circumstances since the 2003 order.  The Court of Appeal also erred in determining that the wife had the capacity to work, and that this, coupled with the passage of time, amounted to a material change of circumstances.  Upon examination of the actual circumstances of the parties at the time the order was made and the terms of the order, it is apparent that there has been no material change of circumstances since the making of the order and that there was therefore no basis on which to vary it under s. 17(4.1).  At the time of the order, the wife had multiple sclerosis and was not expected to seek employment outside the home. There has been no material change in circumstances since that time. </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r>
      <w:r w:rsidRPr="004802CE">
        <w:rPr>
          <w:i/>
          <w:sz w:val="20"/>
        </w:rPr>
        <w:t>Per</w:t>
      </w:r>
      <w:r w:rsidRPr="004802CE">
        <w:rPr>
          <w:sz w:val="20"/>
        </w:rPr>
        <w:t xml:space="preserve"> McLachlin C.J. and </w:t>
      </w:r>
      <w:r w:rsidRPr="004802CE">
        <w:rPr>
          <w:b/>
          <w:sz w:val="20"/>
        </w:rPr>
        <w:t>Cromwell</w:t>
      </w:r>
      <w:r w:rsidRPr="004802CE">
        <w:rPr>
          <w:sz w:val="20"/>
        </w:rPr>
        <w:t xml:space="preserve"> J.:  When, as here, parties have reached a comprehensive, final separation agreement and its provisions are incorporated into a court order, those provisions must be given considerable weight in a subsequent variation application in relation to spousal support, in accordance with principles established in </w:t>
      </w:r>
      <w:r w:rsidRPr="004802CE">
        <w:rPr>
          <w:i/>
          <w:sz w:val="20"/>
        </w:rPr>
        <w:t>Miglin</w:t>
      </w:r>
      <w:r w:rsidRPr="004802CE">
        <w:rPr>
          <w:sz w:val="20"/>
        </w:rPr>
        <w:t xml:space="preserve">.  The agreement plays a central role on an application to vary and the </w:t>
      </w:r>
      <w:r w:rsidRPr="004802CE">
        <w:rPr>
          <w:i/>
          <w:sz w:val="20"/>
        </w:rPr>
        <w:t>Miglin</w:t>
      </w:r>
      <w:r w:rsidRPr="004802CE">
        <w:rPr>
          <w:sz w:val="20"/>
        </w:rPr>
        <w:t xml:space="preserve"> principles are highly relevant to this exercise.  In order to meet the threshold for variation under s. 17 of the </w:t>
      </w:r>
      <w:r w:rsidRPr="004802CE">
        <w:rPr>
          <w:i/>
          <w:sz w:val="20"/>
        </w:rPr>
        <w:t>Divorce Act</w:t>
      </w:r>
      <w:r w:rsidRPr="004802CE">
        <w:rPr>
          <w:sz w:val="20"/>
        </w:rPr>
        <w:t xml:space="preserve">, a court must satisfy itself that a “material change” in the condition, means, needs or other circumstances of either former spouse has occurred since the making of the spousal support order.  In order to be “material” a change must be one that:  (1) relates to something that was not either expressly addressed by the parties in the agreement or that cannot be taken as having been in their contemplation; and (2) results in the support provision, considered in the context of the entire agreement, no longer being in substantial compliance with the objectives of the Act as a whole.  </w:t>
      </w:r>
      <w:r w:rsidRPr="004802CE">
        <w:rPr>
          <w:i/>
          <w:sz w:val="20"/>
        </w:rPr>
        <w:t xml:space="preserve">Miglin </w:t>
      </w:r>
      <w:r w:rsidRPr="004802CE">
        <w:rPr>
          <w:sz w:val="20"/>
        </w:rPr>
        <w:t>directs that</w:t>
      </w:r>
      <w:r w:rsidRPr="004802CE">
        <w:rPr>
          <w:i/>
          <w:sz w:val="20"/>
        </w:rPr>
        <w:t xml:space="preserve"> all</w:t>
      </w:r>
      <w:r w:rsidRPr="004802CE">
        <w:rPr>
          <w:sz w:val="20"/>
        </w:rPr>
        <w:t xml:space="preserve"> of the objectives of the Act and the broader objectives of finality, certainty and autonomy must be considered. </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t xml:space="preserve">Once the terms of a final agreement are incorporated into a court order, they are assumed to have met the statutory requirements at the time and the correctness of that order is not reviewed during the variation proceeding. </w:t>
      </w:r>
      <w:r w:rsidRPr="004802CE">
        <w:rPr>
          <w:i/>
          <w:sz w:val="20"/>
        </w:rPr>
        <w:t xml:space="preserve"> </w:t>
      </w:r>
      <w:r w:rsidRPr="004802CE">
        <w:rPr>
          <w:sz w:val="20"/>
        </w:rPr>
        <w:t xml:space="preserve"> While the court has discretion with respect to variation and is not strictly bound by the terms of the parties’ agreement, that agreement is an “important factor” in exercising the discretionary power to vary.  </w:t>
      </w:r>
      <w:r w:rsidRPr="004802CE">
        <w:rPr>
          <w:i/>
          <w:sz w:val="20"/>
        </w:rPr>
        <w:t xml:space="preserve">Miglin </w:t>
      </w:r>
      <w:r w:rsidRPr="004802CE">
        <w:rPr>
          <w:sz w:val="20"/>
        </w:rPr>
        <w:t xml:space="preserve">affirmed that unimpeachably negotiated agreements should receive considerable weight provided that they represent the intentions and expectations of the parties and substantially comply with the objectives of the </w:t>
      </w:r>
      <w:r w:rsidRPr="004802CE">
        <w:rPr>
          <w:i/>
          <w:sz w:val="20"/>
        </w:rPr>
        <w:t>Divorce Act</w:t>
      </w:r>
      <w:r w:rsidRPr="004802CE">
        <w:rPr>
          <w:sz w:val="20"/>
        </w:rPr>
        <w:t xml:space="preserve">.  This principle applies equally to a variation application as to an initial application for spousal support.  Moreover, the statutory objectives of ss. 15.2 and 17(4.1) are virtually identical and any “differences in language” are very minor and provide no foundation for keeping the analyses under these two provisions “distinct” in relation to the weight to be given to the parties’ agreement.  While the “change” threshold specified in s. 17 does not apply to initial orders under s. 15.2, this difference in the statutory language provides no basis for the conclusion that the weight to be given the parties’ agreement is different on variation applications than on initial applications, as a careful reading of </w:t>
      </w:r>
      <w:r w:rsidRPr="004802CE">
        <w:rPr>
          <w:i/>
          <w:sz w:val="20"/>
        </w:rPr>
        <w:t>Miglin</w:t>
      </w:r>
      <w:r w:rsidRPr="004802CE">
        <w:rPr>
          <w:sz w:val="20"/>
        </w:rPr>
        <w:t xml:space="preserve"> bears out.  Rather, the parties’ agreement is critical evidence of what they actually or ought reasonably to be taken to have contemplated at the time.  On an application to vary a support order that incorporates support provisions of the parties’ comprehensive, final separation agreement under s. 17, the court must balance the goal of preserving autonomy and certainty with ensuring the support arrangements are in substantial compliance with the overall objectives of the Act.  If a material change is identified, the agreement is also to be considered in determining what variation is justified.  Judges making variation orders under s. 17 should limit themselves to making the appropriate variation and should not make a fresh order unrelated to the existing one.</w:t>
      </w:r>
    </w:p>
    <w:p w:rsidR="00641906" w:rsidRDefault="00641906" w:rsidP="00641906">
      <w:pPr>
        <w:pStyle w:val="SCCNormalDoubleSpacing"/>
        <w:spacing w:line="240" w:lineRule="auto"/>
        <w:rPr>
          <w:sz w:val="20"/>
        </w:rPr>
      </w:pPr>
    </w:p>
    <w:p w:rsidR="00641906" w:rsidRDefault="00641906" w:rsidP="00641906">
      <w:pPr>
        <w:pStyle w:val="SCCNormalDoubleSpacing"/>
        <w:spacing w:line="240" w:lineRule="auto"/>
        <w:rPr>
          <w:sz w:val="20"/>
        </w:rPr>
      </w:pPr>
      <w:r w:rsidRPr="004802CE">
        <w:rPr>
          <w:sz w:val="20"/>
        </w:rPr>
        <w:tab/>
        <w:t xml:space="preserve">Here, the Court of Appeal erred in finding that there had been a material change since the making of the spousal support order that would justify a variation.  The parties reached a comprehensive agreement that they intended would be a final settlement of all of the outstanding issues between them.  As it provided for spousal support that was not time-limited or subject to any review mechanism and was indexed, the fact that wife would not seek employment </w:t>
      </w:r>
      <w:r w:rsidRPr="004802CE">
        <w:rPr>
          <w:sz w:val="20"/>
        </w:rPr>
        <w:lastRenderedPageBreak/>
        <w:t>outside the home cannot be viewed as a circumstance that departed from the reasonable outcomes anticipated by the parties in framing the agreement.</w:t>
      </w:r>
    </w:p>
    <w:p w:rsidR="00641906" w:rsidRDefault="00641906" w:rsidP="00641906">
      <w:pPr>
        <w:pStyle w:val="SCCNormalDoubleSpacing"/>
        <w:spacing w:line="240" w:lineRule="auto"/>
        <w:rPr>
          <w:sz w:val="20"/>
        </w:rPr>
      </w:pPr>
    </w:p>
    <w:p w:rsidR="00641906" w:rsidRPr="004802CE" w:rsidRDefault="00641906" w:rsidP="00641906">
      <w:pPr>
        <w:pStyle w:val="SCCNormalDoubleSpacing"/>
        <w:spacing w:line="240" w:lineRule="auto"/>
        <w:rPr>
          <w:sz w:val="20"/>
        </w:rPr>
      </w:pPr>
      <w:r w:rsidRPr="004802CE">
        <w:rPr>
          <w:sz w:val="20"/>
        </w:rPr>
        <w:tab/>
        <w:t>APPEAL from a judgment of the Quebec Court of Appeal (Rochon, Morissette and Hilton JJ.A.), 2010 QCCA 793, [2010] J.Q. n</w:t>
      </w:r>
      <w:r w:rsidRPr="004802CE">
        <w:rPr>
          <w:sz w:val="20"/>
          <w:vertAlign w:val="superscript"/>
        </w:rPr>
        <w:t>o</w:t>
      </w:r>
      <w:r w:rsidRPr="004802CE">
        <w:rPr>
          <w:sz w:val="20"/>
        </w:rPr>
        <w:t xml:space="preserve"> 3531 (QL), 2010 CarswellQue 3636, SOQUIJ AZ</w:t>
      </w:r>
      <w:r w:rsidRPr="004802CE">
        <w:rPr>
          <w:sz w:val="20"/>
        </w:rPr>
        <w:noBreakHyphen/>
        <w:t>50629973, affirming in part a decision of Courteau J., 2009 QCCS 3389, [2009] Q.J. No. 7617 (QL), 2009 CarswellQue 7646.  Appeal allowed.</w:t>
      </w:r>
    </w:p>
    <w:p w:rsidR="00641906" w:rsidRDefault="00641906" w:rsidP="00641906">
      <w:pPr>
        <w:pStyle w:val="SCCNormalDoubleSpacing"/>
        <w:spacing w:line="240" w:lineRule="auto"/>
        <w:rPr>
          <w:i/>
          <w:sz w:val="20"/>
        </w:rPr>
      </w:pPr>
    </w:p>
    <w:p w:rsidR="00641906" w:rsidRPr="004802CE" w:rsidRDefault="00641906" w:rsidP="00641906">
      <w:pPr>
        <w:pStyle w:val="SCCNormalDoubleSpacing"/>
        <w:spacing w:line="240" w:lineRule="auto"/>
        <w:rPr>
          <w:sz w:val="20"/>
        </w:rPr>
      </w:pPr>
      <w:r w:rsidRPr="004802CE">
        <w:rPr>
          <w:i/>
          <w:sz w:val="20"/>
        </w:rPr>
        <w:tab/>
      </w:r>
      <w:proofErr w:type="gramStart"/>
      <w:r w:rsidRPr="004802CE">
        <w:rPr>
          <w:i/>
          <w:sz w:val="20"/>
        </w:rPr>
        <w:t>Miriam Grassby</w:t>
      </w:r>
      <w:r w:rsidRPr="004802CE">
        <w:rPr>
          <w:sz w:val="20"/>
        </w:rPr>
        <w:t xml:space="preserve"> and </w:t>
      </w:r>
      <w:r w:rsidRPr="004802CE">
        <w:rPr>
          <w:i/>
          <w:sz w:val="20"/>
        </w:rPr>
        <w:t>Sylvie Leduc</w:t>
      </w:r>
      <w:r w:rsidRPr="004802CE">
        <w:rPr>
          <w:sz w:val="20"/>
        </w:rPr>
        <w:t>, for the appellant.</w:t>
      </w:r>
      <w:proofErr w:type="gramEnd"/>
    </w:p>
    <w:p w:rsidR="00641906" w:rsidRDefault="00641906" w:rsidP="00641906">
      <w:pPr>
        <w:pStyle w:val="SCCNormalDoubleSpacing"/>
        <w:spacing w:line="240" w:lineRule="auto"/>
        <w:rPr>
          <w:i/>
          <w:sz w:val="20"/>
        </w:rPr>
      </w:pPr>
    </w:p>
    <w:p w:rsidR="00641906" w:rsidRPr="004802CE" w:rsidRDefault="00641906" w:rsidP="00641906">
      <w:pPr>
        <w:pStyle w:val="SCCNormalDoubleSpacing"/>
        <w:spacing w:line="240" w:lineRule="auto"/>
        <w:rPr>
          <w:sz w:val="20"/>
        </w:rPr>
      </w:pPr>
      <w:r w:rsidRPr="004802CE">
        <w:rPr>
          <w:i/>
          <w:sz w:val="20"/>
        </w:rPr>
        <w:tab/>
      </w:r>
      <w:proofErr w:type="gramStart"/>
      <w:r w:rsidRPr="004802CE">
        <w:rPr>
          <w:i/>
          <w:sz w:val="20"/>
        </w:rPr>
        <w:t>Donald Devine</w:t>
      </w:r>
      <w:r w:rsidRPr="004802CE">
        <w:rPr>
          <w:sz w:val="20"/>
        </w:rPr>
        <w:t xml:space="preserve"> and </w:t>
      </w:r>
      <w:r w:rsidRPr="004802CE">
        <w:rPr>
          <w:i/>
          <w:sz w:val="20"/>
        </w:rPr>
        <w:t>Tamar Ajamian</w:t>
      </w:r>
      <w:r w:rsidRPr="004802CE">
        <w:rPr>
          <w:sz w:val="20"/>
        </w:rPr>
        <w:t>, for the respondent.</w:t>
      </w:r>
      <w:proofErr w:type="gramEnd"/>
    </w:p>
    <w:p w:rsidR="00641906" w:rsidRDefault="00641906" w:rsidP="00641906">
      <w:pPr>
        <w:pStyle w:val="SCCNormalDoubleSpacing"/>
        <w:spacing w:line="240" w:lineRule="auto"/>
        <w:rPr>
          <w:i/>
          <w:sz w:val="20"/>
        </w:rPr>
      </w:pPr>
    </w:p>
    <w:p w:rsidR="00641906" w:rsidRPr="004802CE" w:rsidRDefault="00641906" w:rsidP="00641906">
      <w:pPr>
        <w:pStyle w:val="SCCNormalDoubleSpacing"/>
        <w:spacing w:line="240" w:lineRule="auto"/>
        <w:rPr>
          <w:sz w:val="20"/>
        </w:rPr>
      </w:pPr>
      <w:r w:rsidRPr="004802CE">
        <w:rPr>
          <w:i/>
          <w:sz w:val="20"/>
        </w:rPr>
        <w:tab/>
      </w:r>
      <w:proofErr w:type="gramStart"/>
      <w:r w:rsidRPr="004802CE">
        <w:rPr>
          <w:i/>
          <w:sz w:val="20"/>
        </w:rPr>
        <w:t>Anne</w:t>
      </w:r>
      <w:r w:rsidRPr="004802CE">
        <w:rPr>
          <w:i/>
          <w:sz w:val="20"/>
        </w:rPr>
        <w:noBreakHyphen/>
        <w:t>France Goldwater</w:t>
      </w:r>
      <w:r w:rsidRPr="004802CE">
        <w:rPr>
          <w:sz w:val="20"/>
        </w:rPr>
        <w:t xml:space="preserve"> and </w:t>
      </w:r>
      <w:r w:rsidRPr="004802CE">
        <w:rPr>
          <w:i/>
          <w:sz w:val="20"/>
        </w:rPr>
        <w:t>Robert Leckey</w:t>
      </w:r>
      <w:r w:rsidRPr="004802CE">
        <w:rPr>
          <w:sz w:val="20"/>
        </w:rPr>
        <w:t>, for the interveners.</w:t>
      </w:r>
      <w:proofErr w:type="gramEnd"/>
    </w:p>
    <w:p w:rsidR="00641906" w:rsidRDefault="00641906" w:rsidP="00641906">
      <w:pPr>
        <w:pStyle w:val="SCCLawFirm"/>
        <w:spacing w:line="240" w:lineRule="auto"/>
        <w:rPr>
          <w:sz w:val="20"/>
        </w:rPr>
      </w:pPr>
    </w:p>
    <w:p w:rsidR="00641906" w:rsidRPr="004802CE" w:rsidRDefault="00641906" w:rsidP="00641906">
      <w:pPr>
        <w:pStyle w:val="SCCLawFirm"/>
        <w:spacing w:line="240" w:lineRule="auto"/>
        <w:rPr>
          <w:sz w:val="20"/>
        </w:rPr>
      </w:pPr>
      <w:r w:rsidRPr="004802CE">
        <w:rPr>
          <w:sz w:val="20"/>
        </w:rPr>
        <w:tab/>
        <w:t>Solicitors for the appellant:  Miriam Grassby &amp; Associés, Montréal.</w:t>
      </w:r>
    </w:p>
    <w:p w:rsidR="00641906" w:rsidRDefault="00641906" w:rsidP="00641906">
      <w:pPr>
        <w:pStyle w:val="SCCLawFirm"/>
        <w:spacing w:line="240" w:lineRule="auto"/>
        <w:rPr>
          <w:sz w:val="20"/>
        </w:rPr>
      </w:pPr>
    </w:p>
    <w:p w:rsidR="00641906" w:rsidRPr="004802CE" w:rsidRDefault="00641906" w:rsidP="00641906">
      <w:pPr>
        <w:pStyle w:val="SCCLawFirm"/>
        <w:spacing w:line="240" w:lineRule="auto"/>
        <w:rPr>
          <w:sz w:val="20"/>
        </w:rPr>
      </w:pPr>
      <w:r w:rsidRPr="004802CE">
        <w:rPr>
          <w:sz w:val="20"/>
        </w:rPr>
        <w:tab/>
        <w:t xml:space="preserve">Solicitors for the respondent:  Devine, Schachter, Polak, </w:t>
      </w:r>
      <w:proofErr w:type="gramStart"/>
      <w:r w:rsidRPr="004802CE">
        <w:rPr>
          <w:sz w:val="20"/>
        </w:rPr>
        <w:t>Montréal</w:t>
      </w:r>
      <w:proofErr w:type="gramEnd"/>
      <w:r w:rsidRPr="004802CE">
        <w:rPr>
          <w:sz w:val="20"/>
        </w:rPr>
        <w:t>.</w:t>
      </w:r>
    </w:p>
    <w:p w:rsidR="00641906" w:rsidRDefault="00641906" w:rsidP="00641906">
      <w:pPr>
        <w:pStyle w:val="SCCLawFirm"/>
        <w:spacing w:line="240" w:lineRule="auto"/>
        <w:rPr>
          <w:sz w:val="20"/>
        </w:rPr>
      </w:pPr>
    </w:p>
    <w:p w:rsidR="00641906" w:rsidRDefault="00641906" w:rsidP="00641906">
      <w:pPr>
        <w:pStyle w:val="SCCLawFirm"/>
        <w:spacing w:line="240" w:lineRule="auto"/>
        <w:rPr>
          <w:sz w:val="20"/>
        </w:rPr>
      </w:pPr>
      <w:r w:rsidRPr="004802CE">
        <w:rPr>
          <w:sz w:val="20"/>
        </w:rPr>
        <w:tab/>
        <w:t>Solicitors for the interveners:  Goldwater, Dubé, Westmount, Quebec.</w:t>
      </w:r>
    </w:p>
    <w:p w:rsidR="00DD0B49" w:rsidRPr="003B3977" w:rsidRDefault="00DD0B49" w:rsidP="00DD0B49">
      <w:pPr>
        <w:rPr>
          <w:rFonts w:cs="Times New Roman"/>
          <w:sz w:val="20"/>
          <w:szCs w:val="20"/>
          <w:lang w:val="fr-CA"/>
        </w:rPr>
      </w:pPr>
      <w:r w:rsidRPr="003B3977">
        <w:rPr>
          <w:rFonts w:cs="Times New Roman"/>
          <w:sz w:val="20"/>
          <w:szCs w:val="20"/>
          <w:lang w:val="fr-CA"/>
        </w:rPr>
        <w:t>________________________</w:t>
      </w:r>
    </w:p>
    <w:p w:rsidR="00DD0B49" w:rsidRPr="003B3977" w:rsidRDefault="00DD0B49" w:rsidP="00DD0B49">
      <w:pPr>
        <w:rPr>
          <w:rFonts w:cs="Times New Roman"/>
          <w:sz w:val="20"/>
          <w:szCs w:val="20"/>
          <w:lang w:val="fr-CA"/>
        </w:rPr>
      </w:pPr>
    </w:p>
    <w:p w:rsidR="00641906" w:rsidRPr="00641906" w:rsidRDefault="00641906" w:rsidP="00641906">
      <w:pPr>
        <w:jc w:val="both"/>
        <w:rPr>
          <w:sz w:val="20"/>
          <w:szCs w:val="20"/>
          <w:lang w:val="fr-CA"/>
        </w:rPr>
      </w:pPr>
      <w:r w:rsidRPr="00641906">
        <w:rPr>
          <w:sz w:val="20"/>
          <w:szCs w:val="20"/>
          <w:lang w:val="fr-CA"/>
        </w:rPr>
        <w:t>Présents : La juge en chef McLachlin et les juges Binnie, LeBel, Deschamps, Abella, Rothstein et Cromwell.</w:t>
      </w:r>
    </w:p>
    <w:p w:rsidR="00641906" w:rsidRPr="00641906" w:rsidRDefault="00641906" w:rsidP="00641906">
      <w:pPr>
        <w:pStyle w:val="SCCLowerCourtNameLowercase"/>
        <w:spacing w:line="240" w:lineRule="auto"/>
        <w:rPr>
          <w:sz w:val="20"/>
          <w:lang w:val="fr-CA"/>
        </w:rPr>
      </w:pPr>
    </w:p>
    <w:p w:rsidR="00641906" w:rsidRPr="00641906" w:rsidRDefault="00641906" w:rsidP="00641906">
      <w:pPr>
        <w:pStyle w:val="SCCNormalDoubleSpacing"/>
        <w:widowControl w:val="0"/>
        <w:spacing w:line="240" w:lineRule="auto"/>
        <w:rPr>
          <w:i/>
          <w:sz w:val="20"/>
          <w:lang w:val="fr-CA"/>
        </w:rPr>
      </w:pPr>
      <w:r w:rsidRPr="00641906">
        <w:rPr>
          <w:i/>
          <w:sz w:val="20"/>
          <w:lang w:val="fr-CA"/>
        </w:rPr>
        <w:tab/>
        <w:t>Droit de la famille — Aliments — Pension alimentaire au profit d’un époux — Modification — Changement important dans la situation — Dispositions d’une entente de séparation intégrées dans une ordonnance judiciaire — Demande de réduction et de cessation de la pension alimentaire au profit de l’épouse fondée sur un changement dans la situation financière de l’époux et sur le défaut de l’épouse de devenir autonome depuis la date de l’ordonnance — Quelle approche s’applique, en vertu du par. 17(4.1) de la Loi sur le divorce, à l’examen d’une demande de modification d’une ordonnance alimentaire au profit d’un époux à laquelle les dispositions alimentaires d’une entente ont été intégrées? — Cette approche diffère</w:t>
      </w:r>
      <w:r w:rsidRPr="00641906">
        <w:rPr>
          <w:i/>
          <w:sz w:val="20"/>
          <w:lang w:val="fr-CA"/>
        </w:rPr>
        <w:noBreakHyphen/>
        <w:t>t</w:t>
      </w:r>
      <w:r w:rsidRPr="00641906">
        <w:rPr>
          <w:i/>
          <w:sz w:val="20"/>
          <w:lang w:val="fr-CA"/>
        </w:rPr>
        <w:noBreakHyphen/>
        <w:t xml:space="preserve">elle de celle requise par l’art. 15.2 </w:t>
      </w:r>
      <w:proofErr w:type="gramStart"/>
      <w:r w:rsidRPr="00641906">
        <w:rPr>
          <w:i/>
          <w:sz w:val="20"/>
          <w:lang w:val="fr-CA"/>
        </w:rPr>
        <w:t>lors</w:t>
      </w:r>
      <w:proofErr w:type="gramEnd"/>
      <w:r w:rsidRPr="00641906">
        <w:rPr>
          <w:i/>
          <w:sz w:val="20"/>
          <w:lang w:val="fr-CA"/>
        </w:rPr>
        <w:t xml:space="preserve"> d’une demande initiale de pension alimentaire au profit d’un époux? — Loi sur le divorce,</w:t>
      </w:r>
      <w:r w:rsidRPr="00641906">
        <w:rPr>
          <w:sz w:val="20"/>
          <w:lang w:val="fr-CA"/>
        </w:rPr>
        <w:t xml:space="preserve"> </w:t>
      </w:r>
      <w:r w:rsidRPr="00641906">
        <w:rPr>
          <w:i/>
          <w:sz w:val="20"/>
          <w:lang w:val="fr-CA"/>
        </w:rPr>
        <w:t>L.R.C. 1985, ch. 3 (2</w:t>
      </w:r>
      <w:r w:rsidRPr="00641906">
        <w:rPr>
          <w:i/>
          <w:sz w:val="20"/>
          <w:vertAlign w:val="superscript"/>
          <w:lang w:val="fr-CA"/>
        </w:rPr>
        <w:t>e</w:t>
      </w:r>
      <w:r w:rsidRPr="00641906">
        <w:rPr>
          <w:i/>
          <w:sz w:val="20"/>
          <w:lang w:val="fr-CA"/>
        </w:rPr>
        <w:t xml:space="preserve"> suppl.), art. 15.2 </w:t>
      </w:r>
      <w:proofErr w:type="gramStart"/>
      <w:r w:rsidRPr="00641906">
        <w:rPr>
          <w:i/>
          <w:sz w:val="20"/>
          <w:lang w:val="fr-CA"/>
        </w:rPr>
        <w:t>et</w:t>
      </w:r>
      <w:proofErr w:type="gramEnd"/>
      <w:r w:rsidRPr="00641906">
        <w:rPr>
          <w:i/>
          <w:sz w:val="20"/>
          <w:lang w:val="fr-CA"/>
        </w:rPr>
        <w:t xml:space="preserve"> 17.</w:t>
      </w:r>
    </w:p>
    <w:p w:rsidR="00641906" w:rsidRPr="00641906" w:rsidRDefault="00641906" w:rsidP="00641906">
      <w:pPr>
        <w:pStyle w:val="SCCNormalDoubleSpacing"/>
        <w:widowControl w:val="0"/>
        <w:spacing w:line="240" w:lineRule="auto"/>
        <w:rPr>
          <w:sz w:val="20"/>
          <w:lang w:val="fr-CA"/>
        </w:rPr>
      </w:pPr>
    </w:p>
    <w:p w:rsidR="00641906" w:rsidRPr="00641906" w:rsidRDefault="00641906" w:rsidP="00641906">
      <w:pPr>
        <w:pStyle w:val="SCCNormalDoubleSpacing"/>
        <w:widowControl w:val="0"/>
        <w:spacing w:line="240" w:lineRule="auto"/>
        <w:rPr>
          <w:sz w:val="20"/>
          <w:lang w:val="fr-CA"/>
        </w:rPr>
      </w:pPr>
      <w:r w:rsidRPr="00641906">
        <w:rPr>
          <w:sz w:val="20"/>
          <w:lang w:val="fr-CA"/>
        </w:rPr>
        <w:tab/>
        <w:t xml:space="preserve">Peu de temps après le mariage des parties en 1988, l’épouse a appris qu’elle souffrait de sclérose en plaques et ne travaille plus depuis.  Tout au long du mariage, l’époux a poursuivi sa carrière, tandis que l’épouse s’occupait de la maison familiale et des enfants.  Après leur séparation en 2002, les parties ont signé un accord global qui a été intégré dans une ordonnance en 2003.  L’ordonnance prévoit une pension alimentaire indexée de 3 688 $ par mois au profit de l’épouse.  L’ordonnance ne fixe pas de date de cessation de la pension.  En 2007, l’époux a demandé une modification au titre de l’art. 17 de la </w:t>
      </w:r>
      <w:r w:rsidRPr="00641906">
        <w:rPr>
          <w:i/>
          <w:sz w:val="20"/>
          <w:lang w:val="fr-CA"/>
        </w:rPr>
        <w:t>Loi sur le divorce</w:t>
      </w:r>
      <w:r w:rsidRPr="00641906">
        <w:rPr>
          <w:sz w:val="20"/>
          <w:lang w:val="fr-CA"/>
        </w:rPr>
        <w:t>, en vue d’obtenir la réduction et, ultimement, l’annulation de la pension alimentaire au profit de l’épouse, en faisant valoir que sa situation financière avait changé et que l’épouse devait chercher un emploi.  La juge du procès n’a pas retenu la prétention de l’époux que sa situation financière avait changé, mais elle a conclu que l’épouse était apte à travailler à l’extérieur du foyer.  Par conséquent, elle a ordonné la réduction de la pension, puis sa cessation en août 2010.  La juge du procès ne s’est pas prononcée sur la question de savoir si un changement de situation important était survenu.  La Cour d’appel a rejeté l’appel de l’épouse, concluant que l’omission de devenir autonome avec le temps a entraîné un changement de situation important.</w:t>
      </w:r>
    </w:p>
    <w:p w:rsidR="00641906" w:rsidRPr="00641906" w:rsidRDefault="00641906" w:rsidP="00641906">
      <w:pPr>
        <w:pStyle w:val="SCCNormalDoubleSpacing"/>
        <w:spacing w:line="240" w:lineRule="auto"/>
        <w:rPr>
          <w:sz w:val="20"/>
          <w:lang w:val="fr-CA"/>
        </w:rPr>
      </w:pPr>
    </w:p>
    <w:p w:rsidR="00641906" w:rsidRPr="00641906" w:rsidRDefault="00641906" w:rsidP="00641906">
      <w:pPr>
        <w:pStyle w:val="SCCNormalDoubleSpacing"/>
        <w:spacing w:line="240" w:lineRule="auto"/>
        <w:rPr>
          <w:sz w:val="20"/>
          <w:lang w:val="fr-CA"/>
        </w:rPr>
      </w:pPr>
      <w:r w:rsidRPr="00641906">
        <w:rPr>
          <w:sz w:val="20"/>
          <w:lang w:val="fr-CA"/>
        </w:rPr>
        <w:tab/>
      </w:r>
      <w:r w:rsidRPr="00641906">
        <w:rPr>
          <w:i/>
          <w:sz w:val="20"/>
          <w:lang w:val="fr-CA"/>
        </w:rPr>
        <w:t>Arrêt </w:t>
      </w:r>
      <w:r w:rsidRPr="00641906">
        <w:rPr>
          <w:sz w:val="20"/>
          <w:lang w:val="fr-CA"/>
        </w:rPr>
        <w:t>: Le pourvoi est accueilli et l’ordonnance initiale de 2003 est rétablie.</w:t>
      </w:r>
    </w:p>
    <w:p w:rsidR="00641906" w:rsidRPr="00641906" w:rsidRDefault="00641906" w:rsidP="00641906">
      <w:pPr>
        <w:pStyle w:val="SCCNormalDoubleSpacing"/>
        <w:widowControl w:val="0"/>
        <w:spacing w:line="240" w:lineRule="auto"/>
        <w:rPr>
          <w:sz w:val="20"/>
          <w:lang w:val="fr-CA"/>
        </w:rPr>
      </w:pPr>
    </w:p>
    <w:p w:rsidR="00641906" w:rsidRPr="00641906" w:rsidRDefault="00641906" w:rsidP="00641906">
      <w:pPr>
        <w:pStyle w:val="SCCNormalDoubleSpacing"/>
        <w:widowControl w:val="0"/>
        <w:spacing w:line="240" w:lineRule="auto"/>
        <w:rPr>
          <w:sz w:val="20"/>
          <w:lang w:val="fr-CA"/>
        </w:rPr>
      </w:pPr>
      <w:r w:rsidRPr="00641906">
        <w:rPr>
          <w:sz w:val="20"/>
          <w:lang w:val="fr-CA"/>
        </w:rPr>
        <w:tab/>
      </w:r>
      <w:r w:rsidRPr="00641906">
        <w:rPr>
          <w:i/>
          <w:sz w:val="20"/>
          <w:lang w:val="fr-CA"/>
        </w:rPr>
        <w:t xml:space="preserve">Les </w:t>
      </w:r>
      <w:r w:rsidRPr="00641906">
        <w:rPr>
          <w:sz w:val="20"/>
          <w:lang w:val="fr-CA"/>
        </w:rPr>
        <w:t xml:space="preserve">juges Binnie, LeBel, Deschamps, </w:t>
      </w:r>
      <w:r w:rsidRPr="00641906">
        <w:rPr>
          <w:b/>
          <w:sz w:val="20"/>
          <w:lang w:val="fr-CA"/>
        </w:rPr>
        <w:t>Abella</w:t>
      </w:r>
      <w:r w:rsidRPr="00641906">
        <w:rPr>
          <w:sz w:val="20"/>
          <w:lang w:val="fr-CA"/>
        </w:rPr>
        <w:t xml:space="preserve"> et </w:t>
      </w:r>
      <w:r w:rsidRPr="00641906">
        <w:rPr>
          <w:b/>
          <w:sz w:val="20"/>
          <w:lang w:val="fr-CA"/>
        </w:rPr>
        <w:t>Rothstein</w:t>
      </w:r>
      <w:r w:rsidRPr="00641906">
        <w:rPr>
          <w:sz w:val="20"/>
          <w:lang w:val="fr-CA"/>
        </w:rPr>
        <w:t xml:space="preserve"> : La </w:t>
      </w:r>
      <w:r w:rsidRPr="00641906">
        <w:rPr>
          <w:i/>
          <w:sz w:val="20"/>
          <w:lang w:val="fr-CA"/>
        </w:rPr>
        <w:t>Loi sur le divorce</w:t>
      </w:r>
      <w:r w:rsidRPr="00641906">
        <w:rPr>
          <w:sz w:val="20"/>
          <w:lang w:val="fr-CA"/>
        </w:rPr>
        <w:t xml:space="preserve"> autorise les tribunaux à modifier les dispositions alimentaires au profit d’un époux, soit lors d’une demande initiale de pension alimentaire en vertu de l’art. 15.2, ou lors d’une demande de modification d’une ordonnance judiciaire existante au titre de l’art. 17.  Elle autorise les tribunaux à rendre une ordonnance initiale qui pourrait être incompatible avec les modalités de l’entente, si celles</w:t>
      </w:r>
      <w:r w:rsidRPr="00641906">
        <w:rPr>
          <w:sz w:val="20"/>
          <w:lang w:val="fr-CA"/>
        </w:rPr>
        <w:noBreakHyphen/>
        <w:t xml:space="preserve">ci dérogent aux objectifs de la Loi.  Le test en deux étapes établi dans </w:t>
      </w:r>
      <w:r w:rsidRPr="00641906">
        <w:rPr>
          <w:i/>
          <w:sz w:val="20"/>
          <w:lang w:val="fr-CA"/>
        </w:rPr>
        <w:t>Miglin</w:t>
      </w:r>
      <w:r w:rsidRPr="00641906">
        <w:rPr>
          <w:sz w:val="20"/>
          <w:lang w:val="fr-CA"/>
        </w:rPr>
        <w:t xml:space="preserve"> s’accorde avec la directive donnée à l’al. 15.2(4)</w:t>
      </w:r>
      <w:r w:rsidRPr="00641906">
        <w:rPr>
          <w:i/>
          <w:sz w:val="20"/>
          <w:lang w:val="fr-CA"/>
        </w:rPr>
        <w:t>c</w:t>
      </w:r>
      <w:r w:rsidRPr="00641906">
        <w:rPr>
          <w:sz w:val="20"/>
          <w:lang w:val="fr-CA"/>
        </w:rPr>
        <w:t xml:space="preserve">)  selon laquelle, lors d’une demande </w:t>
      </w:r>
      <w:r w:rsidRPr="00641906">
        <w:rPr>
          <w:i/>
          <w:sz w:val="20"/>
          <w:lang w:val="fr-CA"/>
        </w:rPr>
        <w:t>initiale</w:t>
      </w:r>
      <w:r w:rsidRPr="00641906">
        <w:rPr>
          <w:sz w:val="20"/>
          <w:lang w:val="fr-CA"/>
        </w:rPr>
        <w:t xml:space="preserve"> de pension alimentaire, le tribunal doit prendre en compte « toute ordonnance, toute entente ou tout arrangement alimentaire au profit de l’un ou l’autre des époux ».  Toutefois, à la différence de l’affaire </w:t>
      </w:r>
      <w:r w:rsidRPr="00641906">
        <w:rPr>
          <w:i/>
          <w:sz w:val="20"/>
          <w:lang w:val="fr-CA"/>
        </w:rPr>
        <w:t>Miglin</w:t>
      </w:r>
      <w:r w:rsidRPr="00641906">
        <w:rPr>
          <w:sz w:val="20"/>
          <w:lang w:val="fr-CA"/>
        </w:rPr>
        <w:t xml:space="preserve">, le présent pourvoi concerne une demande présentée en vertu de l’art. 17 en vue de faire modifier une ordonnance alimentaire au profit de l’épouse rendue en vertu de l’art. 15.2 </w:t>
      </w:r>
      <w:proofErr w:type="gramStart"/>
      <w:r w:rsidRPr="00641906">
        <w:rPr>
          <w:sz w:val="20"/>
          <w:lang w:val="fr-CA"/>
        </w:rPr>
        <w:t>après</w:t>
      </w:r>
      <w:proofErr w:type="gramEnd"/>
      <w:r w:rsidRPr="00641906">
        <w:rPr>
          <w:sz w:val="20"/>
          <w:lang w:val="fr-CA"/>
        </w:rPr>
        <w:t xml:space="preserve"> la </w:t>
      </w:r>
      <w:r w:rsidRPr="00641906">
        <w:rPr>
          <w:sz w:val="20"/>
          <w:lang w:val="fr-CA"/>
        </w:rPr>
        <w:lastRenderedPageBreak/>
        <w:t>conclusion d’une entente alimentaire entre époux.  L’article 17 autorise le tribunal à modifier, annuler ou suspendre une ordonnance, énonce les facteurs permettant une modification et précise les objectifs que pareille modification doit viser.  Notamment, contrairement à l’al. 15.2(4)</w:t>
      </w:r>
      <w:r w:rsidRPr="00641906">
        <w:rPr>
          <w:i/>
          <w:sz w:val="20"/>
          <w:lang w:val="fr-CA"/>
        </w:rPr>
        <w:t>c</w:t>
      </w:r>
      <w:r w:rsidRPr="00641906">
        <w:rPr>
          <w:sz w:val="20"/>
          <w:lang w:val="fr-CA"/>
        </w:rPr>
        <w:t>) qui demande expressément au tribunal de tenir compte de « toute ordonnance, toute entente ou tout arrangement alimentaire au profit de l’un ou l’autre des époux » lorsqu’il examine une demande initiale de pension alimentaire, le par. 17(4.1) ne mentionne nullement les ententes et demande simplement au tribunal de s’assurer « qu’il est survenu un changement dans les ressources, les besoins ou, de façon générale, la situation de l’un ou l’autre des ex</w:t>
      </w:r>
      <w:r w:rsidRPr="00641906">
        <w:rPr>
          <w:sz w:val="20"/>
          <w:lang w:val="fr-CA"/>
        </w:rPr>
        <w:noBreakHyphen/>
        <w:t xml:space="preserve">époux » depuis l’ordonnance initiale ou sa dernière modification.  Les juges majoritaires dans </w:t>
      </w:r>
      <w:r w:rsidRPr="00641906">
        <w:rPr>
          <w:i/>
          <w:sz w:val="20"/>
          <w:lang w:val="fr-CA"/>
        </w:rPr>
        <w:t>Miglin</w:t>
      </w:r>
      <w:r w:rsidRPr="00641906">
        <w:rPr>
          <w:sz w:val="20"/>
          <w:lang w:val="fr-CA"/>
        </w:rPr>
        <w:t xml:space="preserve"> ont reconnu que les termes différents utilisés par le législateur </w:t>
      </w:r>
      <w:proofErr w:type="gramStart"/>
      <w:r w:rsidRPr="00641906">
        <w:rPr>
          <w:sz w:val="20"/>
          <w:lang w:val="fr-CA"/>
        </w:rPr>
        <w:t>aux art</w:t>
      </w:r>
      <w:proofErr w:type="gramEnd"/>
      <w:r w:rsidRPr="00641906">
        <w:rPr>
          <w:sz w:val="20"/>
          <w:lang w:val="fr-CA"/>
        </w:rPr>
        <w:t xml:space="preserve">. 15.2 </w:t>
      </w:r>
      <w:proofErr w:type="gramStart"/>
      <w:r w:rsidRPr="00641906">
        <w:rPr>
          <w:sz w:val="20"/>
          <w:lang w:val="fr-CA"/>
        </w:rPr>
        <w:t>et</w:t>
      </w:r>
      <w:proofErr w:type="gramEnd"/>
      <w:r w:rsidRPr="00641906">
        <w:rPr>
          <w:sz w:val="20"/>
          <w:lang w:val="fr-CA"/>
        </w:rPr>
        <w:t xml:space="preserve"> 17 commandent une approche différente relativement à une demande initiale et à une demande de modification.  Bien que les </w:t>
      </w:r>
      <w:r w:rsidRPr="00641906">
        <w:rPr>
          <w:i/>
          <w:sz w:val="20"/>
          <w:lang w:val="fr-CA"/>
        </w:rPr>
        <w:t>objectifs</w:t>
      </w:r>
      <w:r w:rsidRPr="00641906">
        <w:rPr>
          <w:sz w:val="20"/>
          <w:lang w:val="fr-CA"/>
        </w:rPr>
        <w:t xml:space="preserve"> d’une ordonnance modificative prévue à l’art. 17 soient presque identiques à ceux d’une ordonnance alimentaire initiale prévue à l’art. 15.2, les </w:t>
      </w:r>
      <w:r w:rsidRPr="00641906">
        <w:rPr>
          <w:i/>
          <w:sz w:val="20"/>
          <w:lang w:val="fr-CA"/>
        </w:rPr>
        <w:t>facteurs</w:t>
      </w:r>
      <w:r w:rsidRPr="00641906">
        <w:rPr>
          <w:sz w:val="20"/>
          <w:lang w:val="fr-CA"/>
        </w:rPr>
        <w:t xml:space="preserve"> à prendre en compte énumérés aux par. 17(4.1) et 15.2(4) sont nettement différents.  Lorsque les parties ont conclu une entente mutuellement acceptable, il n’en est fait abstraction ni pour l’application de l’art. 15.2, ni pour celle de l’art. 17, mais elle ne sera pas considérée de la même façon, compte tenu de leurs objets différents.  </w:t>
      </w:r>
    </w:p>
    <w:p w:rsidR="00641906" w:rsidRPr="00641906" w:rsidRDefault="00641906" w:rsidP="00641906">
      <w:pPr>
        <w:pStyle w:val="SCCNormalDoubleSpacing"/>
        <w:spacing w:line="240" w:lineRule="auto"/>
        <w:rPr>
          <w:sz w:val="20"/>
          <w:lang w:val="fr-CA"/>
        </w:rPr>
      </w:pPr>
    </w:p>
    <w:p w:rsidR="00641906" w:rsidRPr="00641906" w:rsidRDefault="00641906" w:rsidP="00641906">
      <w:pPr>
        <w:pStyle w:val="SCCNormalDoubleSpacing"/>
        <w:spacing w:line="240" w:lineRule="auto"/>
        <w:rPr>
          <w:sz w:val="20"/>
          <w:lang w:val="fr-CA"/>
        </w:rPr>
      </w:pPr>
      <w:r w:rsidRPr="00641906">
        <w:rPr>
          <w:sz w:val="20"/>
          <w:lang w:val="fr-CA"/>
        </w:rPr>
        <w:tab/>
        <w:t xml:space="preserve">La démarche requise par l’art. 17 pour la modification d’une ordonnance existante est celle retenue dans </w:t>
      </w:r>
      <w:r w:rsidRPr="00641906">
        <w:rPr>
          <w:i/>
          <w:sz w:val="20"/>
          <w:lang w:val="fr-CA"/>
        </w:rPr>
        <w:t xml:space="preserve">Willick </w:t>
      </w:r>
      <w:r w:rsidRPr="00641906">
        <w:rPr>
          <w:sz w:val="20"/>
          <w:lang w:val="fr-CA"/>
        </w:rPr>
        <w:t xml:space="preserve">et dans </w:t>
      </w:r>
      <w:r w:rsidRPr="00641906">
        <w:rPr>
          <w:i/>
          <w:sz w:val="20"/>
          <w:lang w:val="fr-CA"/>
        </w:rPr>
        <w:t>G. (L.)</w:t>
      </w:r>
      <w:r w:rsidRPr="00641906">
        <w:rPr>
          <w:sz w:val="20"/>
          <w:lang w:val="fr-CA"/>
        </w:rPr>
        <w:t>, où la Cour a conclu que le tribunal doit être convaincu qu’il est survenu un changement de situation important depuis le prononcé de l’ordonnance initiale ou modificative antérieure, c’est</w:t>
      </w:r>
      <w:r w:rsidRPr="00641906">
        <w:rPr>
          <w:sz w:val="20"/>
          <w:lang w:val="fr-CA"/>
        </w:rPr>
        <w:noBreakHyphen/>
        <w:t>à</w:t>
      </w:r>
      <w:r w:rsidRPr="00641906">
        <w:rPr>
          <w:sz w:val="20"/>
          <w:lang w:val="fr-CA"/>
        </w:rPr>
        <w:noBreakHyphen/>
        <w:t>dire un changement qui, « s’il avait été connu à l’époque, se serait vraisemblablement traduit par des dispositions différentes ».  Le critère préliminaire pour la modification d’une ordonnance alimentaire demeure le même, qu’une entente y soit incorporée ou non : est</w:t>
      </w:r>
      <w:r w:rsidRPr="00641906">
        <w:rPr>
          <w:sz w:val="20"/>
          <w:lang w:val="fr-CA"/>
        </w:rPr>
        <w:noBreakHyphen/>
        <w:t xml:space="preserve">il survenu un changement de situation important depuis que l’ordonnance a été rendue?  Il est présumé que les dispositions de l’ordonnance initiale étaient conformes aux objectifs de la Loi, au moment où elle a été rendue.  Une disposition énonçant qu’un type de changement précis justifiera — ou ne justifiera pas — une modification influence l’application par le tribunal du test établi dans </w:t>
      </w:r>
      <w:r w:rsidRPr="00641906">
        <w:rPr>
          <w:i/>
          <w:sz w:val="20"/>
          <w:lang w:val="fr-CA"/>
        </w:rPr>
        <w:t>Willick</w:t>
      </w:r>
      <w:r w:rsidRPr="00641906">
        <w:rPr>
          <w:sz w:val="20"/>
          <w:lang w:val="fr-CA"/>
        </w:rPr>
        <w:t>.  Une entente contenant uniquement des stipulations générales, comme une affirmation générale de son caractère définitif, n’est guère utile en pratique pour déterminer si les parties ont envisagé un événement ou une circonstance en particulier ou quelles conséquences elles lui auraient attribuées.  Une fois qu’un changement de situation important est établi, l’ordonnance modificative doit refléter correctement ce changement et les objectifs énumérés au par. 17(7).</w:t>
      </w:r>
    </w:p>
    <w:p w:rsidR="00641906" w:rsidRPr="00641906" w:rsidRDefault="00641906" w:rsidP="00641906">
      <w:pPr>
        <w:pStyle w:val="SCCNormalDoubleSpacing"/>
        <w:spacing w:line="240" w:lineRule="auto"/>
        <w:rPr>
          <w:sz w:val="20"/>
          <w:lang w:val="fr-CA"/>
        </w:rPr>
      </w:pPr>
    </w:p>
    <w:p w:rsidR="00641906" w:rsidRPr="00641906" w:rsidRDefault="00641906" w:rsidP="00641906">
      <w:pPr>
        <w:pStyle w:val="SCCNormalDoubleSpacing"/>
        <w:spacing w:line="240" w:lineRule="auto"/>
        <w:rPr>
          <w:sz w:val="20"/>
          <w:lang w:val="fr-CA"/>
        </w:rPr>
      </w:pPr>
      <w:r w:rsidRPr="00641906">
        <w:rPr>
          <w:sz w:val="20"/>
          <w:lang w:val="fr-CA"/>
        </w:rPr>
        <w:tab/>
        <w:t xml:space="preserve">En l’espèce, la juge du procès a fait erreur en examinant </w:t>
      </w:r>
      <w:r w:rsidRPr="00641906">
        <w:rPr>
          <w:i/>
          <w:sz w:val="20"/>
          <w:lang w:val="fr-CA"/>
        </w:rPr>
        <w:t>de novo</w:t>
      </w:r>
      <w:r w:rsidRPr="00641906">
        <w:rPr>
          <w:sz w:val="20"/>
          <w:lang w:val="fr-CA"/>
        </w:rPr>
        <w:t xml:space="preserve"> l’aptitude de l’épouse au travail et en concluant qu’elle devrait acquérir son autonomie financière sans tirer de conclusion sur la survenance d’un changement important dans la situation de l’épouse depuis l’ordonnance de 2003.  La Cour d’appel a également fait erreur en concluant à l’aptitude de l’épouse au travail et que ce fait, conjugué au temps écoulé, était assimilable à un changement de situation important.  L’examen de la situation des parties au moment où l’ordonnance a été rendue et des dispositions de cette dernière révèle qu’il n’est survenu aucun changement de situation important depuis le prononcé de l’ordonnance et qu’il n’existait donc aucune raison de la modifier en vertu du par. 17(4.1).  L’épouse avait la sclérose en plaques au moment de l’ordonnance et on ne s’attendait pas à ce qu’elle cherche un emploi à l’extérieur du foyer. Il n’est survenu aucun changement de situation important depuis. </w:t>
      </w:r>
    </w:p>
    <w:p w:rsidR="00641906" w:rsidRPr="00641906" w:rsidRDefault="00641906" w:rsidP="00641906">
      <w:pPr>
        <w:pStyle w:val="SCCNormalDoubleSpacing"/>
        <w:widowControl w:val="0"/>
        <w:spacing w:line="240" w:lineRule="auto"/>
        <w:rPr>
          <w:sz w:val="20"/>
          <w:lang w:val="fr-CA"/>
        </w:rPr>
      </w:pPr>
    </w:p>
    <w:p w:rsidR="00641906" w:rsidRPr="00641906" w:rsidRDefault="00641906" w:rsidP="00641906">
      <w:pPr>
        <w:pStyle w:val="SCCNormalDoubleSpacing"/>
        <w:widowControl w:val="0"/>
        <w:spacing w:line="240" w:lineRule="auto"/>
        <w:rPr>
          <w:sz w:val="20"/>
          <w:lang w:val="fr-CA"/>
        </w:rPr>
      </w:pPr>
      <w:r w:rsidRPr="00641906">
        <w:rPr>
          <w:sz w:val="20"/>
          <w:lang w:val="fr-CA"/>
        </w:rPr>
        <w:tab/>
      </w:r>
      <w:r w:rsidRPr="00641906">
        <w:rPr>
          <w:i/>
          <w:sz w:val="20"/>
          <w:lang w:val="fr-CA"/>
        </w:rPr>
        <w:t xml:space="preserve">La </w:t>
      </w:r>
      <w:r w:rsidRPr="00641906">
        <w:rPr>
          <w:sz w:val="20"/>
          <w:lang w:val="fr-CA"/>
        </w:rPr>
        <w:t xml:space="preserve">juge en chef McLachlin et le juge </w:t>
      </w:r>
      <w:r w:rsidRPr="00641906">
        <w:rPr>
          <w:b/>
          <w:sz w:val="20"/>
          <w:lang w:val="fr-CA"/>
        </w:rPr>
        <w:t>Cromwell</w:t>
      </w:r>
      <w:r w:rsidRPr="00641906">
        <w:rPr>
          <w:sz w:val="20"/>
          <w:lang w:val="fr-CA"/>
        </w:rPr>
        <w:t xml:space="preserve"> : Dans le cas où, comme en l’espèce, un accord de séparation global et définitif a été conclu et les dispositions de cet accord ont été intégrées à une ordonnance judiciaire, il faut accorder une importance considérable à ces dispositions lors d’une demande subséquente de modification de la pension alimentaire au profit d’un époux, conformément aux principes établis dans </w:t>
      </w:r>
      <w:r w:rsidRPr="00641906">
        <w:rPr>
          <w:i/>
          <w:sz w:val="20"/>
          <w:lang w:val="fr-CA"/>
        </w:rPr>
        <w:t>Miglin</w:t>
      </w:r>
      <w:r w:rsidRPr="00641906">
        <w:rPr>
          <w:sz w:val="20"/>
          <w:lang w:val="fr-CA"/>
        </w:rPr>
        <w:t xml:space="preserve">.  L’accord joue un rôle crucial dans le contexte d’une demande de modification et les principes établis dans </w:t>
      </w:r>
      <w:r w:rsidRPr="00641906">
        <w:rPr>
          <w:i/>
          <w:sz w:val="20"/>
          <w:lang w:val="fr-CA"/>
        </w:rPr>
        <w:t xml:space="preserve">Miglin </w:t>
      </w:r>
      <w:r w:rsidRPr="00641906">
        <w:rPr>
          <w:sz w:val="20"/>
          <w:lang w:val="fr-CA"/>
        </w:rPr>
        <w:t xml:space="preserve">sont très pertinents pour son examen.  Pour qu’il soit satisfait au critère préliminaire applicable à une modification en vertu de l’art. 17 de la </w:t>
      </w:r>
      <w:r w:rsidRPr="00641906">
        <w:rPr>
          <w:i/>
          <w:sz w:val="20"/>
          <w:lang w:val="fr-CA"/>
        </w:rPr>
        <w:t>Loi sur le divorce</w:t>
      </w:r>
      <w:r w:rsidRPr="00641906">
        <w:rPr>
          <w:sz w:val="20"/>
          <w:lang w:val="fr-CA"/>
        </w:rPr>
        <w:t>, le tribunal s’assure qu’il est survenu un « changement important » dans les ressources, les besoins ou, d’une façon générale, la situation de l’un ou l’autre des ex</w:t>
      </w:r>
      <w:r w:rsidRPr="00641906">
        <w:rPr>
          <w:sz w:val="20"/>
          <w:lang w:val="fr-CA"/>
        </w:rPr>
        <w:noBreakHyphen/>
        <w:t xml:space="preserve">époux depuis que l’ordonnance alimentaire au profit d’un époux a été rendue.  </w:t>
      </w:r>
      <w:r w:rsidRPr="00C16ED8">
        <w:rPr>
          <w:sz w:val="20"/>
          <w:lang w:val="fr-FR"/>
        </w:rPr>
        <w:t>Un changement n’est « important » que s’il</w:t>
      </w:r>
      <w:r w:rsidRPr="00641906">
        <w:rPr>
          <w:sz w:val="20"/>
          <w:lang w:val="fr-CA"/>
        </w:rPr>
        <w:t xml:space="preserve"> (1) </w:t>
      </w:r>
      <w:r w:rsidRPr="00C16ED8">
        <w:rPr>
          <w:sz w:val="20"/>
          <w:lang w:val="fr-FR"/>
        </w:rPr>
        <w:t>concerne un élément dont les parties n’ont pas traité expressément dans l’accord ou qu’elles ne peuvent être présumées avoir envisagé; et (2) fait en sorte que l’ordonnance alimentaire, considérée dans le contexte de l’accord complet, n’est plus conforme pour l’essentiel aux objectifs de la Loi dans son ensemble</w:t>
      </w:r>
      <w:r w:rsidRPr="00641906">
        <w:rPr>
          <w:sz w:val="20"/>
          <w:lang w:val="fr-CA"/>
        </w:rPr>
        <w:t xml:space="preserve">.  </w:t>
      </w:r>
      <w:r w:rsidRPr="00C16ED8">
        <w:rPr>
          <w:i/>
          <w:sz w:val="20"/>
          <w:lang w:val="fr-FR"/>
        </w:rPr>
        <w:t xml:space="preserve">Miglin </w:t>
      </w:r>
      <w:r w:rsidRPr="00C16ED8">
        <w:rPr>
          <w:sz w:val="20"/>
          <w:lang w:val="fr-FR"/>
        </w:rPr>
        <w:t xml:space="preserve">précise qu’il faut prendre en considération </w:t>
      </w:r>
      <w:r w:rsidRPr="00C16ED8">
        <w:rPr>
          <w:i/>
          <w:sz w:val="20"/>
          <w:lang w:val="fr-FR"/>
        </w:rPr>
        <w:t xml:space="preserve">tous </w:t>
      </w:r>
      <w:r w:rsidRPr="00C16ED8">
        <w:rPr>
          <w:sz w:val="20"/>
          <w:lang w:val="fr-FR"/>
        </w:rPr>
        <w:t>les objectifs de la Loi</w:t>
      </w:r>
      <w:r w:rsidRPr="00641906">
        <w:rPr>
          <w:sz w:val="20"/>
          <w:lang w:val="fr-CA"/>
        </w:rPr>
        <w:t xml:space="preserve"> et </w:t>
      </w:r>
      <w:r w:rsidRPr="00C16ED8">
        <w:rPr>
          <w:sz w:val="20"/>
          <w:lang w:val="fr-FR"/>
        </w:rPr>
        <w:t>les objectifs plus larges du règlement définitif, de la certitude et de l’autonomie</w:t>
      </w:r>
      <w:r w:rsidRPr="00641906">
        <w:rPr>
          <w:sz w:val="20"/>
          <w:lang w:val="fr-CA"/>
        </w:rPr>
        <w:t xml:space="preserve">. </w:t>
      </w:r>
    </w:p>
    <w:p w:rsidR="00641906" w:rsidRDefault="00641906" w:rsidP="00641906">
      <w:pPr>
        <w:pStyle w:val="SCCNormalDoubleSpacing"/>
        <w:widowControl w:val="0"/>
        <w:spacing w:line="240" w:lineRule="auto"/>
        <w:rPr>
          <w:sz w:val="20"/>
          <w:lang w:val="fr-FR"/>
        </w:rPr>
      </w:pPr>
    </w:p>
    <w:p w:rsidR="00641906" w:rsidRPr="00641906" w:rsidRDefault="00641906" w:rsidP="00641906">
      <w:pPr>
        <w:pStyle w:val="SCCNormalDoubleSpacing"/>
        <w:widowControl w:val="0"/>
        <w:spacing w:line="240" w:lineRule="auto"/>
        <w:rPr>
          <w:sz w:val="20"/>
          <w:lang w:val="fr-CA"/>
        </w:rPr>
      </w:pPr>
      <w:r w:rsidRPr="00C16ED8">
        <w:rPr>
          <w:sz w:val="20"/>
          <w:lang w:val="fr-FR"/>
        </w:rPr>
        <w:tab/>
        <w:t xml:space="preserve">Une fois les modalités d’un accord définitif intégrées dans une ordonnance judiciaire, il faut présumer qu’elles répondaient aux exigences de la loi à l’époque, et le tribunal ne contrôle pas la justesse de l’ordonnance durant </w:t>
      </w:r>
      <w:r w:rsidRPr="00C16ED8">
        <w:rPr>
          <w:sz w:val="20"/>
          <w:lang w:val="fr-FR"/>
        </w:rPr>
        <w:lastRenderedPageBreak/>
        <w:t>l’instance en modification.</w:t>
      </w:r>
      <w:r w:rsidRPr="00641906">
        <w:rPr>
          <w:sz w:val="20"/>
          <w:lang w:val="fr-CA"/>
        </w:rPr>
        <w:t xml:space="preserve">  Bien que </w:t>
      </w:r>
      <w:r w:rsidRPr="00C16ED8">
        <w:rPr>
          <w:sz w:val="20"/>
          <w:lang w:val="fr-FR"/>
        </w:rPr>
        <w:t xml:space="preserve">le tribunal dispose d’un pouvoir discrétionnaire relativement à la modification et qu’il ne soit pas strictement lié par les modalités de l’accord entre les parties, cet accord constitue un « facteur important » dans l’exercice du pouvoir discrétionnaire de modification. </w:t>
      </w:r>
      <w:r w:rsidRPr="00641906">
        <w:rPr>
          <w:sz w:val="20"/>
          <w:lang w:val="fr-CA"/>
        </w:rPr>
        <w:t xml:space="preserve"> Selon </w:t>
      </w:r>
      <w:r w:rsidRPr="00641906">
        <w:rPr>
          <w:i/>
          <w:sz w:val="20"/>
          <w:lang w:val="fr-CA"/>
        </w:rPr>
        <w:t>Miglin</w:t>
      </w:r>
      <w:r w:rsidRPr="00641906">
        <w:rPr>
          <w:sz w:val="20"/>
          <w:lang w:val="fr-CA"/>
        </w:rPr>
        <w:t xml:space="preserve">, il faut donner beaucoup de poids à une entente négociée de façon irréprochable, pourvu qu’elle reflète les volontés et les attentes des parties et soit conforme pour l’essentiel aux objectifs de la </w:t>
      </w:r>
      <w:r w:rsidRPr="00641906">
        <w:rPr>
          <w:i/>
          <w:sz w:val="20"/>
          <w:lang w:val="fr-CA"/>
        </w:rPr>
        <w:t>Loi sur le divorce</w:t>
      </w:r>
      <w:r w:rsidRPr="00641906">
        <w:rPr>
          <w:sz w:val="20"/>
          <w:lang w:val="fr-CA"/>
        </w:rPr>
        <w:t>.</w:t>
      </w:r>
      <w:r w:rsidRPr="00641906">
        <w:rPr>
          <w:i/>
          <w:sz w:val="20"/>
          <w:lang w:val="fr-CA"/>
        </w:rPr>
        <w:t xml:space="preserve"> </w:t>
      </w:r>
      <w:r w:rsidRPr="00641906">
        <w:rPr>
          <w:sz w:val="20"/>
          <w:lang w:val="fr-CA"/>
        </w:rPr>
        <w:t xml:space="preserve"> Ce</w:t>
      </w:r>
      <w:r w:rsidRPr="00C16ED8">
        <w:rPr>
          <w:sz w:val="20"/>
          <w:lang w:val="fr-FR"/>
        </w:rPr>
        <w:t xml:space="preserve"> principe s’applique tout autant à une demande de modification qu’à une demande initiale</w:t>
      </w:r>
      <w:r w:rsidRPr="00641906">
        <w:rPr>
          <w:sz w:val="20"/>
          <w:lang w:val="fr-CA"/>
        </w:rPr>
        <w:t xml:space="preserve"> de pension alimentaire au profit d’un époux.  En outre, les objectifs de l’art. 15.2 </w:t>
      </w:r>
      <w:proofErr w:type="gramStart"/>
      <w:r w:rsidRPr="00641906">
        <w:rPr>
          <w:sz w:val="20"/>
          <w:lang w:val="fr-CA"/>
        </w:rPr>
        <w:t>et</w:t>
      </w:r>
      <w:proofErr w:type="gramEnd"/>
      <w:r w:rsidRPr="00641906">
        <w:rPr>
          <w:sz w:val="20"/>
          <w:lang w:val="fr-CA"/>
        </w:rPr>
        <w:t xml:space="preserve"> du par. 17(4.1) sont presque identiques et les « différences dans leur libellé » sont très minimes </w:t>
      </w:r>
      <w:r w:rsidRPr="00C16ED8">
        <w:rPr>
          <w:sz w:val="20"/>
          <w:lang w:val="fr-FR"/>
        </w:rPr>
        <w:t>et ne justifient pas que les analyses effectuées pour l’application de ces deux dispositions demeurent « distinctes » en ce qui concerne le poids à donner à l’accord entre les parties</w:t>
      </w:r>
      <w:r w:rsidRPr="00641906">
        <w:rPr>
          <w:sz w:val="20"/>
          <w:lang w:val="fr-CA"/>
        </w:rPr>
        <w:t xml:space="preserve">.  Bien que le critère préliminaire du « changement » prévu à l’art. 17 ne s’applique pas aux ordonnances initiales régies par l’art. 15.2, une lecture attentive de l’arrêt </w:t>
      </w:r>
      <w:r w:rsidRPr="00641906">
        <w:rPr>
          <w:i/>
          <w:sz w:val="20"/>
          <w:lang w:val="fr-CA"/>
        </w:rPr>
        <w:t>Miglin</w:t>
      </w:r>
      <w:r w:rsidRPr="00641906">
        <w:rPr>
          <w:sz w:val="20"/>
          <w:lang w:val="fr-CA"/>
        </w:rPr>
        <w:t xml:space="preserve"> révèle que les termes différents utilisés par le législateur ne permettent pas de conclure que le poids à attribuer à l’accord intervenu entre les parties diffère, selon qu’il s’agit d’une demande de modification ou d’une demande initiale.  </w:t>
      </w:r>
      <w:r w:rsidRPr="00C16ED8">
        <w:rPr>
          <w:sz w:val="20"/>
          <w:lang w:val="fr-FR"/>
        </w:rPr>
        <w:t xml:space="preserve">L’accord entre les parties constitue plutôt une preuve cruciale de ce qu’elles ont effectivement envisagé ou de ce qu’elles doivent raisonnablement </w:t>
      </w:r>
      <w:r w:rsidRPr="00641906">
        <w:rPr>
          <w:sz w:val="20"/>
          <w:lang w:val="fr-CA"/>
        </w:rPr>
        <w:t xml:space="preserve">être </w:t>
      </w:r>
      <w:r w:rsidRPr="00C16ED8">
        <w:rPr>
          <w:sz w:val="20"/>
          <w:lang w:val="fr-FR"/>
        </w:rPr>
        <w:t>présumées avoir envisagé à l’époque</w:t>
      </w:r>
      <w:r w:rsidRPr="00641906">
        <w:rPr>
          <w:sz w:val="20"/>
          <w:lang w:val="fr-CA"/>
        </w:rPr>
        <w:t xml:space="preserve">.  Pour </w:t>
      </w:r>
      <w:r w:rsidRPr="00C16ED8">
        <w:rPr>
          <w:sz w:val="20"/>
          <w:lang w:val="fr-FR"/>
        </w:rPr>
        <w:t>trancher, en vertu de l’art. 17, une demande de modification d’une ordonnance incorporant les dispositions alimentaires de l’accord de séparation global et définitif entre les parties, le tribunal doit trouver un juste équilibre entre, d’une part, l’objectif de préserver l’autonomie et la certitude et, d’autre part, la nécessité de s’assurer que les arrangements alimentaires sont conformes pour l’essentiel aux objectifs généraux de la Loi</w:t>
      </w:r>
      <w:r w:rsidRPr="00641906">
        <w:rPr>
          <w:sz w:val="20"/>
          <w:lang w:val="fr-CA"/>
        </w:rPr>
        <w:t xml:space="preserve">.  </w:t>
      </w:r>
      <w:r w:rsidRPr="00C16ED8">
        <w:rPr>
          <w:sz w:val="20"/>
          <w:lang w:val="fr-FR"/>
        </w:rPr>
        <w:t>Si l’on constate un changement important, on doit aussi tenir compte de l’accord pour déterminer quelle modification s’impose</w:t>
      </w:r>
      <w:r w:rsidRPr="00641906">
        <w:rPr>
          <w:sz w:val="20"/>
          <w:lang w:val="fr-CA"/>
        </w:rPr>
        <w:t xml:space="preserve">.  </w:t>
      </w:r>
      <w:r w:rsidRPr="00C16ED8">
        <w:rPr>
          <w:sz w:val="20"/>
          <w:lang w:val="fr-FR"/>
        </w:rPr>
        <w:t>Les juges qui rendent des ordonnances modificatives en vertu de l’art. 17 doivent se limiter à apporter la modification qui s’impose et non rendre une nouvelle ordonnance totalement distincte de l’ordonnance existante</w:t>
      </w:r>
      <w:r w:rsidRPr="00641906">
        <w:rPr>
          <w:sz w:val="20"/>
          <w:lang w:val="fr-CA"/>
        </w:rPr>
        <w:t>.</w:t>
      </w:r>
    </w:p>
    <w:p w:rsidR="00641906" w:rsidRPr="00641906" w:rsidRDefault="00641906" w:rsidP="00641906">
      <w:pPr>
        <w:pStyle w:val="SCCNormalDoubleSpacing"/>
        <w:widowControl w:val="0"/>
        <w:spacing w:line="240" w:lineRule="auto"/>
        <w:rPr>
          <w:sz w:val="20"/>
          <w:lang w:val="fr-CA"/>
        </w:rPr>
      </w:pPr>
    </w:p>
    <w:p w:rsidR="00641906" w:rsidRPr="00641906" w:rsidRDefault="00641906" w:rsidP="00641906">
      <w:pPr>
        <w:pStyle w:val="SCCNormalDoubleSpacing"/>
        <w:widowControl w:val="0"/>
        <w:spacing w:line="240" w:lineRule="auto"/>
        <w:rPr>
          <w:sz w:val="20"/>
          <w:lang w:val="fr-CA"/>
        </w:rPr>
      </w:pPr>
      <w:r w:rsidRPr="00641906">
        <w:rPr>
          <w:sz w:val="20"/>
          <w:lang w:val="fr-CA"/>
        </w:rPr>
        <w:tab/>
        <w:t xml:space="preserve">En </w:t>
      </w:r>
      <w:r w:rsidRPr="00C16ED8">
        <w:rPr>
          <w:sz w:val="20"/>
          <w:lang w:val="fr-FR"/>
        </w:rPr>
        <w:t>l’espèce</w:t>
      </w:r>
      <w:r w:rsidRPr="00641906">
        <w:rPr>
          <w:sz w:val="20"/>
          <w:lang w:val="fr-CA"/>
        </w:rPr>
        <w:t xml:space="preserve">, la cour d’appel a commis une erreur en concluant qu’il était survenu, depuis le prononcé de l’ordonnance alimentaire au profit de l’épouse, un changement important qui justifiait une modification.  Les parties ont conclu un accord global visant à régler de manière définitive toutes les questions qui les opposaient.  Comme il prévoyait </w:t>
      </w:r>
      <w:r w:rsidRPr="00C16ED8">
        <w:rPr>
          <w:sz w:val="20"/>
          <w:lang w:val="fr-FR"/>
        </w:rPr>
        <w:t>une pension alimentaire indexée au profit de l’épouse, sans en limiter la durée ni l’assujettir à un processus de révision quelconque</w:t>
      </w:r>
      <w:r w:rsidRPr="00641906">
        <w:rPr>
          <w:sz w:val="20"/>
          <w:lang w:val="fr-CA"/>
        </w:rPr>
        <w:t xml:space="preserve">, on </w:t>
      </w:r>
      <w:r w:rsidRPr="00C16ED8">
        <w:rPr>
          <w:sz w:val="20"/>
          <w:lang w:val="fr-FR"/>
        </w:rPr>
        <w:t>ne peut considérer que l’omission de l’épouse de chercher un emploi représente un écart important par rapport à la gamme des résultats raisonnables qu’anticipaient les parties lorsqu’elles ont rédigé l’accord</w:t>
      </w:r>
      <w:r w:rsidRPr="00641906">
        <w:rPr>
          <w:sz w:val="20"/>
          <w:lang w:val="fr-CA"/>
        </w:rPr>
        <w:t>.</w:t>
      </w:r>
    </w:p>
    <w:p w:rsidR="00641906" w:rsidRPr="00641906" w:rsidRDefault="00641906" w:rsidP="00641906">
      <w:pPr>
        <w:pStyle w:val="SCCNormalDoubleSpacing"/>
        <w:widowControl w:val="0"/>
        <w:spacing w:line="240" w:lineRule="auto"/>
        <w:rPr>
          <w:sz w:val="20"/>
          <w:lang w:val="fr-CA"/>
        </w:rPr>
      </w:pPr>
    </w:p>
    <w:p w:rsidR="00641906" w:rsidRPr="00641906" w:rsidRDefault="00641906" w:rsidP="00641906">
      <w:pPr>
        <w:pStyle w:val="SCCNormalDoubleSpacing"/>
        <w:spacing w:line="240" w:lineRule="auto"/>
        <w:rPr>
          <w:sz w:val="20"/>
          <w:lang w:val="fr-CA"/>
        </w:rPr>
      </w:pPr>
      <w:r w:rsidRPr="00641906">
        <w:rPr>
          <w:sz w:val="20"/>
          <w:lang w:val="fr-CA"/>
        </w:rPr>
        <w:tab/>
        <w:t>POURVOI contre un arrêt de la Cour d’appel du Québec (les juges Rochon, Morissette et Hilton), 2010 QCCA 793, [2010] J.Q. n</w:t>
      </w:r>
      <w:r w:rsidRPr="00641906">
        <w:rPr>
          <w:sz w:val="20"/>
          <w:vertAlign w:val="superscript"/>
          <w:lang w:val="fr-CA"/>
        </w:rPr>
        <w:t>o</w:t>
      </w:r>
      <w:r w:rsidRPr="00641906">
        <w:rPr>
          <w:sz w:val="20"/>
          <w:lang w:val="fr-CA"/>
        </w:rPr>
        <w:t> 3531 (QL), 2010 CarswellQue 3636, SOQUIJ AZ</w:t>
      </w:r>
      <w:r w:rsidRPr="00641906">
        <w:rPr>
          <w:sz w:val="20"/>
          <w:lang w:val="fr-CA"/>
        </w:rPr>
        <w:noBreakHyphen/>
        <w:t>50629973, qui a confirmé en partie une décision de la juge Courteau, 2009 QCCS 3389, [2009] Q.J. No. 7617 (QL), 2009 CarswellQue 7646.  Pourvoi accueilli.</w:t>
      </w:r>
    </w:p>
    <w:p w:rsidR="00641906" w:rsidRPr="00641906" w:rsidRDefault="00641906" w:rsidP="00641906">
      <w:pPr>
        <w:pStyle w:val="SCCNormalDoubleSpacing"/>
        <w:spacing w:line="240" w:lineRule="auto"/>
        <w:rPr>
          <w:i/>
          <w:sz w:val="20"/>
          <w:lang w:val="fr-CA"/>
        </w:rPr>
      </w:pPr>
    </w:p>
    <w:p w:rsidR="00641906" w:rsidRPr="00641906" w:rsidRDefault="00641906" w:rsidP="00641906">
      <w:pPr>
        <w:pStyle w:val="SCCNormalDoubleSpacing"/>
        <w:spacing w:line="240" w:lineRule="auto"/>
        <w:rPr>
          <w:sz w:val="20"/>
          <w:lang w:val="fr-CA"/>
        </w:rPr>
      </w:pPr>
      <w:r w:rsidRPr="00641906">
        <w:rPr>
          <w:i/>
          <w:sz w:val="20"/>
          <w:lang w:val="fr-CA"/>
        </w:rPr>
        <w:tab/>
        <w:t>Miriam Grassby</w:t>
      </w:r>
      <w:r w:rsidRPr="00641906">
        <w:rPr>
          <w:sz w:val="20"/>
          <w:lang w:val="fr-CA"/>
        </w:rPr>
        <w:t xml:space="preserve"> et </w:t>
      </w:r>
      <w:r w:rsidRPr="00641906">
        <w:rPr>
          <w:i/>
          <w:sz w:val="20"/>
          <w:lang w:val="fr-CA"/>
        </w:rPr>
        <w:t>Sylvie Leduc</w:t>
      </w:r>
      <w:r w:rsidRPr="00641906">
        <w:rPr>
          <w:sz w:val="20"/>
          <w:lang w:val="fr-CA"/>
        </w:rPr>
        <w:t>, pour l’appelante.</w:t>
      </w:r>
    </w:p>
    <w:p w:rsidR="00641906" w:rsidRPr="00641906" w:rsidRDefault="00641906" w:rsidP="00641906">
      <w:pPr>
        <w:pStyle w:val="SCCNormalDoubleSpacing"/>
        <w:spacing w:line="240" w:lineRule="auto"/>
        <w:rPr>
          <w:i/>
          <w:sz w:val="20"/>
          <w:lang w:val="fr-CA"/>
        </w:rPr>
      </w:pPr>
    </w:p>
    <w:p w:rsidR="00641906" w:rsidRPr="00641906" w:rsidRDefault="00641906" w:rsidP="00641906">
      <w:pPr>
        <w:pStyle w:val="SCCNormalDoubleSpacing"/>
        <w:spacing w:line="240" w:lineRule="auto"/>
        <w:rPr>
          <w:sz w:val="20"/>
          <w:lang w:val="fr-CA"/>
        </w:rPr>
      </w:pPr>
      <w:r w:rsidRPr="00641906">
        <w:rPr>
          <w:i/>
          <w:sz w:val="20"/>
          <w:lang w:val="fr-CA"/>
        </w:rPr>
        <w:tab/>
        <w:t>Donald Devine</w:t>
      </w:r>
      <w:r w:rsidRPr="00641906">
        <w:rPr>
          <w:sz w:val="20"/>
          <w:lang w:val="fr-CA"/>
        </w:rPr>
        <w:t xml:space="preserve"> et </w:t>
      </w:r>
      <w:r w:rsidRPr="00641906">
        <w:rPr>
          <w:i/>
          <w:sz w:val="20"/>
          <w:lang w:val="fr-CA"/>
        </w:rPr>
        <w:t>Tamar Ajamian</w:t>
      </w:r>
      <w:r w:rsidRPr="00641906">
        <w:rPr>
          <w:sz w:val="20"/>
          <w:lang w:val="fr-CA"/>
        </w:rPr>
        <w:t>, pour l’intimé.</w:t>
      </w:r>
    </w:p>
    <w:p w:rsidR="00641906" w:rsidRPr="00641906" w:rsidRDefault="00641906" w:rsidP="00641906">
      <w:pPr>
        <w:pStyle w:val="SCCNormalDoubleSpacing"/>
        <w:spacing w:line="240" w:lineRule="auto"/>
        <w:rPr>
          <w:i/>
          <w:sz w:val="20"/>
          <w:lang w:val="fr-CA"/>
        </w:rPr>
      </w:pPr>
    </w:p>
    <w:p w:rsidR="00641906" w:rsidRPr="00641906" w:rsidRDefault="00641906" w:rsidP="00641906">
      <w:pPr>
        <w:pStyle w:val="SCCNormalDoubleSpacing"/>
        <w:spacing w:line="240" w:lineRule="auto"/>
        <w:rPr>
          <w:sz w:val="20"/>
          <w:lang w:val="fr-CA"/>
        </w:rPr>
      </w:pPr>
      <w:r w:rsidRPr="00641906">
        <w:rPr>
          <w:i/>
          <w:sz w:val="20"/>
          <w:lang w:val="fr-CA"/>
        </w:rPr>
        <w:tab/>
        <w:t>Anne</w:t>
      </w:r>
      <w:r w:rsidRPr="00641906">
        <w:rPr>
          <w:i/>
          <w:sz w:val="20"/>
          <w:lang w:val="fr-CA"/>
        </w:rPr>
        <w:noBreakHyphen/>
        <w:t>France Goldwater</w:t>
      </w:r>
      <w:r w:rsidRPr="00641906">
        <w:rPr>
          <w:sz w:val="20"/>
          <w:lang w:val="fr-CA"/>
        </w:rPr>
        <w:t xml:space="preserve"> et </w:t>
      </w:r>
      <w:r w:rsidRPr="00641906">
        <w:rPr>
          <w:i/>
          <w:sz w:val="20"/>
          <w:lang w:val="fr-CA"/>
        </w:rPr>
        <w:t>Robert Leckey</w:t>
      </w:r>
      <w:r w:rsidRPr="00641906">
        <w:rPr>
          <w:sz w:val="20"/>
          <w:lang w:val="fr-CA"/>
        </w:rPr>
        <w:t>, pour les intervenants.</w:t>
      </w:r>
    </w:p>
    <w:p w:rsidR="00641906" w:rsidRPr="00641906" w:rsidRDefault="00641906" w:rsidP="00641906">
      <w:pPr>
        <w:pStyle w:val="SCCLawFirm"/>
        <w:spacing w:line="240" w:lineRule="auto"/>
        <w:rPr>
          <w:sz w:val="20"/>
          <w:lang w:val="fr-CA"/>
        </w:rPr>
      </w:pPr>
    </w:p>
    <w:p w:rsidR="00641906" w:rsidRPr="00641906" w:rsidRDefault="00641906" w:rsidP="00641906">
      <w:pPr>
        <w:pStyle w:val="SCCLawFirm"/>
        <w:spacing w:line="240" w:lineRule="auto"/>
        <w:rPr>
          <w:sz w:val="20"/>
          <w:lang w:val="fr-CA"/>
        </w:rPr>
      </w:pPr>
      <w:r w:rsidRPr="00641906">
        <w:rPr>
          <w:sz w:val="20"/>
          <w:lang w:val="fr-CA"/>
        </w:rPr>
        <w:tab/>
        <w:t>Procureurs de l’appelante : Miriam Grassby &amp; Associés, Montréal.</w:t>
      </w:r>
    </w:p>
    <w:p w:rsidR="00641906" w:rsidRPr="00641906" w:rsidRDefault="00641906" w:rsidP="00641906">
      <w:pPr>
        <w:pStyle w:val="SCCLawFirm"/>
        <w:spacing w:line="240" w:lineRule="auto"/>
        <w:rPr>
          <w:sz w:val="20"/>
          <w:lang w:val="fr-CA"/>
        </w:rPr>
      </w:pPr>
    </w:p>
    <w:p w:rsidR="00641906" w:rsidRPr="00641906" w:rsidRDefault="00641906" w:rsidP="00641906">
      <w:pPr>
        <w:pStyle w:val="SCCLawFirm"/>
        <w:spacing w:line="240" w:lineRule="auto"/>
        <w:rPr>
          <w:sz w:val="20"/>
          <w:lang w:val="fr-CA"/>
        </w:rPr>
      </w:pPr>
      <w:r w:rsidRPr="00641906">
        <w:rPr>
          <w:sz w:val="20"/>
          <w:lang w:val="fr-CA"/>
        </w:rPr>
        <w:tab/>
        <w:t>Procureurs de l’intimé : Devine, Schachter, Polak, Montréal.</w:t>
      </w:r>
    </w:p>
    <w:p w:rsidR="00641906" w:rsidRPr="00641906" w:rsidRDefault="00641906" w:rsidP="00641906">
      <w:pPr>
        <w:pStyle w:val="SCCLawFirm"/>
        <w:spacing w:line="240" w:lineRule="auto"/>
        <w:rPr>
          <w:sz w:val="20"/>
          <w:lang w:val="fr-CA"/>
        </w:rPr>
      </w:pPr>
    </w:p>
    <w:p w:rsidR="00641906" w:rsidRPr="00641906" w:rsidRDefault="00641906" w:rsidP="00641906">
      <w:pPr>
        <w:pStyle w:val="SCCLawFirm"/>
        <w:spacing w:line="240" w:lineRule="auto"/>
        <w:rPr>
          <w:sz w:val="20"/>
          <w:lang w:val="fr-CA"/>
        </w:rPr>
      </w:pPr>
      <w:r w:rsidRPr="00641906">
        <w:rPr>
          <w:sz w:val="20"/>
          <w:lang w:val="fr-CA"/>
        </w:rPr>
        <w:tab/>
        <w:t>Procureurs des intervenants : Goldwater, Dubé, Westmount, Québec.</w:t>
      </w:r>
    </w:p>
    <w:p w:rsidR="003B3977" w:rsidRDefault="003B3977" w:rsidP="005C6840">
      <w:pPr>
        <w:rPr>
          <w:rFonts w:cs="Times New Roman"/>
          <w:sz w:val="20"/>
          <w:szCs w:val="20"/>
          <w:lang w:val="fr-CA"/>
        </w:rPr>
      </w:pPr>
    </w:p>
    <w:p w:rsidR="005C6840" w:rsidRDefault="00586706" w:rsidP="005C6840">
      <w:pPr>
        <w:rPr>
          <w:lang w:val="fr-CA"/>
        </w:rPr>
      </w:pPr>
      <w:r w:rsidRPr="00586706">
        <w:rPr>
          <w:rFonts w:cs="Times New Roman"/>
          <w:sz w:val="20"/>
          <w:szCs w:val="20"/>
          <w:lang w:val="fr-CA"/>
        </w:rPr>
        <w:pict>
          <v:rect id="_x0000_i1083" style="width:144.3pt;height:1pt" o:hrpct="300" o:hralign="center" o:hrstd="t" o:hrnoshade="t" o:hr="t" fillcolor="black [3213]" stroked="f"/>
        </w:pict>
      </w:r>
      <w:r w:rsidR="005C6840">
        <w:rPr>
          <w:lang w:val="fr-CA"/>
        </w:rPr>
        <w:br w:type="page"/>
      </w:r>
    </w:p>
    <w:p w:rsidR="0001134C" w:rsidRPr="009916DB" w:rsidRDefault="0001134C" w:rsidP="0001134C">
      <w:pPr>
        <w:widowControl w:val="0"/>
        <w:autoSpaceDE w:val="0"/>
        <w:autoSpaceDN w:val="0"/>
        <w:adjustRightInd w:val="0"/>
        <w:jc w:val="both"/>
        <w:rPr>
          <w:rFonts w:eastAsia="Calibri" w:cs="Times New Roman"/>
          <w:sz w:val="20"/>
          <w:szCs w:val="20"/>
        </w:rPr>
      </w:pPr>
      <w:r w:rsidRPr="009916DB">
        <w:rPr>
          <w:rFonts w:eastAsia="Calibri" w:cs="Times New Roman"/>
          <w:i/>
          <w:sz w:val="20"/>
          <w:szCs w:val="20"/>
        </w:rPr>
        <w:lastRenderedPageBreak/>
        <w:t>R.P. v. R.C.</w:t>
      </w:r>
      <w:r w:rsidRPr="009916DB">
        <w:rPr>
          <w:rFonts w:eastAsia="Calibri" w:cs="Times New Roman"/>
          <w:sz w:val="20"/>
          <w:szCs w:val="20"/>
        </w:rPr>
        <w:t xml:space="preserve"> (Que.) (33698)</w:t>
      </w:r>
    </w:p>
    <w:p w:rsidR="00133D5E" w:rsidRPr="008669A3" w:rsidRDefault="00133D5E" w:rsidP="00133D5E">
      <w:pPr>
        <w:jc w:val="both"/>
        <w:rPr>
          <w:b/>
          <w:sz w:val="20"/>
          <w:szCs w:val="20"/>
        </w:rPr>
      </w:pPr>
      <w:r w:rsidRPr="007F250D">
        <w:rPr>
          <w:b/>
          <w:sz w:val="20"/>
          <w:szCs w:val="20"/>
        </w:rPr>
        <w:t>Indexed as:  R.P. </w:t>
      </w:r>
      <w:r w:rsidRPr="007F250D">
        <w:rPr>
          <w:b/>
          <w:i/>
          <w:sz w:val="20"/>
          <w:szCs w:val="20"/>
        </w:rPr>
        <w:t>v.</w:t>
      </w:r>
      <w:r w:rsidRPr="007F250D">
        <w:rPr>
          <w:b/>
          <w:sz w:val="20"/>
          <w:szCs w:val="20"/>
        </w:rPr>
        <w:t xml:space="preserve"> R.C.</w:t>
      </w:r>
      <w:r>
        <w:rPr>
          <w:b/>
          <w:sz w:val="20"/>
          <w:szCs w:val="20"/>
        </w:rPr>
        <w:t xml:space="preserve"> / </w:t>
      </w:r>
      <w:proofErr w:type="gramStart"/>
      <w:r w:rsidRPr="008669A3">
        <w:rPr>
          <w:b/>
          <w:sz w:val="20"/>
          <w:szCs w:val="20"/>
        </w:rPr>
        <w:t>Répertorié :</w:t>
      </w:r>
      <w:proofErr w:type="gramEnd"/>
      <w:r w:rsidRPr="008669A3">
        <w:rPr>
          <w:b/>
          <w:sz w:val="20"/>
          <w:szCs w:val="20"/>
        </w:rPr>
        <w:t> R.P. </w:t>
      </w:r>
      <w:r w:rsidRPr="008669A3">
        <w:rPr>
          <w:b/>
          <w:i/>
          <w:sz w:val="20"/>
          <w:szCs w:val="20"/>
        </w:rPr>
        <w:t>c.</w:t>
      </w:r>
      <w:r w:rsidRPr="008669A3">
        <w:rPr>
          <w:b/>
          <w:sz w:val="20"/>
          <w:szCs w:val="20"/>
        </w:rPr>
        <w:t xml:space="preserve"> R.C.</w:t>
      </w:r>
    </w:p>
    <w:p w:rsidR="005C6840" w:rsidRPr="0001134C" w:rsidRDefault="005C6840" w:rsidP="005C6840">
      <w:pPr>
        <w:pStyle w:val="SCCSystemYear"/>
        <w:jc w:val="both"/>
        <w:rPr>
          <w:sz w:val="20"/>
        </w:rPr>
      </w:pPr>
      <w:r w:rsidRPr="0001134C">
        <w:rPr>
          <w:sz w:val="20"/>
        </w:rPr>
        <w:t>Neutral citation</w:t>
      </w:r>
      <w:proofErr w:type="gramStart"/>
      <w:r w:rsidRPr="0001134C">
        <w:rPr>
          <w:sz w:val="20"/>
        </w:rPr>
        <w:t>:  201</w:t>
      </w:r>
      <w:r w:rsidR="007F387B" w:rsidRPr="0001134C">
        <w:rPr>
          <w:sz w:val="20"/>
        </w:rPr>
        <w:t>1</w:t>
      </w:r>
      <w:proofErr w:type="gramEnd"/>
      <w:r w:rsidRPr="0001134C">
        <w:rPr>
          <w:sz w:val="20"/>
        </w:rPr>
        <w:t xml:space="preserve"> SCC </w:t>
      </w:r>
      <w:r w:rsidR="0001134C" w:rsidRPr="0001134C">
        <w:rPr>
          <w:sz w:val="20"/>
        </w:rPr>
        <w:t>65</w:t>
      </w:r>
      <w:r w:rsidRPr="0001134C">
        <w:rPr>
          <w:sz w:val="20"/>
        </w:rPr>
        <w:t xml:space="preserve"> / Référence neutre : 201</w:t>
      </w:r>
      <w:r w:rsidR="007F387B" w:rsidRPr="0001134C">
        <w:rPr>
          <w:sz w:val="20"/>
        </w:rPr>
        <w:t>1</w:t>
      </w:r>
      <w:r w:rsidRPr="0001134C">
        <w:rPr>
          <w:sz w:val="20"/>
        </w:rPr>
        <w:t xml:space="preserve"> CSC </w:t>
      </w:r>
      <w:r w:rsidR="0001134C">
        <w:rPr>
          <w:sz w:val="20"/>
        </w:rPr>
        <w:t>65</w:t>
      </w:r>
    </w:p>
    <w:p w:rsidR="005C6840" w:rsidRPr="0001134C" w:rsidRDefault="005C6840" w:rsidP="005C6840">
      <w:pPr>
        <w:rPr>
          <w:sz w:val="20"/>
          <w:szCs w:val="20"/>
          <w:lang w:val="fr-CA"/>
        </w:rPr>
      </w:pPr>
      <w:r w:rsidRPr="0001134C">
        <w:rPr>
          <w:sz w:val="20"/>
          <w:szCs w:val="20"/>
          <w:lang w:val="fr-CA"/>
        </w:rPr>
        <w:t>Hearing</w:t>
      </w:r>
      <w:proofErr w:type="gramStart"/>
      <w:r w:rsidRPr="0001134C">
        <w:rPr>
          <w:sz w:val="20"/>
          <w:szCs w:val="20"/>
          <w:lang w:val="fr-CA"/>
        </w:rPr>
        <w:t xml:space="preserve">:  </w:t>
      </w:r>
      <w:r w:rsidR="0001134C">
        <w:rPr>
          <w:sz w:val="20"/>
          <w:szCs w:val="20"/>
          <w:lang w:val="fr-CA"/>
        </w:rPr>
        <w:t>April</w:t>
      </w:r>
      <w:proofErr w:type="gramEnd"/>
      <w:r w:rsidR="0001134C">
        <w:rPr>
          <w:sz w:val="20"/>
          <w:szCs w:val="20"/>
          <w:lang w:val="fr-CA"/>
        </w:rPr>
        <w:t xml:space="preserve"> </w:t>
      </w:r>
      <w:r w:rsidRPr="0001134C">
        <w:rPr>
          <w:sz w:val="20"/>
          <w:szCs w:val="20"/>
          <w:lang w:val="fr-CA"/>
        </w:rPr>
        <w:t>2</w:t>
      </w:r>
      <w:r w:rsidR="0001134C">
        <w:rPr>
          <w:sz w:val="20"/>
          <w:szCs w:val="20"/>
          <w:lang w:val="fr-CA"/>
        </w:rPr>
        <w:t>0</w:t>
      </w:r>
      <w:r w:rsidRPr="0001134C">
        <w:rPr>
          <w:sz w:val="20"/>
          <w:szCs w:val="20"/>
          <w:lang w:val="fr-CA"/>
        </w:rPr>
        <w:t>, 201</w:t>
      </w:r>
      <w:r w:rsidR="0001134C">
        <w:rPr>
          <w:sz w:val="20"/>
          <w:szCs w:val="20"/>
          <w:lang w:val="fr-CA"/>
        </w:rPr>
        <w:t>1</w:t>
      </w:r>
      <w:r w:rsidRPr="0001134C">
        <w:rPr>
          <w:sz w:val="20"/>
          <w:szCs w:val="20"/>
          <w:lang w:val="fr-CA"/>
        </w:rPr>
        <w:t xml:space="preserve"> / Judgment:  </w:t>
      </w:r>
      <w:r w:rsidR="0001134C" w:rsidRPr="0001134C">
        <w:rPr>
          <w:sz w:val="20"/>
          <w:szCs w:val="20"/>
          <w:lang w:val="fr-CA"/>
        </w:rPr>
        <w:t xml:space="preserve">December </w:t>
      </w:r>
      <w:r w:rsidRPr="0001134C">
        <w:rPr>
          <w:sz w:val="20"/>
          <w:szCs w:val="20"/>
          <w:lang w:val="fr-CA"/>
        </w:rPr>
        <w:t>2</w:t>
      </w:r>
      <w:r w:rsidR="0001134C" w:rsidRPr="0001134C">
        <w:rPr>
          <w:sz w:val="20"/>
          <w:szCs w:val="20"/>
          <w:lang w:val="fr-CA"/>
        </w:rPr>
        <w:t>1</w:t>
      </w:r>
      <w:r w:rsidRPr="0001134C">
        <w:rPr>
          <w:sz w:val="20"/>
          <w:szCs w:val="20"/>
          <w:lang w:val="fr-CA"/>
        </w:rPr>
        <w:t>, 201</w:t>
      </w:r>
      <w:r w:rsidR="0001134C" w:rsidRPr="0001134C">
        <w:rPr>
          <w:sz w:val="20"/>
          <w:szCs w:val="20"/>
          <w:lang w:val="fr-CA"/>
        </w:rPr>
        <w:t>1</w:t>
      </w:r>
    </w:p>
    <w:p w:rsidR="005C6840" w:rsidRPr="003B3977" w:rsidRDefault="005C6840" w:rsidP="005C6840">
      <w:pPr>
        <w:rPr>
          <w:sz w:val="20"/>
          <w:szCs w:val="20"/>
          <w:lang w:val="fr-CA"/>
        </w:rPr>
      </w:pPr>
      <w:r w:rsidRPr="003B3977">
        <w:rPr>
          <w:sz w:val="20"/>
          <w:szCs w:val="20"/>
          <w:lang w:val="fr-CA"/>
        </w:rPr>
        <w:t>Audition : Le 2</w:t>
      </w:r>
      <w:r w:rsidR="0001134C">
        <w:rPr>
          <w:sz w:val="20"/>
          <w:szCs w:val="20"/>
          <w:lang w:val="fr-CA"/>
        </w:rPr>
        <w:t>0 avr</w:t>
      </w:r>
      <w:r w:rsidRPr="003B3977">
        <w:rPr>
          <w:sz w:val="20"/>
          <w:szCs w:val="20"/>
          <w:lang w:val="fr-CA"/>
        </w:rPr>
        <w:t>i</w:t>
      </w:r>
      <w:r w:rsidR="0001134C">
        <w:rPr>
          <w:sz w:val="20"/>
          <w:szCs w:val="20"/>
          <w:lang w:val="fr-CA"/>
        </w:rPr>
        <w:t>l</w:t>
      </w:r>
      <w:r w:rsidRPr="003B3977">
        <w:rPr>
          <w:sz w:val="20"/>
          <w:szCs w:val="20"/>
          <w:lang w:val="fr-CA"/>
        </w:rPr>
        <w:t xml:space="preserve"> 201</w:t>
      </w:r>
      <w:r w:rsidR="009916DB">
        <w:rPr>
          <w:sz w:val="20"/>
          <w:szCs w:val="20"/>
          <w:lang w:val="fr-CA"/>
        </w:rPr>
        <w:t>1</w:t>
      </w:r>
      <w:r w:rsidRPr="003B3977">
        <w:rPr>
          <w:sz w:val="20"/>
          <w:szCs w:val="20"/>
          <w:lang w:val="fr-CA"/>
        </w:rPr>
        <w:t xml:space="preserve"> / Jugement : Le 2</w:t>
      </w:r>
      <w:r w:rsidR="0001134C">
        <w:rPr>
          <w:sz w:val="20"/>
          <w:szCs w:val="20"/>
          <w:lang w:val="fr-CA"/>
        </w:rPr>
        <w:t>1 décem</w:t>
      </w:r>
      <w:r w:rsidRPr="003B3977">
        <w:rPr>
          <w:sz w:val="20"/>
          <w:szCs w:val="20"/>
          <w:lang w:val="fr-CA"/>
        </w:rPr>
        <w:t>bre 201</w:t>
      </w:r>
      <w:r w:rsidR="0001134C">
        <w:rPr>
          <w:sz w:val="20"/>
          <w:szCs w:val="20"/>
          <w:lang w:val="fr-CA"/>
        </w:rPr>
        <w:t>1</w:t>
      </w:r>
    </w:p>
    <w:p w:rsidR="005C6840" w:rsidRPr="003B3977" w:rsidRDefault="00586706" w:rsidP="005C6840">
      <w:pPr>
        <w:rPr>
          <w:sz w:val="20"/>
          <w:szCs w:val="20"/>
          <w:lang w:val="fr-CA"/>
        </w:rPr>
      </w:pPr>
      <w:r w:rsidRPr="00586706">
        <w:rPr>
          <w:i/>
          <w:sz w:val="20"/>
          <w:szCs w:val="20"/>
        </w:rPr>
        <w:pict>
          <v:rect id="_x0000_i1084" style="width:480.95pt;height:1pt" o:hralign="center" o:hrstd="t" o:hrnoshade="t" o:hr="t" fillcolor="black [3213]" stroked="f"/>
        </w:pict>
      </w:r>
    </w:p>
    <w:p w:rsidR="005C6840" w:rsidRDefault="005C6840" w:rsidP="005C6840">
      <w:pPr>
        <w:spacing w:line="0" w:lineRule="atLeast"/>
        <w:rPr>
          <w:sz w:val="20"/>
          <w:szCs w:val="20"/>
          <w:lang w:val="fr-CA"/>
        </w:rPr>
      </w:pPr>
    </w:p>
    <w:p w:rsidR="00133D5E" w:rsidRPr="007F250D" w:rsidRDefault="00133D5E" w:rsidP="00133D5E">
      <w:pPr>
        <w:jc w:val="both"/>
        <w:rPr>
          <w:sz w:val="20"/>
          <w:szCs w:val="20"/>
        </w:rPr>
      </w:pPr>
      <w:r w:rsidRPr="007F250D">
        <w:rPr>
          <w:sz w:val="20"/>
          <w:szCs w:val="20"/>
        </w:rPr>
        <w:t>Present:  McLachlin C.J. and Binnie, LeBel, Deschamps, Abella, Rothstein and Cromwell JJ.</w:t>
      </w:r>
    </w:p>
    <w:p w:rsidR="00133D5E" w:rsidRDefault="00133D5E" w:rsidP="00133D5E">
      <w:pPr>
        <w:pStyle w:val="SCCLowerCourtNameLowercase"/>
        <w:spacing w:line="240" w:lineRule="auto"/>
        <w:rPr>
          <w:sz w:val="20"/>
        </w:rPr>
      </w:pPr>
    </w:p>
    <w:p w:rsidR="00133D5E" w:rsidRPr="007F250D" w:rsidRDefault="00133D5E" w:rsidP="00133D5E">
      <w:pPr>
        <w:pStyle w:val="SCCNormalDoubleSpacing"/>
        <w:widowControl w:val="0"/>
        <w:spacing w:line="240" w:lineRule="auto"/>
        <w:rPr>
          <w:i/>
          <w:sz w:val="20"/>
        </w:rPr>
      </w:pPr>
      <w:r w:rsidRPr="007F250D">
        <w:rPr>
          <w:i/>
          <w:sz w:val="20"/>
        </w:rPr>
        <w:tab/>
        <w:t>Family law — Support — Spousal support — Variation — Material change in circumstances — Husband applying to terminate spousal support order on basis of his retirement and the market downturn — Husband not adducing evidence of his financial circumstances at time of original support order or of status of investments at the time of variation — Order gradually reducing then terminating support for 80</w:t>
      </w:r>
      <w:r w:rsidRPr="007F250D">
        <w:rPr>
          <w:i/>
          <w:sz w:val="20"/>
        </w:rPr>
        <w:noBreakHyphen/>
        <w:t>year</w:t>
      </w:r>
      <w:r w:rsidRPr="007F250D">
        <w:rPr>
          <w:i/>
          <w:sz w:val="20"/>
        </w:rPr>
        <w:noBreakHyphen/>
        <w:t>old wife — Whether husband had established that there had been a material change in circumstances since the original support order — Divorce Act, R.S.C. 1985, c. 3 (2nd Supp.), s. 17(4.1) — Rules of Practice of the Superior Court of Québec in family matters, R.R.Q. 1981, c. C</w:t>
      </w:r>
      <w:r w:rsidRPr="007F250D">
        <w:rPr>
          <w:i/>
          <w:sz w:val="20"/>
        </w:rPr>
        <w:noBreakHyphen/>
        <w:t>25, r. 9, rule 39.</w:t>
      </w:r>
    </w:p>
    <w:p w:rsidR="00133D5E" w:rsidRDefault="00133D5E" w:rsidP="00133D5E">
      <w:pPr>
        <w:pStyle w:val="SCCNormalDoubleSpacing"/>
        <w:widowControl w:val="0"/>
        <w:spacing w:line="240" w:lineRule="auto"/>
        <w:rPr>
          <w:sz w:val="20"/>
        </w:rPr>
      </w:pPr>
    </w:p>
    <w:p w:rsidR="00133D5E" w:rsidRPr="007F250D" w:rsidRDefault="00133D5E" w:rsidP="00133D5E">
      <w:pPr>
        <w:pStyle w:val="SCCNormalDoubleSpacing"/>
        <w:widowControl w:val="0"/>
        <w:spacing w:line="240" w:lineRule="auto"/>
        <w:rPr>
          <w:sz w:val="20"/>
        </w:rPr>
      </w:pPr>
      <w:r w:rsidRPr="007F250D">
        <w:rPr>
          <w:sz w:val="20"/>
        </w:rPr>
        <w:tab/>
        <w:t xml:space="preserve">The </w:t>
      </w:r>
      <w:r w:rsidRPr="007F250D">
        <w:rPr>
          <w:sz w:val="20"/>
          <w:lang w:val="en-US"/>
        </w:rPr>
        <w:t>parties</w:t>
      </w:r>
      <w:r w:rsidRPr="007F250D">
        <w:rPr>
          <w:sz w:val="20"/>
        </w:rPr>
        <w:t xml:space="preserve"> were married in 1958, separated in 1974 and divorced in 1984.  At the time of separation, the wife remained in the matrimonial home with their two children and she now resides there alone.  The husband was ordered to pay spousal and child support in the combined amount of $1,950 per month.  </w:t>
      </w:r>
      <w:r w:rsidRPr="007F250D">
        <w:rPr>
          <w:rFonts w:eastAsiaTheme="majorEastAsia"/>
          <w:sz w:val="20"/>
        </w:rPr>
        <w:t>In 1991, after the children no longer resided with the wife, the husband was ordered to pay $2,000 per month (</w:t>
      </w:r>
      <w:r w:rsidRPr="007F250D">
        <w:rPr>
          <w:sz w:val="20"/>
        </w:rPr>
        <w:t xml:space="preserve">indexed) </w:t>
      </w:r>
      <w:r w:rsidRPr="007F250D">
        <w:rPr>
          <w:rFonts w:eastAsiaTheme="majorEastAsia"/>
          <w:sz w:val="20"/>
        </w:rPr>
        <w:t xml:space="preserve">in spousal support.  At the time, because he did not contest his capacity to pay support, he did not file a sworn statement setting out his financial circumstances. </w:t>
      </w:r>
      <w:r w:rsidRPr="007F250D">
        <w:rPr>
          <w:sz w:val="20"/>
        </w:rPr>
        <w:t xml:space="preserve"> In 2006, he retired and sold the house where he and his second wife lived, realizing the sum of $2 million.  In 2008, he applied to terminate spousal support based on the facts that he no longer had employment income, that the market downturn had a negative impact on his assets, and that he had a son in university.  At the time of the hearing in 2009, the husband was 71 and his former wife was 80.  The trial judge held that because of the economic downturn and the husband’s retirement, there had been a material change in circumstances justifying a variation of the amount of spousal support to $1,500 per month, unindexed.  Both parties appealed.  The Court of Appeal upheld the variation and found that the trial judge did not need to know what the husband’s financial circumstances were when the original order was made.  It ordered that support be gradually reduced and that payments terminate in September, 2010.  The wife appealed to this Court. </w:t>
      </w:r>
    </w:p>
    <w:p w:rsidR="00133D5E" w:rsidRDefault="00133D5E" w:rsidP="00133D5E">
      <w:pPr>
        <w:pStyle w:val="SCCNormalDoubleSpacing"/>
        <w:widowControl w:val="0"/>
        <w:spacing w:line="240" w:lineRule="auto"/>
        <w:rPr>
          <w:sz w:val="20"/>
        </w:rPr>
      </w:pPr>
    </w:p>
    <w:p w:rsidR="00133D5E" w:rsidRPr="007F250D" w:rsidRDefault="00133D5E" w:rsidP="00133D5E">
      <w:pPr>
        <w:pStyle w:val="SCCNormalDoubleSpacing"/>
        <w:widowControl w:val="0"/>
        <w:spacing w:line="240" w:lineRule="auto"/>
        <w:rPr>
          <w:sz w:val="20"/>
        </w:rPr>
      </w:pPr>
      <w:r w:rsidRPr="007F250D">
        <w:rPr>
          <w:sz w:val="20"/>
        </w:rPr>
        <w:tab/>
      </w:r>
      <w:r w:rsidRPr="007F250D">
        <w:rPr>
          <w:i/>
          <w:sz w:val="20"/>
        </w:rPr>
        <w:t>Held</w:t>
      </w:r>
      <w:r w:rsidRPr="007F250D">
        <w:rPr>
          <w:sz w:val="20"/>
        </w:rPr>
        <w:t xml:space="preserve">:  The </w:t>
      </w:r>
      <w:r w:rsidRPr="007F250D">
        <w:rPr>
          <w:sz w:val="20"/>
          <w:lang w:val="en-US"/>
        </w:rPr>
        <w:t>appeal</w:t>
      </w:r>
      <w:r w:rsidRPr="007F250D">
        <w:rPr>
          <w:sz w:val="20"/>
        </w:rPr>
        <w:t xml:space="preserve"> should be allowed and the 1991 Order should be restored.</w:t>
      </w:r>
    </w:p>
    <w:p w:rsidR="00133D5E" w:rsidRDefault="00133D5E" w:rsidP="00133D5E">
      <w:pPr>
        <w:pStyle w:val="SCCNormalDoubleSpacing"/>
        <w:widowControl w:val="0"/>
        <w:spacing w:line="240" w:lineRule="auto"/>
        <w:rPr>
          <w:sz w:val="20"/>
        </w:rPr>
      </w:pPr>
    </w:p>
    <w:p w:rsidR="00133D5E" w:rsidRPr="007F250D" w:rsidRDefault="00133D5E" w:rsidP="00133D5E">
      <w:pPr>
        <w:pStyle w:val="SCCNormalDoubleSpacing"/>
        <w:widowControl w:val="0"/>
        <w:spacing w:line="240" w:lineRule="auto"/>
        <w:rPr>
          <w:sz w:val="20"/>
        </w:rPr>
      </w:pPr>
      <w:r w:rsidRPr="007F250D">
        <w:rPr>
          <w:sz w:val="20"/>
        </w:rPr>
        <w:tab/>
      </w:r>
      <w:r w:rsidRPr="007F250D">
        <w:rPr>
          <w:i/>
          <w:sz w:val="20"/>
        </w:rPr>
        <w:t>Per</w:t>
      </w:r>
      <w:r w:rsidRPr="007F250D">
        <w:rPr>
          <w:sz w:val="20"/>
        </w:rPr>
        <w:t xml:space="preserve"> </w:t>
      </w:r>
      <w:r w:rsidRPr="007F250D">
        <w:rPr>
          <w:sz w:val="20"/>
          <w:lang w:val="en-US"/>
        </w:rPr>
        <w:t>Binnie</w:t>
      </w:r>
      <w:r w:rsidRPr="007F250D">
        <w:rPr>
          <w:sz w:val="20"/>
        </w:rPr>
        <w:t xml:space="preserve">, LeBel, Deschamps, </w:t>
      </w:r>
      <w:r w:rsidRPr="007F250D">
        <w:rPr>
          <w:b/>
          <w:sz w:val="20"/>
        </w:rPr>
        <w:t>Abella</w:t>
      </w:r>
      <w:r w:rsidRPr="007F250D">
        <w:rPr>
          <w:sz w:val="20"/>
        </w:rPr>
        <w:t xml:space="preserve"> and </w:t>
      </w:r>
      <w:r w:rsidRPr="007F250D">
        <w:rPr>
          <w:b/>
          <w:sz w:val="20"/>
        </w:rPr>
        <w:t>Rothstein</w:t>
      </w:r>
      <w:r w:rsidRPr="007F250D">
        <w:rPr>
          <w:sz w:val="20"/>
        </w:rPr>
        <w:t> </w:t>
      </w:r>
      <w:proofErr w:type="gramStart"/>
      <w:r w:rsidRPr="007F250D">
        <w:rPr>
          <w:sz w:val="20"/>
        </w:rPr>
        <w:t>JJ.:</w:t>
      </w:r>
      <w:proofErr w:type="gramEnd"/>
      <w:r w:rsidRPr="007F250D">
        <w:rPr>
          <w:sz w:val="20"/>
        </w:rPr>
        <w:t xml:space="preserve">  Under s. 17(4.1) of the </w:t>
      </w:r>
      <w:r w:rsidRPr="007F250D">
        <w:rPr>
          <w:i/>
          <w:sz w:val="20"/>
        </w:rPr>
        <w:t>Divorce Act</w:t>
      </w:r>
      <w:r w:rsidRPr="007F250D">
        <w:rPr>
          <w:sz w:val="20"/>
        </w:rPr>
        <w:t xml:space="preserve">, the moving party must establish that there has been a material change of circumstances since the making of the prior order or variation.  To be material, in accordance with </w:t>
      </w:r>
      <w:r w:rsidRPr="007F250D">
        <w:rPr>
          <w:i/>
          <w:sz w:val="20"/>
        </w:rPr>
        <w:t>LMP</w:t>
      </w:r>
      <w:r w:rsidRPr="007F250D">
        <w:rPr>
          <w:sz w:val="20"/>
        </w:rPr>
        <w:t>,</w:t>
      </w:r>
      <w:r w:rsidRPr="007F250D">
        <w:rPr>
          <w:i/>
          <w:sz w:val="20"/>
        </w:rPr>
        <w:t xml:space="preserve"> </w:t>
      </w:r>
      <w:r w:rsidRPr="007F250D">
        <w:rPr>
          <w:sz w:val="20"/>
        </w:rPr>
        <w:t xml:space="preserve">a change must be one which, if known at the time, would likely have resulted in different terms to the existing order.  On an application to vary, the court should consider the terms of the order and the circumstances of the parties at the time the order was made to determine whether a particular change is material.  The existing order is deemed to have been correct when it was made, and only if the requirements of s. 17 of the </w:t>
      </w:r>
      <w:r w:rsidRPr="007F250D">
        <w:rPr>
          <w:i/>
          <w:sz w:val="20"/>
        </w:rPr>
        <w:t>Divorce Act</w:t>
      </w:r>
      <w:r w:rsidRPr="007F250D">
        <w:rPr>
          <w:sz w:val="20"/>
        </w:rPr>
        <w:t xml:space="preserve"> are met will there be a variation.  In this case, the question was whether there was a material change in the husband’s circumstances since the 1991 Order.  His application should be dismissed because there are two crucial evidentiary gaps.  First, there is no information about whether he sold any of his investments — and thereby crystallized his losses — when they declined in value in late 2008.  He cannot, without more, simply cherry pick a date on which his investments decreased in value to claim that a material change of circumstances has occurred.  The second gap is that there is no evidence in the record about the husband’s financial circumstances in 1991 when the Order was made.  There is therefore no evidence from which reasonable inferences can be drawn about how the husband’s financial circumstances have changed.  The husband’s acknowledgement of sufficient resources in prior proceedings does not relieve him of his evidentiary and legal burdens in this one.  These gaps mean that there is no way of measuring whether there has been any material change that would entitle the husband to a variation of spousal support. </w:t>
      </w:r>
      <w:r w:rsidRPr="007F250D">
        <w:rPr>
          <w:sz w:val="20"/>
          <w:lang w:val="en-US"/>
        </w:rPr>
        <w:t xml:space="preserve"> The husband </w:t>
      </w:r>
      <w:r w:rsidRPr="007F250D">
        <w:rPr>
          <w:sz w:val="20"/>
        </w:rPr>
        <w:t xml:space="preserve">was required by the </w:t>
      </w:r>
      <w:r w:rsidRPr="007F250D">
        <w:rPr>
          <w:i/>
          <w:sz w:val="20"/>
        </w:rPr>
        <w:t>Divorce Act</w:t>
      </w:r>
      <w:r w:rsidRPr="007F250D">
        <w:rPr>
          <w:sz w:val="20"/>
        </w:rPr>
        <w:t xml:space="preserve"> and the </w:t>
      </w:r>
      <w:r w:rsidRPr="007F250D">
        <w:rPr>
          <w:i/>
          <w:sz w:val="20"/>
        </w:rPr>
        <w:t xml:space="preserve">R.F.P. </w:t>
      </w:r>
      <w:r w:rsidRPr="007F250D">
        <w:rPr>
          <w:sz w:val="20"/>
        </w:rPr>
        <w:t xml:space="preserve">to identify the change relied on and to provide sufficient evidence to enable a court to decide whether a material change in his circumstances had in fact occurred since the making of the 1991 Order.  Since he has produced no evidentiary foundation for a variation order under s. 17, his application is dismissed. </w:t>
      </w:r>
    </w:p>
    <w:p w:rsidR="00133D5E" w:rsidRDefault="00133D5E" w:rsidP="00133D5E">
      <w:pPr>
        <w:pStyle w:val="SCCNormalDoubleSpacing"/>
        <w:widowControl w:val="0"/>
        <w:spacing w:line="240" w:lineRule="auto"/>
        <w:rPr>
          <w:i/>
          <w:sz w:val="20"/>
        </w:rPr>
      </w:pPr>
    </w:p>
    <w:p w:rsidR="00133D5E" w:rsidRDefault="00133D5E" w:rsidP="00133D5E">
      <w:pPr>
        <w:pStyle w:val="SCCNormalDoubleSpacing"/>
        <w:widowControl w:val="0"/>
        <w:spacing w:line="240" w:lineRule="auto"/>
        <w:rPr>
          <w:sz w:val="20"/>
        </w:rPr>
      </w:pPr>
      <w:r w:rsidRPr="007F250D">
        <w:rPr>
          <w:i/>
          <w:sz w:val="20"/>
        </w:rPr>
        <w:lastRenderedPageBreak/>
        <w:tab/>
        <w:t>Per</w:t>
      </w:r>
      <w:r w:rsidRPr="007F250D">
        <w:rPr>
          <w:sz w:val="20"/>
        </w:rPr>
        <w:t xml:space="preserve"> </w:t>
      </w:r>
      <w:r w:rsidRPr="007F250D">
        <w:rPr>
          <w:sz w:val="20"/>
          <w:lang w:val="en-US"/>
        </w:rPr>
        <w:t>McLachlin</w:t>
      </w:r>
      <w:r w:rsidRPr="007F250D">
        <w:rPr>
          <w:sz w:val="20"/>
        </w:rPr>
        <w:t xml:space="preserve"> C.J. and </w:t>
      </w:r>
      <w:r w:rsidRPr="007F250D">
        <w:rPr>
          <w:b/>
          <w:sz w:val="20"/>
        </w:rPr>
        <w:t>Cromwell</w:t>
      </w:r>
      <w:r w:rsidRPr="007F250D">
        <w:rPr>
          <w:sz w:val="20"/>
        </w:rPr>
        <w:t> J.:  We concur with the majority that the respondent’s application to adduce fresh evidence should be dismissed, that the appeal should be allowed with costs throughout and that the terms of the 1991 order of the Court of Appeal should be restored for the reasons given at para. 47.</w:t>
      </w:r>
    </w:p>
    <w:p w:rsidR="00133D5E" w:rsidRDefault="00133D5E" w:rsidP="00133D5E">
      <w:pPr>
        <w:pStyle w:val="SCCNormalDoubleSpacing"/>
        <w:widowControl w:val="0"/>
        <w:spacing w:line="240" w:lineRule="auto"/>
        <w:rPr>
          <w:sz w:val="20"/>
        </w:rPr>
      </w:pPr>
    </w:p>
    <w:p w:rsidR="00133D5E" w:rsidRPr="007F250D" w:rsidRDefault="00133D5E" w:rsidP="00133D5E">
      <w:pPr>
        <w:pStyle w:val="SCCNormalDoubleSpacing"/>
        <w:spacing w:line="240" w:lineRule="auto"/>
        <w:rPr>
          <w:sz w:val="20"/>
        </w:rPr>
      </w:pPr>
      <w:r w:rsidRPr="007F250D">
        <w:rPr>
          <w:sz w:val="20"/>
        </w:rPr>
        <w:tab/>
        <w:t>APPEAL from a judgment of the Quebec Court of Appeal (Rochon, Dufresne and Léger JJ.A.), 2010 QCCA 478, [2010] J.Q. n</w:t>
      </w:r>
      <w:r w:rsidRPr="007F250D">
        <w:rPr>
          <w:sz w:val="20"/>
          <w:vertAlign w:val="superscript"/>
        </w:rPr>
        <w:t>o</w:t>
      </w:r>
      <w:r w:rsidRPr="007F250D">
        <w:rPr>
          <w:sz w:val="20"/>
        </w:rPr>
        <w:t> 1959 (QL), 2010 CarswellQue 2053, affirming in part a decision of Samoisette J., 2009 QCCS 1304, [2009] J.Q. n</w:t>
      </w:r>
      <w:r w:rsidRPr="007F250D">
        <w:rPr>
          <w:sz w:val="20"/>
          <w:vertAlign w:val="superscript"/>
        </w:rPr>
        <w:t>o</w:t>
      </w:r>
      <w:r w:rsidRPr="007F250D">
        <w:rPr>
          <w:sz w:val="20"/>
        </w:rPr>
        <w:t> 2624 (QL), 2009 CarswellQue 2885.  Appeal allowed.</w:t>
      </w:r>
    </w:p>
    <w:p w:rsidR="00133D5E" w:rsidRDefault="00133D5E" w:rsidP="00133D5E">
      <w:pPr>
        <w:pStyle w:val="SCCNormalDoubleSpacing"/>
        <w:spacing w:line="240" w:lineRule="auto"/>
        <w:rPr>
          <w:i/>
          <w:sz w:val="20"/>
        </w:rPr>
      </w:pPr>
    </w:p>
    <w:p w:rsidR="00133D5E" w:rsidRPr="007F250D" w:rsidRDefault="00133D5E" w:rsidP="00133D5E">
      <w:pPr>
        <w:pStyle w:val="SCCNormalDoubleSpacing"/>
        <w:spacing w:line="240" w:lineRule="auto"/>
        <w:rPr>
          <w:sz w:val="20"/>
        </w:rPr>
      </w:pPr>
      <w:r w:rsidRPr="007F250D">
        <w:rPr>
          <w:i/>
          <w:sz w:val="20"/>
        </w:rPr>
        <w:tab/>
      </w:r>
      <w:proofErr w:type="gramStart"/>
      <w:r w:rsidRPr="007F250D">
        <w:rPr>
          <w:i/>
          <w:sz w:val="20"/>
        </w:rPr>
        <w:t>Julius H. Grey</w:t>
      </w:r>
      <w:r w:rsidRPr="007F250D">
        <w:rPr>
          <w:sz w:val="20"/>
        </w:rPr>
        <w:t>, for the appellant.</w:t>
      </w:r>
      <w:proofErr w:type="gramEnd"/>
    </w:p>
    <w:p w:rsidR="00133D5E" w:rsidRDefault="00133D5E" w:rsidP="00133D5E">
      <w:pPr>
        <w:pStyle w:val="SCCNormalDoubleSpacing"/>
        <w:spacing w:line="240" w:lineRule="auto"/>
        <w:rPr>
          <w:i/>
          <w:sz w:val="20"/>
        </w:rPr>
      </w:pPr>
    </w:p>
    <w:p w:rsidR="00133D5E" w:rsidRPr="007F250D" w:rsidRDefault="00133D5E" w:rsidP="00133D5E">
      <w:pPr>
        <w:pStyle w:val="SCCNormalDoubleSpacing"/>
        <w:spacing w:line="240" w:lineRule="auto"/>
        <w:rPr>
          <w:sz w:val="20"/>
        </w:rPr>
      </w:pPr>
      <w:r w:rsidRPr="007F250D">
        <w:rPr>
          <w:i/>
          <w:sz w:val="20"/>
        </w:rPr>
        <w:tab/>
      </w:r>
      <w:proofErr w:type="gramStart"/>
      <w:r w:rsidRPr="007F250D">
        <w:rPr>
          <w:i/>
          <w:sz w:val="20"/>
        </w:rPr>
        <w:t>Robert Teitelbaum</w:t>
      </w:r>
      <w:r w:rsidRPr="007F250D">
        <w:rPr>
          <w:sz w:val="20"/>
        </w:rPr>
        <w:t>, for the respondent.</w:t>
      </w:r>
      <w:proofErr w:type="gramEnd"/>
    </w:p>
    <w:p w:rsidR="00133D5E" w:rsidRDefault="00133D5E" w:rsidP="00133D5E">
      <w:pPr>
        <w:pStyle w:val="SCCLawFirm"/>
        <w:spacing w:line="240" w:lineRule="auto"/>
        <w:rPr>
          <w:sz w:val="20"/>
        </w:rPr>
      </w:pPr>
    </w:p>
    <w:p w:rsidR="00133D5E" w:rsidRPr="007F250D" w:rsidRDefault="00133D5E" w:rsidP="00133D5E">
      <w:pPr>
        <w:pStyle w:val="SCCLawFirm"/>
        <w:spacing w:line="240" w:lineRule="auto"/>
        <w:rPr>
          <w:sz w:val="20"/>
        </w:rPr>
      </w:pPr>
      <w:r w:rsidRPr="007F250D">
        <w:rPr>
          <w:sz w:val="20"/>
        </w:rPr>
        <w:tab/>
        <w:t>Solicitors for the appellant:  Grey, Casgrain, Montréal.</w:t>
      </w:r>
    </w:p>
    <w:p w:rsidR="00133D5E" w:rsidRDefault="00133D5E" w:rsidP="00133D5E">
      <w:pPr>
        <w:pStyle w:val="SCCLawFirm"/>
        <w:spacing w:line="240" w:lineRule="auto"/>
        <w:rPr>
          <w:sz w:val="20"/>
        </w:rPr>
      </w:pPr>
    </w:p>
    <w:p w:rsidR="00133D5E" w:rsidRDefault="00133D5E" w:rsidP="00133D5E">
      <w:pPr>
        <w:pStyle w:val="SCCLawFirm"/>
        <w:spacing w:line="240" w:lineRule="auto"/>
        <w:rPr>
          <w:sz w:val="20"/>
        </w:rPr>
      </w:pPr>
      <w:r w:rsidRPr="007F250D">
        <w:rPr>
          <w:sz w:val="20"/>
        </w:rPr>
        <w:tab/>
        <w:t>Solicitor for the respondent:  Robert Teitelbaum, Westmount, Quebec.</w:t>
      </w:r>
    </w:p>
    <w:p w:rsidR="003B3977" w:rsidRPr="000C214B" w:rsidRDefault="003B3977" w:rsidP="003B3977">
      <w:pPr>
        <w:rPr>
          <w:sz w:val="20"/>
          <w:szCs w:val="20"/>
          <w:lang w:val="fr-CA"/>
        </w:rPr>
      </w:pPr>
      <w:r w:rsidRPr="000C214B">
        <w:rPr>
          <w:sz w:val="20"/>
          <w:szCs w:val="20"/>
          <w:lang w:val="fr-CA"/>
        </w:rPr>
        <w:t>________________________</w:t>
      </w:r>
    </w:p>
    <w:p w:rsidR="003B3977" w:rsidRPr="000C214B" w:rsidRDefault="003B3977" w:rsidP="003B3977">
      <w:pPr>
        <w:rPr>
          <w:sz w:val="20"/>
          <w:szCs w:val="20"/>
          <w:lang w:val="fr-CA"/>
        </w:rPr>
      </w:pPr>
    </w:p>
    <w:p w:rsidR="000C214B" w:rsidRPr="000C214B" w:rsidRDefault="000C214B" w:rsidP="000C214B">
      <w:pPr>
        <w:jc w:val="both"/>
        <w:rPr>
          <w:sz w:val="20"/>
          <w:szCs w:val="20"/>
          <w:lang w:val="fr-CA"/>
        </w:rPr>
      </w:pPr>
      <w:r w:rsidRPr="000C214B">
        <w:rPr>
          <w:sz w:val="20"/>
          <w:szCs w:val="20"/>
          <w:lang w:val="fr-CA"/>
        </w:rPr>
        <w:t>Présents : La juge en chef McLachlin et les juges Binnie, LeBel, Deschamps, Abella, Rothstein et Cromwell.</w:t>
      </w:r>
    </w:p>
    <w:p w:rsidR="000C214B" w:rsidRPr="000C214B" w:rsidRDefault="000C214B" w:rsidP="000C214B">
      <w:pPr>
        <w:pStyle w:val="SCCLowerCourtNameLowercase"/>
        <w:spacing w:line="240" w:lineRule="auto"/>
        <w:rPr>
          <w:sz w:val="20"/>
          <w:lang w:val="fr-CA"/>
        </w:rPr>
      </w:pPr>
    </w:p>
    <w:p w:rsidR="000C214B" w:rsidRPr="00EC4BD6" w:rsidRDefault="000C214B" w:rsidP="000C214B">
      <w:pPr>
        <w:pStyle w:val="SCCNormalDoubleSpacing"/>
        <w:widowControl w:val="0"/>
        <w:spacing w:line="240" w:lineRule="auto"/>
        <w:rPr>
          <w:i/>
          <w:sz w:val="20"/>
          <w:lang w:val="fr-CA"/>
        </w:rPr>
      </w:pPr>
      <w:r w:rsidRPr="000C214B">
        <w:rPr>
          <w:i/>
          <w:sz w:val="20"/>
          <w:lang w:val="fr-CA"/>
        </w:rPr>
        <w:tab/>
        <w:t>Droit de la famille — Aliments — Pension alimentaire au profit d’un époux — Modification — Changement de situation important — Demande de cessation de l’ordonnance alimentaire au profit de l’épouse en raison de la retraite de l’époux et du repli du marché — Aucune preuve produite par l’époux concernant sa situation financière au moment de l’ordonnance alimentaire initiale ou l’état de ses placements au moment de la demande de modification — Ordonnance de réduction graduelle, puis de cessation de la pension alimentaire au profit de l’épouse âgée de 80 ans — L’époux a</w:t>
      </w:r>
      <w:r w:rsidRPr="000C214B">
        <w:rPr>
          <w:i/>
          <w:sz w:val="20"/>
          <w:lang w:val="fr-CA"/>
        </w:rPr>
        <w:noBreakHyphen/>
        <w:t>t</w:t>
      </w:r>
      <w:r w:rsidRPr="000C214B">
        <w:rPr>
          <w:i/>
          <w:sz w:val="20"/>
          <w:lang w:val="fr-CA"/>
        </w:rPr>
        <w:noBreakHyphen/>
        <w:t>il établi la survenance d’un changement de situation important depuis l’ordonnance alimentaire initiale? — Loi sur le divorce, L.R.C. 1985, ch. 3 (2</w:t>
      </w:r>
      <w:r w:rsidRPr="000C214B">
        <w:rPr>
          <w:i/>
          <w:sz w:val="20"/>
          <w:vertAlign w:val="superscript"/>
          <w:lang w:val="fr-CA"/>
        </w:rPr>
        <w:t>e</w:t>
      </w:r>
      <w:r w:rsidRPr="000C214B">
        <w:rPr>
          <w:i/>
          <w:sz w:val="20"/>
          <w:lang w:val="fr-CA"/>
        </w:rPr>
        <w:t xml:space="preserve"> suppl.), art. 17(4.1) — </w:t>
      </w:r>
      <w:r w:rsidRPr="000C214B">
        <w:rPr>
          <w:rFonts w:eastAsiaTheme="minorHAnsi"/>
          <w:i/>
          <w:sz w:val="20"/>
          <w:lang w:val="fr-CA"/>
        </w:rPr>
        <w:t>Règles de pratique de la Cour supérieure du Québec en matière familiale, R.R.Q. 1981, ch. </w:t>
      </w:r>
      <w:r w:rsidRPr="00EC4BD6">
        <w:rPr>
          <w:rFonts w:eastAsiaTheme="minorHAnsi"/>
          <w:i/>
          <w:sz w:val="20"/>
          <w:lang w:val="fr-CA"/>
        </w:rPr>
        <w:t>C</w:t>
      </w:r>
      <w:r w:rsidRPr="00EC4BD6">
        <w:rPr>
          <w:rFonts w:eastAsiaTheme="minorHAnsi"/>
          <w:i/>
          <w:sz w:val="20"/>
          <w:lang w:val="fr-CA"/>
        </w:rPr>
        <w:noBreakHyphen/>
        <w:t>25, r. 9</w:t>
      </w:r>
      <w:r w:rsidRPr="00EC4BD6">
        <w:rPr>
          <w:i/>
          <w:sz w:val="20"/>
          <w:lang w:val="fr-CA"/>
        </w:rPr>
        <w:t>, règle 39.</w:t>
      </w:r>
    </w:p>
    <w:p w:rsidR="000C214B" w:rsidRPr="00EC4BD6" w:rsidRDefault="000C214B" w:rsidP="000C214B">
      <w:pPr>
        <w:pStyle w:val="SCCNormalDoubleSpacing"/>
        <w:widowControl w:val="0"/>
        <w:spacing w:line="240" w:lineRule="auto"/>
        <w:rPr>
          <w:sz w:val="20"/>
          <w:lang w:val="fr-CA"/>
        </w:rPr>
      </w:pPr>
    </w:p>
    <w:p w:rsidR="000C214B" w:rsidRPr="000C214B" w:rsidRDefault="000C214B" w:rsidP="000C214B">
      <w:pPr>
        <w:pStyle w:val="SCCNormalDoubleSpacing"/>
        <w:widowControl w:val="0"/>
        <w:spacing w:line="240" w:lineRule="auto"/>
        <w:rPr>
          <w:sz w:val="20"/>
          <w:lang w:val="fr-CA"/>
        </w:rPr>
      </w:pPr>
      <w:r w:rsidRPr="00EC4BD6">
        <w:rPr>
          <w:sz w:val="20"/>
          <w:lang w:val="fr-CA"/>
        </w:rPr>
        <w:tab/>
      </w:r>
      <w:r w:rsidRPr="000C214B">
        <w:rPr>
          <w:sz w:val="20"/>
          <w:lang w:val="fr-CA"/>
        </w:rPr>
        <w:t>Les parties se sont mariées en 1958, se sont séparées en 1974 et ont divorcé en 1984.  Au moment de la séparation, l’épouse est demeurée avec ses deux enfants dans la résidence familiale et elle y habite maintenant seule.  L’époux s’est vu ordonner de verser une pension alimentaire au profit de l’épouse et une pension alimentaire pour enfants totalisant 1 950 $ par mois.  E</w:t>
      </w:r>
      <w:r w:rsidRPr="000C214B">
        <w:rPr>
          <w:rFonts w:eastAsiaTheme="majorEastAsia"/>
          <w:sz w:val="20"/>
          <w:lang w:val="fr-CA"/>
        </w:rPr>
        <w:t xml:space="preserve">n 1991, les enfants n’habitant plus avec leur mère, l’époux s’est vu ordonner de verser une pension alimentaire indexée au profit de l’épouse de 2 000 $ par mois.  À l’époque, il n’a pas contesté sa capacité de verser une pension alimentaire et n’a par conséquent pas déposé d’état assermenté de sa situation financière.  </w:t>
      </w:r>
      <w:r w:rsidRPr="000C214B">
        <w:rPr>
          <w:sz w:val="20"/>
          <w:lang w:val="fr-CA"/>
        </w:rPr>
        <w:t xml:space="preserve">En 2006, il a pris sa retraite et lui et sa deuxième épouse ont vendu la maison dans laquelle ils habitaient; ils ont ainsi touché la somme de deux millions de dollars.  En 2008, il a demandé la cessation de la pension alimentaire au profit de l’épouse en plaidant qu’il ne recevait plus de revenu de travail, que le repli du marché avait eu une incidence négative sur son actif et que son fils fréquentait l’université.  Au moment du procès, en 2009, l’époux avait 71 ans et sa première épouse en avait 80.  Selon la juge du procès, la conjoncture économique difficile et la retraite de l’époux constituaient un changement de situation important justifiant la réduction du montant de la pension alimentaire à 1 500 $ par mois, sans indexation.  Les deux parties ont interjeté appel.  La Cour d’appel a confirmé la modification et statué qu’il n’était pas nécessaire que la juge du procès sache quelle était la situation financière de l’époux au moment de l’ordonnance initiale.  Elle a ordonné une réduction graduelle de la pension et sa cessation en septembre 2010.  L’épouse s’est pourvue devant notre Cour. </w:t>
      </w:r>
    </w:p>
    <w:p w:rsidR="000C214B" w:rsidRPr="000C214B" w:rsidRDefault="000C214B" w:rsidP="000C214B">
      <w:pPr>
        <w:pStyle w:val="SCCNormalDoubleSpacing"/>
        <w:widowControl w:val="0"/>
        <w:spacing w:line="240" w:lineRule="auto"/>
        <w:rPr>
          <w:i/>
          <w:sz w:val="20"/>
          <w:lang w:val="fr-CA"/>
        </w:rPr>
      </w:pPr>
    </w:p>
    <w:p w:rsidR="000C214B" w:rsidRPr="000C214B" w:rsidRDefault="000C214B" w:rsidP="000C214B">
      <w:pPr>
        <w:pStyle w:val="SCCNormalDoubleSpacing"/>
        <w:widowControl w:val="0"/>
        <w:spacing w:line="240" w:lineRule="auto"/>
        <w:rPr>
          <w:sz w:val="20"/>
          <w:lang w:val="fr-CA"/>
        </w:rPr>
      </w:pPr>
      <w:r w:rsidRPr="000C214B">
        <w:rPr>
          <w:i/>
          <w:sz w:val="20"/>
          <w:lang w:val="fr-CA"/>
        </w:rPr>
        <w:tab/>
        <w:t>Arrêt</w:t>
      </w:r>
      <w:r w:rsidRPr="000C214B">
        <w:rPr>
          <w:sz w:val="20"/>
          <w:lang w:val="fr-CA"/>
        </w:rPr>
        <w:t xml:space="preserve"> : Le pourvoi est accueilli et l’ordonnance de 1991 est rétablie.  </w:t>
      </w:r>
    </w:p>
    <w:p w:rsidR="000C214B" w:rsidRPr="000C214B" w:rsidRDefault="000C214B" w:rsidP="000C214B">
      <w:pPr>
        <w:pStyle w:val="SCCNormalDoubleSpacing"/>
        <w:widowControl w:val="0"/>
        <w:spacing w:line="240" w:lineRule="auto"/>
        <w:rPr>
          <w:sz w:val="20"/>
          <w:lang w:val="fr-CA"/>
        </w:rPr>
      </w:pPr>
    </w:p>
    <w:p w:rsidR="000C214B" w:rsidRPr="000C214B" w:rsidRDefault="000C214B" w:rsidP="000C214B">
      <w:pPr>
        <w:pStyle w:val="SCCNormalDoubleSpacing"/>
        <w:widowControl w:val="0"/>
        <w:spacing w:line="240" w:lineRule="auto"/>
        <w:rPr>
          <w:sz w:val="20"/>
          <w:lang w:val="fr-CA"/>
        </w:rPr>
      </w:pPr>
      <w:r w:rsidRPr="000C214B">
        <w:rPr>
          <w:sz w:val="20"/>
          <w:lang w:val="fr-CA"/>
        </w:rPr>
        <w:tab/>
      </w:r>
      <w:r w:rsidRPr="000C214B">
        <w:rPr>
          <w:i/>
          <w:sz w:val="20"/>
          <w:lang w:val="fr-CA"/>
        </w:rPr>
        <w:t xml:space="preserve">Les </w:t>
      </w:r>
      <w:r w:rsidRPr="000C214B">
        <w:rPr>
          <w:sz w:val="20"/>
          <w:lang w:val="fr-CA"/>
        </w:rPr>
        <w:t xml:space="preserve">juges Binnie, LeBel, Deschamps, </w:t>
      </w:r>
      <w:r w:rsidRPr="000C214B">
        <w:rPr>
          <w:b/>
          <w:sz w:val="20"/>
          <w:lang w:val="fr-CA"/>
        </w:rPr>
        <w:t>Abella</w:t>
      </w:r>
      <w:r w:rsidRPr="000C214B">
        <w:rPr>
          <w:sz w:val="20"/>
          <w:lang w:val="fr-CA"/>
        </w:rPr>
        <w:t xml:space="preserve"> et </w:t>
      </w:r>
      <w:r w:rsidRPr="000C214B">
        <w:rPr>
          <w:b/>
          <w:sz w:val="20"/>
          <w:lang w:val="fr-CA"/>
        </w:rPr>
        <w:t>Rothstein</w:t>
      </w:r>
      <w:r w:rsidRPr="000C214B">
        <w:rPr>
          <w:sz w:val="20"/>
          <w:lang w:val="fr-CA"/>
        </w:rPr>
        <w:t xml:space="preserve"> : Selon le par. 17(4.1) de la </w:t>
      </w:r>
      <w:r w:rsidRPr="000C214B">
        <w:rPr>
          <w:i/>
          <w:sz w:val="20"/>
          <w:lang w:val="fr-CA"/>
        </w:rPr>
        <w:t>Loi sur le divorce</w:t>
      </w:r>
      <w:r w:rsidRPr="000C214B">
        <w:rPr>
          <w:sz w:val="20"/>
          <w:lang w:val="fr-CA"/>
        </w:rPr>
        <w:t>, la partie qui demande la modification d’une ordonnance alimentaire doit établir qu’il est survenu un changement de situation important depuis que cette ordonnance ou l’ordonnance modificative de celle</w:t>
      </w:r>
      <w:r w:rsidRPr="000C214B">
        <w:rPr>
          <w:sz w:val="20"/>
          <w:lang w:val="fr-CA"/>
        </w:rPr>
        <w:noBreakHyphen/>
        <w:t xml:space="preserve">ci a été rendue.  Selon </w:t>
      </w:r>
      <w:r w:rsidRPr="000C214B">
        <w:rPr>
          <w:i/>
          <w:sz w:val="20"/>
          <w:lang w:val="fr-CA"/>
        </w:rPr>
        <w:t>LMP</w:t>
      </w:r>
      <w:r w:rsidRPr="000C214B">
        <w:rPr>
          <w:sz w:val="20"/>
          <w:lang w:val="fr-CA"/>
        </w:rPr>
        <w:t>,</w:t>
      </w:r>
      <w:r w:rsidRPr="000C214B">
        <w:rPr>
          <w:i/>
          <w:sz w:val="20"/>
          <w:lang w:val="fr-CA"/>
        </w:rPr>
        <w:t xml:space="preserve"> </w:t>
      </w:r>
      <w:r w:rsidRPr="000C214B">
        <w:rPr>
          <w:sz w:val="20"/>
          <w:lang w:val="fr-CA"/>
        </w:rPr>
        <w:t xml:space="preserve">un changement important est un changement qui, s’il avait été connu à l’époque, se serait vraisemblablement traduit par des dispositions différentes dans l’ordonnance existante.  Le tribunal saisi d’une demande de modification doit prendre en considération les dispositions de l’ordonnance et la situation des parties au moment où l’ordonnance a été rendue, pour déterminer si un changement donné est important.  L’ordonnance existante est réputée avoir été bien fondée au moment où elle a été rendue et elle ne sera modifiée que s’il est satisfait aux conditions prévues à l’art. 17 de la </w:t>
      </w:r>
      <w:r w:rsidRPr="000C214B">
        <w:rPr>
          <w:i/>
          <w:sz w:val="20"/>
          <w:lang w:val="fr-CA"/>
        </w:rPr>
        <w:t xml:space="preserve">Loi sur </w:t>
      </w:r>
      <w:r w:rsidRPr="000C214B">
        <w:rPr>
          <w:i/>
          <w:sz w:val="20"/>
          <w:lang w:val="fr-CA"/>
        </w:rPr>
        <w:lastRenderedPageBreak/>
        <w:t>le</w:t>
      </w:r>
      <w:r w:rsidRPr="000C214B">
        <w:rPr>
          <w:sz w:val="20"/>
          <w:lang w:val="fr-CA"/>
        </w:rPr>
        <w:t xml:space="preserve"> </w:t>
      </w:r>
      <w:r w:rsidRPr="000C214B">
        <w:rPr>
          <w:i/>
          <w:sz w:val="20"/>
          <w:lang w:val="fr-CA"/>
        </w:rPr>
        <w:t>divorce</w:t>
      </w:r>
      <w:r w:rsidRPr="000C214B">
        <w:rPr>
          <w:sz w:val="20"/>
          <w:lang w:val="fr-CA"/>
        </w:rPr>
        <w:t xml:space="preserve">.  En l’espèce, il s’agit de déterminer s’il est survenu un changement important dans la situation de l’époux depuis l’ordonnance de 1991.  Sa demande doit être rejetée parce que la preuve comporte deux lacunes cruciales.  Premièrement, le dossier ne contient aucun renseignement sur la question de savoir s’il a vendu l’un de ses placements, et concrétisé ainsi sa perte, lorsque leur valeur a diminué à la fin de 2008.  Il ne peut simplement choisir à son gré une date à laquelle ses placements ont chuté et, sans plus, plaider un changement de circonstances important.  Deuxièmement, il n’y a absolument rien dans le dossier au sujet de la situation financière de l’époux en 1991 lorsque l’ordonnance initiale a été rendue.  Il n’existe donc aucune preuve permettant de tirer des conclusions raisonnables sur le changement qui serait survenu dans la situation financière de l’époux.  Le fait que l’époux ait admis disposer de ressources suffisantes dans une instance antérieure ne saurait le dispenser des obligations que lui impose la loi et du fardeau de preuve correspondant dans la présente instance.  Vu ces lacunes, il est impossible d’établir l’existence d’un quelconque changement important qui permettrait à l’époux d’obtenir une modification de la pension alimentaire au profit de l’épouse.  La </w:t>
      </w:r>
      <w:r w:rsidRPr="000C214B">
        <w:rPr>
          <w:i/>
          <w:sz w:val="20"/>
          <w:lang w:val="fr-CA"/>
        </w:rPr>
        <w:t>Loi sur le divorce</w:t>
      </w:r>
      <w:r w:rsidRPr="000C214B">
        <w:rPr>
          <w:sz w:val="20"/>
          <w:lang w:val="fr-CA"/>
        </w:rPr>
        <w:t xml:space="preserve"> et les </w:t>
      </w:r>
      <w:r w:rsidRPr="000C214B">
        <w:rPr>
          <w:i/>
          <w:sz w:val="20"/>
          <w:lang w:val="fr-CA"/>
        </w:rPr>
        <w:t>R.P.F.</w:t>
      </w:r>
      <w:r w:rsidRPr="000C214B">
        <w:rPr>
          <w:sz w:val="20"/>
          <w:lang w:val="fr-CA"/>
        </w:rPr>
        <w:t xml:space="preserve"> obligeaient l’époux </w:t>
      </w:r>
      <w:r w:rsidRPr="008669A3">
        <w:rPr>
          <w:sz w:val="20"/>
          <w:lang w:val="fr-FR"/>
        </w:rPr>
        <w:t>à préciser le changement sur lequel il se fondait et à produire une preuve suffisante pour permettre au tribunal de décider s’il était effectivement survenu un changement important dans sa situation depuis le prononcé de l’ordonnance de 1991</w:t>
      </w:r>
      <w:r w:rsidRPr="000C214B">
        <w:rPr>
          <w:sz w:val="20"/>
          <w:lang w:val="fr-CA"/>
        </w:rPr>
        <w:t xml:space="preserve">.  Comme il </w:t>
      </w:r>
      <w:r w:rsidRPr="008669A3">
        <w:rPr>
          <w:sz w:val="20"/>
          <w:lang w:val="fr-FR"/>
        </w:rPr>
        <w:t>n’a fourni aucun fondement pour étayer son droit à une modification en vertu de l’art. 17, sa demande est rejetée</w:t>
      </w:r>
      <w:r w:rsidRPr="000C214B">
        <w:rPr>
          <w:sz w:val="20"/>
          <w:lang w:val="fr-CA"/>
        </w:rPr>
        <w:t xml:space="preserve">. </w:t>
      </w:r>
    </w:p>
    <w:p w:rsidR="000C214B" w:rsidRPr="000C214B" w:rsidRDefault="000C214B" w:rsidP="000C214B">
      <w:pPr>
        <w:pStyle w:val="SCCNormalDoubleSpacing"/>
        <w:widowControl w:val="0"/>
        <w:spacing w:line="240" w:lineRule="auto"/>
        <w:rPr>
          <w:i/>
          <w:sz w:val="20"/>
          <w:lang w:val="fr-CA"/>
        </w:rPr>
      </w:pPr>
    </w:p>
    <w:p w:rsidR="000C214B" w:rsidRPr="000C214B" w:rsidRDefault="000C214B" w:rsidP="000C214B">
      <w:pPr>
        <w:pStyle w:val="SCCNormalDoubleSpacing"/>
        <w:widowControl w:val="0"/>
        <w:spacing w:line="240" w:lineRule="auto"/>
        <w:rPr>
          <w:sz w:val="20"/>
          <w:lang w:val="fr-CA"/>
        </w:rPr>
      </w:pPr>
      <w:r w:rsidRPr="000C214B">
        <w:rPr>
          <w:i/>
          <w:sz w:val="20"/>
          <w:lang w:val="fr-CA"/>
        </w:rPr>
        <w:tab/>
        <w:t xml:space="preserve">La </w:t>
      </w:r>
      <w:r w:rsidRPr="000C214B">
        <w:rPr>
          <w:sz w:val="20"/>
          <w:lang w:val="fr-CA"/>
        </w:rPr>
        <w:t xml:space="preserve">juge en chef McLachlin et le juge </w:t>
      </w:r>
      <w:r w:rsidRPr="000C214B">
        <w:rPr>
          <w:b/>
          <w:sz w:val="20"/>
          <w:lang w:val="fr-CA"/>
        </w:rPr>
        <w:t>Cromwell</w:t>
      </w:r>
      <w:r w:rsidRPr="000C214B">
        <w:rPr>
          <w:sz w:val="20"/>
          <w:lang w:val="fr-CA"/>
        </w:rPr>
        <w:t> : Il y a accord avec l’opinion de la majorité selon laquelle la demande de l’intimé en vue de produire un nouvel élément de preuve doit être rejetée, l’appel doit être accueilli avec dépens devant toutes les cours et l’ordonnance de 1991 doit être rétablie pour les motifs exprimés au par. 47.</w:t>
      </w:r>
    </w:p>
    <w:p w:rsidR="000C214B" w:rsidRPr="000C214B" w:rsidRDefault="000C214B" w:rsidP="000C214B">
      <w:pPr>
        <w:pStyle w:val="SCCNormalDoubleSpacing"/>
        <w:widowControl w:val="0"/>
        <w:spacing w:line="240" w:lineRule="auto"/>
        <w:rPr>
          <w:sz w:val="20"/>
          <w:lang w:val="fr-CA"/>
        </w:rPr>
      </w:pPr>
    </w:p>
    <w:p w:rsidR="000C214B" w:rsidRPr="000C214B" w:rsidRDefault="000C214B" w:rsidP="000C214B">
      <w:pPr>
        <w:pStyle w:val="SCCNormalDoubleSpacing"/>
        <w:spacing w:line="240" w:lineRule="auto"/>
        <w:rPr>
          <w:sz w:val="20"/>
          <w:lang w:val="fr-CA"/>
        </w:rPr>
      </w:pPr>
      <w:r w:rsidRPr="000C214B">
        <w:rPr>
          <w:sz w:val="20"/>
          <w:lang w:val="fr-CA"/>
        </w:rPr>
        <w:tab/>
        <w:t>POURVOI contre un arrêt de la Cour d’appel du Québec (les juges Rochon, Dufresne et Léger), 2010 QCCA 478, [2010] J.Q. n</w:t>
      </w:r>
      <w:r w:rsidRPr="000C214B">
        <w:rPr>
          <w:sz w:val="20"/>
          <w:vertAlign w:val="superscript"/>
          <w:lang w:val="fr-CA"/>
        </w:rPr>
        <w:t>o</w:t>
      </w:r>
      <w:r w:rsidRPr="000C214B">
        <w:rPr>
          <w:sz w:val="20"/>
          <w:lang w:val="fr-CA"/>
        </w:rPr>
        <w:t> 1959 (QL), 2010 CarswellQue 2053, qui a confirmé en partie une décision de la juge Samoisette, 2009 QCCS 1304, [2009] J.Q. n</w:t>
      </w:r>
      <w:r w:rsidRPr="000C214B">
        <w:rPr>
          <w:sz w:val="20"/>
          <w:vertAlign w:val="superscript"/>
          <w:lang w:val="fr-CA"/>
        </w:rPr>
        <w:t>o</w:t>
      </w:r>
      <w:r w:rsidRPr="000C214B">
        <w:rPr>
          <w:sz w:val="20"/>
          <w:lang w:val="fr-CA"/>
        </w:rPr>
        <w:t> 2624 (QL), 2009 CarswellQue 2885.  Pourvoi accueilli.</w:t>
      </w:r>
    </w:p>
    <w:p w:rsidR="000C214B" w:rsidRPr="000C214B" w:rsidRDefault="000C214B" w:rsidP="000C214B">
      <w:pPr>
        <w:pStyle w:val="SCCNormalDoubleSpacing"/>
        <w:spacing w:line="240" w:lineRule="auto"/>
        <w:rPr>
          <w:i/>
          <w:sz w:val="20"/>
          <w:lang w:val="fr-CA"/>
        </w:rPr>
      </w:pPr>
    </w:p>
    <w:p w:rsidR="000C214B" w:rsidRPr="000C214B" w:rsidRDefault="000C214B" w:rsidP="000C214B">
      <w:pPr>
        <w:pStyle w:val="SCCNormalDoubleSpacing"/>
        <w:spacing w:line="240" w:lineRule="auto"/>
        <w:rPr>
          <w:sz w:val="20"/>
          <w:lang w:val="fr-CA"/>
        </w:rPr>
      </w:pPr>
      <w:r w:rsidRPr="000C214B">
        <w:rPr>
          <w:i/>
          <w:sz w:val="20"/>
          <w:lang w:val="fr-CA"/>
        </w:rPr>
        <w:tab/>
        <w:t>Julius H. Grey</w:t>
      </w:r>
      <w:r w:rsidRPr="000C214B">
        <w:rPr>
          <w:sz w:val="20"/>
          <w:lang w:val="fr-CA"/>
        </w:rPr>
        <w:t>, pour l’appelante.</w:t>
      </w:r>
    </w:p>
    <w:p w:rsidR="000C214B" w:rsidRPr="000C214B" w:rsidRDefault="000C214B" w:rsidP="000C214B">
      <w:pPr>
        <w:pStyle w:val="SCCNormalDoubleSpacing"/>
        <w:spacing w:line="240" w:lineRule="auto"/>
        <w:rPr>
          <w:i/>
          <w:sz w:val="20"/>
          <w:lang w:val="fr-CA"/>
        </w:rPr>
      </w:pPr>
    </w:p>
    <w:p w:rsidR="000C214B" w:rsidRPr="000C214B" w:rsidRDefault="000C214B" w:rsidP="000C214B">
      <w:pPr>
        <w:pStyle w:val="SCCNormalDoubleSpacing"/>
        <w:spacing w:line="240" w:lineRule="auto"/>
        <w:rPr>
          <w:sz w:val="20"/>
          <w:lang w:val="fr-CA"/>
        </w:rPr>
      </w:pPr>
      <w:r w:rsidRPr="000C214B">
        <w:rPr>
          <w:i/>
          <w:sz w:val="20"/>
          <w:lang w:val="fr-CA"/>
        </w:rPr>
        <w:tab/>
        <w:t>Robert Teitelbaum</w:t>
      </w:r>
      <w:r w:rsidRPr="000C214B">
        <w:rPr>
          <w:sz w:val="20"/>
          <w:lang w:val="fr-CA"/>
        </w:rPr>
        <w:t>, pour l’intimé.</w:t>
      </w:r>
    </w:p>
    <w:p w:rsidR="000C214B" w:rsidRPr="000C214B" w:rsidRDefault="000C214B" w:rsidP="000C214B">
      <w:pPr>
        <w:pStyle w:val="SCCLawFirm"/>
        <w:spacing w:line="240" w:lineRule="auto"/>
        <w:rPr>
          <w:sz w:val="20"/>
          <w:lang w:val="fr-CA"/>
        </w:rPr>
      </w:pPr>
    </w:p>
    <w:p w:rsidR="000C214B" w:rsidRPr="000C214B" w:rsidRDefault="000C214B" w:rsidP="000C214B">
      <w:pPr>
        <w:pStyle w:val="SCCLawFirm"/>
        <w:spacing w:line="240" w:lineRule="auto"/>
        <w:rPr>
          <w:sz w:val="20"/>
          <w:lang w:val="fr-CA"/>
        </w:rPr>
      </w:pPr>
      <w:r w:rsidRPr="000C214B">
        <w:rPr>
          <w:sz w:val="20"/>
          <w:lang w:val="fr-CA"/>
        </w:rPr>
        <w:tab/>
        <w:t>Procureurs de l’appelante : Grey, Casgrain, Montréal.</w:t>
      </w:r>
    </w:p>
    <w:p w:rsidR="000C214B" w:rsidRPr="000C214B" w:rsidRDefault="000C214B" w:rsidP="000C214B">
      <w:pPr>
        <w:pStyle w:val="SCCLawFirm"/>
        <w:spacing w:line="240" w:lineRule="auto"/>
        <w:rPr>
          <w:sz w:val="20"/>
          <w:lang w:val="fr-CA"/>
        </w:rPr>
      </w:pPr>
    </w:p>
    <w:p w:rsidR="000C214B" w:rsidRPr="000C214B" w:rsidRDefault="000C214B" w:rsidP="000C214B">
      <w:pPr>
        <w:pStyle w:val="SCCLawFirm"/>
        <w:spacing w:line="240" w:lineRule="auto"/>
        <w:rPr>
          <w:sz w:val="20"/>
          <w:lang w:val="fr-CA"/>
        </w:rPr>
      </w:pPr>
      <w:r w:rsidRPr="000C214B">
        <w:rPr>
          <w:sz w:val="20"/>
          <w:lang w:val="fr-CA"/>
        </w:rPr>
        <w:tab/>
        <w:t>Procureur de l’intimé : Robert Teitelbaum, Westmount, Québec.</w:t>
      </w:r>
    </w:p>
    <w:p w:rsidR="009916DB" w:rsidRPr="000C214B" w:rsidRDefault="009916DB" w:rsidP="003B3977">
      <w:pPr>
        <w:rPr>
          <w:sz w:val="20"/>
          <w:szCs w:val="20"/>
          <w:lang w:val="fr-CA"/>
        </w:rPr>
      </w:pPr>
    </w:p>
    <w:p w:rsidR="009916DB" w:rsidRDefault="00586706" w:rsidP="003B3977">
      <w:pPr>
        <w:rPr>
          <w:rFonts w:cs="Times New Roman"/>
          <w:sz w:val="20"/>
          <w:szCs w:val="20"/>
          <w:lang w:val="fr-CA"/>
        </w:rPr>
      </w:pPr>
      <w:r w:rsidRPr="00586706">
        <w:rPr>
          <w:rFonts w:cs="Times New Roman"/>
          <w:sz w:val="20"/>
          <w:szCs w:val="20"/>
          <w:lang w:val="fr-CA"/>
        </w:rPr>
        <w:pict>
          <v:rect id="_x0000_i1085" style="width:144.3pt;height:1pt" o:hrpct="300" o:hralign="center" o:hrstd="t" o:hrnoshade="t" o:hr="t" fillcolor="black [3213]" stroked="f"/>
        </w:pict>
      </w:r>
    </w:p>
    <w:p w:rsidR="000C214B" w:rsidRPr="000C214B" w:rsidRDefault="000C214B" w:rsidP="003B3977">
      <w:pPr>
        <w:rPr>
          <w:sz w:val="20"/>
          <w:szCs w:val="20"/>
          <w:lang w:val="fr-CA"/>
        </w:rPr>
      </w:pPr>
    </w:p>
    <w:p w:rsidR="009916DB" w:rsidRPr="000C214B" w:rsidRDefault="009916DB">
      <w:pPr>
        <w:rPr>
          <w:sz w:val="20"/>
          <w:szCs w:val="20"/>
          <w:lang w:val="fr-CA"/>
        </w:rPr>
      </w:pPr>
      <w:r w:rsidRPr="000C214B">
        <w:rPr>
          <w:sz w:val="20"/>
          <w:szCs w:val="20"/>
          <w:lang w:val="fr-CA"/>
        </w:rPr>
        <w:br w:type="page"/>
      </w:r>
    </w:p>
    <w:p w:rsidR="00C45F3C" w:rsidRPr="001E5467" w:rsidRDefault="00C45F3C" w:rsidP="00C45F3C">
      <w:pPr>
        <w:pStyle w:val="SCCLsocParty"/>
        <w:jc w:val="both"/>
        <w:rPr>
          <w:sz w:val="20"/>
          <w:szCs w:val="20"/>
          <w:lang w:val="en-GB"/>
        </w:rPr>
      </w:pPr>
      <w:r w:rsidRPr="00C45F3C">
        <w:rPr>
          <w:i/>
          <w:sz w:val="20"/>
          <w:szCs w:val="20"/>
          <w:lang w:val="en-CA"/>
        </w:rPr>
        <w:lastRenderedPageBreak/>
        <w:t>In the Matter of Section 53 of the Supreme Court Act, R.S.C. 1985, C. S-26 and in the Matter of a Reference by the Governor General in Council concerning the proposed Canadian Securities Act, as set out in Order in Council P.C. 2010-667, dated May 26, 2010</w:t>
      </w:r>
      <w:r w:rsidRPr="00C45F3C">
        <w:rPr>
          <w:sz w:val="20"/>
          <w:szCs w:val="20"/>
          <w:lang w:val="en-CA"/>
        </w:rPr>
        <w:t xml:space="preserve"> (</w:t>
      </w:r>
      <w:r w:rsidRPr="001E5467">
        <w:rPr>
          <w:sz w:val="20"/>
          <w:szCs w:val="20"/>
          <w:lang w:val="en-GB"/>
        </w:rPr>
        <w:t>33718)</w:t>
      </w:r>
    </w:p>
    <w:p w:rsidR="00152219" w:rsidRPr="00152219" w:rsidRDefault="00152219" w:rsidP="00152219">
      <w:pPr>
        <w:jc w:val="both"/>
        <w:rPr>
          <w:b/>
          <w:sz w:val="20"/>
          <w:szCs w:val="20"/>
          <w:lang w:val="fr-CA"/>
        </w:rPr>
      </w:pPr>
      <w:r w:rsidRPr="00152219">
        <w:rPr>
          <w:b/>
          <w:sz w:val="20"/>
          <w:szCs w:val="20"/>
          <w:lang w:val="fr-CA"/>
        </w:rPr>
        <w:t>Indexed as</w:t>
      </w:r>
      <w:proofErr w:type="gramStart"/>
      <w:r w:rsidRPr="00152219">
        <w:rPr>
          <w:b/>
          <w:sz w:val="20"/>
          <w:szCs w:val="20"/>
          <w:lang w:val="fr-CA"/>
        </w:rPr>
        <w:t>:  Reference</w:t>
      </w:r>
      <w:proofErr w:type="gramEnd"/>
      <w:r w:rsidRPr="00152219">
        <w:rPr>
          <w:b/>
          <w:sz w:val="20"/>
          <w:szCs w:val="20"/>
          <w:lang w:val="fr-CA"/>
        </w:rPr>
        <w:t xml:space="preserve"> re </w:t>
      </w:r>
      <w:r w:rsidRPr="00152219">
        <w:rPr>
          <w:b/>
          <w:i/>
          <w:sz w:val="20"/>
          <w:szCs w:val="20"/>
          <w:lang w:val="fr-CA"/>
        </w:rPr>
        <w:t xml:space="preserve">Securities Act / </w:t>
      </w:r>
      <w:r w:rsidRPr="00152219">
        <w:rPr>
          <w:b/>
          <w:sz w:val="20"/>
          <w:szCs w:val="20"/>
          <w:lang w:val="fr-CA"/>
        </w:rPr>
        <w:t xml:space="preserve">Répertorié : Renvoi relatif à la </w:t>
      </w:r>
      <w:r w:rsidRPr="00152219">
        <w:rPr>
          <w:b/>
          <w:i/>
          <w:sz w:val="20"/>
          <w:szCs w:val="20"/>
          <w:lang w:val="fr-CA"/>
        </w:rPr>
        <w:t>Loi sur les valeurs mobilières</w:t>
      </w:r>
    </w:p>
    <w:p w:rsidR="009916DB" w:rsidRPr="00152219" w:rsidRDefault="009916DB" w:rsidP="009916DB">
      <w:pPr>
        <w:pStyle w:val="SCCSystemYear"/>
        <w:jc w:val="both"/>
        <w:rPr>
          <w:sz w:val="20"/>
        </w:rPr>
      </w:pPr>
      <w:r w:rsidRPr="00152219">
        <w:rPr>
          <w:sz w:val="20"/>
        </w:rPr>
        <w:t>Neutral citation</w:t>
      </w:r>
      <w:proofErr w:type="gramStart"/>
      <w:r w:rsidRPr="00152219">
        <w:rPr>
          <w:sz w:val="20"/>
        </w:rPr>
        <w:t>:  2011</w:t>
      </w:r>
      <w:proofErr w:type="gramEnd"/>
      <w:r w:rsidRPr="00152219">
        <w:rPr>
          <w:sz w:val="20"/>
        </w:rPr>
        <w:t xml:space="preserve"> SCC 6</w:t>
      </w:r>
      <w:r w:rsidR="00C45F3C" w:rsidRPr="00152219">
        <w:rPr>
          <w:sz w:val="20"/>
        </w:rPr>
        <w:t>6</w:t>
      </w:r>
      <w:r w:rsidRPr="00152219">
        <w:rPr>
          <w:sz w:val="20"/>
        </w:rPr>
        <w:t xml:space="preserve"> / Référence neutre : 2011 CSC 6</w:t>
      </w:r>
      <w:r w:rsidR="00C45F3C" w:rsidRPr="00152219">
        <w:rPr>
          <w:sz w:val="20"/>
        </w:rPr>
        <w:t>6</w:t>
      </w:r>
    </w:p>
    <w:p w:rsidR="009916DB" w:rsidRPr="00EC4BD6" w:rsidRDefault="009916DB" w:rsidP="009916DB">
      <w:pPr>
        <w:rPr>
          <w:sz w:val="20"/>
          <w:szCs w:val="20"/>
        </w:rPr>
      </w:pPr>
      <w:r w:rsidRPr="00EC4BD6">
        <w:rPr>
          <w:sz w:val="20"/>
          <w:szCs w:val="20"/>
        </w:rPr>
        <w:t xml:space="preserve">Hearing:  April </w:t>
      </w:r>
      <w:r w:rsidR="005E7739">
        <w:rPr>
          <w:sz w:val="20"/>
          <w:szCs w:val="20"/>
        </w:rPr>
        <w:t>13 and 14,</w:t>
      </w:r>
      <w:r w:rsidRPr="00EC4BD6">
        <w:rPr>
          <w:sz w:val="20"/>
          <w:szCs w:val="20"/>
        </w:rPr>
        <w:t xml:space="preserve"> 2011 / Judgment:  December 2</w:t>
      </w:r>
      <w:r w:rsidR="00C45F3C" w:rsidRPr="00EC4BD6">
        <w:rPr>
          <w:sz w:val="20"/>
          <w:szCs w:val="20"/>
        </w:rPr>
        <w:t>2</w:t>
      </w:r>
      <w:r w:rsidRPr="00EC4BD6">
        <w:rPr>
          <w:sz w:val="20"/>
          <w:szCs w:val="20"/>
        </w:rPr>
        <w:t>, 2011</w:t>
      </w:r>
    </w:p>
    <w:p w:rsidR="009916DB" w:rsidRPr="003B3977" w:rsidRDefault="009916DB" w:rsidP="009916DB">
      <w:pPr>
        <w:rPr>
          <w:sz w:val="20"/>
          <w:szCs w:val="20"/>
          <w:lang w:val="fr-CA"/>
        </w:rPr>
      </w:pPr>
      <w:r w:rsidRPr="003B3977">
        <w:rPr>
          <w:sz w:val="20"/>
          <w:szCs w:val="20"/>
          <w:lang w:val="fr-CA"/>
        </w:rPr>
        <w:t>Audition : Le</w:t>
      </w:r>
      <w:r w:rsidR="005E7739">
        <w:rPr>
          <w:sz w:val="20"/>
          <w:szCs w:val="20"/>
          <w:lang w:val="fr-CA"/>
        </w:rPr>
        <w:t>s 13 et 14</w:t>
      </w:r>
      <w:r>
        <w:rPr>
          <w:sz w:val="20"/>
          <w:szCs w:val="20"/>
          <w:lang w:val="fr-CA"/>
        </w:rPr>
        <w:t xml:space="preserve"> avr</w:t>
      </w:r>
      <w:r w:rsidRPr="003B3977">
        <w:rPr>
          <w:sz w:val="20"/>
          <w:szCs w:val="20"/>
          <w:lang w:val="fr-CA"/>
        </w:rPr>
        <w:t>i</w:t>
      </w:r>
      <w:r>
        <w:rPr>
          <w:sz w:val="20"/>
          <w:szCs w:val="20"/>
          <w:lang w:val="fr-CA"/>
        </w:rPr>
        <w:t>l</w:t>
      </w:r>
      <w:r w:rsidRPr="003B3977">
        <w:rPr>
          <w:sz w:val="20"/>
          <w:szCs w:val="20"/>
          <w:lang w:val="fr-CA"/>
        </w:rPr>
        <w:t xml:space="preserve"> 201</w:t>
      </w:r>
      <w:r>
        <w:rPr>
          <w:sz w:val="20"/>
          <w:szCs w:val="20"/>
          <w:lang w:val="fr-CA"/>
        </w:rPr>
        <w:t>1</w:t>
      </w:r>
      <w:r w:rsidRPr="003B3977">
        <w:rPr>
          <w:sz w:val="20"/>
          <w:szCs w:val="20"/>
          <w:lang w:val="fr-CA"/>
        </w:rPr>
        <w:t xml:space="preserve"> / Jugement : Le 2</w:t>
      </w:r>
      <w:r w:rsidR="00C45F3C">
        <w:rPr>
          <w:sz w:val="20"/>
          <w:szCs w:val="20"/>
          <w:lang w:val="fr-CA"/>
        </w:rPr>
        <w:t>2</w:t>
      </w:r>
      <w:r>
        <w:rPr>
          <w:sz w:val="20"/>
          <w:szCs w:val="20"/>
          <w:lang w:val="fr-CA"/>
        </w:rPr>
        <w:t xml:space="preserve"> décem</w:t>
      </w:r>
      <w:r w:rsidRPr="003B3977">
        <w:rPr>
          <w:sz w:val="20"/>
          <w:szCs w:val="20"/>
          <w:lang w:val="fr-CA"/>
        </w:rPr>
        <w:t>bre 201</w:t>
      </w:r>
      <w:r>
        <w:rPr>
          <w:sz w:val="20"/>
          <w:szCs w:val="20"/>
          <w:lang w:val="fr-CA"/>
        </w:rPr>
        <w:t>1</w:t>
      </w:r>
    </w:p>
    <w:p w:rsidR="009916DB" w:rsidRPr="003B3977" w:rsidRDefault="00586706" w:rsidP="009916DB">
      <w:pPr>
        <w:rPr>
          <w:sz w:val="20"/>
          <w:szCs w:val="20"/>
          <w:lang w:val="fr-CA"/>
        </w:rPr>
      </w:pPr>
      <w:r w:rsidRPr="00586706">
        <w:rPr>
          <w:i/>
          <w:sz w:val="20"/>
          <w:szCs w:val="20"/>
        </w:rPr>
        <w:pict>
          <v:rect id="_x0000_i1086" style="width:480.95pt;height:1pt" o:hralign="center" o:hrstd="t" o:hrnoshade="t" o:hr="t" fillcolor="black [3213]" stroked="f"/>
        </w:pict>
      </w:r>
    </w:p>
    <w:p w:rsidR="009916DB" w:rsidRPr="003B3977" w:rsidRDefault="009916DB" w:rsidP="009916DB">
      <w:pPr>
        <w:spacing w:line="0" w:lineRule="atLeast"/>
        <w:rPr>
          <w:sz w:val="20"/>
          <w:szCs w:val="20"/>
          <w:lang w:val="fr-CA"/>
        </w:rPr>
      </w:pPr>
    </w:p>
    <w:p w:rsidR="00152219" w:rsidRPr="00AD00DC" w:rsidRDefault="00152219" w:rsidP="00152219">
      <w:pPr>
        <w:jc w:val="both"/>
        <w:rPr>
          <w:sz w:val="20"/>
          <w:szCs w:val="20"/>
        </w:rPr>
      </w:pPr>
      <w:r w:rsidRPr="00AD00DC">
        <w:rPr>
          <w:sz w:val="20"/>
          <w:szCs w:val="20"/>
        </w:rPr>
        <w:t>Present:  McLachlin C.J. and Binnie, LeBel, Deschamps, Fish, Abella, Charron, Rothstein and Cromwell JJ.</w:t>
      </w:r>
    </w:p>
    <w:p w:rsidR="00152219" w:rsidRPr="00AD00DC" w:rsidRDefault="00152219" w:rsidP="00152219">
      <w:pPr>
        <w:pStyle w:val="SCCLowerCourtNameLowercase"/>
        <w:spacing w:line="240" w:lineRule="auto"/>
        <w:rPr>
          <w:sz w:val="20"/>
        </w:rPr>
      </w:pPr>
    </w:p>
    <w:p w:rsidR="00152219" w:rsidRPr="00AD00DC" w:rsidRDefault="00152219" w:rsidP="00152219">
      <w:pPr>
        <w:pStyle w:val="SCCNormalDoubleSpacing"/>
        <w:spacing w:line="240" w:lineRule="auto"/>
        <w:rPr>
          <w:i/>
          <w:sz w:val="20"/>
        </w:rPr>
      </w:pPr>
      <w:r w:rsidRPr="00AD00DC">
        <w:rPr>
          <w:i/>
          <w:sz w:val="20"/>
        </w:rPr>
        <w:tab/>
        <w:t xml:space="preserve">Constitutional law </w:t>
      </w:r>
      <w:r w:rsidRPr="00AD00DC">
        <w:rPr>
          <w:sz w:val="20"/>
        </w:rPr>
        <w:t>—</w:t>
      </w:r>
      <w:r w:rsidRPr="00AD00DC">
        <w:rPr>
          <w:i/>
          <w:sz w:val="20"/>
        </w:rPr>
        <w:t xml:space="preserve"> Division of powers </w:t>
      </w:r>
      <w:r w:rsidRPr="00AD00DC">
        <w:rPr>
          <w:sz w:val="20"/>
        </w:rPr>
        <w:t xml:space="preserve">— </w:t>
      </w:r>
      <w:r w:rsidRPr="00AD00DC">
        <w:rPr>
          <w:i/>
          <w:sz w:val="20"/>
        </w:rPr>
        <w:t xml:space="preserve">Trade and commerce </w:t>
      </w:r>
      <w:r w:rsidRPr="00AD00DC">
        <w:rPr>
          <w:sz w:val="20"/>
        </w:rPr>
        <w:t>—</w:t>
      </w:r>
      <w:r w:rsidRPr="00AD00DC">
        <w:rPr>
          <w:i/>
          <w:sz w:val="20"/>
        </w:rPr>
        <w:t xml:space="preserve"> Securities </w:t>
      </w:r>
      <w:r w:rsidRPr="00AD00DC">
        <w:rPr>
          <w:sz w:val="20"/>
        </w:rPr>
        <w:t>—</w:t>
      </w:r>
      <w:r w:rsidRPr="00AD00DC">
        <w:rPr>
          <w:i/>
          <w:sz w:val="20"/>
        </w:rPr>
        <w:t xml:space="preserve"> </w:t>
      </w:r>
      <w:proofErr w:type="gramStart"/>
      <w:r w:rsidRPr="00AD00DC">
        <w:rPr>
          <w:i/>
          <w:sz w:val="20"/>
        </w:rPr>
        <w:t>Whether</w:t>
      </w:r>
      <w:proofErr w:type="gramEnd"/>
      <w:r w:rsidRPr="00AD00DC">
        <w:rPr>
          <w:i/>
          <w:sz w:val="20"/>
        </w:rPr>
        <w:t xml:space="preserve"> proposed legislation valid under general branch of federal power to regulate trade and commerce </w:t>
      </w:r>
      <w:r w:rsidRPr="00AD00DC">
        <w:rPr>
          <w:sz w:val="20"/>
        </w:rPr>
        <w:t>—</w:t>
      </w:r>
      <w:r w:rsidRPr="00AD00DC">
        <w:rPr>
          <w:i/>
          <w:sz w:val="20"/>
        </w:rPr>
        <w:t xml:space="preserve"> Constitution Act, 1867, s. 91(2).</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 xml:space="preserve">Pursuant to s. 53 of the </w:t>
      </w:r>
      <w:r w:rsidRPr="00AD00DC">
        <w:rPr>
          <w:i/>
          <w:sz w:val="20"/>
        </w:rPr>
        <w:t>Supreme Court Act</w:t>
      </w:r>
      <w:r w:rsidRPr="00AD00DC">
        <w:rPr>
          <w:sz w:val="20"/>
        </w:rPr>
        <w:t xml:space="preserve">, the Governor in Council has sought an advisory opinion from the Court as to whether the proposed </w:t>
      </w:r>
      <w:r w:rsidRPr="00AD00DC">
        <w:rPr>
          <w:i/>
          <w:sz w:val="20"/>
        </w:rPr>
        <w:t>Securities Act</w:t>
      </w:r>
      <w:r w:rsidRPr="00AD00DC">
        <w:rPr>
          <w:sz w:val="20"/>
        </w:rPr>
        <w:t xml:space="preserve"> set out in Order in Council P.C. 2010</w:t>
      </w:r>
      <w:r w:rsidRPr="00AD00DC">
        <w:rPr>
          <w:sz w:val="20"/>
        </w:rPr>
        <w:noBreakHyphen/>
        <w:t xml:space="preserve">667 falls within the legislative authority of the Parliament of Canada. </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 xml:space="preserve">The preamble of the proposed Act states that its purpose is to create a single Canadian securities regulator.  More broadly, s. 9 states that the purposes of the Act are to provide investor protection, to foster fair, efficient and competitive capital markets and to contribute to the integrity and stability of Canada’s financial system.  The Act includes registration requirements for securities dealers, prospectus filing requirements, disclosure requirements, specific duties for market participants, </w:t>
      </w:r>
      <w:proofErr w:type="gramStart"/>
      <w:r w:rsidRPr="00AD00DC">
        <w:rPr>
          <w:sz w:val="20"/>
        </w:rPr>
        <w:t>a</w:t>
      </w:r>
      <w:proofErr w:type="gramEnd"/>
      <w:r w:rsidRPr="00AD00DC">
        <w:rPr>
          <w:sz w:val="20"/>
        </w:rPr>
        <w:t xml:space="preserve"> framework for the regulation of derivatives, civil remedies and regulatory and criminal offences pertaining to securities.  The Act does not unilaterally impose a unified system, but permits provinces and territories to opt in, with the hope of creating an effective unified national securities regulation system.</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 xml:space="preserve">Canada, joined by Ontario and several interveners, argues that the Act, viewed in its entirety, falls within the general branch of Parliament’s power to regulate trade and commerce under s. 91(2) of the </w:t>
      </w:r>
      <w:r w:rsidRPr="00AD00DC">
        <w:rPr>
          <w:i/>
          <w:sz w:val="20"/>
        </w:rPr>
        <w:t>Constitution Act, 1867</w:t>
      </w:r>
      <w:r w:rsidRPr="00AD00DC">
        <w:rPr>
          <w:sz w:val="20"/>
        </w:rPr>
        <w:t xml:space="preserve">.  </w:t>
      </w:r>
      <w:r w:rsidRPr="00AD00DC">
        <w:rPr>
          <w:sz w:val="20"/>
          <w:lang w:val="en-US"/>
        </w:rPr>
        <w:t>Alberta, Quebec, Manitoba, New Brunswick and other interveners</w:t>
      </w:r>
      <w:r w:rsidRPr="00AD00DC">
        <w:rPr>
          <w:sz w:val="20"/>
          <w:lang w:val="en-US" w:bidi="en-US"/>
        </w:rPr>
        <w:t xml:space="preserve"> argue that the scheme falls</w:t>
      </w:r>
      <w:r w:rsidRPr="00AD00DC">
        <w:rPr>
          <w:sz w:val="20"/>
          <w:lang w:bidi="en-US"/>
        </w:rPr>
        <w:t xml:space="preserve"> under the provincial power over property and civil rights under s. 92(13) of the </w:t>
      </w:r>
      <w:r w:rsidRPr="00AD00DC">
        <w:rPr>
          <w:i/>
          <w:sz w:val="20"/>
          <w:lang w:bidi="en-US"/>
        </w:rPr>
        <w:t>Constitution Act, 1867</w:t>
      </w:r>
      <w:r w:rsidRPr="00AD00DC">
        <w:rPr>
          <w:sz w:val="20"/>
          <w:lang w:bidi="en-US"/>
        </w:rPr>
        <w:t xml:space="preserve"> and trenches on provincial legislative jurisdiction over </w:t>
      </w:r>
      <w:r w:rsidRPr="00AD00DC">
        <w:rPr>
          <w:sz w:val="20"/>
        </w:rPr>
        <w:t>matters of a merely local or private nature (s. 92(16)), namely</w:t>
      </w:r>
      <w:r w:rsidRPr="00AD00DC">
        <w:rPr>
          <w:sz w:val="20"/>
          <w:lang w:val="en-US"/>
        </w:rPr>
        <w:t xml:space="preserve"> the regulation of contracts, property and professions. </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r>
      <w:r w:rsidRPr="00AD00DC">
        <w:rPr>
          <w:i/>
          <w:sz w:val="20"/>
        </w:rPr>
        <w:t>Held:</w:t>
      </w:r>
      <w:r w:rsidRPr="00AD00DC">
        <w:rPr>
          <w:sz w:val="20"/>
        </w:rPr>
        <w:t xml:space="preserve">  The </w:t>
      </w:r>
      <w:r w:rsidRPr="00AD00DC">
        <w:rPr>
          <w:i/>
          <w:sz w:val="20"/>
        </w:rPr>
        <w:t>Securities Act</w:t>
      </w:r>
      <w:r w:rsidRPr="00AD00DC">
        <w:rPr>
          <w:sz w:val="20"/>
        </w:rPr>
        <w:t xml:space="preserve"> as presently drafted is not valid under the general branch of the federal power to regulate trade and commerce under s. 91(2) of the </w:t>
      </w:r>
      <w:r w:rsidRPr="00AD00DC">
        <w:rPr>
          <w:i/>
          <w:sz w:val="20"/>
        </w:rPr>
        <w:t>Constitution Act, 1867</w:t>
      </w:r>
      <w:r w:rsidRPr="00AD00DC">
        <w:rPr>
          <w:sz w:val="20"/>
        </w:rPr>
        <w:t xml:space="preserve">. </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 xml:space="preserve">To determine the constitutional validity of legislation from a division of powers perspective, the pith and substance analysis requires the courts to look at the purpose and effects of the law.  The inquiry then turns to whether the legislation falls under the head of power said to support it.  If the pith and substance of the legislation is classified as falling under a head of power assigned to the adopting level of government, the legislation is valid.  When a matter possesses both federal and provincial aspects, the double aspect doctrine may allow for the concurrent application of both federal and provincial legislation. </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 xml:space="preserve">Parliament’s power over the regulation of trade and commerce under s. 91(2) of the </w:t>
      </w:r>
      <w:r w:rsidRPr="00AD00DC">
        <w:rPr>
          <w:i/>
          <w:sz w:val="20"/>
        </w:rPr>
        <w:t>Constitution Act, 1867</w:t>
      </w:r>
      <w:r w:rsidRPr="00AD00DC">
        <w:rPr>
          <w:sz w:val="20"/>
        </w:rPr>
        <w:t xml:space="preserve"> has two branches — the power over interprovincial commerce and the general trade and commerce power.  Only the general trade and commerce power is invoked by Canada in this reference.  This power, while on its face broad, is necessarily circumscribed.  It cannot be used in a way that denies the provincial legislatures the power to regulate local matters and industries within their boundaries.  Nor can the power of the provinces to regulate property and civil rights within the provinces deprive the federal Parliament of its powers under s. 91(2) to legislate on matters of genuine national importance and scope — matters that transcend the local and concern Canada as a whole. </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 xml:space="preserve">As held in </w:t>
      </w:r>
      <w:r w:rsidRPr="00AD00DC">
        <w:rPr>
          <w:i/>
          <w:sz w:val="20"/>
        </w:rPr>
        <w:t>General Motors</w:t>
      </w:r>
      <w:r w:rsidRPr="00AD00DC">
        <w:rPr>
          <w:sz w:val="20"/>
        </w:rPr>
        <w:t xml:space="preserve">, to fall under the general branch of s. 91(2), legislation must engage the national interest in a manner that is qualitatively different from provincial concerns.  Whether a law is validly adopted under the general trade and commerce power may be ascertained asking (1) whether the law is part of a general regulatory </w:t>
      </w:r>
      <w:r w:rsidRPr="00AD00DC">
        <w:rPr>
          <w:sz w:val="20"/>
        </w:rPr>
        <w:lastRenderedPageBreak/>
        <w:t>scheme; (2) whether the scheme is under the oversight of a regulatory agency; (3) whether the legislation is concerned with trade as a whole rather than with a particular industry; (4) whether it is of such a nature that provinces, acting alone or in concert, would be constitutionally incapable of enacting it; and (5) whether the legislative scheme is such that the failure to include one or more provinces or localities in the scheme would jeopardize its successful operation in other parts of the country.  These indicia of validity are not exhaustive, nor is it necessary that they be present in every case.</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 xml:space="preserve">Here, the main thrust of the Act is to regulate, on an exclusive basis, all aspects of securities trading in Canada, including the trades and occupations related to securities in each of the provinces.  The purpose of the Act is to implement a comprehensive Canadian regime to regulate securities with a view to protect investors, to promote fair, efficient and competitive capital markets and to ensure the integrity and stability of the financial system. Its effects would be to duplicate and displace the existing provincial and territorial securities regimes. </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Applying the settled case law, the Act, viewed in its entirety, cannot be classified as falling within the general trade and commerce power.  Its main thrust does not address a matter of genuine national importance and scope going to trade as a whole in a way that is distinct and different from provincial concerns.  Canada has not established that the area of securities has been so transformed that it now falls to be regulated under the federal head of power.  The preservation of capital markets to fuel Canada’s economy and maintain Canada’s financial stability is a matter that goes beyond a specific industry and engages trade as a whole.  However, the Act is chiefly concerned with the day</w:t>
      </w:r>
      <w:r w:rsidRPr="00AD00DC">
        <w:rPr>
          <w:sz w:val="20"/>
        </w:rPr>
        <w:noBreakHyphen/>
        <w:t>to</w:t>
      </w:r>
      <w:r w:rsidRPr="00AD00DC">
        <w:rPr>
          <w:sz w:val="20"/>
        </w:rPr>
        <w:noBreakHyphen/>
        <w:t>day regulation of all aspects of contracts for securities within the provinces, including all aspects of public protection and professional competences.  These matters remain essentially provincial concerns falling within property and civil rights in the provinces and are not related to trade as a whole.  Specific aspects of the Act aimed at addressing matters of genuine national importance and scope going to trade as a whole in a way that is distinct from provincial concerns, including management of systemic risk and national data collection, appear to be related to the general trade and commerce power.  With respect to these aspects of the Act, the provinces, acting alone or in concert, lack the constitutional capacity to sustain a viable national scheme.  Viewed as a whole, however, the Act is not chiefly aimed at genuine federal concerns.  It is principally directed at the day</w:t>
      </w:r>
      <w:r w:rsidRPr="00AD00DC">
        <w:rPr>
          <w:sz w:val="20"/>
        </w:rPr>
        <w:noBreakHyphen/>
        <w:t>to</w:t>
      </w:r>
      <w:r w:rsidRPr="00AD00DC">
        <w:rPr>
          <w:sz w:val="20"/>
        </w:rPr>
        <w:noBreakHyphen/>
        <w:t xml:space="preserve">day regulation of all aspects of securities and, in this respect, it would not founder if a particular province failed to participate in the federal scheme. </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t>In sum, the proposed Act overreaches genuine national concerns.  While the economic importance and pervasive character of the securities market may, in principle, support federal intervention that is qualitatively different from what the provinces can do, they do not justify a wholesale takeover of the regulation of the securities industry which is the ultimate consequence of the proposed federal legislation.  A cooperative approach that permits a scheme recognizing the essentially provincial nature of securities regulation while allowing Parliament to deal with genuinely national concerns remains available and is supported by Canadian constitutional principles and by the practice adopted by the federal and provincial governments in other fields of activities.</w:t>
      </w:r>
    </w:p>
    <w:p w:rsidR="00152219" w:rsidRPr="00AD00DC" w:rsidRDefault="00152219" w:rsidP="00152219">
      <w:pPr>
        <w:pStyle w:val="SCCNormalDoubleSpacing"/>
        <w:spacing w:line="240" w:lineRule="auto"/>
        <w:rPr>
          <w:sz w:val="20"/>
        </w:rPr>
      </w:pPr>
    </w:p>
    <w:p w:rsidR="00152219" w:rsidRPr="00AD00DC" w:rsidRDefault="00152219" w:rsidP="00152219">
      <w:pPr>
        <w:pStyle w:val="SCCNormalDoubleSpacing"/>
        <w:spacing w:line="240" w:lineRule="auto"/>
        <w:rPr>
          <w:sz w:val="20"/>
        </w:rPr>
      </w:pPr>
      <w:r w:rsidRPr="00AD00DC">
        <w:rPr>
          <w:sz w:val="20"/>
        </w:rPr>
        <w:tab/>
      </w:r>
      <w:proofErr w:type="gramStart"/>
      <w:r w:rsidRPr="00AD00DC">
        <w:rPr>
          <w:smallCaps/>
          <w:sz w:val="20"/>
        </w:rPr>
        <w:t xml:space="preserve">REFERENCE </w:t>
      </w:r>
      <w:r w:rsidRPr="00AD00DC">
        <w:rPr>
          <w:sz w:val="20"/>
        </w:rPr>
        <w:t xml:space="preserve">by the Governor in Council, pursuant to s. 53 of the </w:t>
      </w:r>
      <w:r w:rsidRPr="00AD00DC">
        <w:rPr>
          <w:i/>
          <w:sz w:val="20"/>
        </w:rPr>
        <w:t>Supreme Court Act</w:t>
      </w:r>
      <w:r w:rsidRPr="00AD00DC">
        <w:rPr>
          <w:sz w:val="20"/>
        </w:rPr>
        <w:t xml:space="preserve">, </w:t>
      </w:r>
      <w:r w:rsidRPr="00AD00DC">
        <w:rPr>
          <w:bCs/>
          <w:sz w:val="20"/>
          <w:lang w:val="en-US"/>
        </w:rPr>
        <w:t xml:space="preserve">concerning the constitutional validity of the </w:t>
      </w:r>
      <w:r w:rsidRPr="00AD00DC">
        <w:rPr>
          <w:sz w:val="20"/>
        </w:rPr>
        <w:t xml:space="preserve">proposed </w:t>
      </w:r>
      <w:r w:rsidRPr="00AD00DC">
        <w:rPr>
          <w:i/>
          <w:sz w:val="20"/>
        </w:rPr>
        <w:t>Securities Act</w:t>
      </w:r>
      <w:r w:rsidRPr="00AD00DC">
        <w:rPr>
          <w:sz w:val="20"/>
        </w:rPr>
        <w:t>.</w:t>
      </w:r>
      <w:proofErr w:type="gramEnd"/>
      <w:r w:rsidRPr="00AD00DC">
        <w:rPr>
          <w:sz w:val="20"/>
        </w:rPr>
        <w:t xml:space="preserve">  The question referred to was answered as follows:  The </w:t>
      </w:r>
      <w:r w:rsidRPr="00AD00DC">
        <w:rPr>
          <w:i/>
          <w:sz w:val="20"/>
        </w:rPr>
        <w:t>Securities Act</w:t>
      </w:r>
      <w:r w:rsidRPr="00AD00DC">
        <w:rPr>
          <w:sz w:val="20"/>
        </w:rPr>
        <w:t xml:space="preserve"> as presently drafted is not valid under the general branch of the federal power to regulate trade and commerce under s. 91(2) of the </w:t>
      </w:r>
      <w:r w:rsidRPr="00AD00DC">
        <w:rPr>
          <w:i/>
          <w:sz w:val="20"/>
        </w:rPr>
        <w:t>Constitution Act, 1867.</w:t>
      </w:r>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Robert J. Frater</w:t>
      </w:r>
      <w:r w:rsidRPr="00AD00DC">
        <w:rPr>
          <w:sz w:val="20"/>
        </w:rPr>
        <w:t xml:space="preserve">, </w:t>
      </w:r>
      <w:r w:rsidRPr="00AD00DC">
        <w:rPr>
          <w:i/>
          <w:sz w:val="20"/>
        </w:rPr>
        <w:t>Peter W. Hogg, Q.C., Claude Joyal</w:t>
      </w:r>
      <w:r w:rsidRPr="00AD00DC">
        <w:rPr>
          <w:sz w:val="20"/>
        </w:rPr>
        <w:t xml:space="preserve"> and </w:t>
      </w:r>
      <w:r w:rsidRPr="00AD00DC">
        <w:rPr>
          <w:i/>
          <w:sz w:val="20"/>
        </w:rPr>
        <w:t>Alexander Pless</w:t>
      </w:r>
      <w:r w:rsidRPr="00AD00DC">
        <w:rPr>
          <w:sz w:val="20"/>
        </w:rPr>
        <w:t>, for the Attorney General of Canada.</w:t>
      </w:r>
      <w:proofErr w:type="gramEnd"/>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Janet E. Minor</w:t>
      </w:r>
      <w:r w:rsidRPr="00AD00DC">
        <w:rPr>
          <w:sz w:val="20"/>
        </w:rPr>
        <w:t xml:space="preserve">, </w:t>
      </w:r>
      <w:r w:rsidRPr="00AD00DC">
        <w:rPr>
          <w:i/>
          <w:sz w:val="20"/>
        </w:rPr>
        <w:t>Jennifer A. August</w:t>
      </w:r>
      <w:r w:rsidRPr="00AD00DC">
        <w:rPr>
          <w:sz w:val="20"/>
        </w:rPr>
        <w:t xml:space="preserve"> and </w:t>
      </w:r>
      <w:r w:rsidRPr="00AD00DC">
        <w:rPr>
          <w:i/>
          <w:sz w:val="20"/>
        </w:rPr>
        <w:t>S. Zachary Green</w:t>
      </w:r>
      <w:r w:rsidRPr="00AD00DC">
        <w:rPr>
          <w:sz w:val="20"/>
        </w:rPr>
        <w:t>, for the intervener the Attorney General of Ontario.</w:t>
      </w:r>
      <w:proofErr w:type="gramEnd"/>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Jean</w:t>
      </w:r>
      <w:r w:rsidRPr="00AD00DC">
        <w:rPr>
          <w:i/>
          <w:sz w:val="20"/>
        </w:rPr>
        <w:noBreakHyphen/>
        <w:t>Yves Bernard</w:t>
      </w:r>
      <w:r w:rsidRPr="00AD00DC">
        <w:rPr>
          <w:sz w:val="20"/>
        </w:rPr>
        <w:t xml:space="preserve">, </w:t>
      </w:r>
      <w:r w:rsidRPr="00AD00DC">
        <w:rPr>
          <w:i/>
          <w:sz w:val="20"/>
        </w:rPr>
        <w:t>France Bonsaint</w:t>
      </w:r>
      <w:r w:rsidRPr="00AD00DC">
        <w:rPr>
          <w:sz w:val="20"/>
        </w:rPr>
        <w:t xml:space="preserve"> and </w:t>
      </w:r>
      <w:r w:rsidRPr="00AD00DC">
        <w:rPr>
          <w:i/>
          <w:sz w:val="20"/>
        </w:rPr>
        <w:t>Hugo Jean</w:t>
      </w:r>
      <w:r w:rsidRPr="00AD00DC">
        <w:rPr>
          <w:sz w:val="20"/>
        </w:rPr>
        <w:t>, for the intervener the Attorney General of Quebec.</w:t>
      </w:r>
      <w:proofErr w:type="gramEnd"/>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Gaétan Migneault</w:t>
      </w:r>
      <w:r w:rsidRPr="00AD00DC">
        <w:rPr>
          <w:sz w:val="20"/>
        </w:rPr>
        <w:t>, for the intervener the Attorney General of New Brunswick.</w:t>
      </w:r>
      <w:proofErr w:type="gramEnd"/>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Eugene B. Szach</w:t>
      </w:r>
      <w:r w:rsidRPr="00AD00DC">
        <w:rPr>
          <w:sz w:val="20"/>
        </w:rPr>
        <w:t xml:space="preserve"> and </w:t>
      </w:r>
      <w:r w:rsidRPr="00AD00DC">
        <w:rPr>
          <w:i/>
          <w:sz w:val="20"/>
        </w:rPr>
        <w:t>Nathaniel Carnegie</w:t>
      </w:r>
      <w:r w:rsidRPr="00AD00DC">
        <w:rPr>
          <w:sz w:val="20"/>
        </w:rPr>
        <w:t>, for the intervener the Attorney General of Manitoba.</w:t>
      </w:r>
      <w:proofErr w:type="gramEnd"/>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George H. Copley, Q.C.</w:t>
      </w:r>
      <w:r w:rsidRPr="00AD00DC">
        <w:rPr>
          <w:sz w:val="20"/>
        </w:rPr>
        <w:t xml:space="preserve">, </w:t>
      </w:r>
      <w:r w:rsidRPr="00AD00DC">
        <w:rPr>
          <w:i/>
          <w:sz w:val="20"/>
        </w:rPr>
        <w:t>Nancy E. Brown</w:t>
      </w:r>
      <w:r w:rsidRPr="00AD00DC">
        <w:rPr>
          <w:sz w:val="20"/>
        </w:rPr>
        <w:t xml:space="preserve"> and </w:t>
      </w:r>
      <w:r w:rsidRPr="00AD00DC">
        <w:rPr>
          <w:i/>
          <w:sz w:val="20"/>
        </w:rPr>
        <w:t>Donald Sutherland</w:t>
      </w:r>
      <w:r w:rsidRPr="00AD00DC">
        <w:rPr>
          <w:sz w:val="20"/>
        </w:rPr>
        <w:t>, for the intervener the Attorney General of British Columbia.</w:t>
      </w:r>
      <w:proofErr w:type="gramEnd"/>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t>Graeme G. Mitchell, Q.C.</w:t>
      </w:r>
      <w:r w:rsidRPr="00AD00DC">
        <w:rPr>
          <w:sz w:val="20"/>
        </w:rPr>
        <w:t>, for the intervener the Attorney General for Saskatchewan.</w:t>
      </w:r>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t xml:space="preserve">E. David D. Tavender, Q.C., D. Brian Foster, Q.C., L. Christine </w:t>
      </w:r>
      <w:proofErr w:type="gramStart"/>
      <w:r w:rsidRPr="00AD00DC">
        <w:rPr>
          <w:i/>
          <w:sz w:val="20"/>
        </w:rPr>
        <w:t>Enns</w:t>
      </w:r>
      <w:r w:rsidRPr="00AD00DC">
        <w:rPr>
          <w:sz w:val="20"/>
        </w:rPr>
        <w:t xml:space="preserve">  and</w:t>
      </w:r>
      <w:proofErr w:type="gramEnd"/>
      <w:r w:rsidRPr="00AD00DC">
        <w:rPr>
          <w:sz w:val="20"/>
        </w:rPr>
        <w:t xml:space="preserve"> </w:t>
      </w:r>
      <w:r w:rsidRPr="00AD00DC">
        <w:rPr>
          <w:i/>
          <w:sz w:val="20"/>
        </w:rPr>
        <w:t>Jordan C. Milne</w:t>
      </w:r>
      <w:r w:rsidRPr="00AD00DC">
        <w:rPr>
          <w:sz w:val="20"/>
        </w:rPr>
        <w:t>, for the intervener the Attorney General of Alberta.</w:t>
      </w:r>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Andrew K. Lokan</w:t>
      </w:r>
      <w:r w:rsidRPr="00AD00DC">
        <w:rPr>
          <w:sz w:val="20"/>
        </w:rPr>
        <w:t xml:space="preserve">, </w:t>
      </w:r>
      <w:r w:rsidRPr="00AD00DC">
        <w:rPr>
          <w:i/>
          <w:sz w:val="20"/>
        </w:rPr>
        <w:t>Massimo C. Starnino</w:t>
      </w:r>
      <w:r w:rsidRPr="00AD00DC">
        <w:rPr>
          <w:sz w:val="20"/>
        </w:rPr>
        <w:t xml:space="preserve"> and </w:t>
      </w:r>
      <w:r w:rsidRPr="00AD00DC">
        <w:rPr>
          <w:i/>
          <w:sz w:val="20"/>
        </w:rPr>
        <w:t>Michael Fenrick</w:t>
      </w:r>
      <w:r w:rsidRPr="00AD00DC">
        <w:rPr>
          <w:sz w:val="20"/>
        </w:rPr>
        <w:t>, for the intervener the Canadian Foundation for Advancement of Investor Rights.</w:t>
      </w:r>
      <w:proofErr w:type="gramEnd"/>
      <w:r w:rsidRPr="00AD00DC">
        <w:rPr>
          <w:sz w:val="20"/>
        </w:rPr>
        <w:t xml:space="preserve"> </w:t>
      </w:r>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Luis Sarabia</w:t>
      </w:r>
      <w:r w:rsidRPr="00AD00DC">
        <w:rPr>
          <w:sz w:val="20"/>
        </w:rPr>
        <w:t xml:space="preserve">, </w:t>
      </w:r>
      <w:r w:rsidRPr="00AD00DC">
        <w:rPr>
          <w:i/>
          <w:sz w:val="20"/>
        </w:rPr>
        <w:t>Matthew Milne-Smith</w:t>
      </w:r>
      <w:r w:rsidRPr="00AD00DC">
        <w:rPr>
          <w:sz w:val="20"/>
        </w:rPr>
        <w:t xml:space="preserve"> and </w:t>
      </w:r>
      <w:r w:rsidRPr="00AD00DC">
        <w:rPr>
          <w:i/>
          <w:sz w:val="20"/>
        </w:rPr>
        <w:t>David Stolow</w:t>
      </w:r>
      <w:r w:rsidRPr="00AD00DC">
        <w:rPr>
          <w:sz w:val="20"/>
        </w:rPr>
        <w:t>, for the intervener the Canadian Coalition for Good Governance.</w:t>
      </w:r>
      <w:proofErr w:type="gramEnd"/>
      <w:r w:rsidRPr="00AD00DC">
        <w:rPr>
          <w:sz w:val="20"/>
        </w:rPr>
        <w:t xml:space="preserve"> </w:t>
      </w:r>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John B. Laskin</w:t>
      </w:r>
      <w:r w:rsidRPr="00AD00DC">
        <w:rPr>
          <w:sz w:val="20"/>
        </w:rPr>
        <w:t xml:space="preserve"> and </w:t>
      </w:r>
      <w:r w:rsidRPr="00AD00DC">
        <w:rPr>
          <w:i/>
          <w:sz w:val="20"/>
        </w:rPr>
        <w:t>Darryl C. Patterson</w:t>
      </w:r>
      <w:r w:rsidRPr="00AD00DC">
        <w:rPr>
          <w:sz w:val="20"/>
        </w:rPr>
        <w:t>, for the intervener the Investment Industry Association of Canada.</w:t>
      </w:r>
      <w:proofErr w:type="gramEnd"/>
      <w:r w:rsidRPr="00AD00DC">
        <w:rPr>
          <w:sz w:val="20"/>
        </w:rPr>
        <w:t xml:space="preserve"> </w:t>
      </w:r>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Mahmud Jamal</w:t>
      </w:r>
      <w:r w:rsidRPr="00AD00DC">
        <w:rPr>
          <w:sz w:val="20"/>
        </w:rPr>
        <w:t xml:space="preserve">, </w:t>
      </w:r>
      <w:r w:rsidRPr="00AD00DC">
        <w:rPr>
          <w:i/>
          <w:sz w:val="20"/>
        </w:rPr>
        <w:t>Éric Préfontaine</w:t>
      </w:r>
      <w:r w:rsidRPr="00AD00DC">
        <w:rPr>
          <w:sz w:val="20"/>
        </w:rPr>
        <w:t xml:space="preserve"> and </w:t>
      </w:r>
      <w:r w:rsidRPr="00AD00DC">
        <w:rPr>
          <w:i/>
          <w:sz w:val="20"/>
        </w:rPr>
        <w:t>Raphael T. Eghan</w:t>
      </w:r>
      <w:r w:rsidRPr="00AD00DC">
        <w:rPr>
          <w:sz w:val="20"/>
        </w:rPr>
        <w:t>, for the intervener the Canadian Bankers Association.</w:t>
      </w:r>
      <w:proofErr w:type="gramEnd"/>
      <w:r w:rsidRPr="00AD00DC">
        <w:rPr>
          <w:sz w:val="20"/>
        </w:rPr>
        <w:t xml:space="preserve"> </w:t>
      </w:r>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rPr>
      </w:pPr>
      <w:r w:rsidRPr="00AD00DC">
        <w:rPr>
          <w:i/>
          <w:sz w:val="20"/>
        </w:rPr>
        <w:tab/>
      </w:r>
      <w:proofErr w:type="gramStart"/>
      <w:r w:rsidRPr="00AD00DC">
        <w:rPr>
          <w:i/>
          <w:sz w:val="20"/>
        </w:rPr>
        <w:t>Kelley M. McKinnon</w:t>
      </w:r>
      <w:r w:rsidRPr="00AD00DC">
        <w:rPr>
          <w:sz w:val="20"/>
        </w:rPr>
        <w:t xml:space="preserve"> and </w:t>
      </w:r>
      <w:r w:rsidRPr="00AD00DC">
        <w:rPr>
          <w:i/>
          <w:sz w:val="20"/>
        </w:rPr>
        <w:t>Brent J. Arnold</w:t>
      </w:r>
      <w:r w:rsidRPr="00AD00DC">
        <w:rPr>
          <w:sz w:val="20"/>
        </w:rPr>
        <w:t>, for the intervener the Ontario Teachers’ Pension Plan Board.</w:t>
      </w:r>
      <w:proofErr w:type="gramEnd"/>
    </w:p>
    <w:p w:rsidR="00152219" w:rsidRPr="00AD00DC" w:rsidRDefault="00152219" w:rsidP="00152219">
      <w:pPr>
        <w:pStyle w:val="SCCNormalDoubleSpacing"/>
        <w:spacing w:line="240" w:lineRule="auto"/>
        <w:rPr>
          <w:i/>
          <w:sz w:val="20"/>
        </w:rPr>
      </w:pPr>
    </w:p>
    <w:p w:rsidR="00152219" w:rsidRPr="00AD00DC" w:rsidRDefault="00152219" w:rsidP="00152219">
      <w:pPr>
        <w:pStyle w:val="SCCNormalDoubleSpacing"/>
        <w:spacing w:line="240" w:lineRule="auto"/>
        <w:rPr>
          <w:sz w:val="20"/>
          <w:lang w:val="fr-CA"/>
        </w:rPr>
      </w:pPr>
      <w:r w:rsidRPr="00AD00DC">
        <w:rPr>
          <w:i/>
          <w:sz w:val="20"/>
        </w:rPr>
        <w:tab/>
      </w:r>
      <w:r w:rsidRPr="00AD00DC">
        <w:rPr>
          <w:i/>
          <w:sz w:val="20"/>
          <w:lang w:val="fr-CA"/>
        </w:rPr>
        <w:t>Guy Paquette</w:t>
      </w:r>
      <w:r w:rsidRPr="00AD00DC">
        <w:rPr>
          <w:sz w:val="20"/>
          <w:lang w:val="fr-CA"/>
        </w:rPr>
        <w:t xml:space="preserve"> and </w:t>
      </w:r>
      <w:r w:rsidRPr="00AD00DC">
        <w:rPr>
          <w:i/>
          <w:sz w:val="20"/>
          <w:lang w:val="fr-CA"/>
        </w:rPr>
        <w:t>Vanessa O’Connell-Chrétien</w:t>
      </w:r>
      <w:r w:rsidRPr="00AD00DC">
        <w:rPr>
          <w:sz w:val="20"/>
          <w:lang w:val="fr-CA"/>
        </w:rPr>
        <w:t>, for the intervener Mouvement d’éducation et de défense des actionnaires.</w:t>
      </w:r>
    </w:p>
    <w:p w:rsidR="00152219" w:rsidRPr="00AD00DC" w:rsidRDefault="00152219" w:rsidP="00152219">
      <w:pPr>
        <w:pStyle w:val="SCCNormalDoubleSpacing"/>
        <w:spacing w:line="240" w:lineRule="auto"/>
        <w:rPr>
          <w:i/>
          <w:sz w:val="20"/>
          <w:lang w:val="fr-CA"/>
        </w:rPr>
      </w:pPr>
    </w:p>
    <w:p w:rsidR="00152219" w:rsidRPr="00AD00DC" w:rsidRDefault="00152219" w:rsidP="00152219">
      <w:pPr>
        <w:pStyle w:val="SCCNormalDoubleSpacing"/>
        <w:spacing w:line="240" w:lineRule="auto"/>
        <w:rPr>
          <w:sz w:val="20"/>
          <w:lang w:val="en-US"/>
        </w:rPr>
      </w:pPr>
      <w:r w:rsidRPr="00AD00DC">
        <w:rPr>
          <w:i/>
          <w:sz w:val="20"/>
          <w:lang w:val="fr-CA"/>
        </w:rPr>
        <w:tab/>
      </w:r>
      <w:proofErr w:type="gramStart"/>
      <w:r w:rsidRPr="00AD00DC">
        <w:rPr>
          <w:i/>
          <w:sz w:val="20"/>
          <w:lang w:val="en-US"/>
        </w:rPr>
        <w:t>Raymond Doray</w:t>
      </w:r>
      <w:r w:rsidRPr="00AD00DC">
        <w:rPr>
          <w:sz w:val="20"/>
          <w:lang w:val="en-US"/>
        </w:rPr>
        <w:t xml:space="preserve"> and </w:t>
      </w:r>
      <w:r w:rsidRPr="00AD00DC">
        <w:rPr>
          <w:i/>
          <w:sz w:val="20"/>
          <w:lang w:val="en-US"/>
        </w:rPr>
        <w:t>Mathieu Quenneville</w:t>
      </w:r>
      <w:r w:rsidRPr="00AD00DC">
        <w:rPr>
          <w:sz w:val="20"/>
          <w:lang w:val="en-US"/>
        </w:rPr>
        <w:t>, for the intervener Barreau du Québec.</w:t>
      </w:r>
      <w:proofErr w:type="gramEnd"/>
    </w:p>
    <w:p w:rsidR="00152219" w:rsidRPr="00AD00DC" w:rsidRDefault="00152219" w:rsidP="00152219">
      <w:pPr>
        <w:pStyle w:val="SCCNormalDoubleSpacing"/>
        <w:spacing w:line="240" w:lineRule="auto"/>
        <w:rPr>
          <w:i/>
          <w:sz w:val="20"/>
          <w:lang w:val="en-US"/>
        </w:rPr>
      </w:pPr>
    </w:p>
    <w:p w:rsidR="00152219" w:rsidRPr="00AD00DC" w:rsidRDefault="00152219" w:rsidP="00152219">
      <w:pPr>
        <w:pStyle w:val="SCCNormalDoubleSpacing"/>
        <w:spacing w:line="240" w:lineRule="auto"/>
        <w:rPr>
          <w:sz w:val="20"/>
          <w:lang w:val="en-US"/>
        </w:rPr>
      </w:pPr>
      <w:r w:rsidRPr="00AD00DC">
        <w:rPr>
          <w:i/>
          <w:sz w:val="20"/>
          <w:lang w:val="en-US"/>
        </w:rPr>
        <w:tab/>
      </w:r>
      <w:proofErr w:type="gramStart"/>
      <w:r w:rsidRPr="00AD00DC">
        <w:rPr>
          <w:i/>
          <w:sz w:val="20"/>
          <w:lang w:val="en-US"/>
        </w:rPr>
        <w:t>Sébastien Grammond</w:t>
      </w:r>
      <w:r w:rsidRPr="00AD00DC">
        <w:rPr>
          <w:sz w:val="20"/>
          <w:lang w:val="en-US"/>
        </w:rPr>
        <w:t xml:space="preserve"> and </w:t>
      </w:r>
      <w:r w:rsidRPr="00AD00DC">
        <w:rPr>
          <w:i/>
          <w:sz w:val="20"/>
          <w:lang w:val="en-US"/>
        </w:rPr>
        <w:t>Luc Giroux</w:t>
      </w:r>
      <w:r w:rsidRPr="00AD00DC">
        <w:rPr>
          <w:sz w:val="20"/>
          <w:lang w:val="en-US"/>
        </w:rPr>
        <w:t>, for the intervener the Institute for Governance of Private and Public Organizations.</w:t>
      </w:r>
      <w:proofErr w:type="gramEnd"/>
      <w:r w:rsidRPr="00AD00DC">
        <w:rPr>
          <w:sz w:val="20"/>
          <w:lang w:val="en-US"/>
        </w:rPr>
        <w:t xml:space="preserve"> </w:t>
      </w:r>
    </w:p>
    <w:p w:rsidR="00152219" w:rsidRPr="00AD00DC" w:rsidRDefault="00152219" w:rsidP="00152219">
      <w:pPr>
        <w:pStyle w:val="SCCLawFirm"/>
        <w:spacing w:line="240" w:lineRule="auto"/>
        <w:rPr>
          <w:sz w:val="20"/>
          <w:lang w:val="en-US"/>
        </w:rPr>
      </w:pPr>
    </w:p>
    <w:p w:rsidR="00152219" w:rsidRPr="00AD00DC" w:rsidRDefault="00152219" w:rsidP="00152219">
      <w:pPr>
        <w:pStyle w:val="SCCLawFirm"/>
        <w:spacing w:line="240" w:lineRule="auto"/>
        <w:rPr>
          <w:sz w:val="20"/>
        </w:rPr>
      </w:pPr>
      <w:r w:rsidRPr="00AD00DC">
        <w:rPr>
          <w:sz w:val="20"/>
          <w:lang w:val="en-US"/>
        </w:rPr>
        <w:tab/>
      </w:r>
      <w:r w:rsidRPr="00AD00DC">
        <w:rPr>
          <w:sz w:val="20"/>
        </w:rPr>
        <w:t>Solicitor for the Attorney General of Canada:  Attorney General of Canada, Ottawa.</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 for the intervener the Attorney General of Ontario:  Attorney General of Ontario, Toronto.</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Solicitors for the intervener the Attorney General of Quebec:  Bernard, Roy &amp; Associés, Montréal.</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 for the intervener the Attorney General of New Brunswick:  Attorney General of New Brunswick, Fredericton.</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 for the intervener the Attorney General of Manitoba:  Attorney General of Manitoba, Winnipeg.</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 for the intervener the Attorney General of British Columbia:  Attorney General of British Columbia, Victoria.</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 for the intervener the Attorney General for Saskatchewan:  Attorney General for Saskatchewan, Regina.</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Solicitors for the intervener the Attorney General of Alberta:  Fraser Milner Casgrain, Calgary, and Attorney General of Alberta, Edmonton.</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Solicitors for the intervener the Canadian Foundation for Advancement of Investor Rights:  Paliare, Roland, Rosenberg, Rothstein, Toronto.</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Solicitors for the intervener the Canadian Coalition for Good Governance:  Davies Ward Phillips &amp; Vineberg, Toronto.</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Solicitors for the intervener the Investment Industry Association of Canada:  Torys, Toronto.</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rPr>
      </w:pPr>
      <w:r w:rsidRPr="00AD00DC">
        <w:rPr>
          <w:sz w:val="20"/>
        </w:rPr>
        <w:tab/>
        <w:t>Solicitors for the intervener the Canadian Bankers Association:  Osler, Hoskin &amp; Harcourt, Toronto.</w:t>
      </w:r>
    </w:p>
    <w:p w:rsidR="00152219" w:rsidRPr="00AD00DC" w:rsidRDefault="00152219" w:rsidP="00152219">
      <w:pPr>
        <w:pStyle w:val="SCCLawFirm"/>
        <w:spacing w:line="240" w:lineRule="auto"/>
        <w:rPr>
          <w:sz w:val="20"/>
        </w:rPr>
      </w:pPr>
      <w:r w:rsidRPr="00AD00DC">
        <w:rPr>
          <w:sz w:val="20"/>
        </w:rPr>
        <w:lastRenderedPageBreak/>
        <w:tab/>
        <w:t>Solicitors for the intervener Ontario Teachers’ Pension Plan Board:  Gowling Lafleur Henderson, Toronto.</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lang w:val="fr-CA"/>
        </w:rPr>
      </w:pPr>
      <w:r w:rsidRPr="00AD00DC">
        <w:rPr>
          <w:sz w:val="20"/>
        </w:rPr>
        <w:tab/>
      </w:r>
      <w:r w:rsidRPr="00AD00DC">
        <w:rPr>
          <w:sz w:val="20"/>
          <w:lang w:val="fr-CA"/>
        </w:rPr>
        <w:t>Solicitors for the intervener Mouvement d’éducation et de défense des actionnaires:</w:t>
      </w:r>
      <w:proofErr w:type="gramStart"/>
      <w:r w:rsidRPr="00AD00DC">
        <w:rPr>
          <w:sz w:val="20"/>
          <w:lang w:val="fr-CA"/>
        </w:rPr>
        <w:t>  Paquette</w:t>
      </w:r>
      <w:proofErr w:type="gramEnd"/>
      <w:r w:rsidRPr="00AD00DC">
        <w:rPr>
          <w:sz w:val="20"/>
          <w:lang w:val="fr-CA"/>
        </w:rPr>
        <w:t xml:space="preserve"> Gadler Inc., Montréal.</w:t>
      </w:r>
    </w:p>
    <w:p w:rsidR="00152219" w:rsidRPr="00AD00DC" w:rsidRDefault="00152219" w:rsidP="00152219">
      <w:pPr>
        <w:pStyle w:val="SCCLawFirm"/>
        <w:spacing w:line="240" w:lineRule="auto"/>
        <w:rPr>
          <w:sz w:val="20"/>
          <w:lang w:val="fr-CA"/>
        </w:rPr>
      </w:pPr>
    </w:p>
    <w:p w:rsidR="00152219" w:rsidRPr="00AD00DC" w:rsidRDefault="00152219" w:rsidP="00152219">
      <w:pPr>
        <w:pStyle w:val="SCCLawFirm"/>
        <w:spacing w:line="240" w:lineRule="auto"/>
        <w:rPr>
          <w:sz w:val="20"/>
        </w:rPr>
      </w:pPr>
      <w:r w:rsidRPr="00AD00DC">
        <w:rPr>
          <w:sz w:val="20"/>
          <w:lang w:val="fr-CA"/>
        </w:rPr>
        <w:tab/>
      </w:r>
      <w:r w:rsidRPr="00AD00DC">
        <w:rPr>
          <w:sz w:val="20"/>
        </w:rPr>
        <w:t>Solicitors for the intervener Barreau du Québec:  Lavery, de Billy, Montréal.</w:t>
      </w:r>
    </w:p>
    <w:p w:rsidR="00152219" w:rsidRPr="00AD00DC" w:rsidRDefault="00152219" w:rsidP="00152219">
      <w:pPr>
        <w:pStyle w:val="SCCLawFirm"/>
        <w:spacing w:line="240" w:lineRule="auto"/>
        <w:rPr>
          <w:sz w:val="20"/>
        </w:rPr>
      </w:pPr>
    </w:p>
    <w:p w:rsidR="00152219" w:rsidRPr="00AD00DC" w:rsidRDefault="00152219" w:rsidP="00152219">
      <w:pPr>
        <w:pStyle w:val="SCCLawFirm"/>
        <w:spacing w:line="240" w:lineRule="auto"/>
        <w:rPr>
          <w:sz w:val="20"/>
          <w:lang w:val="en-US"/>
        </w:rPr>
      </w:pPr>
      <w:r w:rsidRPr="00AD00DC">
        <w:rPr>
          <w:sz w:val="20"/>
        </w:rPr>
        <w:tab/>
      </w:r>
      <w:r w:rsidRPr="00AD00DC">
        <w:rPr>
          <w:sz w:val="20"/>
          <w:lang w:val="en-US"/>
        </w:rPr>
        <w:t>Solicitors for the intervener the Institute for Governance of Private and Public Organizations:  Fraser Milner Casgrain, Montréal.</w:t>
      </w:r>
    </w:p>
    <w:p w:rsidR="00152219" w:rsidRPr="000C214B" w:rsidRDefault="00152219" w:rsidP="00152219">
      <w:pPr>
        <w:rPr>
          <w:sz w:val="20"/>
          <w:szCs w:val="20"/>
          <w:lang w:val="fr-CA"/>
        </w:rPr>
      </w:pPr>
      <w:r w:rsidRPr="000C214B">
        <w:rPr>
          <w:sz w:val="20"/>
          <w:szCs w:val="20"/>
          <w:lang w:val="fr-CA"/>
        </w:rPr>
        <w:t>________________________</w:t>
      </w:r>
    </w:p>
    <w:p w:rsidR="00152219" w:rsidRPr="000C214B" w:rsidRDefault="00152219" w:rsidP="00152219">
      <w:pPr>
        <w:rPr>
          <w:sz w:val="20"/>
          <w:szCs w:val="20"/>
          <w:lang w:val="fr-CA"/>
        </w:rPr>
      </w:pPr>
    </w:p>
    <w:p w:rsidR="00C43481" w:rsidRPr="00C43481" w:rsidRDefault="00C43481" w:rsidP="00C43481">
      <w:pPr>
        <w:jc w:val="both"/>
        <w:rPr>
          <w:sz w:val="20"/>
          <w:szCs w:val="20"/>
          <w:lang w:val="fr-CA"/>
        </w:rPr>
      </w:pPr>
      <w:r w:rsidRPr="00C43481">
        <w:rPr>
          <w:sz w:val="20"/>
          <w:szCs w:val="20"/>
          <w:lang w:val="fr-CA"/>
        </w:rPr>
        <w:t>Présents : La juge en chef McLachlin et les juges Binnie, LeBel, Deschamps, Fish, Abella, Charron, Rothstein et Cromwell.</w:t>
      </w:r>
    </w:p>
    <w:p w:rsidR="00C43481" w:rsidRPr="00C43481" w:rsidRDefault="00C43481" w:rsidP="00C43481">
      <w:pPr>
        <w:pStyle w:val="SCCLowerCourtNameLowercase"/>
        <w:spacing w:line="240" w:lineRule="auto"/>
        <w:rPr>
          <w:sz w:val="20"/>
          <w:lang w:val="fr-CA"/>
        </w:rPr>
      </w:pPr>
    </w:p>
    <w:p w:rsidR="00C43481" w:rsidRPr="00C43481" w:rsidRDefault="00C43481" w:rsidP="00C43481">
      <w:pPr>
        <w:pStyle w:val="SCCNormalDoubleSpacing"/>
        <w:spacing w:line="240" w:lineRule="auto"/>
        <w:rPr>
          <w:i/>
          <w:sz w:val="20"/>
          <w:lang w:val="fr-CA"/>
        </w:rPr>
      </w:pPr>
      <w:r w:rsidRPr="00C43481">
        <w:rPr>
          <w:sz w:val="20"/>
          <w:lang w:val="fr-CA"/>
        </w:rPr>
        <w:tab/>
      </w:r>
      <w:r w:rsidRPr="00C43481">
        <w:rPr>
          <w:i/>
          <w:sz w:val="20"/>
          <w:lang w:val="fr-CA"/>
        </w:rPr>
        <w:t xml:space="preserve">Droit constitutionnel </w:t>
      </w:r>
      <w:r w:rsidRPr="00C43481">
        <w:rPr>
          <w:sz w:val="20"/>
          <w:lang w:val="fr-CA"/>
        </w:rPr>
        <w:t>—</w:t>
      </w:r>
      <w:r w:rsidRPr="00C43481">
        <w:rPr>
          <w:i/>
          <w:sz w:val="20"/>
          <w:lang w:val="fr-CA"/>
        </w:rPr>
        <w:t xml:space="preserve"> Partage des compétences </w:t>
      </w:r>
      <w:r w:rsidRPr="00C43481">
        <w:rPr>
          <w:sz w:val="20"/>
          <w:lang w:val="fr-CA"/>
        </w:rPr>
        <w:t>—</w:t>
      </w:r>
      <w:r w:rsidRPr="00C43481">
        <w:rPr>
          <w:i/>
          <w:sz w:val="20"/>
          <w:lang w:val="fr-CA"/>
        </w:rPr>
        <w:t xml:space="preserve"> Trafic et commerce </w:t>
      </w:r>
      <w:r w:rsidRPr="00C43481">
        <w:rPr>
          <w:sz w:val="20"/>
          <w:lang w:val="fr-CA"/>
        </w:rPr>
        <w:t>—</w:t>
      </w:r>
      <w:r w:rsidRPr="00C43481">
        <w:rPr>
          <w:i/>
          <w:sz w:val="20"/>
          <w:lang w:val="fr-CA"/>
        </w:rPr>
        <w:t xml:space="preserve"> Valeurs mobilières </w:t>
      </w:r>
      <w:r w:rsidRPr="00C43481">
        <w:rPr>
          <w:sz w:val="20"/>
          <w:lang w:val="fr-CA"/>
        </w:rPr>
        <w:t>—</w:t>
      </w:r>
      <w:r w:rsidRPr="00C43481">
        <w:rPr>
          <w:i/>
          <w:sz w:val="20"/>
          <w:lang w:val="fr-CA"/>
        </w:rPr>
        <w:t xml:space="preserve"> La loi proposée est-elle valide comme relevant du volet général du pouvoir fédéral de réglementation en matière de trafic et de commerce? </w:t>
      </w:r>
      <w:r w:rsidRPr="00C43481">
        <w:rPr>
          <w:sz w:val="20"/>
          <w:lang w:val="fr-CA"/>
        </w:rPr>
        <w:t>—</w:t>
      </w:r>
      <w:r w:rsidRPr="00C43481">
        <w:rPr>
          <w:i/>
          <w:sz w:val="20"/>
          <w:lang w:val="fr-CA"/>
        </w:rPr>
        <w:t xml:space="preserve"> Loi constitutionnelle de 1867, art. 91(2).</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Le gouverneur en conseil, en vertu de l’art. 53 de la </w:t>
      </w:r>
      <w:r w:rsidRPr="00C43481">
        <w:rPr>
          <w:i/>
          <w:sz w:val="20"/>
          <w:lang w:val="fr-CA"/>
        </w:rPr>
        <w:t>Loi sur la Cour suprême</w:t>
      </w:r>
      <w:r w:rsidRPr="00C43481">
        <w:rPr>
          <w:sz w:val="20"/>
          <w:lang w:val="fr-CA"/>
        </w:rPr>
        <w:t xml:space="preserve">, a sollicité l’avis consultatif de la Cour sur la question de savoir si la </w:t>
      </w:r>
      <w:r w:rsidRPr="00C43481">
        <w:rPr>
          <w:i/>
          <w:sz w:val="20"/>
          <w:lang w:val="fr-CA"/>
        </w:rPr>
        <w:t>Loi sur les valeurs mobilières</w:t>
      </w:r>
      <w:r w:rsidRPr="00C43481">
        <w:rPr>
          <w:sz w:val="20"/>
          <w:lang w:val="fr-CA"/>
        </w:rPr>
        <w:t xml:space="preserve"> proposée, qui est annexée au décret C.P. 2010</w:t>
      </w:r>
      <w:r w:rsidRPr="00C43481">
        <w:rPr>
          <w:sz w:val="20"/>
          <w:lang w:val="fr-CA"/>
        </w:rPr>
        <w:noBreakHyphen/>
        <w:t xml:space="preserve">667, relève de la compétence législative du Parlement du Canada. </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Le préambule de la loi proposée énonce que son objet consiste à créer un organisme canadien unique de réglementation des valeurs mobilières.  De manière plus générale, l’art. 9 énonce qu’elle a pour objets de protéger les investisseurs, de favoriser l’existence de marchés des capitaux équitables, efficaces et compétitifs et de contribuer à l’intégrité et à la stabilité du système financier canadien.  La </w:t>
      </w:r>
      <w:r w:rsidRPr="00C43481">
        <w:rPr>
          <w:i/>
          <w:sz w:val="20"/>
          <w:lang w:val="fr-CA"/>
        </w:rPr>
        <w:t>Loi</w:t>
      </w:r>
      <w:r w:rsidRPr="00C43481">
        <w:rPr>
          <w:sz w:val="20"/>
          <w:lang w:val="fr-CA"/>
        </w:rPr>
        <w:t xml:space="preserve"> prévoit notamment des exigences quant à l’inscription des courtiers en valeurs mobilières, quant au dépôt des prospectus et quant à la communication de renseignements; elle impose des obligations précises aux acteurs du marché des valeurs mobilières; elle établit un cadre réglementaire pour les instruments dérivés; et elle crée des recours civils ainsi que des infractions réglementaires et criminelles relatives aux valeurs mobilières.  La </w:t>
      </w:r>
      <w:r w:rsidRPr="00C43481">
        <w:rPr>
          <w:i/>
          <w:sz w:val="20"/>
          <w:lang w:val="fr-CA"/>
        </w:rPr>
        <w:t>Loi</w:t>
      </w:r>
      <w:r w:rsidRPr="00C43481">
        <w:rPr>
          <w:sz w:val="20"/>
          <w:lang w:val="fr-CA"/>
        </w:rPr>
        <w:t xml:space="preserve"> n’impose pas unilatéralement un régime unifié, mais donne aux provinces et aux territoires le libre choix de participer au régime, dans l’espoir de créer, dans les faits, un régime de réglementation national des valeurs mobilières.</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Le Canada, auquel se sont joints l’Ontario ainsi que plusieurs intervenants, prétend que la </w:t>
      </w:r>
      <w:r w:rsidRPr="00C43481">
        <w:rPr>
          <w:i/>
          <w:sz w:val="20"/>
          <w:lang w:val="fr-CA"/>
        </w:rPr>
        <w:t>Loi</w:t>
      </w:r>
      <w:r w:rsidRPr="00C43481">
        <w:rPr>
          <w:sz w:val="20"/>
          <w:lang w:val="fr-CA"/>
        </w:rPr>
        <w:t xml:space="preserve">, considérée dans son ensemble, relève du volet général de la compétence de légiférer en matière de trafic et de commerce que le par. 91(2) de la </w:t>
      </w:r>
      <w:r w:rsidRPr="00C43481">
        <w:rPr>
          <w:i/>
          <w:sz w:val="20"/>
          <w:lang w:val="fr-CA"/>
        </w:rPr>
        <w:t xml:space="preserve">Loi constitutionnelle de 1867 </w:t>
      </w:r>
      <w:r w:rsidRPr="00C43481">
        <w:rPr>
          <w:sz w:val="20"/>
          <w:lang w:val="fr-CA"/>
        </w:rPr>
        <w:t>confère au Parlement.  L’Alberta, le Québec, le Manitoba et le Nouveau</w:t>
      </w:r>
      <w:r w:rsidRPr="00C43481">
        <w:rPr>
          <w:sz w:val="20"/>
          <w:lang w:val="fr-CA"/>
        </w:rPr>
        <w:noBreakHyphen/>
        <w:t xml:space="preserve">Brunswick ainsi que d’autres intervenants soutiennent que le régime relève de la compétence des provinces en matière de propriété et de droits civils prévue au par. 92(13) de la </w:t>
      </w:r>
      <w:r w:rsidRPr="00C43481">
        <w:rPr>
          <w:i/>
          <w:sz w:val="20"/>
          <w:lang w:val="fr-CA"/>
        </w:rPr>
        <w:t>Loi constitutionnelle de 1867</w:t>
      </w:r>
      <w:r w:rsidRPr="00C43481">
        <w:rPr>
          <w:sz w:val="20"/>
          <w:lang w:val="fr-CA"/>
        </w:rPr>
        <w:t>, et crée une brèche dans le pouvoir législatif provincial quant à des sujets de nature purement locale ou privée (par. 92(16)), à savoir, la réglementation des contrats, de la propriété et des professions.</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r>
      <w:r w:rsidRPr="00C43481">
        <w:rPr>
          <w:i/>
          <w:sz w:val="20"/>
          <w:lang w:val="fr-CA"/>
        </w:rPr>
        <w:t>Arrêt :</w:t>
      </w:r>
      <w:r w:rsidRPr="00C43481">
        <w:rPr>
          <w:sz w:val="20"/>
          <w:lang w:val="fr-CA"/>
        </w:rPr>
        <w:t xml:space="preserve"> La </w:t>
      </w:r>
      <w:r w:rsidRPr="00C43481">
        <w:rPr>
          <w:i/>
          <w:sz w:val="20"/>
          <w:lang w:val="fr-CA"/>
        </w:rPr>
        <w:t>Loi sur les valeurs mobilières</w:t>
      </w:r>
      <w:r w:rsidRPr="00C43481">
        <w:rPr>
          <w:sz w:val="20"/>
          <w:lang w:val="fr-CA"/>
        </w:rPr>
        <w:t xml:space="preserve">, dans sa version actuelle, n’est pas valide, car elle ne relève pas du pouvoir général de réglementation en matière de trafic et de commerce conféré au Parlement par le par. 91(2) de la </w:t>
      </w:r>
      <w:r w:rsidRPr="00C43481">
        <w:rPr>
          <w:i/>
          <w:sz w:val="20"/>
          <w:lang w:val="fr-CA"/>
        </w:rPr>
        <w:t>Loi constitutionnelle de 1867</w:t>
      </w:r>
      <w:r w:rsidRPr="00C43481">
        <w:rPr>
          <w:sz w:val="20"/>
          <w:lang w:val="fr-CA"/>
        </w:rPr>
        <w:t xml:space="preserve">.  </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Pour juger de la validité constitutionnelle des lois du point de vue du partage des compétences, les tribunaux utilisent l’analyse du « caractère véritable », qui suppose de se pencher sur l’objet et les effets de la loi, avant d’examiner la question de savoir si la loi relève du chef de compétence qui est invoqué pour en soutenir la validité.  Si le caractère véritable de la loi est classé comme relevant d’un des chefs de compétence du gouvernement qui l’a adoptée, la loi est valide.  Lorsqu’une matière possède à la fois un aspect provincial et un autre fédéral, la doctrine du double aspect peut ouvrir la voie à l’application concurrente de législations fédérale et provinciales. </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Le pouvoir de réglementer le trafic et le commerce conféré au Parlement par le par. 91(2) de la </w:t>
      </w:r>
      <w:r w:rsidRPr="00C43481">
        <w:rPr>
          <w:i/>
          <w:sz w:val="20"/>
          <w:lang w:val="fr-CA"/>
        </w:rPr>
        <w:t>Loi constitutionnelle de 1867</w:t>
      </w:r>
      <w:r w:rsidRPr="00C43481">
        <w:rPr>
          <w:sz w:val="20"/>
          <w:lang w:val="fr-CA"/>
        </w:rPr>
        <w:t xml:space="preserve"> comporte deux volets : le pouvoir quant au commerce interprovincial et le pouvoir général en matière de trafic et de commerce.  Seul ce dernier est invoqué par le Canada dans le présent renvoi.  Ce pouvoir, bien </w:t>
      </w:r>
      <w:r w:rsidRPr="00C43481">
        <w:rPr>
          <w:sz w:val="20"/>
          <w:lang w:val="fr-CA"/>
        </w:rPr>
        <w:lastRenderedPageBreak/>
        <w:t xml:space="preserve">qu’à première vue large, est nécessairement circonscrit.  Il ne peut servir à priver les législatures provinciales du pouvoir de réglementer les affaires de nature locale et l’industrie à l’intérieur de leurs frontières, pas plus que le pouvoir des législatures de réglementer la propriété et les droits civils dans la province ne peut priver le Parlement du pouvoir que lui confère le par. 91(2) de légiférer sur des questions d’importance et de portée véritablement nationales qui transcendent la nature locale et concernent tout le pays. </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Comme il a été conclu dans l’arrêt </w:t>
      </w:r>
      <w:r w:rsidRPr="00C43481">
        <w:rPr>
          <w:i/>
          <w:sz w:val="20"/>
          <w:lang w:val="fr-CA"/>
        </w:rPr>
        <w:t>General Motors</w:t>
      </w:r>
      <w:r w:rsidRPr="00C43481">
        <w:rPr>
          <w:sz w:val="20"/>
          <w:lang w:val="fr-CA"/>
        </w:rPr>
        <w:t>, pour relever du volet général du par. 91(2), la loi doit mettre en jeu l’intérêt national d’une manière qui est, sur le plan qualitatif, différente des enjeux provinciaux.  La validité d’une loi adoptée en vertu du pouvoir général en matière de trafic et de commerce peut être jugée en fonction des critères suivants : 1) La mesure législative s’inscrit</w:t>
      </w:r>
      <w:r w:rsidRPr="00C43481">
        <w:rPr>
          <w:sz w:val="20"/>
          <w:lang w:val="fr-CA"/>
        </w:rPr>
        <w:noBreakHyphen/>
        <w:t>elle dans un régime général de réglementation?  2) Le régime fait</w:t>
      </w:r>
      <w:r w:rsidRPr="00C43481">
        <w:rPr>
          <w:sz w:val="20"/>
          <w:lang w:val="fr-CA"/>
        </w:rPr>
        <w:noBreakHyphen/>
        <w:t>il l’objet de surveillance par un organisme de réglementation?  3) La mesure législative porte</w:t>
      </w:r>
      <w:r w:rsidRPr="00C43481">
        <w:rPr>
          <w:sz w:val="20"/>
          <w:lang w:val="fr-CA"/>
        </w:rPr>
        <w:noBreakHyphen/>
        <w:t>t</w:t>
      </w:r>
      <w:r w:rsidRPr="00C43481">
        <w:rPr>
          <w:sz w:val="20"/>
          <w:lang w:val="fr-CA"/>
        </w:rPr>
        <w:noBreakHyphen/>
        <w:t>elle sur le commerce dans son ensemble plutôt que sur un secteur en particulier? 4) Le régime est</w:t>
      </w:r>
      <w:r w:rsidRPr="00C43481">
        <w:rPr>
          <w:sz w:val="20"/>
          <w:lang w:val="fr-CA"/>
        </w:rPr>
        <w:noBreakHyphen/>
        <w:t>il d’une nature telle que la Constitution n’habiliterait pas les provinces, seules ou de concert, à l’adopter?  5) L’omission d’inclure une seule ou plusieurs provinces ou localités dans le régime législatif en compromettrait</w:t>
      </w:r>
      <w:r w:rsidRPr="00C43481">
        <w:rPr>
          <w:sz w:val="20"/>
          <w:lang w:val="fr-CA"/>
        </w:rPr>
        <w:noBreakHyphen/>
        <w:t>elle l’application dans d’autres parties du pays?  Cette liste de critères de validité n’est pas exhaustive, et la présence de tous les éléments qui la constituent n’est pas nécessaire dans chaque cas.</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En l’espèce, le caractère véritable de la loi consiste à réglementer, à titre exclusif, tous les aspects du commerce des valeurs mobilières au Canada, y compris les occupations et les professions relatives à ce domaine dans chaque province.  L’objet de la </w:t>
      </w:r>
      <w:r w:rsidRPr="00C43481">
        <w:rPr>
          <w:i/>
          <w:sz w:val="20"/>
          <w:lang w:val="fr-CA"/>
        </w:rPr>
        <w:t>Loi</w:t>
      </w:r>
      <w:r w:rsidRPr="00C43481">
        <w:rPr>
          <w:sz w:val="20"/>
          <w:lang w:val="fr-CA"/>
        </w:rPr>
        <w:t xml:space="preserve"> consiste à mettre sur pied un régime canadien complet de réglementation des valeurs mobilières, en vue de protéger les investisseurs, de favoriser l’existence de marchés des capitaux équitables, efficaces et compétitifs ainsi que d’assurer l’intégrité et la stabilité du système financier.  Elle aurait pour effets de dédoubler et d’évincer les régimes provinciaux et territoriaux de réglementation des valeurs mobilières actuels. </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Suivant la jurisprudence établie, la </w:t>
      </w:r>
      <w:r w:rsidRPr="00C43481">
        <w:rPr>
          <w:i/>
          <w:sz w:val="20"/>
          <w:lang w:val="fr-CA"/>
        </w:rPr>
        <w:t>Loi</w:t>
      </w:r>
      <w:r w:rsidRPr="00C43481">
        <w:rPr>
          <w:sz w:val="20"/>
          <w:lang w:val="fr-CA"/>
        </w:rPr>
        <w:t>, si elle est considérée dans son ensemble, ne saurait être classée parmi celles qui relèvent du pouvoir général en matière de trafic et de commerce.  Son caractère véritable n’intéresse pas une matière d’importance et de portée véritablement nationales touchant le commerce dans son ensemble et distincte des enjeux provinciaux.  Le Canada n’a pas établi que le domaine des valeurs mobilières a évolué au point qu’il doive dorénavant être réglementé en vertu d’un chef de compétence fédérale.  Le maintien des marchés des capitaux pour nourrir l’économie canadienne et assurer la stabilité financière du pays est une question qui va au</w:t>
      </w:r>
      <w:r w:rsidRPr="00C43481">
        <w:rPr>
          <w:sz w:val="20"/>
          <w:lang w:val="fr-CA"/>
        </w:rPr>
        <w:noBreakHyphen/>
        <w:t xml:space="preserve">delà d’un secteur en particulier et met en jeu le commerce dans son ensemble.  Cependant, la </w:t>
      </w:r>
      <w:r w:rsidRPr="00C43481">
        <w:rPr>
          <w:i/>
          <w:sz w:val="20"/>
          <w:lang w:val="fr-CA"/>
        </w:rPr>
        <w:t>Loi</w:t>
      </w:r>
      <w:r w:rsidRPr="00C43481">
        <w:rPr>
          <w:sz w:val="20"/>
          <w:lang w:val="fr-CA"/>
        </w:rPr>
        <w:t xml:space="preserve"> se préoccupe principalement de la réglementation courante de tous les aspects des contrats portant sur les valeurs mobilières, y compris la protection du public et la compétence professionnelle dans les provinces.  Ces matières demeurent essentiellement des enjeux provinciaux intéressant la propriété et les droits civils dans les provinces et ne ressortissent pas au commerce dans son ensemble.  Certains éléments de la </w:t>
      </w:r>
      <w:r w:rsidRPr="00C43481">
        <w:rPr>
          <w:i/>
          <w:sz w:val="20"/>
          <w:lang w:val="fr-CA"/>
        </w:rPr>
        <w:t>Loi</w:t>
      </w:r>
      <w:r w:rsidRPr="00C43481">
        <w:rPr>
          <w:sz w:val="20"/>
          <w:lang w:val="fr-CA"/>
        </w:rPr>
        <w:t xml:space="preserve"> concernant des matières d’importance et de portée véritablement nationales touchant le commerce dans son ensemble et distinctes des enjeux provinciaux, comme la prévention des risques systémiques et la collecte de données nationale, semblent liés au pouvoir général en matière de trafic et de commerce.  En ce qui a trait à ces éléments de la </w:t>
      </w:r>
      <w:r w:rsidRPr="00C43481">
        <w:rPr>
          <w:i/>
          <w:sz w:val="20"/>
          <w:lang w:val="fr-CA"/>
        </w:rPr>
        <w:t>Loi</w:t>
      </w:r>
      <w:r w:rsidRPr="00C43481">
        <w:rPr>
          <w:sz w:val="20"/>
          <w:lang w:val="fr-CA"/>
        </w:rPr>
        <w:t xml:space="preserve">, les provinces, agissant seules ou de concert, sont dépourvues de la capacité constitutionnelle de maintenir un régime national viable.  Toutefois, si on la considère dans sa totalité, la </w:t>
      </w:r>
      <w:r w:rsidRPr="00C43481">
        <w:rPr>
          <w:i/>
          <w:sz w:val="20"/>
          <w:lang w:val="fr-CA"/>
        </w:rPr>
        <w:t>Loi</w:t>
      </w:r>
      <w:r w:rsidRPr="00C43481">
        <w:rPr>
          <w:sz w:val="20"/>
          <w:lang w:val="fr-CA"/>
        </w:rPr>
        <w:t xml:space="preserve"> ne porte pas principalement sur des enjeux véritablement fédéraux.  Elle intéresse surtout la réglementation courante de tous les aspects du commerce des valeurs mobilières et, à cet égard, elle ne serait pas compromise si une province n’adhérait pas au régime fédéral. </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En somme, la loi proposée excède les enjeux véritablement nationaux.  Certes, l’importance économique et l’omniprésence du marché des valeurs mobilières pourraient, en principe, justifier une intervention fédérale différente de celle des provinces sur le plan qualitatif, mais elles ne justifient pas la supplantation intégrale de la réglementation du secteur des valeurs mobilières, résultat auquel mènerait, en définitive, la loi fédérale proposée.  Rien n’interdit une démarche coopérative qui, tout en reconnaissant la nature essentiellement provinciale de la réglementation des valeurs mobilières, habiliterait le Parlement à traiter des enjeux véritablement nationaux.  En outre, une telle approche s’inscrit dans le droit fil des principes constitutionnels canadiens et des pratiques adoptées par le fédéral et les provinces dans d’autres sphères d’activité.</w:t>
      </w:r>
    </w:p>
    <w:p w:rsidR="00C43481" w:rsidRPr="00C43481" w:rsidRDefault="00C43481" w:rsidP="00C43481">
      <w:pPr>
        <w:pStyle w:val="SCCNormalDoubleSpacing"/>
        <w:spacing w:line="240" w:lineRule="auto"/>
        <w:rPr>
          <w:sz w:val="20"/>
          <w:lang w:val="fr-CA"/>
        </w:rPr>
      </w:pPr>
    </w:p>
    <w:p w:rsidR="00C43481" w:rsidRPr="00C43481" w:rsidRDefault="00C43481" w:rsidP="00C43481">
      <w:pPr>
        <w:pStyle w:val="SCCNormalDoubleSpacing"/>
        <w:spacing w:line="240" w:lineRule="auto"/>
        <w:rPr>
          <w:sz w:val="20"/>
          <w:lang w:val="fr-CA"/>
        </w:rPr>
      </w:pPr>
      <w:r w:rsidRPr="00C43481">
        <w:rPr>
          <w:sz w:val="20"/>
          <w:lang w:val="fr-CA"/>
        </w:rPr>
        <w:tab/>
        <w:t xml:space="preserve">RENVOI par le Gouverneur en conseil, en vertu de l’article 53 de la </w:t>
      </w:r>
      <w:r w:rsidRPr="00C43481">
        <w:rPr>
          <w:i/>
          <w:sz w:val="20"/>
          <w:lang w:val="fr-CA"/>
        </w:rPr>
        <w:t>Loi sur la Cour suprême</w:t>
      </w:r>
      <w:r w:rsidRPr="00C43481">
        <w:rPr>
          <w:sz w:val="20"/>
          <w:lang w:val="fr-CA"/>
        </w:rPr>
        <w:t xml:space="preserve">, au sujet de la validité constitutionnelle de la </w:t>
      </w:r>
      <w:r w:rsidRPr="00C43481">
        <w:rPr>
          <w:i/>
          <w:sz w:val="20"/>
          <w:lang w:val="fr-CA"/>
        </w:rPr>
        <w:t xml:space="preserve">Loi sur les valeurs mobilières </w:t>
      </w:r>
      <w:r w:rsidRPr="00C43481">
        <w:rPr>
          <w:sz w:val="20"/>
          <w:lang w:val="fr-CA"/>
        </w:rPr>
        <w:t>proposée</w:t>
      </w:r>
      <w:r w:rsidRPr="00C43481">
        <w:rPr>
          <w:i/>
          <w:sz w:val="20"/>
          <w:lang w:val="fr-CA"/>
        </w:rPr>
        <w:t xml:space="preserve">.  </w:t>
      </w:r>
      <w:r w:rsidRPr="00C43481">
        <w:rPr>
          <w:sz w:val="20"/>
          <w:lang w:val="fr-CA"/>
        </w:rPr>
        <w:t xml:space="preserve">La Cour donne la réponse suivante à la question posée : la </w:t>
      </w:r>
      <w:r w:rsidRPr="00C43481">
        <w:rPr>
          <w:i/>
          <w:sz w:val="20"/>
          <w:lang w:val="fr-CA"/>
        </w:rPr>
        <w:t>Loi sur les valeurs mobilières</w:t>
      </w:r>
      <w:r w:rsidRPr="00C43481">
        <w:rPr>
          <w:sz w:val="20"/>
          <w:lang w:val="fr-CA"/>
        </w:rPr>
        <w:t xml:space="preserve">, dans sa version actuelle, n’est pas valide, car elle ne relève pas du pouvoir </w:t>
      </w:r>
      <w:r w:rsidRPr="00C43481">
        <w:rPr>
          <w:sz w:val="20"/>
          <w:lang w:val="fr-CA"/>
        </w:rPr>
        <w:lastRenderedPageBreak/>
        <w:t xml:space="preserve">général de réglementation en matière de trafic et de commerce conféré au Parlement par le par. 91(2) de la </w:t>
      </w:r>
      <w:r w:rsidRPr="00C43481">
        <w:rPr>
          <w:i/>
          <w:sz w:val="20"/>
          <w:lang w:val="fr-CA"/>
        </w:rPr>
        <w:t>Loi constitutionnelle de 1867.</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Robert J. Frater</w:t>
      </w:r>
      <w:r w:rsidRPr="00C43481">
        <w:rPr>
          <w:sz w:val="20"/>
          <w:lang w:val="fr-CA"/>
        </w:rPr>
        <w:t xml:space="preserve">, </w:t>
      </w:r>
      <w:r w:rsidRPr="00C43481">
        <w:rPr>
          <w:i/>
          <w:sz w:val="20"/>
          <w:lang w:val="fr-CA"/>
        </w:rPr>
        <w:t xml:space="preserve">Peter W. Hogg, </w:t>
      </w:r>
      <w:proofErr w:type="gramStart"/>
      <w:r w:rsidRPr="00C43481">
        <w:rPr>
          <w:i/>
          <w:sz w:val="20"/>
          <w:lang w:val="fr-CA"/>
        </w:rPr>
        <w:t>c.r.,</w:t>
      </w:r>
      <w:proofErr w:type="gramEnd"/>
      <w:r w:rsidRPr="00C43481">
        <w:rPr>
          <w:i/>
          <w:sz w:val="20"/>
          <w:lang w:val="fr-CA"/>
        </w:rPr>
        <w:t xml:space="preserve"> Claude Joyal </w:t>
      </w:r>
      <w:r w:rsidRPr="00C43481">
        <w:rPr>
          <w:sz w:val="20"/>
          <w:lang w:val="fr-CA"/>
        </w:rPr>
        <w:t xml:space="preserve">et </w:t>
      </w:r>
      <w:r w:rsidRPr="00C43481">
        <w:rPr>
          <w:i/>
          <w:sz w:val="20"/>
          <w:lang w:val="fr-CA"/>
        </w:rPr>
        <w:t>Alexander Pless</w:t>
      </w:r>
      <w:r w:rsidRPr="00C43481">
        <w:rPr>
          <w:sz w:val="20"/>
          <w:lang w:val="fr-CA"/>
        </w:rPr>
        <w:t>, pour le procureur général du Canada.</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Janet E. Minor</w:t>
      </w:r>
      <w:r w:rsidRPr="00C43481">
        <w:rPr>
          <w:sz w:val="20"/>
          <w:lang w:val="fr-CA"/>
        </w:rPr>
        <w:t xml:space="preserve">, </w:t>
      </w:r>
      <w:r w:rsidRPr="00C43481">
        <w:rPr>
          <w:i/>
          <w:sz w:val="20"/>
          <w:lang w:val="fr-CA"/>
        </w:rPr>
        <w:t>Jennifer A. August</w:t>
      </w:r>
      <w:r w:rsidRPr="00C43481">
        <w:rPr>
          <w:sz w:val="20"/>
          <w:lang w:val="fr-CA"/>
        </w:rPr>
        <w:t xml:space="preserve"> et </w:t>
      </w:r>
      <w:r w:rsidRPr="00C43481">
        <w:rPr>
          <w:i/>
          <w:sz w:val="20"/>
          <w:lang w:val="fr-CA"/>
        </w:rPr>
        <w:t>S. Zachary Green</w:t>
      </w:r>
      <w:r w:rsidRPr="00C43481">
        <w:rPr>
          <w:sz w:val="20"/>
          <w:lang w:val="fr-CA"/>
        </w:rPr>
        <w:t>, pour l’intervenant le procureur général de l'Ontario.</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Jean</w:t>
      </w:r>
      <w:r w:rsidRPr="00C43481">
        <w:rPr>
          <w:i/>
          <w:sz w:val="20"/>
          <w:lang w:val="fr-CA"/>
        </w:rPr>
        <w:noBreakHyphen/>
        <w:t>Yves Bernard</w:t>
      </w:r>
      <w:r w:rsidRPr="00C43481">
        <w:rPr>
          <w:sz w:val="20"/>
          <w:lang w:val="fr-CA"/>
        </w:rPr>
        <w:t xml:space="preserve">, </w:t>
      </w:r>
      <w:r w:rsidRPr="00C43481">
        <w:rPr>
          <w:i/>
          <w:sz w:val="20"/>
          <w:lang w:val="fr-CA"/>
        </w:rPr>
        <w:t>France Bonsaint</w:t>
      </w:r>
      <w:r w:rsidRPr="00C43481">
        <w:rPr>
          <w:sz w:val="20"/>
          <w:lang w:val="fr-CA"/>
        </w:rPr>
        <w:t xml:space="preserve"> et </w:t>
      </w:r>
      <w:r w:rsidRPr="00C43481">
        <w:rPr>
          <w:i/>
          <w:sz w:val="20"/>
          <w:lang w:val="fr-CA"/>
        </w:rPr>
        <w:t>Hugo Jean</w:t>
      </w:r>
      <w:r w:rsidRPr="00C43481">
        <w:rPr>
          <w:sz w:val="20"/>
          <w:lang w:val="fr-CA"/>
        </w:rPr>
        <w:t>, pour l’intervenant le procureur général du Québec.</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Gaétan Migneault</w:t>
      </w:r>
      <w:r w:rsidRPr="00C43481">
        <w:rPr>
          <w:sz w:val="20"/>
          <w:lang w:val="fr-CA"/>
        </w:rPr>
        <w:t>, pour l'intervenant le procureur général du Nouveau</w:t>
      </w:r>
      <w:r w:rsidRPr="00C43481">
        <w:rPr>
          <w:sz w:val="20"/>
          <w:lang w:val="fr-CA"/>
        </w:rPr>
        <w:noBreakHyphen/>
        <w:t>Brunswick.</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Eugene B. Szach</w:t>
      </w:r>
      <w:r w:rsidRPr="00C43481">
        <w:rPr>
          <w:sz w:val="20"/>
          <w:lang w:val="fr-CA"/>
        </w:rPr>
        <w:t xml:space="preserve"> et </w:t>
      </w:r>
      <w:r w:rsidRPr="00C43481">
        <w:rPr>
          <w:i/>
          <w:sz w:val="20"/>
          <w:lang w:val="fr-CA"/>
        </w:rPr>
        <w:t>Nathaniel Carnegie</w:t>
      </w:r>
      <w:r w:rsidRPr="00C43481">
        <w:rPr>
          <w:sz w:val="20"/>
          <w:lang w:val="fr-CA"/>
        </w:rPr>
        <w:t>, pour l’intervenant le procureur général du Manitoba.</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George H. Copley, c.r.</w:t>
      </w:r>
      <w:r w:rsidRPr="00C43481">
        <w:rPr>
          <w:sz w:val="20"/>
          <w:lang w:val="fr-CA"/>
        </w:rPr>
        <w:t xml:space="preserve">, </w:t>
      </w:r>
      <w:r w:rsidRPr="00C43481">
        <w:rPr>
          <w:i/>
          <w:sz w:val="20"/>
          <w:lang w:val="fr-CA"/>
        </w:rPr>
        <w:t>Nancy E. Brown</w:t>
      </w:r>
      <w:r w:rsidRPr="00C43481">
        <w:rPr>
          <w:sz w:val="20"/>
          <w:lang w:val="fr-CA"/>
        </w:rPr>
        <w:t xml:space="preserve"> et </w:t>
      </w:r>
      <w:r w:rsidRPr="00C43481">
        <w:rPr>
          <w:i/>
          <w:sz w:val="20"/>
          <w:lang w:val="fr-CA"/>
        </w:rPr>
        <w:t>Donald Sutherland</w:t>
      </w:r>
      <w:r w:rsidRPr="00C43481">
        <w:rPr>
          <w:sz w:val="20"/>
          <w:lang w:val="fr-CA"/>
        </w:rPr>
        <w:t>, pour l’intervenant le procureur général de Colombie</w:t>
      </w:r>
      <w:r w:rsidRPr="00C43481">
        <w:rPr>
          <w:sz w:val="20"/>
          <w:lang w:val="fr-CA"/>
        </w:rPr>
        <w:noBreakHyphen/>
        <w:t>Britannique.</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Graeme G. Mitchell, c.r.</w:t>
      </w:r>
      <w:r w:rsidRPr="00C43481">
        <w:rPr>
          <w:sz w:val="20"/>
          <w:lang w:val="fr-CA"/>
        </w:rPr>
        <w:t>, pour l’intervenant le procureur général de la Saskatchewan.</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E. David D. Tavender, c.r., D. Brian Foster, c.r.,</w:t>
      </w:r>
      <w:r w:rsidRPr="00C43481">
        <w:rPr>
          <w:sz w:val="20"/>
          <w:lang w:val="fr-CA"/>
        </w:rPr>
        <w:t xml:space="preserve"> </w:t>
      </w:r>
      <w:r w:rsidRPr="00C43481">
        <w:rPr>
          <w:i/>
          <w:sz w:val="20"/>
          <w:lang w:val="fr-CA"/>
        </w:rPr>
        <w:t>L. Christine Enns</w:t>
      </w:r>
      <w:r w:rsidRPr="00C43481">
        <w:rPr>
          <w:sz w:val="20"/>
          <w:lang w:val="fr-CA"/>
        </w:rPr>
        <w:t xml:space="preserve"> et </w:t>
      </w:r>
      <w:r w:rsidRPr="00C43481">
        <w:rPr>
          <w:i/>
          <w:sz w:val="20"/>
          <w:lang w:val="fr-CA"/>
        </w:rPr>
        <w:t>Jordan C. Milne</w:t>
      </w:r>
      <w:r w:rsidRPr="00C43481">
        <w:rPr>
          <w:sz w:val="20"/>
          <w:lang w:val="fr-CA"/>
        </w:rPr>
        <w:t>, pour l’intervenant le procureur général de l’Alberta.</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Andrew K. Lokan</w:t>
      </w:r>
      <w:r w:rsidRPr="00C43481">
        <w:rPr>
          <w:sz w:val="20"/>
          <w:lang w:val="fr-CA"/>
        </w:rPr>
        <w:t xml:space="preserve">, </w:t>
      </w:r>
      <w:r w:rsidRPr="00C43481">
        <w:rPr>
          <w:i/>
          <w:sz w:val="20"/>
          <w:lang w:val="fr-CA"/>
        </w:rPr>
        <w:t>Massimo C. Starnino</w:t>
      </w:r>
      <w:r w:rsidRPr="00C43481">
        <w:rPr>
          <w:sz w:val="20"/>
          <w:lang w:val="fr-CA"/>
        </w:rPr>
        <w:t xml:space="preserve"> et </w:t>
      </w:r>
      <w:r w:rsidRPr="00C43481">
        <w:rPr>
          <w:i/>
          <w:sz w:val="20"/>
          <w:lang w:val="fr-CA"/>
        </w:rPr>
        <w:t>Michael Fenrick</w:t>
      </w:r>
      <w:r w:rsidRPr="00C43481">
        <w:rPr>
          <w:sz w:val="20"/>
          <w:lang w:val="fr-CA"/>
        </w:rPr>
        <w:t>, pour l’intervenante la Fondation canadienne pour l’avancement des droits des investisseurs.</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Luis Sarabia</w:t>
      </w:r>
      <w:r w:rsidRPr="00C43481">
        <w:rPr>
          <w:sz w:val="20"/>
          <w:lang w:val="fr-CA"/>
        </w:rPr>
        <w:t xml:space="preserve">, </w:t>
      </w:r>
      <w:r w:rsidRPr="00C43481">
        <w:rPr>
          <w:i/>
          <w:sz w:val="20"/>
          <w:lang w:val="fr-CA"/>
        </w:rPr>
        <w:t>Matthew Milne</w:t>
      </w:r>
      <w:r w:rsidRPr="00C43481">
        <w:rPr>
          <w:i/>
          <w:sz w:val="20"/>
          <w:lang w:val="fr-CA"/>
        </w:rPr>
        <w:noBreakHyphen/>
        <w:t>Smith</w:t>
      </w:r>
      <w:r w:rsidRPr="00C43481">
        <w:rPr>
          <w:sz w:val="20"/>
          <w:lang w:val="fr-CA"/>
        </w:rPr>
        <w:t xml:space="preserve"> et </w:t>
      </w:r>
      <w:r w:rsidRPr="00C43481">
        <w:rPr>
          <w:i/>
          <w:sz w:val="20"/>
          <w:lang w:val="fr-CA"/>
        </w:rPr>
        <w:t>David Stolow</w:t>
      </w:r>
      <w:r w:rsidRPr="00C43481">
        <w:rPr>
          <w:sz w:val="20"/>
          <w:lang w:val="fr-CA"/>
        </w:rPr>
        <w:t>, pour l’intervenante la Coalition canadienne pour une saine gestion des entreprises.</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John B. Laskin</w:t>
      </w:r>
      <w:r w:rsidRPr="00C43481">
        <w:rPr>
          <w:sz w:val="20"/>
          <w:lang w:val="fr-CA"/>
        </w:rPr>
        <w:t xml:space="preserve"> et </w:t>
      </w:r>
      <w:r w:rsidRPr="00C43481">
        <w:rPr>
          <w:i/>
          <w:sz w:val="20"/>
          <w:lang w:val="fr-CA"/>
        </w:rPr>
        <w:t>Darryl C. Patterson</w:t>
      </w:r>
      <w:r w:rsidRPr="00C43481">
        <w:rPr>
          <w:sz w:val="20"/>
          <w:lang w:val="fr-CA"/>
        </w:rPr>
        <w:t>, pour l’intervenante l’Association canadienne du commerce des valeurs mobilières.</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Mahmud Jamal</w:t>
      </w:r>
      <w:r w:rsidRPr="00C43481">
        <w:rPr>
          <w:sz w:val="20"/>
          <w:lang w:val="fr-CA"/>
        </w:rPr>
        <w:t xml:space="preserve">, </w:t>
      </w:r>
      <w:r w:rsidRPr="00C43481">
        <w:rPr>
          <w:i/>
          <w:sz w:val="20"/>
          <w:lang w:val="fr-CA"/>
        </w:rPr>
        <w:t>Éric Préfontaine</w:t>
      </w:r>
      <w:r w:rsidRPr="00C43481">
        <w:rPr>
          <w:sz w:val="20"/>
          <w:lang w:val="fr-CA"/>
        </w:rPr>
        <w:t xml:space="preserve"> et </w:t>
      </w:r>
      <w:r w:rsidRPr="00C43481">
        <w:rPr>
          <w:i/>
          <w:sz w:val="20"/>
          <w:lang w:val="fr-CA"/>
        </w:rPr>
        <w:t>Raphael T. Eghan</w:t>
      </w:r>
      <w:r w:rsidRPr="00C43481">
        <w:rPr>
          <w:sz w:val="20"/>
          <w:lang w:val="fr-CA"/>
        </w:rPr>
        <w:t>, pour l’intervenante l’Association des banquiers canadiens.</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Kelley M. McKinnon</w:t>
      </w:r>
      <w:r w:rsidRPr="00C43481">
        <w:rPr>
          <w:sz w:val="20"/>
          <w:lang w:val="fr-CA"/>
        </w:rPr>
        <w:t xml:space="preserve"> et </w:t>
      </w:r>
      <w:r w:rsidRPr="00C43481">
        <w:rPr>
          <w:i/>
          <w:sz w:val="20"/>
          <w:lang w:val="fr-CA"/>
        </w:rPr>
        <w:t>Brent J. Arnold</w:t>
      </w:r>
      <w:r w:rsidRPr="00C43481">
        <w:rPr>
          <w:sz w:val="20"/>
          <w:lang w:val="fr-CA"/>
        </w:rPr>
        <w:t>, pour l’intervenant le Conseil du Régime de retraite des enseignantes et des enseignants de l’Ontario.</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Guy Paquette</w:t>
      </w:r>
      <w:r w:rsidRPr="00C43481">
        <w:rPr>
          <w:sz w:val="20"/>
          <w:lang w:val="fr-CA"/>
        </w:rPr>
        <w:t xml:space="preserve"> et </w:t>
      </w:r>
      <w:r w:rsidRPr="00C43481">
        <w:rPr>
          <w:i/>
          <w:sz w:val="20"/>
          <w:lang w:val="fr-CA"/>
        </w:rPr>
        <w:t>Vanessa O’Connell</w:t>
      </w:r>
      <w:r w:rsidRPr="00C43481">
        <w:rPr>
          <w:i/>
          <w:sz w:val="20"/>
          <w:lang w:val="fr-CA"/>
        </w:rPr>
        <w:noBreakHyphen/>
        <w:t>Chrétien</w:t>
      </w:r>
      <w:r w:rsidRPr="00C43481">
        <w:rPr>
          <w:sz w:val="20"/>
          <w:lang w:val="fr-CA"/>
        </w:rPr>
        <w:t>, pour l’intervenant le Mouvement d’éducation et de défense des actionnaires.</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Raymond Doray</w:t>
      </w:r>
      <w:r w:rsidRPr="00C43481">
        <w:rPr>
          <w:sz w:val="20"/>
          <w:lang w:val="fr-CA"/>
        </w:rPr>
        <w:t xml:space="preserve"> et </w:t>
      </w:r>
      <w:r w:rsidRPr="00C43481">
        <w:rPr>
          <w:i/>
          <w:sz w:val="20"/>
          <w:lang w:val="fr-CA"/>
        </w:rPr>
        <w:t>Mathieu Quenneville</w:t>
      </w:r>
      <w:r w:rsidRPr="00C43481">
        <w:rPr>
          <w:sz w:val="20"/>
          <w:lang w:val="fr-CA"/>
        </w:rPr>
        <w:t>, pour l’intervenant le Barreau du Québec.</w:t>
      </w:r>
    </w:p>
    <w:p w:rsidR="00C43481" w:rsidRPr="00C43481" w:rsidRDefault="00C43481" w:rsidP="00C43481">
      <w:pPr>
        <w:pStyle w:val="SCCNormalDoubleSpacing"/>
        <w:spacing w:line="240" w:lineRule="auto"/>
        <w:rPr>
          <w:i/>
          <w:sz w:val="20"/>
          <w:lang w:val="fr-CA"/>
        </w:rPr>
      </w:pPr>
    </w:p>
    <w:p w:rsidR="00C43481" w:rsidRPr="00C43481" w:rsidRDefault="00C43481" w:rsidP="00C43481">
      <w:pPr>
        <w:pStyle w:val="SCCNormalDoubleSpacing"/>
        <w:spacing w:line="240" w:lineRule="auto"/>
        <w:rPr>
          <w:sz w:val="20"/>
          <w:lang w:val="fr-CA"/>
        </w:rPr>
      </w:pPr>
      <w:r w:rsidRPr="00C43481">
        <w:rPr>
          <w:i/>
          <w:sz w:val="20"/>
          <w:lang w:val="fr-CA"/>
        </w:rPr>
        <w:tab/>
        <w:t>Sébastien Grammond</w:t>
      </w:r>
      <w:r w:rsidRPr="00C43481">
        <w:rPr>
          <w:sz w:val="20"/>
          <w:lang w:val="fr-CA"/>
        </w:rPr>
        <w:t xml:space="preserve"> et </w:t>
      </w:r>
      <w:r w:rsidRPr="00C43481">
        <w:rPr>
          <w:i/>
          <w:sz w:val="20"/>
          <w:lang w:val="fr-CA"/>
        </w:rPr>
        <w:t>Luc Giroux</w:t>
      </w:r>
      <w:r w:rsidRPr="00C43481">
        <w:rPr>
          <w:sz w:val="20"/>
          <w:lang w:val="fr-CA"/>
        </w:rPr>
        <w:t>, pour l’intervenant l’Institut sur la Gouvernance d’organisations privées et publiques.</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 du procureur général du Canada : Procureur général du Canada, Ottawa.</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 de l’intervenant le procureur général de l’Ontario : Procureur général de l’Ontario, Toronto.</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 le procureur général du Québec : Bernard, Roy &amp; Associés, Montréal.</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 de l’intervenant le procureur général du Nouveau</w:t>
      </w:r>
      <w:r w:rsidRPr="00C43481">
        <w:rPr>
          <w:sz w:val="20"/>
          <w:lang w:val="fr-CA"/>
        </w:rPr>
        <w:noBreakHyphen/>
        <w:t>Brunswick : Procureur général du Nouveau</w:t>
      </w:r>
      <w:r w:rsidRPr="00C43481">
        <w:rPr>
          <w:sz w:val="20"/>
          <w:lang w:val="fr-CA"/>
        </w:rPr>
        <w:noBreakHyphen/>
        <w:t>Brunswick, Fredericton.</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 de l’intervenant le procureur général du Manitoba : Procureur général du Manitoba, Winnipeg.</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lastRenderedPageBreak/>
        <w:tab/>
        <w:t>Procureur de l’intervenant le procureur général de la Colombie</w:t>
      </w:r>
      <w:r w:rsidRPr="00C43481">
        <w:rPr>
          <w:sz w:val="20"/>
          <w:lang w:val="fr-CA"/>
        </w:rPr>
        <w:noBreakHyphen/>
        <w:t>Britannique :</w:t>
      </w:r>
      <w:proofErr w:type="gramStart"/>
      <w:r w:rsidRPr="00C43481">
        <w:rPr>
          <w:sz w:val="20"/>
          <w:lang w:val="fr-CA"/>
        </w:rPr>
        <w:t>  Procureur</w:t>
      </w:r>
      <w:proofErr w:type="gramEnd"/>
      <w:r w:rsidRPr="00C43481">
        <w:rPr>
          <w:sz w:val="20"/>
          <w:lang w:val="fr-CA"/>
        </w:rPr>
        <w:t xml:space="preserve"> général de la Colombie</w:t>
      </w:r>
      <w:r w:rsidRPr="00C43481">
        <w:rPr>
          <w:sz w:val="20"/>
          <w:lang w:val="fr-CA"/>
        </w:rPr>
        <w:noBreakHyphen/>
        <w:t>Britannique, Victoria.</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 de l’intervenant le procureur général de la Saskatchewan : Procureur général de la Saskatchewan, Regina.</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 le procureur général de l’Alberta : Fraser Milner Casgrain, Calgary, et procureur général de l’Alberta, Edmonton.</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l’intervenante la Fondation canadienne pour l’avancement des droits des investisseurs : Paliare, Roland, Rosenberg, Rothstein, Toronto.</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l’intervenante la Coalition canadienne pour une saine gestion des entreprises : Davies Ward Phillips &amp; Vineberg, Toronto.</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l’intervenante l’Association canadienne du commerce des valeurs mobilières : Torys, Toronto.</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l’intervenante l’Association des banquiers canadiens : Osler, Hoskin &amp; Harcourt, Toronto.</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 le Conseil du Régime de retraite des enseignantes et des enseignants de l'Ontario : Gowling Lafleur Henderson, Toronto.</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 le Mouvement d’éducation et de défense des actionnaires : Paquette Gadler Inc., Montréal.</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Procureurs de l'intervenant le Barreau du Québec : Lavery, de Billy, Montréal.</w:t>
      </w:r>
    </w:p>
    <w:p w:rsidR="00C43481" w:rsidRPr="00C43481" w:rsidRDefault="00C43481" w:rsidP="00C43481">
      <w:pPr>
        <w:pStyle w:val="SCCLawFirm"/>
        <w:spacing w:line="240" w:lineRule="auto"/>
        <w:rPr>
          <w:sz w:val="20"/>
          <w:lang w:val="fr-CA"/>
        </w:rPr>
      </w:pPr>
    </w:p>
    <w:p w:rsidR="00C43481" w:rsidRPr="00C43481" w:rsidRDefault="00C43481" w:rsidP="00C43481">
      <w:pPr>
        <w:pStyle w:val="SCCLawFirm"/>
        <w:spacing w:line="240" w:lineRule="auto"/>
        <w:rPr>
          <w:sz w:val="20"/>
          <w:lang w:val="fr-CA"/>
        </w:rPr>
      </w:pPr>
      <w:r w:rsidRPr="00C43481">
        <w:rPr>
          <w:sz w:val="20"/>
          <w:lang w:val="fr-CA"/>
        </w:rPr>
        <w:tab/>
        <w:t>Procureur de l'intervenant l’Institut sur la gouvernance d'organisations privées et publiques : Fraser Milner Casgrain, Montréal.</w:t>
      </w:r>
    </w:p>
    <w:p w:rsidR="009916DB" w:rsidRPr="00C43481" w:rsidRDefault="009916DB" w:rsidP="009916DB">
      <w:pPr>
        <w:widowControl w:val="0"/>
        <w:tabs>
          <w:tab w:val="left" w:pos="-1440"/>
          <w:tab w:val="left" w:pos="-720"/>
          <w:tab w:val="left" w:pos="1152"/>
          <w:tab w:val="left" w:pos="1570"/>
          <w:tab w:val="left" w:pos="1843"/>
          <w:tab w:val="left" w:pos="2261"/>
          <w:tab w:val="left" w:pos="6480"/>
        </w:tabs>
        <w:rPr>
          <w:spacing w:val="3"/>
          <w:sz w:val="20"/>
          <w:szCs w:val="20"/>
          <w:lang w:val="fr-CA"/>
        </w:rPr>
      </w:pPr>
    </w:p>
    <w:p w:rsidR="009916DB" w:rsidRDefault="00586706" w:rsidP="003B3977">
      <w:pPr>
        <w:rPr>
          <w:rFonts w:cs="Times New Roman"/>
          <w:sz w:val="20"/>
          <w:szCs w:val="20"/>
          <w:lang w:val="fr-CA"/>
        </w:rPr>
      </w:pPr>
      <w:r w:rsidRPr="00586706">
        <w:rPr>
          <w:rFonts w:cs="Times New Roman"/>
          <w:sz w:val="20"/>
          <w:szCs w:val="20"/>
          <w:lang w:val="fr-CA"/>
        </w:rPr>
        <w:pict>
          <v:rect id="_x0000_i1087" style="width:144.3pt;height:1pt" o:hrpct="300" o:hralign="center" o:hrstd="t" o:hrnoshade="t" o:hr="t" fillcolor="black [3213]" stroked="f"/>
        </w:pict>
      </w:r>
    </w:p>
    <w:p w:rsidR="00C43481" w:rsidRPr="00C43481" w:rsidRDefault="00C43481" w:rsidP="003B3977">
      <w:pPr>
        <w:rPr>
          <w:sz w:val="20"/>
          <w:szCs w:val="20"/>
          <w:lang w:val="fr-CA"/>
        </w:rPr>
      </w:pPr>
    </w:p>
    <w:p w:rsidR="005C6840" w:rsidRPr="00C43481" w:rsidRDefault="005C6840" w:rsidP="005C6840">
      <w:pPr>
        <w:jc w:val="both"/>
        <w:rPr>
          <w:sz w:val="20"/>
          <w:szCs w:val="20"/>
          <w:lang w:val="fr-CA"/>
        </w:rPr>
      </w:pPr>
    </w:p>
    <w:p w:rsidR="00102926" w:rsidRPr="00C43481" w:rsidRDefault="00102926" w:rsidP="00782AE4">
      <w:pPr>
        <w:jc w:val="both"/>
        <w:rPr>
          <w:sz w:val="20"/>
          <w:szCs w:val="20"/>
          <w:lang w:val="fr-CA"/>
        </w:rPr>
        <w:sectPr w:rsidR="00102926" w:rsidRPr="00C43481" w:rsidSect="00782AE4">
          <w:headerReference w:type="even" r:id="rId47"/>
          <w:headerReference w:type="default" r:id="rId48"/>
          <w:footerReference w:type="even" r:id="rId49"/>
          <w:footerReference w:type="default" r:id="rId50"/>
          <w:headerReference w:type="first" r:id="rId51"/>
          <w:footerReference w:type="first" r:id="rId52"/>
          <w:pgSz w:w="12240" w:h="15840"/>
          <w:pgMar w:top="720" w:right="965" w:bottom="1080" w:left="1656" w:header="576" w:footer="960" w:gutter="0"/>
          <w:cols w:space="720"/>
          <w:titlePg/>
          <w:docGrid w:linePitch="272"/>
        </w:sectPr>
      </w:pPr>
    </w:p>
    <w:tbl>
      <w:tblPr>
        <w:tblW w:w="0" w:type="auto"/>
        <w:tblBorders>
          <w:bottom w:val="single" w:sz="8" w:space="0" w:color="auto"/>
        </w:tblBorders>
        <w:tblLayout w:type="fixed"/>
        <w:tblCellMar>
          <w:left w:w="0" w:type="dxa"/>
          <w:right w:w="0" w:type="dxa"/>
        </w:tblCellMar>
        <w:tblLook w:val="0000"/>
      </w:tblPr>
      <w:tblGrid>
        <w:gridCol w:w="4320"/>
        <w:gridCol w:w="840"/>
        <w:gridCol w:w="4320"/>
      </w:tblGrid>
      <w:tr w:rsidR="0022323B" w:rsidRPr="00C50A5C" w:rsidTr="0085476B">
        <w:tc>
          <w:tcPr>
            <w:tcW w:w="4320" w:type="dxa"/>
            <w:shd w:val="clear" w:color="auto" w:fill="auto"/>
            <w:tcMar>
              <w:left w:w="0" w:type="dxa"/>
              <w:right w:w="0" w:type="dxa"/>
            </w:tcMar>
          </w:tcPr>
          <w:p w:rsidR="0022323B" w:rsidRPr="00C50A5C" w:rsidRDefault="0022323B" w:rsidP="00BB420B">
            <w:pPr>
              <w:keepNext/>
              <w:keepLines/>
              <w:rPr>
                <w:b/>
                <w:szCs w:val="24"/>
              </w:rPr>
            </w:pPr>
            <w:r w:rsidRPr="00C50A5C">
              <w:rPr>
                <w:b/>
                <w:szCs w:val="24"/>
              </w:rPr>
              <w:lastRenderedPageBreak/>
              <w:t xml:space="preserve">AGENDA FOR </w:t>
            </w:r>
            <w:r w:rsidR="00BB420B">
              <w:rPr>
                <w:b/>
                <w:szCs w:val="24"/>
              </w:rPr>
              <w:t>JA</w:t>
            </w:r>
            <w:r w:rsidRPr="00C50A5C">
              <w:rPr>
                <w:b/>
                <w:szCs w:val="24"/>
              </w:rPr>
              <w:t>N</w:t>
            </w:r>
            <w:r w:rsidR="00BB420B">
              <w:rPr>
                <w:b/>
                <w:szCs w:val="24"/>
              </w:rPr>
              <w:t>UA</w:t>
            </w:r>
            <w:r w:rsidRPr="00C50A5C">
              <w:rPr>
                <w:b/>
                <w:szCs w:val="24"/>
              </w:rPr>
              <w:t>R</w:t>
            </w:r>
            <w:r w:rsidR="00BB420B">
              <w:rPr>
                <w:b/>
                <w:szCs w:val="24"/>
              </w:rPr>
              <w:t>Y 2012</w:t>
            </w:r>
          </w:p>
        </w:tc>
        <w:tc>
          <w:tcPr>
            <w:tcW w:w="840" w:type="dxa"/>
            <w:shd w:val="clear" w:color="auto" w:fill="auto"/>
            <w:tcMar>
              <w:left w:w="0" w:type="dxa"/>
              <w:right w:w="0" w:type="dxa"/>
            </w:tcMar>
          </w:tcPr>
          <w:p w:rsidR="0022323B" w:rsidRPr="00C50A5C" w:rsidRDefault="0022323B" w:rsidP="0022323B">
            <w:pPr>
              <w:keepNext/>
              <w:keepLines/>
              <w:jc w:val="center"/>
              <w:rPr>
                <w:b/>
                <w:szCs w:val="24"/>
              </w:rPr>
            </w:pPr>
          </w:p>
          <w:p w:rsidR="0022323B" w:rsidRPr="00C50A5C" w:rsidRDefault="0022323B" w:rsidP="0022323B">
            <w:pPr>
              <w:keepNext/>
              <w:keepLines/>
              <w:jc w:val="center"/>
              <w:rPr>
                <w:b/>
                <w:szCs w:val="24"/>
              </w:rPr>
            </w:pPr>
          </w:p>
        </w:tc>
        <w:tc>
          <w:tcPr>
            <w:tcW w:w="4320" w:type="dxa"/>
            <w:shd w:val="clear" w:color="auto" w:fill="auto"/>
            <w:tcMar>
              <w:left w:w="0" w:type="dxa"/>
              <w:right w:w="0" w:type="dxa"/>
            </w:tcMar>
          </w:tcPr>
          <w:p w:rsidR="0022323B" w:rsidRPr="00C50A5C" w:rsidRDefault="0022323B" w:rsidP="00BB420B">
            <w:pPr>
              <w:keepNext/>
              <w:keepLines/>
              <w:rPr>
                <w:b/>
                <w:szCs w:val="24"/>
                <w:lang w:val="fr-CA"/>
              </w:rPr>
            </w:pPr>
            <w:r w:rsidRPr="00C50A5C">
              <w:rPr>
                <w:b/>
                <w:szCs w:val="24"/>
                <w:lang w:val="fr-CA"/>
              </w:rPr>
              <w:t xml:space="preserve">CALENDRIER DE </w:t>
            </w:r>
            <w:r w:rsidR="00BB420B">
              <w:rPr>
                <w:b/>
                <w:szCs w:val="24"/>
                <w:lang w:val="fr-CA"/>
              </w:rPr>
              <w:t>JA</w:t>
            </w:r>
            <w:r w:rsidRPr="00C50A5C">
              <w:rPr>
                <w:b/>
                <w:szCs w:val="24"/>
                <w:lang w:val="fr-CA"/>
              </w:rPr>
              <w:t>N</w:t>
            </w:r>
            <w:r w:rsidR="00BB420B">
              <w:rPr>
                <w:b/>
                <w:szCs w:val="24"/>
                <w:lang w:val="fr-CA"/>
              </w:rPr>
              <w:t>VI</w:t>
            </w:r>
            <w:r w:rsidRPr="00C50A5C">
              <w:rPr>
                <w:b/>
                <w:szCs w:val="24"/>
                <w:lang w:val="fr-CA"/>
              </w:rPr>
              <w:t>ER</w:t>
            </w:r>
            <w:r w:rsidR="00BB420B">
              <w:rPr>
                <w:b/>
                <w:szCs w:val="24"/>
                <w:lang w:val="fr-CA"/>
              </w:rPr>
              <w:t xml:space="preserve"> 2012</w:t>
            </w:r>
          </w:p>
        </w:tc>
      </w:tr>
    </w:tbl>
    <w:p w:rsidR="004B66B4" w:rsidRDefault="004B66B4" w:rsidP="004B66B4">
      <w:pPr>
        <w:rPr>
          <w:sz w:val="20"/>
          <w:szCs w:val="20"/>
        </w:rPr>
      </w:pPr>
    </w:p>
    <w:p w:rsidR="00BB420B" w:rsidRDefault="00BB420B" w:rsidP="00BB420B">
      <w:pPr>
        <w:rPr>
          <w:sz w:val="20"/>
          <w:szCs w:val="20"/>
        </w:rPr>
      </w:pPr>
      <w:r>
        <w:rPr>
          <w:sz w:val="20"/>
          <w:szCs w:val="20"/>
        </w:rPr>
        <w:t>The next session of the Supreme Court of Canada commences on January 9, 2012.</w:t>
      </w:r>
    </w:p>
    <w:p w:rsidR="00BB420B" w:rsidRDefault="00BB420B" w:rsidP="00BB420B">
      <w:pPr>
        <w:rPr>
          <w:sz w:val="20"/>
          <w:szCs w:val="20"/>
          <w:lang w:val="fr-CA"/>
        </w:rPr>
      </w:pPr>
      <w:r w:rsidRPr="00455913">
        <w:rPr>
          <w:sz w:val="20"/>
          <w:szCs w:val="20"/>
          <w:lang w:val="fr-CA"/>
        </w:rPr>
        <w:t>La prochaine session de la Cour supr</w:t>
      </w:r>
      <w:r>
        <w:rPr>
          <w:sz w:val="20"/>
          <w:szCs w:val="20"/>
          <w:lang w:val="fr-CA"/>
        </w:rPr>
        <w:t>ême du Canada débute le 9 janvier 2012.</w:t>
      </w:r>
    </w:p>
    <w:p w:rsidR="00BB420B" w:rsidRPr="00455913" w:rsidRDefault="00BB420B" w:rsidP="00BB420B">
      <w:pPr>
        <w:rPr>
          <w:sz w:val="20"/>
          <w:szCs w:val="20"/>
          <w:lang w:val="fr-CA"/>
        </w:rPr>
      </w:pPr>
    </w:p>
    <w:p w:rsidR="00BB420B" w:rsidRPr="00DD0B49" w:rsidRDefault="00BB420B" w:rsidP="00BB420B">
      <w:pPr>
        <w:rPr>
          <w:b/>
          <w:sz w:val="20"/>
          <w:szCs w:val="20"/>
        </w:rPr>
      </w:pPr>
      <w:r>
        <w:rPr>
          <w:b/>
          <w:sz w:val="20"/>
          <w:szCs w:val="20"/>
        </w:rPr>
        <w:t>The next Bulletin of Proceedings will be published on January 6, 2012</w:t>
      </w:r>
      <w:r w:rsidRPr="00DD0B49">
        <w:rPr>
          <w:b/>
          <w:sz w:val="20"/>
          <w:szCs w:val="20"/>
        </w:rPr>
        <w:t>.</w:t>
      </w:r>
    </w:p>
    <w:p w:rsidR="00BB420B" w:rsidRDefault="00BB420B" w:rsidP="00BB420B">
      <w:pPr>
        <w:rPr>
          <w:b/>
          <w:sz w:val="20"/>
          <w:szCs w:val="20"/>
          <w:lang w:val="fr-CA"/>
        </w:rPr>
      </w:pPr>
      <w:r w:rsidRPr="00455913">
        <w:rPr>
          <w:b/>
          <w:sz w:val="20"/>
          <w:szCs w:val="20"/>
          <w:lang w:val="fr-CA"/>
        </w:rPr>
        <w:t>La prochaine Bulletin des proc</w:t>
      </w:r>
      <w:r>
        <w:rPr>
          <w:b/>
          <w:sz w:val="20"/>
          <w:szCs w:val="20"/>
          <w:lang w:val="fr-CA"/>
        </w:rPr>
        <w:t>é</w:t>
      </w:r>
      <w:r w:rsidRPr="00455913">
        <w:rPr>
          <w:b/>
          <w:sz w:val="20"/>
          <w:szCs w:val="20"/>
          <w:lang w:val="fr-CA"/>
        </w:rPr>
        <w:t xml:space="preserve">dures sera publié le </w:t>
      </w:r>
      <w:r w:rsidR="00202738">
        <w:rPr>
          <w:b/>
          <w:sz w:val="20"/>
          <w:szCs w:val="20"/>
          <w:lang w:val="fr-CA"/>
        </w:rPr>
        <w:t>6</w:t>
      </w:r>
      <w:r w:rsidRPr="00455913">
        <w:rPr>
          <w:b/>
          <w:sz w:val="20"/>
          <w:szCs w:val="20"/>
          <w:lang w:val="fr-CA"/>
        </w:rPr>
        <w:t xml:space="preserve"> janvier </w:t>
      </w:r>
      <w:r w:rsidRPr="00DD0B49">
        <w:rPr>
          <w:b/>
          <w:sz w:val="20"/>
          <w:szCs w:val="20"/>
          <w:lang w:val="fr-CA"/>
        </w:rPr>
        <w:t>201</w:t>
      </w:r>
      <w:r>
        <w:rPr>
          <w:b/>
          <w:sz w:val="20"/>
          <w:szCs w:val="20"/>
          <w:lang w:val="fr-CA"/>
        </w:rPr>
        <w:t>2</w:t>
      </w:r>
      <w:r w:rsidRPr="00DD0B49">
        <w:rPr>
          <w:b/>
          <w:sz w:val="20"/>
          <w:szCs w:val="20"/>
          <w:lang w:val="fr-CA"/>
        </w:rPr>
        <w:t>.</w:t>
      </w: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Default="00BB420B" w:rsidP="00BB420B">
      <w:pPr>
        <w:rPr>
          <w:b/>
          <w:sz w:val="20"/>
          <w:szCs w:val="20"/>
          <w:lang w:val="fr-CA"/>
        </w:rPr>
      </w:pPr>
    </w:p>
    <w:p w:rsidR="00BB420B" w:rsidRPr="00455913" w:rsidRDefault="00BB420B" w:rsidP="00BB420B">
      <w:pPr>
        <w:jc w:val="center"/>
        <w:rPr>
          <w:b/>
          <w:sz w:val="60"/>
          <w:szCs w:val="60"/>
          <w:lang w:val="fr-CA"/>
        </w:rPr>
      </w:pPr>
      <w:r w:rsidRPr="00455913">
        <w:rPr>
          <w:b/>
          <w:sz w:val="60"/>
          <w:szCs w:val="60"/>
          <w:lang w:val="fr-CA"/>
        </w:rPr>
        <w:t>SEASON’S GREETINGS!</w:t>
      </w:r>
    </w:p>
    <w:p w:rsidR="00BB420B" w:rsidRPr="00455913" w:rsidRDefault="00BB420B" w:rsidP="00BB420B">
      <w:pPr>
        <w:rPr>
          <w:b/>
          <w:sz w:val="60"/>
          <w:szCs w:val="60"/>
          <w:lang w:val="fr-CA"/>
        </w:rPr>
      </w:pPr>
    </w:p>
    <w:p w:rsidR="00BB420B" w:rsidRPr="00455913" w:rsidRDefault="00BB420B" w:rsidP="00BB420B">
      <w:pPr>
        <w:jc w:val="center"/>
        <w:rPr>
          <w:b/>
          <w:sz w:val="60"/>
          <w:szCs w:val="60"/>
          <w:lang w:val="fr-CA"/>
        </w:rPr>
      </w:pPr>
      <w:r w:rsidRPr="00455913">
        <w:rPr>
          <w:b/>
          <w:sz w:val="60"/>
          <w:szCs w:val="60"/>
          <w:lang w:val="fr-CA"/>
        </w:rPr>
        <w:t xml:space="preserve">MEILLEURS </w:t>
      </w:r>
      <w:r>
        <w:rPr>
          <w:b/>
          <w:sz w:val="60"/>
          <w:szCs w:val="60"/>
          <w:lang w:val="fr-CA"/>
        </w:rPr>
        <w:t>VOE</w:t>
      </w:r>
      <w:r w:rsidRPr="00455913">
        <w:rPr>
          <w:b/>
          <w:sz w:val="60"/>
          <w:szCs w:val="60"/>
          <w:lang w:val="fr-CA"/>
        </w:rPr>
        <w:t>UX !</w:t>
      </w:r>
    </w:p>
    <w:p w:rsidR="00BB420B" w:rsidRDefault="00BB420B" w:rsidP="00BB420B">
      <w:pPr>
        <w:rPr>
          <w:b/>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Default="00BB420B">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BB420B" w:rsidRPr="00BB420B" w:rsidRDefault="00BB420B" w:rsidP="004B66B4">
      <w:pPr>
        <w:rPr>
          <w:sz w:val="20"/>
          <w:szCs w:val="20"/>
          <w:lang w:val="fr-CA"/>
        </w:rPr>
      </w:pPr>
    </w:p>
    <w:p w:rsidR="004B66B4" w:rsidRPr="00DD0B49" w:rsidRDefault="004B66B4" w:rsidP="004B66B4">
      <w:pPr>
        <w:rPr>
          <w:b/>
          <w:sz w:val="20"/>
          <w:szCs w:val="20"/>
        </w:rPr>
      </w:pPr>
      <w:proofErr w:type="gramStart"/>
      <w:r w:rsidRPr="00DD0B49">
        <w:rPr>
          <w:b/>
          <w:sz w:val="20"/>
          <w:szCs w:val="20"/>
        </w:rPr>
        <w:lastRenderedPageBreak/>
        <w:t xml:space="preserve">AGENDA for the weeks of </w:t>
      </w:r>
      <w:r w:rsidR="00BB420B">
        <w:rPr>
          <w:b/>
          <w:sz w:val="20"/>
          <w:szCs w:val="20"/>
        </w:rPr>
        <w:t>January 9</w:t>
      </w:r>
      <w:r w:rsidRPr="00DD0B49">
        <w:rPr>
          <w:b/>
          <w:sz w:val="20"/>
          <w:szCs w:val="20"/>
        </w:rPr>
        <w:t xml:space="preserve"> and </w:t>
      </w:r>
      <w:r w:rsidR="00BB420B">
        <w:rPr>
          <w:b/>
          <w:sz w:val="20"/>
          <w:szCs w:val="20"/>
        </w:rPr>
        <w:t>16</w:t>
      </w:r>
      <w:r w:rsidRPr="00DD0B49">
        <w:rPr>
          <w:b/>
          <w:sz w:val="20"/>
          <w:szCs w:val="20"/>
        </w:rPr>
        <w:t>, 201</w:t>
      </w:r>
      <w:r w:rsidR="00BB420B">
        <w:rPr>
          <w:b/>
          <w:sz w:val="20"/>
          <w:szCs w:val="20"/>
        </w:rPr>
        <w:t>2</w:t>
      </w:r>
      <w:r w:rsidRPr="00DD0B49">
        <w:rPr>
          <w:b/>
          <w:sz w:val="20"/>
          <w:szCs w:val="20"/>
        </w:rPr>
        <w:t>.</w:t>
      </w:r>
      <w:proofErr w:type="gramEnd"/>
    </w:p>
    <w:p w:rsidR="004B66B4" w:rsidRPr="00DD0B49" w:rsidRDefault="004B66B4" w:rsidP="004B66B4">
      <w:pPr>
        <w:rPr>
          <w:sz w:val="20"/>
          <w:szCs w:val="20"/>
          <w:lang w:val="fr-CA"/>
        </w:rPr>
      </w:pPr>
      <w:r w:rsidRPr="00DD0B49">
        <w:rPr>
          <w:b/>
          <w:sz w:val="20"/>
          <w:szCs w:val="20"/>
          <w:lang w:val="fr-CA"/>
        </w:rPr>
        <w:t xml:space="preserve">CALENDRIER de la semaine du </w:t>
      </w:r>
      <w:r w:rsidR="00BB420B">
        <w:rPr>
          <w:b/>
          <w:sz w:val="20"/>
          <w:szCs w:val="20"/>
          <w:lang w:val="fr-CA"/>
        </w:rPr>
        <w:t>9 janvier</w:t>
      </w:r>
      <w:r w:rsidRPr="00DD0B49">
        <w:rPr>
          <w:b/>
          <w:sz w:val="20"/>
          <w:szCs w:val="20"/>
          <w:lang w:val="fr-CA"/>
        </w:rPr>
        <w:t xml:space="preserve"> et celle du </w:t>
      </w:r>
      <w:r w:rsidR="00BB420B">
        <w:rPr>
          <w:b/>
          <w:sz w:val="20"/>
          <w:szCs w:val="20"/>
          <w:lang w:val="fr-CA"/>
        </w:rPr>
        <w:t>16 janvier</w:t>
      </w:r>
      <w:r w:rsidRPr="00DD0B49">
        <w:rPr>
          <w:b/>
          <w:sz w:val="20"/>
          <w:szCs w:val="20"/>
          <w:lang w:val="fr-CA"/>
        </w:rPr>
        <w:t xml:space="preserve"> 201</w:t>
      </w:r>
      <w:r w:rsidR="00BB420B">
        <w:rPr>
          <w:b/>
          <w:sz w:val="20"/>
          <w:szCs w:val="20"/>
          <w:lang w:val="fr-CA"/>
        </w:rPr>
        <w:t>2</w:t>
      </w:r>
      <w:r w:rsidRPr="00DD0B49">
        <w:rPr>
          <w:b/>
          <w:sz w:val="20"/>
          <w:szCs w:val="20"/>
          <w:lang w:val="fr-CA"/>
        </w:rPr>
        <w:t>.</w:t>
      </w:r>
    </w:p>
    <w:p w:rsidR="004B66B4" w:rsidRPr="00DD0B49" w:rsidRDefault="004B66B4" w:rsidP="004B66B4">
      <w:pPr>
        <w:rPr>
          <w:sz w:val="20"/>
          <w:szCs w:val="20"/>
          <w:lang w:val="fr-CA"/>
        </w:rPr>
      </w:pPr>
    </w:p>
    <w:p w:rsidR="004B66B4" w:rsidRPr="00DD0B49" w:rsidRDefault="004B66B4" w:rsidP="004B66B4">
      <w:pPr>
        <w:rPr>
          <w:sz w:val="20"/>
          <w:szCs w:val="20"/>
        </w:rPr>
      </w:pPr>
      <w:r w:rsidRPr="00DD0B49">
        <w:rPr>
          <w:sz w:val="20"/>
          <w:szCs w:val="20"/>
        </w:rPr>
        <w:t xml:space="preserve">The Court will not be sitting during the weeks of </w:t>
      </w:r>
      <w:r w:rsidR="00BB420B">
        <w:rPr>
          <w:sz w:val="20"/>
          <w:szCs w:val="20"/>
        </w:rPr>
        <w:t>January</w:t>
      </w:r>
      <w:r w:rsidRPr="00DD0B49">
        <w:rPr>
          <w:sz w:val="20"/>
          <w:szCs w:val="20"/>
        </w:rPr>
        <w:t xml:space="preserve"> </w:t>
      </w:r>
      <w:r w:rsidR="00BB420B">
        <w:rPr>
          <w:sz w:val="20"/>
          <w:szCs w:val="20"/>
        </w:rPr>
        <w:t>2</w:t>
      </w:r>
      <w:r w:rsidRPr="00DD0B49">
        <w:rPr>
          <w:sz w:val="20"/>
          <w:szCs w:val="20"/>
        </w:rPr>
        <w:t>, 2</w:t>
      </w:r>
      <w:r w:rsidR="00BB420B">
        <w:rPr>
          <w:sz w:val="20"/>
          <w:szCs w:val="20"/>
        </w:rPr>
        <w:t>3</w:t>
      </w:r>
      <w:r w:rsidRPr="00DD0B49">
        <w:rPr>
          <w:sz w:val="20"/>
          <w:szCs w:val="20"/>
        </w:rPr>
        <w:t xml:space="preserve"> and </w:t>
      </w:r>
      <w:r w:rsidR="00BB420B">
        <w:rPr>
          <w:sz w:val="20"/>
          <w:szCs w:val="20"/>
        </w:rPr>
        <w:t>30</w:t>
      </w:r>
      <w:r w:rsidRPr="00DD0B49">
        <w:rPr>
          <w:sz w:val="20"/>
          <w:szCs w:val="20"/>
        </w:rPr>
        <w:t>, 201</w:t>
      </w:r>
      <w:r w:rsidR="00BB420B">
        <w:rPr>
          <w:sz w:val="20"/>
          <w:szCs w:val="20"/>
        </w:rPr>
        <w:t>2</w:t>
      </w:r>
      <w:r w:rsidRPr="00DD0B49">
        <w:rPr>
          <w:sz w:val="20"/>
          <w:szCs w:val="20"/>
        </w:rPr>
        <w:t>.</w:t>
      </w:r>
    </w:p>
    <w:p w:rsidR="004B66B4" w:rsidRPr="00DD0B49" w:rsidRDefault="004B66B4" w:rsidP="004B66B4">
      <w:pPr>
        <w:rPr>
          <w:sz w:val="20"/>
          <w:szCs w:val="20"/>
          <w:lang w:val="fr-CA"/>
        </w:rPr>
      </w:pPr>
      <w:r w:rsidRPr="00DD0B49">
        <w:rPr>
          <w:sz w:val="20"/>
          <w:szCs w:val="20"/>
          <w:lang w:val="fr-CA"/>
        </w:rPr>
        <w:t xml:space="preserve">La Cour ne siègera pas pendant les semaines du </w:t>
      </w:r>
      <w:r w:rsidR="00BB420B">
        <w:rPr>
          <w:sz w:val="20"/>
          <w:szCs w:val="20"/>
          <w:lang w:val="fr-CA"/>
        </w:rPr>
        <w:t>2</w:t>
      </w:r>
      <w:r w:rsidRPr="00DD0B49">
        <w:rPr>
          <w:sz w:val="20"/>
          <w:szCs w:val="20"/>
          <w:lang w:val="fr-CA"/>
        </w:rPr>
        <w:t>, 2</w:t>
      </w:r>
      <w:r w:rsidR="00BB420B">
        <w:rPr>
          <w:sz w:val="20"/>
          <w:szCs w:val="20"/>
          <w:lang w:val="fr-CA"/>
        </w:rPr>
        <w:t>3</w:t>
      </w:r>
      <w:r w:rsidRPr="00DD0B49">
        <w:rPr>
          <w:sz w:val="20"/>
          <w:szCs w:val="20"/>
          <w:lang w:val="fr-CA"/>
        </w:rPr>
        <w:t xml:space="preserve"> et du </w:t>
      </w:r>
      <w:r w:rsidR="00BB420B">
        <w:rPr>
          <w:sz w:val="20"/>
          <w:szCs w:val="20"/>
          <w:lang w:val="fr-CA"/>
        </w:rPr>
        <w:t>30 ja</w:t>
      </w:r>
      <w:r w:rsidRPr="00DD0B49">
        <w:rPr>
          <w:sz w:val="20"/>
          <w:szCs w:val="20"/>
          <w:lang w:val="fr-CA"/>
        </w:rPr>
        <w:t>nv</w:t>
      </w:r>
      <w:r w:rsidR="00BB420B">
        <w:rPr>
          <w:sz w:val="20"/>
          <w:szCs w:val="20"/>
          <w:lang w:val="fr-CA"/>
        </w:rPr>
        <w:t>i</w:t>
      </w:r>
      <w:r w:rsidRPr="00DD0B49">
        <w:rPr>
          <w:sz w:val="20"/>
          <w:szCs w:val="20"/>
          <w:lang w:val="fr-CA"/>
        </w:rPr>
        <w:t>er 201</w:t>
      </w:r>
      <w:r w:rsidR="00BB420B">
        <w:rPr>
          <w:sz w:val="20"/>
          <w:szCs w:val="20"/>
          <w:lang w:val="fr-CA"/>
        </w:rPr>
        <w:t>2</w:t>
      </w:r>
      <w:r w:rsidRPr="00DD0B49">
        <w:rPr>
          <w:sz w:val="20"/>
          <w:szCs w:val="20"/>
          <w:lang w:val="fr-CA"/>
        </w:rPr>
        <w:t>.</w:t>
      </w:r>
    </w:p>
    <w:p w:rsidR="004B66B4" w:rsidRPr="00DD0B49" w:rsidRDefault="00586706" w:rsidP="004B66B4">
      <w:pPr>
        <w:rPr>
          <w:sz w:val="20"/>
          <w:szCs w:val="20"/>
        </w:rPr>
      </w:pPr>
      <w:r w:rsidRPr="00586706">
        <w:rPr>
          <w:sz w:val="20"/>
          <w:szCs w:val="20"/>
        </w:rPr>
        <w:pict>
          <v:rect id="_x0000_i1090" style="width:480.95pt;height:1pt" o:hralign="center" o:hrstd="t" o:hrnoshade="t" o:hr="t" fillcolor="black [3213]" stroked="f"/>
        </w:pict>
      </w:r>
    </w:p>
    <w:p w:rsidR="004B66B4" w:rsidRDefault="004B66B4" w:rsidP="004B66B4">
      <w:pPr>
        <w:rPr>
          <w:sz w:val="20"/>
          <w:szCs w:val="20"/>
          <w:lang w:val="fr-CA"/>
        </w:rPr>
      </w:pPr>
    </w:p>
    <w:tbl>
      <w:tblPr>
        <w:tblW w:w="9576" w:type="dxa"/>
        <w:tblLayout w:type="fixed"/>
        <w:tblCellMar>
          <w:top w:w="58" w:type="dxa"/>
          <w:left w:w="58" w:type="dxa"/>
          <w:bottom w:w="58" w:type="dxa"/>
          <w:right w:w="58" w:type="dxa"/>
        </w:tblCellMar>
        <w:tblLook w:val="04A0"/>
      </w:tblPr>
      <w:tblGrid>
        <w:gridCol w:w="2398"/>
        <w:gridCol w:w="7178"/>
      </w:tblGrid>
      <w:tr w:rsidR="001551A4" w:rsidRPr="004061E0" w:rsidTr="0005402C">
        <w:trPr>
          <w:cantSplit/>
        </w:trPr>
        <w:tc>
          <w:tcPr>
            <w:tcW w:w="2398" w:type="dxa"/>
          </w:tcPr>
          <w:p w:rsidR="001551A4" w:rsidRPr="006E15DC" w:rsidRDefault="001551A4" w:rsidP="0005402C">
            <w:pPr>
              <w:rPr>
                <w:sz w:val="20"/>
                <w:szCs w:val="20"/>
              </w:rPr>
            </w:pPr>
            <w:r w:rsidRPr="006E15DC">
              <w:rPr>
                <w:sz w:val="20"/>
                <w:szCs w:val="20"/>
              </w:rPr>
              <w:t>DATE OF HEARING /</w:t>
            </w:r>
          </w:p>
          <w:p w:rsidR="001551A4" w:rsidRPr="006E15DC" w:rsidRDefault="001551A4" w:rsidP="0005402C">
            <w:pPr>
              <w:rPr>
                <w:sz w:val="20"/>
                <w:szCs w:val="20"/>
              </w:rPr>
            </w:pPr>
            <w:r w:rsidRPr="006E15DC">
              <w:rPr>
                <w:sz w:val="20"/>
                <w:szCs w:val="20"/>
              </w:rPr>
              <w:t>DATE D’AUDITION</w:t>
            </w:r>
          </w:p>
        </w:tc>
        <w:tc>
          <w:tcPr>
            <w:tcW w:w="7178" w:type="dxa"/>
          </w:tcPr>
          <w:p w:rsidR="001551A4" w:rsidRPr="006E15DC" w:rsidRDefault="001551A4" w:rsidP="0005402C">
            <w:pPr>
              <w:rPr>
                <w:sz w:val="20"/>
                <w:szCs w:val="20"/>
                <w:lang w:val="fr-CA"/>
              </w:rPr>
            </w:pPr>
            <w:r w:rsidRPr="006E15DC">
              <w:rPr>
                <w:sz w:val="20"/>
                <w:szCs w:val="20"/>
                <w:lang w:val="fr-CA"/>
              </w:rPr>
              <w:t>NAME AND CASE NUMBER /</w:t>
            </w:r>
          </w:p>
          <w:p w:rsidR="001551A4" w:rsidRPr="006E15DC" w:rsidRDefault="001551A4" w:rsidP="0005402C">
            <w:pPr>
              <w:rPr>
                <w:sz w:val="20"/>
                <w:szCs w:val="20"/>
                <w:lang w:val="fr-CA"/>
              </w:rPr>
            </w:pPr>
            <w:r w:rsidRPr="006E15DC">
              <w:rPr>
                <w:sz w:val="20"/>
                <w:szCs w:val="20"/>
                <w:lang w:val="fr-CA"/>
              </w:rPr>
              <w:t>NOM DE LA CAUSE ET NUMÉRO</w:t>
            </w:r>
          </w:p>
        </w:tc>
      </w:tr>
      <w:tr w:rsidR="001551A4" w:rsidRPr="001551A4" w:rsidTr="0005402C">
        <w:trPr>
          <w:cantSplit/>
        </w:trPr>
        <w:tc>
          <w:tcPr>
            <w:tcW w:w="2398" w:type="dxa"/>
          </w:tcPr>
          <w:p w:rsidR="001551A4" w:rsidRPr="001A4829" w:rsidRDefault="001551A4" w:rsidP="0005402C">
            <w:pPr>
              <w:rPr>
                <w:sz w:val="20"/>
                <w:szCs w:val="20"/>
                <w:lang w:val="fr-CA"/>
              </w:rPr>
            </w:pPr>
            <w:r>
              <w:rPr>
                <w:sz w:val="20"/>
                <w:szCs w:val="20"/>
                <w:lang w:val="fr-CA"/>
              </w:rPr>
              <w:t>2012-01-09</w:t>
            </w:r>
          </w:p>
        </w:tc>
        <w:tc>
          <w:tcPr>
            <w:tcW w:w="7178" w:type="dxa"/>
          </w:tcPr>
          <w:p w:rsidR="001551A4" w:rsidRPr="006E15DC" w:rsidRDefault="001551A4" w:rsidP="0005402C">
            <w:pPr>
              <w:jc w:val="both"/>
              <w:rPr>
                <w:sz w:val="20"/>
                <w:szCs w:val="20"/>
              </w:rPr>
            </w:pPr>
            <w:r w:rsidRPr="001551A4">
              <w:rPr>
                <w:i/>
                <w:sz w:val="20"/>
                <w:szCs w:val="20"/>
              </w:rPr>
              <w:t>Benjamin Cain MacKenzie v. Her Majesty the Queen</w:t>
            </w:r>
            <w:r w:rsidRPr="001551A4">
              <w:rPr>
                <w:sz w:val="20"/>
                <w:szCs w:val="20"/>
              </w:rPr>
              <w:t xml:space="preserve"> </w:t>
            </w:r>
            <w:r w:rsidRPr="006E15DC">
              <w:rPr>
                <w:sz w:val="20"/>
                <w:szCs w:val="20"/>
              </w:rPr>
              <w:t>(</w:t>
            </w:r>
            <w:r>
              <w:rPr>
                <w:sz w:val="20"/>
                <w:szCs w:val="20"/>
              </w:rPr>
              <w:t>Sask</w:t>
            </w:r>
            <w:r w:rsidRPr="006E15DC">
              <w:rPr>
                <w:sz w:val="20"/>
                <w:szCs w:val="20"/>
              </w:rPr>
              <w:t>.) (C</w:t>
            </w:r>
            <w:r>
              <w:rPr>
                <w:sz w:val="20"/>
                <w:szCs w:val="20"/>
              </w:rPr>
              <w:t>rim</w:t>
            </w:r>
            <w:r w:rsidRPr="006E15DC">
              <w:rPr>
                <w:sz w:val="20"/>
                <w:szCs w:val="20"/>
              </w:rPr>
              <w:t>i</w:t>
            </w:r>
            <w:r>
              <w:rPr>
                <w:sz w:val="20"/>
                <w:szCs w:val="20"/>
              </w:rPr>
              <w:t>na</w:t>
            </w:r>
            <w:r w:rsidRPr="006E15DC">
              <w:rPr>
                <w:sz w:val="20"/>
                <w:szCs w:val="20"/>
              </w:rPr>
              <w:t>l) (By Leave) (3</w:t>
            </w:r>
            <w:r>
              <w:rPr>
                <w:sz w:val="20"/>
                <w:szCs w:val="20"/>
              </w:rPr>
              <w:t>4397</w:t>
            </w:r>
            <w:r w:rsidRPr="006E15DC">
              <w:rPr>
                <w:sz w:val="20"/>
                <w:szCs w:val="20"/>
              </w:rPr>
              <w:t>)</w:t>
            </w:r>
          </w:p>
          <w:p w:rsidR="001551A4" w:rsidRDefault="001551A4" w:rsidP="0005402C">
            <w:pPr>
              <w:jc w:val="both"/>
              <w:rPr>
                <w:sz w:val="20"/>
                <w:szCs w:val="20"/>
              </w:rPr>
            </w:pPr>
            <w:r w:rsidRPr="006E15DC">
              <w:rPr>
                <w:sz w:val="20"/>
                <w:szCs w:val="20"/>
              </w:rPr>
              <w:t>(</w:t>
            </w:r>
            <w:r>
              <w:rPr>
                <w:sz w:val="20"/>
                <w:szCs w:val="20"/>
              </w:rPr>
              <w:t>Oral hearing on application for leave to appeal / Audition orale sur demande d’autorisation d’appel)</w:t>
            </w:r>
          </w:p>
          <w:p w:rsidR="001551A4" w:rsidRPr="001551A4" w:rsidRDefault="001551A4" w:rsidP="0005402C">
            <w:pPr>
              <w:jc w:val="both"/>
              <w:rPr>
                <w:sz w:val="20"/>
                <w:szCs w:val="20"/>
                <w:lang w:val="fr-CA"/>
              </w:rPr>
            </w:pPr>
            <w:r w:rsidRPr="001551A4">
              <w:rPr>
                <w:sz w:val="20"/>
                <w:szCs w:val="20"/>
                <w:lang w:val="fr-CA"/>
              </w:rPr>
              <w:t xml:space="preserve">(Start time 10:30 a.m. / </w:t>
            </w:r>
            <w:r>
              <w:rPr>
                <w:sz w:val="20"/>
                <w:szCs w:val="20"/>
                <w:lang w:val="fr-CA"/>
              </w:rPr>
              <w:t>A</w:t>
            </w:r>
            <w:r w:rsidRPr="001551A4">
              <w:rPr>
                <w:sz w:val="20"/>
                <w:szCs w:val="20"/>
                <w:lang w:val="fr-CA"/>
              </w:rPr>
              <w:t xml:space="preserve">udience débutant à </w:t>
            </w:r>
            <w:r>
              <w:rPr>
                <w:sz w:val="20"/>
                <w:szCs w:val="20"/>
                <w:lang w:val="fr-CA"/>
              </w:rPr>
              <w:t>10</w:t>
            </w:r>
            <w:r w:rsidRPr="001551A4">
              <w:rPr>
                <w:sz w:val="20"/>
                <w:szCs w:val="20"/>
                <w:lang w:val="fr-CA"/>
              </w:rPr>
              <w:t xml:space="preserve"> h</w:t>
            </w:r>
            <w:r>
              <w:rPr>
                <w:sz w:val="20"/>
                <w:szCs w:val="20"/>
                <w:lang w:val="fr-CA"/>
              </w:rPr>
              <w:t xml:space="preserve"> 30</w:t>
            </w:r>
            <w:r w:rsidRPr="001551A4">
              <w:rPr>
                <w:sz w:val="20"/>
                <w:szCs w:val="20"/>
                <w:lang w:val="fr-CA"/>
              </w:rPr>
              <w:t>)</w:t>
            </w:r>
          </w:p>
          <w:p w:rsidR="001551A4" w:rsidRPr="001551A4" w:rsidRDefault="001551A4" w:rsidP="0005402C">
            <w:pPr>
              <w:jc w:val="both"/>
              <w:rPr>
                <w:sz w:val="20"/>
                <w:szCs w:val="20"/>
                <w:lang w:val="fr-CA"/>
              </w:rPr>
            </w:pPr>
          </w:p>
        </w:tc>
      </w:tr>
      <w:tr w:rsidR="001551A4" w:rsidRPr="006E15DC" w:rsidTr="0005402C">
        <w:trPr>
          <w:cantSplit/>
        </w:trPr>
        <w:tc>
          <w:tcPr>
            <w:tcW w:w="2398" w:type="dxa"/>
          </w:tcPr>
          <w:p w:rsidR="001551A4" w:rsidRPr="001551A4" w:rsidRDefault="001551A4" w:rsidP="0005402C">
            <w:pPr>
              <w:rPr>
                <w:sz w:val="20"/>
                <w:szCs w:val="20"/>
                <w:lang w:val="fr-CA"/>
              </w:rPr>
            </w:pPr>
            <w:r>
              <w:rPr>
                <w:sz w:val="20"/>
                <w:szCs w:val="20"/>
                <w:lang w:val="fr-CA"/>
              </w:rPr>
              <w:t>2012-01-09</w:t>
            </w:r>
          </w:p>
        </w:tc>
        <w:tc>
          <w:tcPr>
            <w:tcW w:w="7178" w:type="dxa"/>
          </w:tcPr>
          <w:p w:rsidR="001551A4" w:rsidRPr="006E15DC" w:rsidRDefault="001551A4" w:rsidP="001551A4">
            <w:pPr>
              <w:jc w:val="both"/>
              <w:rPr>
                <w:sz w:val="20"/>
                <w:szCs w:val="20"/>
              </w:rPr>
            </w:pPr>
            <w:r>
              <w:rPr>
                <w:i/>
                <w:sz w:val="20"/>
                <w:szCs w:val="20"/>
              </w:rPr>
              <w:t>K</w:t>
            </w:r>
            <w:r w:rsidRPr="001551A4">
              <w:rPr>
                <w:i/>
                <w:sz w:val="20"/>
                <w:szCs w:val="20"/>
              </w:rPr>
              <w:t>ai</w:t>
            </w:r>
            <w:r>
              <w:rPr>
                <w:i/>
                <w:sz w:val="20"/>
                <w:szCs w:val="20"/>
              </w:rPr>
              <w:t>tly</w:t>
            </w:r>
            <w:r w:rsidRPr="001551A4">
              <w:rPr>
                <w:i/>
                <w:sz w:val="20"/>
                <w:szCs w:val="20"/>
              </w:rPr>
              <w:t xml:space="preserve">n </w:t>
            </w:r>
            <w:r>
              <w:rPr>
                <w:i/>
                <w:sz w:val="20"/>
                <w:szCs w:val="20"/>
              </w:rPr>
              <w:t>Ruth Smith</w:t>
            </w:r>
            <w:r w:rsidRPr="001551A4">
              <w:rPr>
                <w:i/>
                <w:sz w:val="20"/>
                <w:szCs w:val="20"/>
              </w:rPr>
              <w:t xml:space="preserve"> v. Her Majesty the Queen</w:t>
            </w:r>
            <w:r w:rsidRPr="001551A4">
              <w:rPr>
                <w:sz w:val="20"/>
                <w:szCs w:val="20"/>
              </w:rPr>
              <w:t xml:space="preserve"> </w:t>
            </w:r>
            <w:r w:rsidRPr="006E15DC">
              <w:rPr>
                <w:sz w:val="20"/>
                <w:szCs w:val="20"/>
              </w:rPr>
              <w:t>(</w:t>
            </w:r>
            <w:r>
              <w:rPr>
                <w:sz w:val="20"/>
                <w:szCs w:val="20"/>
              </w:rPr>
              <w:t>Alta</w:t>
            </w:r>
            <w:r w:rsidRPr="006E15DC">
              <w:rPr>
                <w:sz w:val="20"/>
                <w:szCs w:val="20"/>
              </w:rPr>
              <w:t>.) (C</w:t>
            </w:r>
            <w:r>
              <w:rPr>
                <w:sz w:val="20"/>
                <w:szCs w:val="20"/>
              </w:rPr>
              <w:t>rim</w:t>
            </w:r>
            <w:r w:rsidRPr="006E15DC">
              <w:rPr>
                <w:sz w:val="20"/>
                <w:szCs w:val="20"/>
              </w:rPr>
              <w:t>i</w:t>
            </w:r>
            <w:r>
              <w:rPr>
                <w:sz w:val="20"/>
                <w:szCs w:val="20"/>
              </w:rPr>
              <w:t>na</w:t>
            </w:r>
            <w:r w:rsidRPr="006E15DC">
              <w:rPr>
                <w:sz w:val="20"/>
                <w:szCs w:val="20"/>
              </w:rPr>
              <w:t>l) (By Leave) (3</w:t>
            </w:r>
            <w:r>
              <w:rPr>
                <w:sz w:val="20"/>
                <w:szCs w:val="20"/>
              </w:rPr>
              <w:t>4352</w:t>
            </w:r>
            <w:r w:rsidRPr="006E15DC">
              <w:rPr>
                <w:sz w:val="20"/>
                <w:szCs w:val="20"/>
              </w:rPr>
              <w:t>)</w:t>
            </w:r>
          </w:p>
          <w:p w:rsidR="001551A4" w:rsidRDefault="001551A4" w:rsidP="001551A4">
            <w:pPr>
              <w:jc w:val="both"/>
              <w:rPr>
                <w:sz w:val="20"/>
                <w:szCs w:val="20"/>
              </w:rPr>
            </w:pPr>
            <w:r w:rsidRPr="006E15DC">
              <w:rPr>
                <w:sz w:val="20"/>
                <w:szCs w:val="20"/>
              </w:rPr>
              <w:t>(</w:t>
            </w:r>
            <w:r>
              <w:rPr>
                <w:sz w:val="20"/>
                <w:szCs w:val="20"/>
              </w:rPr>
              <w:t>Oral hearing on application for leave to appeal / Audition orale sur demande d’autorisation d’appel)</w:t>
            </w:r>
          </w:p>
          <w:p w:rsidR="001551A4" w:rsidRPr="001551A4" w:rsidRDefault="001551A4" w:rsidP="001551A4">
            <w:pPr>
              <w:jc w:val="both"/>
              <w:rPr>
                <w:sz w:val="20"/>
                <w:szCs w:val="20"/>
                <w:lang w:val="fr-CA"/>
              </w:rPr>
            </w:pPr>
            <w:r w:rsidRPr="001551A4">
              <w:rPr>
                <w:sz w:val="20"/>
                <w:szCs w:val="20"/>
                <w:lang w:val="fr-CA"/>
              </w:rPr>
              <w:t>(Start time 1</w:t>
            </w:r>
            <w:r>
              <w:rPr>
                <w:sz w:val="20"/>
                <w:szCs w:val="20"/>
                <w:lang w:val="fr-CA"/>
              </w:rPr>
              <w:t>1</w:t>
            </w:r>
            <w:r w:rsidRPr="001551A4">
              <w:rPr>
                <w:sz w:val="20"/>
                <w:szCs w:val="20"/>
                <w:lang w:val="fr-CA"/>
              </w:rPr>
              <w:t xml:space="preserve">:30 a.m. / </w:t>
            </w:r>
            <w:r>
              <w:rPr>
                <w:sz w:val="20"/>
                <w:szCs w:val="20"/>
                <w:lang w:val="fr-CA"/>
              </w:rPr>
              <w:t>A</w:t>
            </w:r>
            <w:r w:rsidRPr="001551A4">
              <w:rPr>
                <w:sz w:val="20"/>
                <w:szCs w:val="20"/>
                <w:lang w:val="fr-CA"/>
              </w:rPr>
              <w:t xml:space="preserve">udience débutant à </w:t>
            </w:r>
            <w:r>
              <w:rPr>
                <w:sz w:val="20"/>
                <w:szCs w:val="20"/>
                <w:lang w:val="fr-CA"/>
              </w:rPr>
              <w:t>11</w:t>
            </w:r>
            <w:r w:rsidRPr="001551A4">
              <w:rPr>
                <w:sz w:val="20"/>
                <w:szCs w:val="20"/>
                <w:lang w:val="fr-CA"/>
              </w:rPr>
              <w:t xml:space="preserve"> h</w:t>
            </w:r>
            <w:r>
              <w:rPr>
                <w:sz w:val="20"/>
                <w:szCs w:val="20"/>
                <w:lang w:val="fr-CA"/>
              </w:rPr>
              <w:t xml:space="preserve"> 30</w:t>
            </w:r>
            <w:r w:rsidRPr="001551A4">
              <w:rPr>
                <w:sz w:val="20"/>
                <w:szCs w:val="20"/>
                <w:lang w:val="fr-CA"/>
              </w:rPr>
              <w:t>)</w:t>
            </w:r>
          </w:p>
          <w:p w:rsidR="001551A4" w:rsidRPr="006E15DC" w:rsidRDefault="001551A4" w:rsidP="0005402C">
            <w:pPr>
              <w:jc w:val="both"/>
              <w:rPr>
                <w:sz w:val="20"/>
                <w:szCs w:val="20"/>
              </w:rPr>
            </w:pPr>
          </w:p>
        </w:tc>
      </w:tr>
      <w:tr w:rsidR="001551A4" w:rsidRPr="006E15DC" w:rsidTr="0005402C">
        <w:trPr>
          <w:cantSplit/>
        </w:trPr>
        <w:tc>
          <w:tcPr>
            <w:tcW w:w="2398" w:type="dxa"/>
          </w:tcPr>
          <w:p w:rsidR="001551A4" w:rsidRPr="006E15DC" w:rsidRDefault="001551A4" w:rsidP="0005402C">
            <w:pPr>
              <w:rPr>
                <w:sz w:val="20"/>
                <w:szCs w:val="20"/>
              </w:rPr>
            </w:pPr>
            <w:r>
              <w:rPr>
                <w:sz w:val="20"/>
                <w:szCs w:val="20"/>
              </w:rPr>
              <w:t>2012-01</w:t>
            </w:r>
            <w:r w:rsidR="0005402C">
              <w:rPr>
                <w:sz w:val="20"/>
                <w:szCs w:val="20"/>
              </w:rPr>
              <w:t>-11</w:t>
            </w:r>
          </w:p>
        </w:tc>
        <w:tc>
          <w:tcPr>
            <w:tcW w:w="7178" w:type="dxa"/>
          </w:tcPr>
          <w:p w:rsidR="001551A4" w:rsidRDefault="0005402C" w:rsidP="0005402C">
            <w:pPr>
              <w:jc w:val="both"/>
              <w:rPr>
                <w:sz w:val="20"/>
                <w:szCs w:val="20"/>
              </w:rPr>
            </w:pPr>
            <w:r>
              <w:rPr>
                <w:i/>
                <w:sz w:val="20"/>
                <w:szCs w:val="20"/>
              </w:rPr>
              <w:t>Wayne Penner v. Regional Municipality of Niagara Regional Police Services Board e</w:t>
            </w:r>
            <w:r w:rsidR="009A7D6F">
              <w:rPr>
                <w:i/>
                <w:sz w:val="20"/>
                <w:szCs w:val="20"/>
              </w:rPr>
              <w:t>t</w:t>
            </w:r>
            <w:r w:rsidR="001766BE">
              <w:rPr>
                <w:i/>
                <w:sz w:val="20"/>
                <w:szCs w:val="20"/>
              </w:rPr>
              <w:t> </w:t>
            </w:r>
            <w:r>
              <w:rPr>
                <w:i/>
                <w:sz w:val="20"/>
                <w:szCs w:val="20"/>
              </w:rPr>
              <w:t>al.</w:t>
            </w:r>
            <w:r>
              <w:rPr>
                <w:sz w:val="20"/>
                <w:szCs w:val="20"/>
              </w:rPr>
              <w:t xml:space="preserve"> (Ont.) (Civil) (By Leave) (33959)</w:t>
            </w:r>
          </w:p>
          <w:p w:rsidR="0005402C" w:rsidRPr="0005402C" w:rsidRDefault="0005402C" w:rsidP="0005402C">
            <w:pPr>
              <w:jc w:val="both"/>
              <w:rPr>
                <w:sz w:val="20"/>
                <w:szCs w:val="20"/>
              </w:rPr>
            </w:pPr>
          </w:p>
        </w:tc>
      </w:tr>
      <w:tr w:rsidR="001551A4" w:rsidRPr="007A4943" w:rsidTr="0005402C">
        <w:trPr>
          <w:cantSplit/>
        </w:trPr>
        <w:tc>
          <w:tcPr>
            <w:tcW w:w="2398" w:type="dxa"/>
          </w:tcPr>
          <w:p w:rsidR="001551A4" w:rsidRPr="006E15DC" w:rsidRDefault="0005402C" w:rsidP="0005402C">
            <w:pPr>
              <w:rPr>
                <w:sz w:val="20"/>
                <w:szCs w:val="20"/>
              </w:rPr>
            </w:pPr>
            <w:r>
              <w:rPr>
                <w:sz w:val="20"/>
                <w:szCs w:val="20"/>
              </w:rPr>
              <w:t>2012-01-12</w:t>
            </w:r>
          </w:p>
        </w:tc>
        <w:tc>
          <w:tcPr>
            <w:tcW w:w="7178" w:type="dxa"/>
          </w:tcPr>
          <w:p w:rsidR="001551A4" w:rsidRDefault="0005402C" w:rsidP="0005402C">
            <w:pPr>
              <w:jc w:val="both"/>
              <w:rPr>
                <w:sz w:val="20"/>
                <w:szCs w:val="20"/>
              </w:rPr>
            </w:pPr>
            <w:r w:rsidRPr="00E371B3">
              <w:rPr>
                <w:i/>
                <w:sz w:val="20"/>
                <w:szCs w:val="20"/>
                <w:lang w:val="fr-CA"/>
              </w:rPr>
              <w:t>Banque Toronto-Dominion c. Sa Majesté la Reine</w:t>
            </w:r>
            <w:r w:rsidR="001551A4" w:rsidRPr="00E371B3">
              <w:rPr>
                <w:sz w:val="20"/>
                <w:szCs w:val="20"/>
                <w:lang w:val="fr-CA"/>
              </w:rPr>
              <w:t xml:space="preserve"> (</w:t>
            </w:r>
            <w:r w:rsidRPr="00E371B3">
              <w:rPr>
                <w:sz w:val="20"/>
                <w:szCs w:val="20"/>
                <w:lang w:val="fr-CA"/>
              </w:rPr>
              <w:t>C.</w:t>
            </w:r>
            <w:r w:rsidR="001551A4" w:rsidRPr="00E371B3">
              <w:rPr>
                <w:sz w:val="20"/>
                <w:szCs w:val="20"/>
                <w:lang w:val="fr-CA"/>
              </w:rPr>
              <w:t xml:space="preserve">F.) </w:t>
            </w:r>
            <w:r w:rsidR="001551A4" w:rsidRPr="006E15DC">
              <w:rPr>
                <w:sz w:val="20"/>
                <w:szCs w:val="20"/>
              </w:rPr>
              <w:t>(Civil</w:t>
            </w:r>
            <w:r>
              <w:rPr>
                <w:sz w:val="20"/>
                <w:szCs w:val="20"/>
              </w:rPr>
              <w:t>e</w:t>
            </w:r>
            <w:r w:rsidR="001551A4" w:rsidRPr="006E15DC">
              <w:rPr>
                <w:sz w:val="20"/>
                <w:szCs w:val="20"/>
              </w:rPr>
              <w:t>) (</w:t>
            </w:r>
            <w:r>
              <w:rPr>
                <w:sz w:val="20"/>
                <w:szCs w:val="20"/>
              </w:rPr>
              <w:t>Autorisation</w:t>
            </w:r>
            <w:r w:rsidR="001551A4" w:rsidRPr="006E15DC">
              <w:rPr>
                <w:sz w:val="20"/>
                <w:szCs w:val="20"/>
              </w:rPr>
              <w:t>) (33</w:t>
            </w:r>
            <w:r w:rsidR="001551A4">
              <w:rPr>
                <w:sz w:val="20"/>
                <w:szCs w:val="20"/>
              </w:rPr>
              <w:t>8</w:t>
            </w:r>
            <w:r>
              <w:rPr>
                <w:sz w:val="20"/>
                <w:szCs w:val="20"/>
              </w:rPr>
              <w:t>7</w:t>
            </w:r>
            <w:r w:rsidR="001551A4">
              <w:rPr>
                <w:sz w:val="20"/>
                <w:szCs w:val="20"/>
              </w:rPr>
              <w:t>8</w:t>
            </w:r>
            <w:r w:rsidR="001551A4" w:rsidRPr="006E15DC">
              <w:rPr>
                <w:sz w:val="20"/>
                <w:szCs w:val="20"/>
              </w:rPr>
              <w:t>)</w:t>
            </w:r>
          </w:p>
          <w:p w:rsidR="0005402C" w:rsidRPr="007A4943" w:rsidRDefault="0005402C" w:rsidP="0005402C">
            <w:pPr>
              <w:jc w:val="both"/>
              <w:rPr>
                <w:sz w:val="20"/>
                <w:szCs w:val="20"/>
              </w:rPr>
            </w:pPr>
          </w:p>
        </w:tc>
      </w:tr>
      <w:tr w:rsidR="001551A4" w:rsidRPr="006E15DC" w:rsidTr="0005402C">
        <w:trPr>
          <w:cantSplit/>
        </w:trPr>
        <w:tc>
          <w:tcPr>
            <w:tcW w:w="2398" w:type="dxa"/>
          </w:tcPr>
          <w:p w:rsidR="001551A4" w:rsidRPr="006E15DC" w:rsidRDefault="0005402C" w:rsidP="0005402C">
            <w:pPr>
              <w:rPr>
                <w:sz w:val="20"/>
                <w:szCs w:val="20"/>
              </w:rPr>
            </w:pPr>
            <w:r>
              <w:rPr>
                <w:sz w:val="20"/>
                <w:szCs w:val="20"/>
              </w:rPr>
              <w:t>2012-01-13</w:t>
            </w:r>
          </w:p>
        </w:tc>
        <w:tc>
          <w:tcPr>
            <w:tcW w:w="7178" w:type="dxa"/>
          </w:tcPr>
          <w:p w:rsidR="001551A4" w:rsidRDefault="0005402C" w:rsidP="0005402C">
            <w:pPr>
              <w:jc w:val="both"/>
              <w:rPr>
                <w:sz w:val="20"/>
                <w:szCs w:val="20"/>
              </w:rPr>
            </w:pPr>
            <w:r w:rsidRPr="006E15DC">
              <w:rPr>
                <w:i/>
                <w:sz w:val="20"/>
                <w:szCs w:val="20"/>
              </w:rPr>
              <w:t>Her Majesty the Queen</w:t>
            </w:r>
            <w:r>
              <w:rPr>
                <w:i/>
                <w:sz w:val="20"/>
                <w:szCs w:val="20"/>
              </w:rPr>
              <w:t xml:space="preserve"> </w:t>
            </w:r>
            <w:r w:rsidR="001551A4" w:rsidRPr="006E15DC">
              <w:rPr>
                <w:i/>
                <w:sz w:val="20"/>
                <w:szCs w:val="20"/>
              </w:rPr>
              <w:t xml:space="preserve">v. </w:t>
            </w:r>
            <w:r>
              <w:rPr>
                <w:i/>
                <w:sz w:val="20"/>
                <w:szCs w:val="20"/>
              </w:rPr>
              <w:t>Glax</w:t>
            </w:r>
            <w:r w:rsidR="001551A4" w:rsidRPr="006E15DC">
              <w:rPr>
                <w:i/>
                <w:sz w:val="20"/>
                <w:szCs w:val="20"/>
              </w:rPr>
              <w:t>o</w:t>
            </w:r>
            <w:r>
              <w:rPr>
                <w:i/>
                <w:sz w:val="20"/>
                <w:szCs w:val="20"/>
              </w:rPr>
              <w:t>Sm</w:t>
            </w:r>
            <w:r w:rsidR="001551A4" w:rsidRPr="006E15DC">
              <w:rPr>
                <w:i/>
                <w:sz w:val="20"/>
                <w:szCs w:val="20"/>
              </w:rPr>
              <w:t>i</w:t>
            </w:r>
            <w:r>
              <w:rPr>
                <w:i/>
                <w:sz w:val="20"/>
                <w:szCs w:val="20"/>
              </w:rPr>
              <w:t>t</w:t>
            </w:r>
            <w:r w:rsidR="001551A4" w:rsidRPr="006E15DC">
              <w:rPr>
                <w:i/>
                <w:sz w:val="20"/>
                <w:szCs w:val="20"/>
              </w:rPr>
              <w:t>h</w:t>
            </w:r>
            <w:r>
              <w:rPr>
                <w:i/>
                <w:sz w:val="20"/>
                <w:szCs w:val="20"/>
              </w:rPr>
              <w:t>Klin</w:t>
            </w:r>
            <w:r w:rsidR="001551A4" w:rsidRPr="006E15DC">
              <w:rPr>
                <w:i/>
                <w:sz w:val="20"/>
                <w:szCs w:val="20"/>
              </w:rPr>
              <w:t>e</w:t>
            </w:r>
            <w:r>
              <w:rPr>
                <w:i/>
                <w:sz w:val="20"/>
                <w:szCs w:val="20"/>
              </w:rPr>
              <w:t xml:space="preserve"> In</w:t>
            </w:r>
            <w:r w:rsidR="001551A4" w:rsidRPr="006E15DC">
              <w:rPr>
                <w:i/>
                <w:sz w:val="20"/>
                <w:szCs w:val="20"/>
              </w:rPr>
              <w:t xml:space="preserve">c. </w:t>
            </w:r>
            <w:r w:rsidR="001551A4" w:rsidRPr="006E15DC">
              <w:rPr>
                <w:sz w:val="20"/>
                <w:szCs w:val="20"/>
              </w:rPr>
              <w:t>(F.C.) (Civil) (By</w:t>
            </w:r>
            <w:r w:rsidR="001551A4">
              <w:rPr>
                <w:sz w:val="20"/>
                <w:szCs w:val="20"/>
              </w:rPr>
              <w:t> </w:t>
            </w:r>
            <w:r w:rsidR="001551A4" w:rsidRPr="006E15DC">
              <w:rPr>
                <w:sz w:val="20"/>
                <w:szCs w:val="20"/>
              </w:rPr>
              <w:t>Leave) (3</w:t>
            </w:r>
            <w:r>
              <w:rPr>
                <w:sz w:val="20"/>
                <w:szCs w:val="20"/>
              </w:rPr>
              <w:t>387</w:t>
            </w:r>
            <w:r w:rsidR="001551A4" w:rsidRPr="006E15DC">
              <w:rPr>
                <w:sz w:val="20"/>
                <w:szCs w:val="20"/>
              </w:rPr>
              <w:t>4)</w:t>
            </w:r>
          </w:p>
          <w:p w:rsidR="0005402C" w:rsidRPr="006E15DC" w:rsidRDefault="0005402C" w:rsidP="0005402C">
            <w:pPr>
              <w:jc w:val="both"/>
              <w:rPr>
                <w:sz w:val="20"/>
                <w:szCs w:val="20"/>
              </w:rPr>
            </w:pPr>
          </w:p>
        </w:tc>
      </w:tr>
      <w:tr w:rsidR="001551A4" w:rsidRPr="006E15DC" w:rsidTr="0005402C">
        <w:trPr>
          <w:cantSplit/>
        </w:trPr>
        <w:tc>
          <w:tcPr>
            <w:tcW w:w="2398" w:type="dxa"/>
          </w:tcPr>
          <w:p w:rsidR="001551A4" w:rsidRPr="006E15DC" w:rsidRDefault="001551A4" w:rsidP="0005402C">
            <w:pPr>
              <w:rPr>
                <w:sz w:val="20"/>
                <w:szCs w:val="20"/>
              </w:rPr>
            </w:pPr>
            <w:r w:rsidRPr="006E15DC">
              <w:rPr>
                <w:sz w:val="20"/>
                <w:szCs w:val="20"/>
              </w:rPr>
              <w:t>201</w:t>
            </w:r>
            <w:r w:rsidR="0005402C">
              <w:rPr>
                <w:sz w:val="20"/>
                <w:szCs w:val="20"/>
              </w:rPr>
              <w:t>2</w:t>
            </w:r>
            <w:r w:rsidRPr="006E15DC">
              <w:rPr>
                <w:sz w:val="20"/>
                <w:szCs w:val="20"/>
              </w:rPr>
              <w:t>-</w:t>
            </w:r>
            <w:r w:rsidR="0005402C">
              <w:rPr>
                <w:sz w:val="20"/>
                <w:szCs w:val="20"/>
              </w:rPr>
              <w:t>0</w:t>
            </w:r>
            <w:r w:rsidRPr="006E15DC">
              <w:rPr>
                <w:sz w:val="20"/>
                <w:szCs w:val="20"/>
              </w:rPr>
              <w:t>1-</w:t>
            </w:r>
            <w:r w:rsidR="0005402C">
              <w:rPr>
                <w:sz w:val="20"/>
                <w:szCs w:val="20"/>
              </w:rPr>
              <w:t>16</w:t>
            </w:r>
          </w:p>
        </w:tc>
        <w:tc>
          <w:tcPr>
            <w:tcW w:w="7178" w:type="dxa"/>
          </w:tcPr>
          <w:p w:rsidR="001551A4" w:rsidRDefault="0005402C" w:rsidP="0005402C">
            <w:pPr>
              <w:jc w:val="both"/>
              <w:rPr>
                <w:sz w:val="20"/>
                <w:szCs w:val="20"/>
              </w:rPr>
            </w:pPr>
            <w:r>
              <w:rPr>
                <w:i/>
                <w:sz w:val="20"/>
                <w:szCs w:val="20"/>
              </w:rPr>
              <w:t xml:space="preserve">Alliance of Canadian Cinema, Television &amp; Radio Artists et al. </w:t>
            </w:r>
            <w:r w:rsidR="001551A4" w:rsidRPr="006E15DC">
              <w:rPr>
                <w:i/>
                <w:sz w:val="20"/>
                <w:szCs w:val="20"/>
              </w:rPr>
              <w:t xml:space="preserve">v. </w:t>
            </w:r>
            <w:r>
              <w:rPr>
                <w:i/>
                <w:sz w:val="20"/>
                <w:szCs w:val="20"/>
              </w:rPr>
              <w:t>B</w:t>
            </w:r>
            <w:r w:rsidR="001551A4" w:rsidRPr="006E15DC">
              <w:rPr>
                <w:i/>
                <w:sz w:val="20"/>
                <w:szCs w:val="20"/>
              </w:rPr>
              <w:t>e</w:t>
            </w:r>
            <w:r>
              <w:rPr>
                <w:i/>
                <w:sz w:val="20"/>
                <w:szCs w:val="20"/>
              </w:rPr>
              <w:t>ll Alliant Regional Communications, LP et al.</w:t>
            </w:r>
            <w:r w:rsidR="001551A4" w:rsidRPr="006E15DC">
              <w:rPr>
                <w:sz w:val="20"/>
                <w:szCs w:val="20"/>
              </w:rPr>
              <w:t xml:space="preserve"> (</w:t>
            </w:r>
            <w:r>
              <w:rPr>
                <w:sz w:val="20"/>
                <w:szCs w:val="20"/>
              </w:rPr>
              <w:t>F.C</w:t>
            </w:r>
            <w:r w:rsidR="001551A4" w:rsidRPr="006E15DC">
              <w:rPr>
                <w:sz w:val="20"/>
                <w:szCs w:val="20"/>
              </w:rPr>
              <w:t>.) (Ci</w:t>
            </w:r>
            <w:r>
              <w:rPr>
                <w:sz w:val="20"/>
                <w:szCs w:val="20"/>
              </w:rPr>
              <w:t>vi</w:t>
            </w:r>
            <w:r w:rsidR="001551A4" w:rsidRPr="006E15DC">
              <w:rPr>
                <w:sz w:val="20"/>
                <w:szCs w:val="20"/>
              </w:rPr>
              <w:t>l) (By Leave) (338</w:t>
            </w:r>
            <w:r>
              <w:rPr>
                <w:sz w:val="20"/>
                <w:szCs w:val="20"/>
              </w:rPr>
              <w:t>84</w:t>
            </w:r>
            <w:r w:rsidR="001551A4" w:rsidRPr="006E15DC">
              <w:rPr>
                <w:sz w:val="20"/>
                <w:szCs w:val="20"/>
              </w:rPr>
              <w:t>)</w:t>
            </w:r>
          </w:p>
          <w:p w:rsidR="001551A4" w:rsidRPr="006E15DC" w:rsidRDefault="001551A4" w:rsidP="0005402C">
            <w:pPr>
              <w:jc w:val="both"/>
              <w:rPr>
                <w:sz w:val="20"/>
                <w:szCs w:val="20"/>
              </w:rPr>
            </w:pPr>
          </w:p>
        </w:tc>
      </w:tr>
      <w:tr w:rsidR="001551A4" w:rsidRPr="004061E0" w:rsidTr="0005402C">
        <w:trPr>
          <w:cantSplit/>
        </w:trPr>
        <w:tc>
          <w:tcPr>
            <w:tcW w:w="2398" w:type="dxa"/>
          </w:tcPr>
          <w:p w:rsidR="001551A4" w:rsidRPr="006E15DC" w:rsidRDefault="001551A4" w:rsidP="0005402C">
            <w:pPr>
              <w:rPr>
                <w:sz w:val="20"/>
                <w:szCs w:val="20"/>
              </w:rPr>
            </w:pPr>
            <w:r w:rsidRPr="006E15DC">
              <w:rPr>
                <w:sz w:val="20"/>
                <w:szCs w:val="20"/>
              </w:rPr>
              <w:t>201</w:t>
            </w:r>
            <w:r w:rsidR="0005402C">
              <w:rPr>
                <w:sz w:val="20"/>
                <w:szCs w:val="20"/>
              </w:rPr>
              <w:t>2</w:t>
            </w:r>
            <w:r w:rsidRPr="006E15DC">
              <w:rPr>
                <w:sz w:val="20"/>
                <w:szCs w:val="20"/>
              </w:rPr>
              <w:t>-</w:t>
            </w:r>
            <w:r w:rsidR="0005402C">
              <w:rPr>
                <w:sz w:val="20"/>
                <w:szCs w:val="20"/>
              </w:rPr>
              <w:t>0</w:t>
            </w:r>
            <w:r w:rsidRPr="006E15DC">
              <w:rPr>
                <w:sz w:val="20"/>
                <w:szCs w:val="20"/>
              </w:rPr>
              <w:t>1-</w:t>
            </w:r>
            <w:r w:rsidR="0005402C">
              <w:rPr>
                <w:sz w:val="20"/>
                <w:szCs w:val="20"/>
              </w:rPr>
              <w:t>17</w:t>
            </w:r>
          </w:p>
        </w:tc>
        <w:tc>
          <w:tcPr>
            <w:tcW w:w="7178" w:type="dxa"/>
          </w:tcPr>
          <w:p w:rsidR="001551A4" w:rsidRPr="0005402C" w:rsidRDefault="0005402C" w:rsidP="0005402C">
            <w:pPr>
              <w:jc w:val="both"/>
              <w:rPr>
                <w:sz w:val="20"/>
                <w:szCs w:val="20"/>
                <w:lang w:val="fr-CA"/>
              </w:rPr>
            </w:pPr>
            <w:r w:rsidRPr="0005402C">
              <w:rPr>
                <w:i/>
                <w:sz w:val="20"/>
                <w:szCs w:val="20"/>
                <w:lang w:val="fr-CA"/>
              </w:rPr>
              <w:t>Tessier Ltée c</w:t>
            </w:r>
            <w:r w:rsidR="001551A4" w:rsidRPr="0005402C">
              <w:rPr>
                <w:i/>
                <w:sz w:val="20"/>
                <w:szCs w:val="20"/>
                <w:lang w:val="fr-CA"/>
              </w:rPr>
              <w:t xml:space="preserve">. </w:t>
            </w:r>
            <w:r w:rsidRPr="0005402C">
              <w:rPr>
                <w:i/>
                <w:sz w:val="20"/>
                <w:szCs w:val="20"/>
                <w:lang w:val="fr-CA"/>
              </w:rPr>
              <w:t xml:space="preserve">Commission de la santé et de la sécurité du travail </w:t>
            </w:r>
            <w:r w:rsidRPr="0005402C">
              <w:rPr>
                <w:sz w:val="20"/>
                <w:szCs w:val="20"/>
                <w:lang w:val="fr-CA"/>
              </w:rPr>
              <w:t>(Qc</w:t>
            </w:r>
            <w:r w:rsidR="001551A4" w:rsidRPr="0005402C">
              <w:rPr>
                <w:sz w:val="20"/>
                <w:szCs w:val="20"/>
                <w:lang w:val="fr-CA"/>
              </w:rPr>
              <w:t>) (Ci</w:t>
            </w:r>
            <w:r>
              <w:rPr>
                <w:sz w:val="20"/>
                <w:szCs w:val="20"/>
                <w:lang w:val="fr-CA"/>
              </w:rPr>
              <w:t>v</w:t>
            </w:r>
            <w:r w:rsidR="001551A4" w:rsidRPr="0005402C">
              <w:rPr>
                <w:sz w:val="20"/>
                <w:szCs w:val="20"/>
                <w:lang w:val="fr-CA"/>
              </w:rPr>
              <w:t>i</w:t>
            </w:r>
            <w:r w:rsidRPr="0005402C">
              <w:rPr>
                <w:sz w:val="20"/>
                <w:szCs w:val="20"/>
                <w:lang w:val="fr-CA"/>
              </w:rPr>
              <w:t>l</w:t>
            </w:r>
            <w:r>
              <w:rPr>
                <w:sz w:val="20"/>
                <w:szCs w:val="20"/>
                <w:lang w:val="fr-CA"/>
              </w:rPr>
              <w:t>e</w:t>
            </w:r>
            <w:r w:rsidR="001551A4" w:rsidRPr="0005402C">
              <w:rPr>
                <w:sz w:val="20"/>
                <w:szCs w:val="20"/>
                <w:lang w:val="fr-CA"/>
              </w:rPr>
              <w:t>) (</w:t>
            </w:r>
            <w:r>
              <w:rPr>
                <w:sz w:val="20"/>
                <w:szCs w:val="20"/>
                <w:lang w:val="fr-CA"/>
              </w:rPr>
              <w:t>Autorisation</w:t>
            </w:r>
            <w:r w:rsidR="001551A4" w:rsidRPr="0005402C">
              <w:rPr>
                <w:sz w:val="20"/>
                <w:szCs w:val="20"/>
                <w:lang w:val="fr-CA"/>
              </w:rPr>
              <w:t>) (339</w:t>
            </w:r>
            <w:r>
              <w:rPr>
                <w:sz w:val="20"/>
                <w:szCs w:val="20"/>
                <w:lang w:val="fr-CA"/>
              </w:rPr>
              <w:t>35</w:t>
            </w:r>
            <w:r w:rsidR="001551A4" w:rsidRPr="0005402C">
              <w:rPr>
                <w:sz w:val="20"/>
                <w:szCs w:val="20"/>
                <w:lang w:val="fr-CA"/>
              </w:rPr>
              <w:t>)</w:t>
            </w:r>
          </w:p>
          <w:p w:rsidR="001551A4" w:rsidRPr="0005402C" w:rsidRDefault="001551A4" w:rsidP="0005402C">
            <w:pPr>
              <w:jc w:val="both"/>
              <w:rPr>
                <w:sz w:val="20"/>
                <w:szCs w:val="20"/>
                <w:lang w:val="fr-CA"/>
              </w:rPr>
            </w:pPr>
          </w:p>
        </w:tc>
      </w:tr>
      <w:tr w:rsidR="001551A4" w:rsidRPr="004061E0" w:rsidTr="0005402C">
        <w:trPr>
          <w:cantSplit/>
        </w:trPr>
        <w:tc>
          <w:tcPr>
            <w:tcW w:w="2398" w:type="dxa"/>
          </w:tcPr>
          <w:p w:rsidR="001551A4" w:rsidRPr="0005402C" w:rsidRDefault="0005402C" w:rsidP="0005402C">
            <w:pPr>
              <w:rPr>
                <w:sz w:val="20"/>
                <w:szCs w:val="20"/>
                <w:lang w:val="fr-CA"/>
              </w:rPr>
            </w:pPr>
            <w:r>
              <w:rPr>
                <w:sz w:val="20"/>
                <w:szCs w:val="20"/>
                <w:lang w:val="fr-CA"/>
              </w:rPr>
              <w:t>2012-01-18</w:t>
            </w:r>
          </w:p>
        </w:tc>
        <w:tc>
          <w:tcPr>
            <w:tcW w:w="7178" w:type="dxa"/>
          </w:tcPr>
          <w:p w:rsidR="001551A4" w:rsidRDefault="0005402C" w:rsidP="0005402C">
            <w:pPr>
              <w:jc w:val="both"/>
              <w:rPr>
                <w:sz w:val="20"/>
                <w:szCs w:val="20"/>
                <w:lang w:val="fr-CA"/>
              </w:rPr>
            </w:pPr>
            <w:r>
              <w:rPr>
                <w:i/>
                <w:sz w:val="20"/>
                <w:szCs w:val="20"/>
                <w:lang w:val="fr-CA"/>
              </w:rPr>
              <w:t>Procureur général du Québec et autres c. A et autres</w:t>
            </w:r>
            <w:r>
              <w:rPr>
                <w:sz w:val="20"/>
                <w:szCs w:val="20"/>
                <w:lang w:val="fr-CA"/>
              </w:rPr>
              <w:t xml:space="preserve"> (Qc) (Civile) (Autorisation) (33990)</w:t>
            </w:r>
          </w:p>
          <w:p w:rsidR="0005402C" w:rsidRPr="0005402C" w:rsidRDefault="0005402C" w:rsidP="0005402C">
            <w:pPr>
              <w:jc w:val="both"/>
              <w:rPr>
                <w:sz w:val="20"/>
                <w:szCs w:val="20"/>
                <w:lang w:val="fr-CA"/>
              </w:rPr>
            </w:pPr>
          </w:p>
        </w:tc>
      </w:tr>
      <w:tr w:rsidR="001551A4" w:rsidRPr="0005402C" w:rsidTr="0005402C">
        <w:trPr>
          <w:cantSplit/>
        </w:trPr>
        <w:tc>
          <w:tcPr>
            <w:tcW w:w="2398" w:type="dxa"/>
          </w:tcPr>
          <w:p w:rsidR="001551A4" w:rsidRPr="0005402C" w:rsidRDefault="0005402C" w:rsidP="0005402C">
            <w:pPr>
              <w:rPr>
                <w:sz w:val="20"/>
                <w:szCs w:val="20"/>
                <w:lang w:val="fr-CA"/>
              </w:rPr>
            </w:pPr>
            <w:r>
              <w:rPr>
                <w:sz w:val="20"/>
                <w:szCs w:val="20"/>
                <w:lang w:val="fr-CA"/>
              </w:rPr>
              <w:t>2012-01-19</w:t>
            </w:r>
          </w:p>
        </w:tc>
        <w:tc>
          <w:tcPr>
            <w:tcW w:w="7178" w:type="dxa"/>
          </w:tcPr>
          <w:p w:rsidR="001551A4" w:rsidRDefault="0005402C" w:rsidP="0005402C">
            <w:pPr>
              <w:jc w:val="both"/>
              <w:rPr>
                <w:sz w:val="20"/>
                <w:szCs w:val="20"/>
              </w:rPr>
            </w:pPr>
            <w:r w:rsidRPr="0005402C">
              <w:rPr>
                <w:i/>
                <w:sz w:val="20"/>
                <w:szCs w:val="20"/>
              </w:rPr>
              <w:t xml:space="preserve">Attorney General of Canada v. </w:t>
            </w:r>
            <w:r>
              <w:rPr>
                <w:i/>
                <w:sz w:val="20"/>
                <w:szCs w:val="20"/>
              </w:rPr>
              <w:t xml:space="preserve">Downtown Eastside Sex Workers United Against Violence Society et al. </w:t>
            </w:r>
            <w:r>
              <w:rPr>
                <w:sz w:val="20"/>
                <w:szCs w:val="20"/>
              </w:rPr>
              <w:t>(B.C.)</w:t>
            </w:r>
            <w:r w:rsidR="00D01E20">
              <w:rPr>
                <w:sz w:val="20"/>
                <w:szCs w:val="20"/>
              </w:rPr>
              <w:t xml:space="preserve"> (Civil) (By Leave) (33981)</w:t>
            </w:r>
          </w:p>
          <w:p w:rsidR="00D01E20" w:rsidRPr="00D01E20" w:rsidRDefault="00D01E20" w:rsidP="00D01E20">
            <w:pPr>
              <w:jc w:val="both"/>
              <w:rPr>
                <w:sz w:val="20"/>
                <w:szCs w:val="20"/>
                <w:lang w:val="en-US"/>
              </w:rPr>
            </w:pPr>
            <w:r w:rsidRPr="006E15DC">
              <w:rPr>
                <w:sz w:val="20"/>
                <w:szCs w:val="20"/>
              </w:rPr>
              <w:t>(</w:t>
            </w:r>
            <w:r w:rsidRPr="006E15DC">
              <w:rPr>
                <w:sz w:val="20"/>
                <w:szCs w:val="20"/>
                <w:lang w:val="en-US"/>
              </w:rPr>
              <w:t>Early start time: 9:00 a.m. / Horaire modifié : audience débutant à 9 h)</w:t>
            </w:r>
          </w:p>
        </w:tc>
      </w:tr>
    </w:tbl>
    <w:p w:rsidR="001551A4" w:rsidRPr="0005402C" w:rsidRDefault="001551A4" w:rsidP="004B66B4">
      <w:pPr>
        <w:rPr>
          <w:sz w:val="20"/>
          <w:szCs w:val="20"/>
        </w:rPr>
      </w:pPr>
    </w:p>
    <w:p w:rsidR="004B66B4" w:rsidRPr="00DD0B49" w:rsidRDefault="00586706" w:rsidP="002868D0">
      <w:pPr>
        <w:jc w:val="both"/>
        <w:rPr>
          <w:sz w:val="20"/>
          <w:szCs w:val="20"/>
        </w:rPr>
      </w:pPr>
      <w:r w:rsidRPr="00586706">
        <w:rPr>
          <w:sz w:val="20"/>
          <w:szCs w:val="20"/>
          <w:lang w:val="fr-CA"/>
        </w:rPr>
        <w:pict>
          <v:rect id="_x0000_i1091" style="width:2in;height:1pt" o:hrpct="0" o:hralign="center" o:hrstd="t" o:hrnoshade="t" o:hr="t" fillcolor="black [3213]" stroked="f"/>
        </w:pict>
      </w:r>
    </w:p>
    <w:p w:rsidR="004B66B4" w:rsidRDefault="004B66B4" w:rsidP="004B66B4">
      <w:pPr>
        <w:tabs>
          <w:tab w:val="left" w:pos="1980"/>
        </w:tabs>
        <w:jc w:val="both"/>
        <w:rPr>
          <w:sz w:val="20"/>
          <w:szCs w:val="20"/>
        </w:rPr>
      </w:pPr>
    </w:p>
    <w:p w:rsidR="00D01E20" w:rsidRPr="00DD0B49" w:rsidRDefault="00D01E20" w:rsidP="004B66B4">
      <w:pPr>
        <w:tabs>
          <w:tab w:val="left" w:pos="1980"/>
        </w:tabs>
        <w:jc w:val="both"/>
        <w:rPr>
          <w:sz w:val="20"/>
          <w:szCs w:val="20"/>
        </w:rPr>
      </w:pPr>
    </w:p>
    <w:p w:rsidR="004B66B4" w:rsidRPr="00DD0B49" w:rsidRDefault="004B66B4" w:rsidP="004B66B4">
      <w:pPr>
        <w:jc w:val="both"/>
        <w:rPr>
          <w:sz w:val="20"/>
          <w:szCs w:val="20"/>
        </w:rPr>
      </w:pPr>
      <w:r w:rsidRPr="00DD0B49">
        <w:rPr>
          <w:b/>
          <w:sz w:val="20"/>
          <w:szCs w:val="20"/>
        </w:rPr>
        <w:t>NOTE:</w:t>
      </w:r>
      <w:r w:rsidRPr="00DD0B49">
        <w:rPr>
          <w:sz w:val="20"/>
          <w:szCs w:val="20"/>
        </w:rPr>
        <w:t xml:space="preserve"> This agenda is subject to change. Hearings normally commence at 9:30 a.m.; however, cases with multiple parties often commence at 9:00 a.m.  Where two cases are scheduled on a given day, the second case may be heard immediately after the first one or at 2:00 p.m.  Hearing dates and times should be confirmed with Registry staff at (613) 996-8666.</w:t>
      </w:r>
    </w:p>
    <w:p w:rsidR="004B66B4" w:rsidRPr="00DD0B49" w:rsidRDefault="004B66B4" w:rsidP="004B66B4">
      <w:pPr>
        <w:jc w:val="both"/>
        <w:rPr>
          <w:sz w:val="20"/>
          <w:szCs w:val="20"/>
        </w:rPr>
      </w:pPr>
    </w:p>
    <w:p w:rsidR="004B66B4" w:rsidRPr="00DD0B49" w:rsidRDefault="004B66B4" w:rsidP="004B66B4">
      <w:pPr>
        <w:jc w:val="both"/>
        <w:rPr>
          <w:sz w:val="20"/>
          <w:szCs w:val="20"/>
          <w:lang w:val="fr-CA"/>
        </w:rPr>
      </w:pPr>
      <w:r w:rsidRPr="00DD0B49">
        <w:rPr>
          <w:sz w:val="20"/>
          <w:szCs w:val="20"/>
          <w:lang w:val="fr-CA"/>
        </w:rPr>
        <w:lastRenderedPageBreak/>
        <w:t>Ce calendrier est sujet à modification. Les audiences débutent normalement à 9h30;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 996-8666.</w:t>
      </w:r>
    </w:p>
    <w:p w:rsidR="00C50A5C" w:rsidRDefault="00C50A5C" w:rsidP="0022323B">
      <w:pPr>
        <w:rPr>
          <w:sz w:val="20"/>
          <w:szCs w:val="20"/>
          <w:lang w:val="fr-CA"/>
        </w:rPr>
      </w:pPr>
    </w:p>
    <w:p w:rsidR="00BB420B" w:rsidRDefault="00BB420B" w:rsidP="0022323B">
      <w:pPr>
        <w:rPr>
          <w:sz w:val="20"/>
          <w:szCs w:val="20"/>
          <w:lang w:val="fr-CA"/>
        </w:rPr>
      </w:pPr>
    </w:p>
    <w:p w:rsidR="00BB420B" w:rsidRDefault="00BB420B" w:rsidP="0022323B">
      <w:pPr>
        <w:rPr>
          <w:sz w:val="20"/>
          <w:szCs w:val="20"/>
          <w:lang w:val="fr-CA"/>
        </w:rPr>
      </w:pPr>
    </w:p>
    <w:p w:rsidR="00BB420B" w:rsidRDefault="00BB420B" w:rsidP="0022323B">
      <w:pPr>
        <w:rPr>
          <w:sz w:val="20"/>
          <w:szCs w:val="20"/>
          <w:lang w:val="fr-CA"/>
        </w:rPr>
      </w:pPr>
    </w:p>
    <w:p w:rsidR="00BB420B" w:rsidRDefault="00BB420B" w:rsidP="0022323B">
      <w:pPr>
        <w:rPr>
          <w:sz w:val="20"/>
          <w:szCs w:val="20"/>
          <w:lang w:val="fr-CA"/>
        </w:rPr>
      </w:pPr>
    </w:p>
    <w:p w:rsidR="00102926" w:rsidRPr="00C50A5C" w:rsidRDefault="00102926" w:rsidP="00782AE4">
      <w:pPr>
        <w:jc w:val="both"/>
        <w:rPr>
          <w:sz w:val="20"/>
          <w:szCs w:val="20"/>
          <w:lang w:val="fr-CA"/>
        </w:rPr>
      </w:pPr>
    </w:p>
    <w:p w:rsidR="0022323B" w:rsidRPr="00C50A5C" w:rsidRDefault="0022323B" w:rsidP="00782AE4">
      <w:pPr>
        <w:jc w:val="both"/>
        <w:rPr>
          <w:sz w:val="20"/>
          <w:szCs w:val="20"/>
          <w:lang w:val="fr-CA"/>
        </w:rPr>
        <w:sectPr w:rsidR="0022323B" w:rsidRPr="00C50A5C" w:rsidSect="0022323B">
          <w:headerReference w:type="even" r:id="rId53"/>
          <w:headerReference w:type="default" r:id="rId54"/>
          <w:footerReference w:type="even" r:id="rId55"/>
          <w:footerReference w:type="default" r:id="rId56"/>
          <w:headerReference w:type="first" r:id="rId57"/>
          <w:footerReference w:type="first" r:id="rId58"/>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5F263E" w:rsidRPr="00C50A5C" w:rsidTr="0085476B">
        <w:tc>
          <w:tcPr>
            <w:tcW w:w="4200" w:type="dxa"/>
            <w:shd w:val="clear" w:color="auto" w:fill="auto"/>
            <w:tcMar>
              <w:left w:w="0" w:type="dxa"/>
              <w:right w:w="0" w:type="dxa"/>
            </w:tcMar>
          </w:tcPr>
          <w:p w:rsidR="005F263E" w:rsidRPr="00C50A5C" w:rsidRDefault="005F263E" w:rsidP="006B6926">
            <w:pPr>
              <w:keepNext/>
              <w:keepLines/>
              <w:rPr>
                <w:b/>
                <w:szCs w:val="24"/>
              </w:rPr>
            </w:pPr>
            <w:r w:rsidRPr="00C50A5C">
              <w:rPr>
                <w:b/>
                <w:szCs w:val="24"/>
              </w:rPr>
              <w:lastRenderedPageBreak/>
              <w:t>SUMMARIES OF THE CASES</w:t>
            </w:r>
          </w:p>
        </w:tc>
        <w:tc>
          <w:tcPr>
            <w:tcW w:w="1200" w:type="dxa"/>
            <w:shd w:val="clear" w:color="auto" w:fill="auto"/>
            <w:tcMar>
              <w:left w:w="0" w:type="dxa"/>
              <w:right w:w="0" w:type="dxa"/>
            </w:tcMar>
          </w:tcPr>
          <w:p w:rsidR="005F263E" w:rsidRPr="00C50A5C" w:rsidRDefault="005F263E" w:rsidP="005F263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5F263E" w:rsidRPr="00C50A5C" w:rsidRDefault="005F263E" w:rsidP="005F263E">
            <w:pPr>
              <w:keepNext/>
              <w:keepLines/>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tc>
        <w:tc>
          <w:tcPr>
            <w:tcW w:w="4080" w:type="dxa"/>
            <w:shd w:val="clear" w:color="auto" w:fill="auto"/>
            <w:tcMar>
              <w:left w:w="0" w:type="dxa"/>
              <w:right w:w="0" w:type="dxa"/>
            </w:tcMar>
          </w:tcPr>
          <w:p w:rsidR="005F263E" w:rsidRPr="00C50A5C" w:rsidRDefault="005F263E" w:rsidP="006B692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50A5C">
              <w:rPr>
                <w:b/>
                <w:szCs w:val="24"/>
                <w:lang w:val="fr-CA"/>
              </w:rPr>
              <w:t>RÉSUMÉS DES AFFAIRES</w:t>
            </w:r>
          </w:p>
        </w:tc>
      </w:tr>
    </w:tbl>
    <w:p w:rsidR="005F263E" w:rsidRDefault="005F263E" w:rsidP="009C078F">
      <w:pPr>
        <w:ind w:left="720" w:hanging="720"/>
        <w:jc w:val="both"/>
        <w:rPr>
          <w:b/>
          <w:sz w:val="20"/>
          <w:szCs w:val="20"/>
        </w:rPr>
      </w:pPr>
    </w:p>
    <w:p w:rsidR="009C078F" w:rsidRPr="00FD31B7" w:rsidRDefault="009C078F" w:rsidP="009C078F">
      <w:pPr>
        <w:pStyle w:val="SCCLsocParty"/>
        <w:jc w:val="both"/>
        <w:rPr>
          <w:sz w:val="20"/>
          <w:szCs w:val="20"/>
          <w:lang w:val="en-CA"/>
        </w:rPr>
      </w:pPr>
      <w:r w:rsidRPr="009C078F">
        <w:rPr>
          <w:b/>
          <w:sz w:val="20"/>
          <w:szCs w:val="20"/>
          <w:lang w:val="en-CA"/>
        </w:rPr>
        <w:t>34397</w:t>
      </w:r>
      <w:r w:rsidRPr="009C078F">
        <w:rPr>
          <w:b/>
          <w:sz w:val="20"/>
          <w:szCs w:val="20"/>
          <w:lang w:val="en-CA"/>
        </w:rPr>
        <w:tab/>
        <w:t xml:space="preserve">Benjamin Cain </w:t>
      </w:r>
      <w:proofErr w:type="gramStart"/>
      <w:r w:rsidRPr="009C078F">
        <w:rPr>
          <w:b/>
          <w:sz w:val="20"/>
          <w:szCs w:val="20"/>
          <w:lang w:val="en-CA"/>
        </w:rPr>
        <w:t>MacKenzie</w:t>
      </w:r>
      <w:proofErr w:type="gramEnd"/>
      <w:r w:rsidRPr="009C078F">
        <w:rPr>
          <w:b/>
          <w:sz w:val="20"/>
          <w:szCs w:val="20"/>
          <w:lang w:val="en-CA"/>
        </w:rPr>
        <w:t xml:space="preserve"> v. Her Majesty the Queen</w:t>
      </w:r>
      <w:r w:rsidRPr="009C078F">
        <w:rPr>
          <w:sz w:val="20"/>
          <w:szCs w:val="20"/>
          <w:lang w:val="en-CA"/>
        </w:rPr>
        <w:t xml:space="preserve"> (Sask.) </w:t>
      </w:r>
      <w:r w:rsidRPr="00FD31B7">
        <w:rPr>
          <w:sz w:val="20"/>
          <w:szCs w:val="20"/>
          <w:lang w:val="en-CA"/>
        </w:rPr>
        <w:t>(Criminal) (By Leave)</w:t>
      </w:r>
    </w:p>
    <w:p w:rsidR="009C078F" w:rsidRDefault="009C078F" w:rsidP="005F263E">
      <w:pPr>
        <w:tabs>
          <w:tab w:val="left" w:pos="-1440"/>
          <w:tab w:val="left" w:pos="-720"/>
        </w:tabs>
        <w:ind w:left="720" w:hanging="720"/>
        <w:jc w:val="both"/>
        <w:rPr>
          <w:sz w:val="20"/>
          <w:szCs w:val="20"/>
        </w:rPr>
      </w:pPr>
    </w:p>
    <w:p w:rsidR="009C078F" w:rsidRDefault="009C078F" w:rsidP="009C078F">
      <w:pPr>
        <w:jc w:val="both"/>
        <w:rPr>
          <w:sz w:val="20"/>
          <w:szCs w:val="20"/>
        </w:rPr>
      </w:pPr>
      <w:r w:rsidRPr="002D65D6">
        <w:rPr>
          <w:i/>
          <w:sz w:val="20"/>
          <w:szCs w:val="20"/>
        </w:rPr>
        <w:t xml:space="preserve">Charter of Rights and Freedoms </w:t>
      </w:r>
      <w:r w:rsidRPr="002D65D6">
        <w:rPr>
          <w:sz w:val="20"/>
          <w:szCs w:val="20"/>
        </w:rPr>
        <w:t>— Search and seizure — Freedom from unreasonable search and seizure — Sniff</w:t>
      </w:r>
      <w:r w:rsidRPr="002D65D6">
        <w:rPr>
          <w:sz w:val="20"/>
          <w:szCs w:val="20"/>
        </w:rPr>
        <w:noBreakHyphen/>
        <w:t xml:space="preserve">search of vehicle by sniffer dog led to discovery of drugs </w:t>
      </w:r>
      <w:r w:rsidRPr="002D65D6">
        <w:rPr>
          <w:rFonts w:cs="Times New Roman"/>
          <w:sz w:val="20"/>
          <w:szCs w:val="20"/>
        </w:rPr>
        <w:t>—</w:t>
      </w:r>
      <w:r w:rsidRPr="002D65D6">
        <w:rPr>
          <w:sz w:val="20"/>
          <w:szCs w:val="20"/>
        </w:rPr>
        <w:t xml:space="preserve"> Whether the jurisprudence is inconsistent regarding “reasonable suspicion” and a clear test is needed — Whether the Court of Appeal misapplied the standard for appellate review and applied an incorrect evidentiary standard — Whether there are issues of public importance raised </w:t>
      </w:r>
      <w:r w:rsidRPr="002D65D6">
        <w:rPr>
          <w:rFonts w:cs="Times New Roman"/>
          <w:sz w:val="20"/>
          <w:szCs w:val="20"/>
        </w:rPr>
        <w:t>—</w:t>
      </w:r>
      <w:r w:rsidRPr="002D65D6">
        <w:rPr>
          <w:sz w:val="20"/>
          <w:szCs w:val="20"/>
        </w:rPr>
        <w:t xml:space="preserve"> S. 8 of the </w:t>
      </w:r>
      <w:r w:rsidRPr="002D65D6">
        <w:rPr>
          <w:i/>
          <w:sz w:val="20"/>
          <w:szCs w:val="20"/>
        </w:rPr>
        <w:t>Charter</w:t>
      </w:r>
      <w:r w:rsidRPr="002D65D6">
        <w:rPr>
          <w:sz w:val="20"/>
          <w:szCs w:val="20"/>
        </w:rPr>
        <w:t>.</w:t>
      </w:r>
    </w:p>
    <w:p w:rsidR="009C078F" w:rsidRDefault="009C078F" w:rsidP="005F263E">
      <w:pPr>
        <w:tabs>
          <w:tab w:val="left" w:pos="-1440"/>
          <w:tab w:val="left" w:pos="-720"/>
        </w:tabs>
        <w:ind w:left="720" w:hanging="720"/>
        <w:jc w:val="both"/>
        <w:rPr>
          <w:sz w:val="20"/>
          <w:szCs w:val="20"/>
        </w:rPr>
      </w:pPr>
    </w:p>
    <w:p w:rsidR="000B3C9A" w:rsidRPr="00DD0B49" w:rsidRDefault="00586706" w:rsidP="000B3C9A">
      <w:pPr>
        <w:tabs>
          <w:tab w:val="left" w:pos="-1440"/>
          <w:tab w:val="left" w:pos="-720"/>
        </w:tabs>
        <w:ind w:left="720" w:hanging="720"/>
        <w:jc w:val="both"/>
        <w:rPr>
          <w:sz w:val="20"/>
          <w:szCs w:val="20"/>
        </w:rPr>
      </w:pPr>
      <w:r w:rsidRPr="00586706">
        <w:rPr>
          <w:sz w:val="20"/>
          <w:szCs w:val="20"/>
          <w:lang w:val="fr-CA"/>
        </w:rPr>
        <w:pict>
          <v:rect id="_x0000_i1094" style="width:2in;height:1pt" o:hrpct="0" o:hralign="center" o:hrstd="t" o:hrnoshade="t" o:hr="t" fillcolor="black [3213]" stroked="f"/>
        </w:pict>
      </w:r>
    </w:p>
    <w:p w:rsidR="00A248C7" w:rsidRDefault="00A248C7" w:rsidP="000B3C9A">
      <w:pPr>
        <w:tabs>
          <w:tab w:val="left" w:pos="-1440"/>
          <w:tab w:val="left" w:pos="-720"/>
        </w:tabs>
        <w:ind w:left="720" w:hanging="720"/>
        <w:jc w:val="both"/>
        <w:rPr>
          <w:sz w:val="20"/>
          <w:szCs w:val="20"/>
        </w:rPr>
      </w:pPr>
    </w:p>
    <w:p w:rsidR="00A248C7" w:rsidRPr="00A248C7" w:rsidRDefault="00A248C7" w:rsidP="00A248C7">
      <w:pPr>
        <w:pStyle w:val="SCCLsocParty"/>
        <w:jc w:val="both"/>
        <w:rPr>
          <w:sz w:val="20"/>
          <w:szCs w:val="20"/>
        </w:rPr>
      </w:pPr>
      <w:r w:rsidRPr="00A248C7">
        <w:rPr>
          <w:b/>
          <w:sz w:val="20"/>
          <w:szCs w:val="20"/>
        </w:rPr>
        <w:t>34397</w:t>
      </w:r>
      <w:r w:rsidRPr="00A248C7">
        <w:rPr>
          <w:b/>
          <w:sz w:val="20"/>
          <w:szCs w:val="20"/>
        </w:rPr>
        <w:tab/>
        <w:t>Benjamin Cain MacKenzie c. Sa Majesté la Reine</w:t>
      </w:r>
      <w:r w:rsidRPr="00A248C7">
        <w:rPr>
          <w:sz w:val="20"/>
          <w:szCs w:val="20"/>
        </w:rPr>
        <w:t xml:space="preserve"> (Sask.) (Criminelle) (Autorisation)</w:t>
      </w:r>
    </w:p>
    <w:p w:rsidR="00A248C7" w:rsidRPr="00A248C7" w:rsidRDefault="00A248C7" w:rsidP="000B3C9A">
      <w:pPr>
        <w:tabs>
          <w:tab w:val="left" w:pos="-1440"/>
          <w:tab w:val="left" w:pos="-720"/>
        </w:tabs>
        <w:ind w:left="720" w:hanging="720"/>
        <w:jc w:val="both"/>
        <w:rPr>
          <w:sz w:val="20"/>
          <w:szCs w:val="20"/>
          <w:lang w:val="fr-CA"/>
        </w:rPr>
      </w:pPr>
    </w:p>
    <w:p w:rsidR="00A248C7" w:rsidRDefault="00A248C7" w:rsidP="00A248C7">
      <w:pPr>
        <w:jc w:val="both"/>
        <w:rPr>
          <w:sz w:val="20"/>
          <w:szCs w:val="20"/>
          <w:lang w:val="fr-CA"/>
        </w:rPr>
      </w:pPr>
      <w:r w:rsidRPr="00A55495">
        <w:rPr>
          <w:i/>
          <w:sz w:val="20"/>
          <w:szCs w:val="20"/>
          <w:lang w:val="fr-CA"/>
        </w:rPr>
        <w:t xml:space="preserve">Charte des droits et libertés </w:t>
      </w:r>
      <w:r w:rsidRPr="00A55495">
        <w:rPr>
          <w:sz w:val="20"/>
          <w:szCs w:val="20"/>
          <w:lang w:val="fr-CA"/>
        </w:rPr>
        <w:t>— Fouilles et perquisitions — Protection contre les fouilles, les saisies et les perquisitions abusives — La fouille d’un véhicule au moyen d’un chien renifleur a mené à la découverte de drogue — La jurisprudence est</w:t>
      </w:r>
      <w:r w:rsidRPr="00A55495">
        <w:rPr>
          <w:sz w:val="20"/>
          <w:szCs w:val="20"/>
          <w:lang w:val="fr-CA"/>
        </w:rPr>
        <w:noBreakHyphen/>
        <w:t>elle contradictoire relativement au critère des « soupçons raisonnables » et un critère clair est</w:t>
      </w:r>
      <w:r w:rsidRPr="00A55495">
        <w:rPr>
          <w:sz w:val="20"/>
          <w:szCs w:val="20"/>
          <w:lang w:val="fr-CA"/>
        </w:rPr>
        <w:noBreakHyphen/>
        <w:t>il nécessaire? — La Cour d'appel a</w:t>
      </w:r>
      <w:r w:rsidRPr="00A55495">
        <w:rPr>
          <w:sz w:val="20"/>
          <w:szCs w:val="20"/>
          <w:lang w:val="fr-CA"/>
        </w:rPr>
        <w:noBreakHyphen/>
        <w:t>t</w:t>
      </w:r>
      <w:r w:rsidRPr="00A55495">
        <w:rPr>
          <w:sz w:val="20"/>
          <w:szCs w:val="20"/>
          <w:lang w:val="fr-CA"/>
        </w:rPr>
        <w:noBreakHyphen/>
        <w:t>elle mal appliqué la norme de révision en appel et appliqué une norme de preuve erronée? — L'affaire soulève</w:t>
      </w:r>
      <w:r w:rsidRPr="00A55495">
        <w:rPr>
          <w:sz w:val="20"/>
          <w:szCs w:val="20"/>
          <w:lang w:val="fr-CA"/>
        </w:rPr>
        <w:noBreakHyphen/>
        <w:t>t</w:t>
      </w:r>
      <w:r w:rsidRPr="00A55495">
        <w:rPr>
          <w:sz w:val="20"/>
          <w:szCs w:val="20"/>
          <w:lang w:val="fr-CA"/>
        </w:rPr>
        <w:noBreakHyphen/>
        <w:t xml:space="preserve">elle des questions d'importance pour le public? — Art. 8 de la </w:t>
      </w:r>
      <w:r w:rsidRPr="00A55495">
        <w:rPr>
          <w:i/>
          <w:sz w:val="20"/>
          <w:szCs w:val="20"/>
          <w:lang w:val="fr-CA"/>
        </w:rPr>
        <w:t>Charte</w:t>
      </w:r>
      <w:r w:rsidRPr="00A55495">
        <w:rPr>
          <w:sz w:val="20"/>
          <w:szCs w:val="20"/>
          <w:lang w:val="fr-CA"/>
        </w:rPr>
        <w:t>.</w:t>
      </w:r>
    </w:p>
    <w:p w:rsidR="00A248C7" w:rsidRDefault="00A248C7" w:rsidP="000B3C9A">
      <w:pPr>
        <w:tabs>
          <w:tab w:val="left" w:pos="-1440"/>
          <w:tab w:val="left" w:pos="-720"/>
        </w:tabs>
        <w:ind w:left="720" w:hanging="720"/>
        <w:jc w:val="both"/>
        <w:rPr>
          <w:sz w:val="20"/>
          <w:szCs w:val="20"/>
          <w:lang w:val="fr-CA"/>
        </w:rPr>
      </w:pPr>
    </w:p>
    <w:p w:rsidR="000B3C9A" w:rsidRPr="00DD0B49" w:rsidRDefault="00586706" w:rsidP="000B3C9A">
      <w:pPr>
        <w:tabs>
          <w:tab w:val="left" w:pos="-1440"/>
          <w:tab w:val="left" w:pos="-720"/>
        </w:tabs>
        <w:ind w:left="720" w:hanging="720"/>
        <w:jc w:val="both"/>
        <w:rPr>
          <w:sz w:val="20"/>
          <w:szCs w:val="20"/>
          <w:lang w:val="fr-CA"/>
        </w:rPr>
      </w:pPr>
      <w:r w:rsidRPr="00586706">
        <w:rPr>
          <w:sz w:val="20"/>
          <w:szCs w:val="20"/>
          <w:lang w:val="fr-CA"/>
        </w:rPr>
        <w:pict>
          <v:rect id="_x0000_i1095" style="width:2in;height:1pt" o:hrpct="0" o:hralign="center" o:hrstd="t" o:hrnoshade="t" o:hr="t" fillcolor="black [3213]" stroked="f"/>
        </w:pict>
      </w:r>
    </w:p>
    <w:p w:rsidR="000B3C9A" w:rsidRDefault="000B3C9A" w:rsidP="000B3C9A">
      <w:pPr>
        <w:tabs>
          <w:tab w:val="left" w:pos="-1440"/>
          <w:tab w:val="left" w:pos="-720"/>
        </w:tabs>
        <w:ind w:left="720" w:hanging="720"/>
        <w:jc w:val="both"/>
        <w:rPr>
          <w:sz w:val="20"/>
          <w:szCs w:val="20"/>
          <w:lang w:val="fr-CA"/>
        </w:rPr>
      </w:pPr>
    </w:p>
    <w:p w:rsidR="00A248C7" w:rsidRPr="00A248C7" w:rsidRDefault="00A248C7" w:rsidP="000B3C9A">
      <w:pPr>
        <w:tabs>
          <w:tab w:val="left" w:pos="-1440"/>
          <w:tab w:val="left" w:pos="-720"/>
        </w:tabs>
        <w:ind w:left="720" w:hanging="720"/>
        <w:jc w:val="both"/>
        <w:rPr>
          <w:sz w:val="20"/>
          <w:szCs w:val="20"/>
        </w:rPr>
      </w:pPr>
      <w:proofErr w:type="gramStart"/>
      <w:r w:rsidRPr="00A248C7">
        <w:rPr>
          <w:b/>
          <w:sz w:val="20"/>
          <w:szCs w:val="20"/>
        </w:rPr>
        <w:t>34352</w:t>
      </w:r>
      <w:r w:rsidRPr="00A248C7">
        <w:rPr>
          <w:b/>
          <w:sz w:val="20"/>
          <w:szCs w:val="20"/>
        </w:rPr>
        <w:tab/>
        <w:t>Kaitlyn Ruth Smith v.</w:t>
      </w:r>
      <w:proofErr w:type="gramEnd"/>
      <w:r w:rsidRPr="00A248C7">
        <w:rPr>
          <w:b/>
          <w:sz w:val="20"/>
          <w:szCs w:val="20"/>
        </w:rPr>
        <w:t xml:space="preserve"> Her Majesty the Queen</w:t>
      </w:r>
      <w:r>
        <w:rPr>
          <w:b/>
          <w:sz w:val="20"/>
          <w:szCs w:val="20"/>
        </w:rPr>
        <w:t xml:space="preserve"> </w:t>
      </w:r>
      <w:r w:rsidRPr="009E1AB6">
        <w:rPr>
          <w:sz w:val="20"/>
          <w:szCs w:val="20"/>
        </w:rPr>
        <w:t>(Alta.) (Criminal) (By Leave)</w:t>
      </w:r>
    </w:p>
    <w:p w:rsidR="00A248C7" w:rsidRPr="00A248C7" w:rsidRDefault="00A248C7" w:rsidP="000B3C9A">
      <w:pPr>
        <w:tabs>
          <w:tab w:val="left" w:pos="-1440"/>
          <w:tab w:val="left" w:pos="-720"/>
        </w:tabs>
        <w:ind w:left="720" w:hanging="720"/>
        <w:jc w:val="both"/>
        <w:rPr>
          <w:sz w:val="20"/>
          <w:szCs w:val="20"/>
        </w:rPr>
      </w:pPr>
    </w:p>
    <w:p w:rsidR="00A248C7" w:rsidRPr="00A248C7" w:rsidRDefault="00A248C7" w:rsidP="00A248C7">
      <w:pPr>
        <w:tabs>
          <w:tab w:val="left" w:pos="-1440"/>
          <w:tab w:val="left" w:pos="-720"/>
        </w:tabs>
        <w:jc w:val="both"/>
        <w:rPr>
          <w:sz w:val="20"/>
          <w:szCs w:val="20"/>
        </w:rPr>
      </w:pPr>
      <w:r w:rsidRPr="009E1AB6">
        <w:rPr>
          <w:sz w:val="20"/>
          <w:szCs w:val="20"/>
        </w:rPr>
        <w:t xml:space="preserve">Criminal law — Driving offences — Evidence — Standard of proof — Business records — Medical records — Exception to rule of inadmissibility of hearsay evidence — Crown tendering record of hospital blood analysis results as </w:t>
      </w:r>
      <w:r w:rsidRPr="009E1AB6">
        <w:rPr>
          <w:i/>
          <w:sz w:val="20"/>
          <w:szCs w:val="20"/>
        </w:rPr>
        <w:t>prima facie</w:t>
      </w:r>
      <w:r w:rsidRPr="009E1AB6">
        <w:rPr>
          <w:sz w:val="20"/>
          <w:szCs w:val="20"/>
        </w:rPr>
        <w:t xml:space="preserve"> proof of its contents in impaired driving case — Does any business record admitted into a criminal trial pursuant to s. 30 of the </w:t>
      </w:r>
      <w:r w:rsidRPr="009E1AB6">
        <w:rPr>
          <w:i/>
          <w:sz w:val="20"/>
          <w:szCs w:val="20"/>
        </w:rPr>
        <w:t xml:space="preserve">Canada Evidence Act, </w:t>
      </w:r>
      <w:r w:rsidRPr="009E1AB6">
        <w:rPr>
          <w:sz w:val="20"/>
          <w:szCs w:val="20"/>
        </w:rPr>
        <w:t>R.S.C. 1985, c. C</w:t>
      </w:r>
      <w:r w:rsidRPr="009E1AB6">
        <w:rPr>
          <w:sz w:val="20"/>
          <w:szCs w:val="20"/>
        </w:rPr>
        <w:noBreakHyphen/>
        <w:t>5 (the “</w:t>
      </w:r>
      <w:r w:rsidRPr="009E1AB6">
        <w:rPr>
          <w:i/>
          <w:sz w:val="20"/>
          <w:szCs w:val="20"/>
        </w:rPr>
        <w:t>Ac</w:t>
      </w:r>
      <w:r w:rsidRPr="009E1AB6">
        <w:rPr>
          <w:sz w:val="20"/>
          <w:szCs w:val="20"/>
        </w:rPr>
        <w:t xml:space="preserve">t”) automatically constitute presumptive proof (i.e. </w:t>
      </w:r>
      <w:r w:rsidRPr="009E1AB6">
        <w:rPr>
          <w:i/>
          <w:sz w:val="20"/>
          <w:szCs w:val="20"/>
        </w:rPr>
        <w:t>prima facie</w:t>
      </w:r>
      <w:r w:rsidRPr="009E1AB6">
        <w:rPr>
          <w:sz w:val="20"/>
          <w:szCs w:val="20"/>
        </w:rPr>
        <w:t xml:space="preserve"> proof beyond a reasonable doubt) of its contents — Does a record produced by a machine (such as a blood — alcohol reading produced in a hospital) automatically constitute </w:t>
      </w:r>
      <w:r w:rsidRPr="009E1AB6">
        <w:rPr>
          <w:i/>
          <w:sz w:val="20"/>
          <w:szCs w:val="20"/>
        </w:rPr>
        <w:t>prima facie</w:t>
      </w:r>
      <w:r w:rsidRPr="009E1AB6">
        <w:rPr>
          <w:sz w:val="20"/>
          <w:szCs w:val="20"/>
        </w:rPr>
        <w:t xml:space="preserve"> proof beyond a reasonable doubt of its contents just by entry into a criminal trial pursuant to s. 30 of the </w:t>
      </w:r>
      <w:r w:rsidRPr="009E1AB6">
        <w:rPr>
          <w:i/>
          <w:sz w:val="20"/>
          <w:szCs w:val="20"/>
        </w:rPr>
        <w:t>Act.</w:t>
      </w:r>
    </w:p>
    <w:p w:rsidR="000B3C9A" w:rsidRPr="00DD0B49" w:rsidRDefault="000B3C9A" w:rsidP="000B3C9A">
      <w:pPr>
        <w:tabs>
          <w:tab w:val="left" w:pos="-1440"/>
          <w:tab w:val="left" w:pos="-720"/>
        </w:tabs>
        <w:ind w:left="720" w:hanging="720"/>
        <w:jc w:val="both"/>
        <w:rPr>
          <w:sz w:val="20"/>
          <w:szCs w:val="20"/>
        </w:rPr>
      </w:pPr>
    </w:p>
    <w:p w:rsidR="000B3C9A" w:rsidRPr="00DD0B49" w:rsidRDefault="00586706" w:rsidP="000B3C9A">
      <w:pPr>
        <w:tabs>
          <w:tab w:val="left" w:pos="-1440"/>
          <w:tab w:val="left" w:pos="-720"/>
        </w:tabs>
        <w:ind w:left="720" w:hanging="720"/>
        <w:jc w:val="both"/>
        <w:rPr>
          <w:sz w:val="20"/>
          <w:szCs w:val="20"/>
        </w:rPr>
      </w:pPr>
      <w:r w:rsidRPr="00586706">
        <w:rPr>
          <w:sz w:val="20"/>
          <w:szCs w:val="20"/>
          <w:lang w:val="fr-CA"/>
        </w:rPr>
        <w:pict>
          <v:rect id="_x0000_i1096" style="width:2in;height:1pt" o:hrpct="0" o:hralign="center" o:hrstd="t" o:hrnoshade="t" o:hr="t" fillcolor="black [3213]" stroked="f"/>
        </w:pict>
      </w:r>
    </w:p>
    <w:p w:rsidR="000B3C9A" w:rsidRDefault="000B3C9A" w:rsidP="000B3C9A">
      <w:pPr>
        <w:tabs>
          <w:tab w:val="left" w:pos="-1440"/>
          <w:tab w:val="left" w:pos="-720"/>
        </w:tabs>
        <w:ind w:left="720" w:hanging="720"/>
        <w:jc w:val="both"/>
        <w:rPr>
          <w:sz w:val="20"/>
          <w:szCs w:val="20"/>
        </w:rPr>
      </w:pPr>
    </w:p>
    <w:p w:rsidR="000B3C9A" w:rsidRDefault="00A248C7" w:rsidP="00A248C7">
      <w:pPr>
        <w:ind w:left="720" w:hanging="720"/>
        <w:jc w:val="both"/>
        <w:rPr>
          <w:sz w:val="20"/>
          <w:szCs w:val="20"/>
          <w:lang w:val="fr-CA"/>
        </w:rPr>
      </w:pPr>
      <w:r w:rsidRPr="00A248C7">
        <w:rPr>
          <w:b/>
          <w:sz w:val="20"/>
          <w:szCs w:val="20"/>
          <w:lang w:val="fr-CA"/>
        </w:rPr>
        <w:t>34352</w:t>
      </w:r>
      <w:r w:rsidRPr="00A248C7">
        <w:rPr>
          <w:b/>
          <w:sz w:val="20"/>
          <w:szCs w:val="20"/>
          <w:lang w:val="fr-CA"/>
        </w:rPr>
        <w:tab/>
        <w:t>Kaitlyn Ruth Smith c. Sa Majesté la Reine</w:t>
      </w:r>
      <w:r w:rsidRPr="00A248C7">
        <w:rPr>
          <w:sz w:val="20"/>
          <w:szCs w:val="20"/>
          <w:lang w:val="fr-CA"/>
        </w:rPr>
        <w:t xml:space="preserve"> (Alb.) (Criminelle) (Autorisation)</w:t>
      </w:r>
    </w:p>
    <w:p w:rsidR="00A248C7" w:rsidRDefault="00A248C7" w:rsidP="00A248C7">
      <w:pPr>
        <w:ind w:left="720" w:hanging="720"/>
        <w:jc w:val="both"/>
        <w:rPr>
          <w:sz w:val="20"/>
          <w:szCs w:val="20"/>
          <w:lang w:val="fr-CA"/>
        </w:rPr>
      </w:pPr>
    </w:p>
    <w:p w:rsidR="00A248C7" w:rsidRDefault="00A248C7" w:rsidP="00A248C7">
      <w:pPr>
        <w:jc w:val="both"/>
        <w:rPr>
          <w:sz w:val="20"/>
          <w:szCs w:val="20"/>
          <w:lang w:val="fr-CA"/>
        </w:rPr>
      </w:pPr>
      <w:r w:rsidRPr="006820A7">
        <w:rPr>
          <w:sz w:val="20"/>
          <w:szCs w:val="20"/>
          <w:lang w:val="fr-CA"/>
        </w:rPr>
        <w:t>Droit criminel — Infractions en matière de conduite automobile — Preuve — Norme de preuve — Pièces commerciales — Dossiers médicaux — Exception à la règle d'inadmissibilité de la preuve par ouï</w:t>
      </w:r>
      <w:r w:rsidRPr="006820A7">
        <w:rPr>
          <w:sz w:val="20"/>
          <w:szCs w:val="20"/>
          <w:lang w:val="fr-CA"/>
        </w:rPr>
        <w:noBreakHyphen/>
        <w:t xml:space="preserve">dire — Le ministère public a déposé le relevé des résultats de l'analyse de sang effectuée à l'hôpital comme preuve </w:t>
      </w:r>
      <w:r w:rsidRPr="006820A7">
        <w:rPr>
          <w:i/>
          <w:sz w:val="20"/>
          <w:szCs w:val="20"/>
          <w:lang w:val="fr-CA"/>
        </w:rPr>
        <w:t>prima facie</w:t>
      </w:r>
      <w:r w:rsidRPr="006820A7">
        <w:rPr>
          <w:sz w:val="20"/>
          <w:szCs w:val="20"/>
          <w:lang w:val="fr-CA"/>
        </w:rPr>
        <w:t xml:space="preserve"> de son contenu dans une affaire de conduite avec facultés affaiblies — Une pièce commerciale admise à un procès criminel en application de l'art. 30 de la</w:t>
      </w:r>
      <w:r w:rsidRPr="006820A7">
        <w:rPr>
          <w:i/>
          <w:sz w:val="20"/>
          <w:szCs w:val="20"/>
          <w:lang w:val="fr-CA"/>
        </w:rPr>
        <w:t xml:space="preserve"> Loi sur la preuve au Canada, </w:t>
      </w:r>
      <w:r w:rsidRPr="006820A7">
        <w:rPr>
          <w:sz w:val="20"/>
          <w:szCs w:val="20"/>
          <w:lang w:val="fr-CA"/>
        </w:rPr>
        <w:t>L.R.C. 1985, ch. C</w:t>
      </w:r>
      <w:r w:rsidRPr="006820A7">
        <w:rPr>
          <w:sz w:val="20"/>
          <w:szCs w:val="20"/>
          <w:lang w:val="fr-CA"/>
        </w:rPr>
        <w:noBreakHyphen/>
        <w:t>5 (la « </w:t>
      </w:r>
      <w:r w:rsidRPr="006820A7">
        <w:rPr>
          <w:i/>
          <w:sz w:val="20"/>
          <w:szCs w:val="20"/>
          <w:lang w:val="fr-CA"/>
        </w:rPr>
        <w:t>Loi</w:t>
      </w:r>
      <w:r w:rsidRPr="006820A7">
        <w:rPr>
          <w:sz w:val="20"/>
          <w:szCs w:val="20"/>
          <w:lang w:val="fr-CA"/>
        </w:rPr>
        <w:t> ») constitue</w:t>
      </w:r>
      <w:r w:rsidRPr="006820A7">
        <w:rPr>
          <w:sz w:val="20"/>
          <w:szCs w:val="20"/>
          <w:lang w:val="fr-CA"/>
        </w:rPr>
        <w:noBreakHyphen/>
        <w:t>t</w:t>
      </w:r>
      <w:r w:rsidRPr="006820A7">
        <w:rPr>
          <w:sz w:val="20"/>
          <w:szCs w:val="20"/>
          <w:lang w:val="fr-CA"/>
        </w:rPr>
        <w:noBreakHyphen/>
        <w:t>elle automatiquement une preuve par présomption (c'est</w:t>
      </w:r>
      <w:r w:rsidRPr="006820A7">
        <w:rPr>
          <w:sz w:val="20"/>
          <w:szCs w:val="20"/>
          <w:lang w:val="fr-CA"/>
        </w:rPr>
        <w:noBreakHyphen/>
        <w:t>à</w:t>
      </w:r>
      <w:r w:rsidRPr="006820A7">
        <w:rPr>
          <w:sz w:val="20"/>
          <w:szCs w:val="20"/>
          <w:lang w:val="fr-CA"/>
        </w:rPr>
        <w:noBreakHyphen/>
        <w:t xml:space="preserve">dire une preuve </w:t>
      </w:r>
      <w:r w:rsidRPr="006820A7">
        <w:rPr>
          <w:i/>
          <w:sz w:val="20"/>
          <w:szCs w:val="20"/>
          <w:lang w:val="fr-CA"/>
        </w:rPr>
        <w:t>prima facie</w:t>
      </w:r>
      <w:r w:rsidRPr="006820A7">
        <w:rPr>
          <w:sz w:val="20"/>
          <w:szCs w:val="20"/>
          <w:lang w:val="fr-CA"/>
        </w:rPr>
        <w:t xml:space="preserve"> hors de tout doute raisonnable) de son contenu? — Une pièce produite par une machine (par exemple, un relevé d'alcoolémie produit dans un hôpital) constitue</w:t>
      </w:r>
      <w:r w:rsidRPr="006820A7">
        <w:rPr>
          <w:sz w:val="20"/>
          <w:szCs w:val="20"/>
          <w:lang w:val="fr-CA"/>
        </w:rPr>
        <w:noBreakHyphen/>
        <w:t>t</w:t>
      </w:r>
      <w:r w:rsidRPr="006820A7">
        <w:rPr>
          <w:sz w:val="20"/>
          <w:szCs w:val="20"/>
          <w:lang w:val="fr-CA"/>
        </w:rPr>
        <w:noBreakHyphen/>
        <w:t xml:space="preserve">elle automatiquement une preuve </w:t>
      </w:r>
      <w:r w:rsidRPr="006820A7">
        <w:rPr>
          <w:i/>
          <w:sz w:val="20"/>
          <w:szCs w:val="20"/>
          <w:lang w:val="fr-CA"/>
        </w:rPr>
        <w:t>prima facie</w:t>
      </w:r>
      <w:r w:rsidRPr="006820A7">
        <w:rPr>
          <w:sz w:val="20"/>
          <w:szCs w:val="20"/>
          <w:lang w:val="fr-CA"/>
        </w:rPr>
        <w:t xml:space="preserve"> hors de tout doute raisonnable de son contenu du seul fait qu'elle est introduite à un procès criminel en application de l'art. 30 de la </w:t>
      </w:r>
      <w:r w:rsidRPr="006820A7">
        <w:rPr>
          <w:i/>
          <w:sz w:val="20"/>
          <w:szCs w:val="20"/>
          <w:lang w:val="fr-CA"/>
        </w:rPr>
        <w:t>Loi</w:t>
      </w:r>
      <w:r w:rsidRPr="006820A7">
        <w:rPr>
          <w:sz w:val="20"/>
          <w:szCs w:val="20"/>
          <w:lang w:val="fr-CA"/>
        </w:rPr>
        <w:t>?</w:t>
      </w:r>
    </w:p>
    <w:p w:rsidR="00A248C7" w:rsidRPr="00DD0B49" w:rsidRDefault="00A248C7" w:rsidP="00A248C7">
      <w:pPr>
        <w:jc w:val="both"/>
        <w:rPr>
          <w:sz w:val="20"/>
          <w:szCs w:val="20"/>
          <w:lang w:val="fr-CA"/>
        </w:rPr>
      </w:pPr>
    </w:p>
    <w:p w:rsidR="000B3C9A" w:rsidRPr="00DD0B49" w:rsidRDefault="00586706" w:rsidP="000B3C9A">
      <w:pPr>
        <w:tabs>
          <w:tab w:val="left" w:pos="-1440"/>
          <w:tab w:val="left" w:pos="-720"/>
        </w:tabs>
        <w:ind w:left="720" w:hanging="720"/>
        <w:jc w:val="both"/>
        <w:rPr>
          <w:sz w:val="20"/>
          <w:szCs w:val="20"/>
          <w:lang w:val="fr-CA"/>
        </w:rPr>
      </w:pPr>
      <w:r w:rsidRPr="00586706">
        <w:rPr>
          <w:sz w:val="20"/>
          <w:szCs w:val="20"/>
          <w:lang w:val="fr-CA"/>
        </w:rPr>
        <w:pict>
          <v:rect id="_x0000_i1097" style="width:2in;height:1pt" o:hrpct="0" o:hralign="center" o:hrstd="t" o:hrnoshade="t" o:hr="t" fillcolor="black [3213]" stroked="f"/>
        </w:pict>
      </w:r>
    </w:p>
    <w:p w:rsidR="000B3C9A" w:rsidRDefault="000B3C9A" w:rsidP="000B3C9A">
      <w:pPr>
        <w:tabs>
          <w:tab w:val="left" w:pos="-1440"/>
          <w:tab w:val="left" w:pos="-720"/>
        </w:tabs>
        <w:ind w:left="720" w:hanging="720"/>
        <w:jc w:val="both"/>
        <w:rPr>
          <w:lang w:val="fr-CA"/>
        </w:rPr>
      </w:pPr>
      <w:r>
        <w:rPr>
          <w:lang w:val="fr-CA"/>
        </w:rPr>
        <w:br w:type="page"/>
      </w:r>
    </w:p>
    <w:bookmarkStart w:id="2" w:name="1"/>
    <w:bookmarkEnd w:id="2"/>
    <w:p w:rsidR="00990DF5" w:rsidRPr="00FE626A" w:rsidRDefault="00586706" w:rsidP="00990DF5">
      <w:pPr>
        <w:widowControl w:val="0"/>
        <w:ind w:left="720" w:hanging="720"/>
        <w:jc w:val="both"/>
        <w:rPr>
          <w:sz w:val="20"/>
          <w:szCs w:val="20"/>
        </w:rPr>
      </w:pPr>
      <w:r w:rsidRPr="00FE626A">
        <w:rPr>
          <w:b/>
          <w:sz w:val="20"/>
          <w:szCs w:val="20"/>
        </w:rPr>
        <w:lastRenderedPageBreak/>
        <w:fldChar w:fldCharType="begin"/>
      </w:r>
      <w:r w:rsidR="00990DF5" w:rsidRPr="00FE626A">
        <w:rPr>
          <w:b/>
          <w:sz w:val="20"/>
          <w:szCs w:val="20"/>
        </w:rPr>
        <w:instrText xml:space="preserve"> SEQ CHAPTER \h \r 1</w:instrText>
      </w:r>
      <w:r w:rsidRPr="00FE626A">
        <w:rPr>
          <w:b/>
          <w:sz w:val="20"/>
          <w:szCs w:val="20"/>
        </w:rPr>
        <w:fldChar w:fldCharType="end"/>
      </w:r>
      <w:r w:rsidR="00990DF5" w:rsidRPr="00FE626A">
        <w:rPr>
          <w:b/>
          <w:sz w:val="20"/>
          <w:szCs w:val="20"/>
        </w:rPr>
        <w:t>33959</w:t>
      </w:r>
      <w:r w:rsidR="00990DF5" w:rsidRPr="00FE626A">
        <w:rPr>
          <w:sz w:val="20"/>
          <w:szCs w:val="20"/>
        </w:rPr>
        <w:tab/>
      </w:r>
      <w:bookmarkStart w:id="3" w:name="3"/>
      <w:bookmarkEnd w:id="3"/>
      <w:r w:rsidR="00990DF5" w:rsidRPr="00FE626A">
        <w:rPr>
          <w:b/>
          <w:i/>
          <w:sz w:val="20"/>
          <w:szCs w:val="20"/>
        </w:rPr>
        <w:t>Wayne Penner v. Regional Municipality of Niagara Regional Police Services Board, Gary E. Nicholls, Nathan Parker, Paul Koscinski and Roy Federkow</w:t>
      </w:r>
    </w:p>
    <w:p w:rsidR="00990DF5" w:rsidRPr="00FE626A" w:rsidRDefault="00990DF5" w:rsidP="00990DF5">
      <w:pPr>
        <w:widowControl w:val="0"/>
        <w:jc w:val="both"/>
        <w:rPr>
          <w:sz w:val="20"/>
          <w:szCs w:val="20"/>
        </w:rPr>
      </w:pPr>
    </w:p>
    <w:p w:rsidR="00990DF5" w:rsidRPr="00FE626A" w:rsidRDefault="00990DF5" w:rsidP="00990DF5">
      <w:pPr>
        <w:widowControl w:val="0"/>
        <w:jc w:val="both"/>
        <w:rPr>
          <w:sz w:val="20"/>
          <w:szCs w:val="20"/>
        </w:rPr>
      </w:pPr>
      <w:r w:rsidRPr="00FE626A">
        <w:rPr>
          <w:sz w:val="20"/>
          <w:szCs w:val="20"/>
        </w:rPr>
        <w:t xml:space="preserve">Civil Procedure </w:t>
      </w:r>
      <w:r w:rsidRPr="00FE626A">
        <w:rPr>
          <w:sz w:val="20"/>
          <w:szCs w:val="20"/>
        </w:rPr>
        <w:noBreakHyphen/>
        <w:t xml:space="preserve"> Estoppel </w:t>
      </w:r>
      <w:r w:rsidRPr="00FE626A">
        <w:rPr>
          <w:sz w:val="20"/>
          <w:szCs w:val="20"/>
        </w:rPr>
        <w:noBreakHyphen/>
        <w:t xml:space="preserve"> Whether the Court of Appeal erred in applying issue estoppel so as to bar the appellant’s civil claims.</w:t>
      </w:r>
    </w:p>
    <w:p w:rsidR="00990DF5" w:rsidRPr="00FE626A" w:rsidRDefault="00990DF5" w:rsidP="00990DF5">
      <w:pPr>
        <w:widowControl w:val="0"/>
        <w:jc w:val="both"/>
        <w:rPr>
          <w:sz w:val="20"/>
          <w:szCs w:val="20"/>
        </w:rPr>
      </w:pPr>
    </w:p>
    <w:p w:rsidR="00990DF5" w:rsidRPr="00FE626A" w:rsidRDefault="00990DF5" w:rsidP="00990DF5">
      <w:pPr>
        <w:widowControl w:val="0"/>
        <w:jc w:val="both"/>
        <w:rPr>
          <w:sz w:val="20"/>
          <w:szCs w:val="20"/>
        </w:rPr>
      </w:pPr>
      <w:r w:rsidRPr="00FE626A">
        <w:rPr>
          <w:sz w:val="20"/>
          <w:szCs w:val="20"/>
        </w:rPr>
        <w:t>The appellant was arrested for causing a disturbance during a trial.  He filed a complaint with the Police Services Board, alleging police misconduct, unlawful arrest and use of unnecessary force.  The hearing officer found that the arrest was lawful and no unnecessary force was used.  The Civilian Commission on Police Services overturned the hearing officer’s decision because he had failed to determine whether the arresting officers had the lawful authority to make an arrest but agreed that no unnecessary force was used.  On judicial review of the Commission’s decision, the Divisional Court restored the hearing officer’s decision.  The appellant commenced a civil action, suing the officers and the Niagara Regional Police Services Board for unlawful arrest, unnecessary use of force, false imprisonment and malicious prosecution.</w:t>
      </w:r>
    </w:p>
    <w:p w:rsidR="00990DF5" w:rsidRPr="00FE626A" w:rsidRDefault="00990DF5" w:rsidP="00990DF5">
      <w:pPr>
        <w:widowControl w:val="0"/>
        <w:jc w:val="both"/>
        <w:rPr>
          <w:sz w:val="20"/>
          <w:szCs w:val="20"/>
        </w:rPr>
      </w:pPr>
    </w:p>
    <w:p w:rsidR="00990DF5" w:rsidRPr="00FE626A" w:rsidRDefault="00990DF5" w:rsidP="00990DF5">
      <w:pPr>
        <w:widowControl w:val="0"/>
        <w:jc w:val="both"/>
        <w:rPr>
          <w:sz w:val="20"/>
          <w:szCs w:val="20"/>
        </w:rPr>
      </w:pPr>
    </w:p>
    <w:p w:rsidR="00990DF5" w:rsidRPr="00FE626A" w:rsidRDefault="00990DF5" w:rsidP="00990DF5">
      <w:pPr>
        <w:widowControl w:val="0"/>
        <w:ind w:left="2880" w:hanging="2880"/>
        <w:jc w:val="both"/>
        <w:rPr>
          <w:sz w:val="20"/>
          <w:szCs w:val="20"/>
        </w:rPr>
      </w:pPr>
      <w:r w:rsidRPr="00FE626A">
        <w:rPr>
          <w:sz w:val="20"/>
          <w:szCs w:val="20"/>
        </w:rPr>
        <w:t>Origin of the case:</w:t>
      </w:r>
      <w:r w:rsidRPr="00FE626A">
        <w:rPr>
          <w:sz w:val="20"/>
          <w:szCs w:val="20"/>
        </w:rPr>
        <w:tab/>
      </w:r>
      <w:bookmarkStart w:id="4" w:name="4"/>
      <w:bookmarkEnd w:id="4"/>
      <w:r w:rsidRPr="00FE626A">
        <w:rPr>
          <w:sz w:val="20"/>
          <w:szCs w:val="20"/>
        </w:rPr>
        <w:t>Ontario</w:t>
      </w:r>
    </w:p>
    <w:p w:rsidR="00990DF5" w:rsidRPr="00FE626A" w:rsidRDefault="00990DF5" w:rsidP="00990DF5">
      <w:pPr>
        <w:widowControl w:val="0"/>
        <w:jc w:val="both"/>
        <w:rPr>
          <w:sz w:val="20"/>
          <w:szCs w:val="20"/>
        </w:rPr>
      </w:pPr>
    </w:p>
    <w:p w:rsidR="00990DF5" w:rsidRPr="00FE626A" w:rsidRDefault="00990DF5" w:rsidP="00990DF5">
      <w:pPr>
        <w:widowControl w:val="0"/>
        <w:ind w:left="2880" w:hanging="2880"/>
        <w:jc w:val="both"/>
        <w:rPr>
          <w:sz w:val="20"/>
          <w:szCs w:val="20"/>
        </w:rPr>
      </w:pPr>
      <w:r w:rsidRPr="00FE626A">
        <w:rPr>
          <w:sz w:val="20"/>
          <w:szCs w:val="20"/>
        </w:rPr>
        <w:t>File No.:</w:t>
      </w:r>
      <w:r w:rsidRPr="00FE626A">
        <w:rPr>
          <w:sz w:val="20"/>
          <w:szCs w:val="20"/>
        </w:rPr>
        <w:tab/>
      </w:r>
      <w:bookmarkStart w:id="5" w:name="2"/>
      <w:bookmarkEnd w:id="5"/>
      <w:r w:rsidRPr="00FE626A">
        <w:rPr>
          <w:sz w:val="20"/>
          <w:szCs w:val="20"/>
        </w:rPr>
        <w:t>33959</w:t>
      </w:r>
    </w:p>
    <w:p w:rsidR="00990DF5" w:rsidRPr="00FE626A" w:rsidRDefault="00990DF5" w:rsidP="00990DF5">
      <w:pPr>
        <w:widowControl w:val="0"/>
        <w:jc w:val="both"/>
        <w:rPr>
          <w:sz w:val="20"/>
          <w:szCs w:val="20"/>
        </w:rPr>
      </w:pPr>
    </w:p>
    <w:p w:rsidR="00990DF5" w:rsidRPr="00FE626A" w:rsidRDefault="00990DF5" w:rsidP="00990DF5">
      <w:pPr>
        <w:widowControl w:val="0"/>
        <w:ind w:left="2880" w:hanging="2880"/>
        <w:jc w:val="both"/>
        <w:rPr>
          <w:sz w:val="20"/>
          <w:szCs w:val="20"/>
        </w:rPr>
      </w:pPr>
      <w:r w:rsidRPr="00FE626A">
        <w:rPr>
          <w:sz w:val="20"/>
          <w:szCs w:val="20"/>
        </w:rPr>
        <w:t>Judgment of the Court of Appeal:</w:t>
      </w:r>
      <w:bookmarkStart w:id="6" w:name="5"/>
      <w:bookmarkEnd w:id="6"/>
      <w:r>
        <w:rPr>
          <w:sz w:val="20"/>
          <w:szCs w:val="20"/>
        </w:rPr>
        <w:tab/>
      </w:r>
      <w:r w:rsidRPr="00FE626A">
        <w:rPr>
          <w:sz w:val="20"/>
          <w:szCs w:val="20"/>
        </w:rPr>
        <w:t>September 27, 2010</w:t>
      </w:r>
    </w:p>
    <w:p w:rsidR="00990DF5" w:rsidRPr="00FE626A" w:rsidRDefault="00990DF5" w:rsidP="00990DF5">
      <w:pPr>
        <w:widowControl w:val="0"/>
        <w:jc w:val="both"/>
        <w:rPr>
          <w:sz w:val="20"/>
          <w:szCs w:val="20"/>
        </w:rPr>
      </w:pPr>
    </w:p>
    <w:p w:rsidR="00990DF5" w:rsidRPr="00FE626A" w:rsidRDefault="00990DF5" w:rsidP="00990DF5">
      <w:pPr>
        <w:widowControl w:val="0"/>
        <w:ind w:left="2880" w:hanging="2880"/>
        <w:jc w:val="both"/>
        <w:rPr>
          <w:sz w:val="20"/>
          <w:szCs w:val="20"/>
        </w:rPr>
      </w:pPr>
      <w:r w:rsidRPr="00FE626A">
        <w:rPr>
          <w:sz w:val="20"/>
          <w:szCs w:val="20"/>
        </w:rPr>
        <w:t>Counsel:</w:t>
      </w:r>
      <w:r w:rsidRPr="00FE626A">
        <w:rPr>
          <w:sz w:val="20"/>
          <w:szCs w:val="20"/>
        </w:rPr>
        <w:tab/>
      </w:r>
      <w:bookmarkStart w:id="7" w:name="6"/>
      <w:bookmarkEnd w:id="7"/>
      <w:r w:rsidRPr="00FE626A">
        <w:rPr>
          <w:sz w:val="20"/>
          <w:szCs w:val="20"/>
        </w:rPr>
        <w:t>Julian N. Falconer, Julian K. Roy and Sunil S. Mathai for the appellant</w:t>
      </w:r>
    </w:p>
    <w:p w:rsidR="00990DF5" w:rsidRPr="00FE626A" w:rsidRDefault="00990DF5" w:rsidP="00990DF5">
      <w:pPr>
        <w:widowControl w:val="0"/>
        <w:ind w:left="2880" w:hanging="2880"/>
        <w:jc w:val="both"/>
        <w:rPr>
          <w:sz w:val="20"/>
          <w:szCs w:val="20"/>
        </w:rPr>
      </w:pPr>
      <w:bookmarkStart w:id="8" w:name="7"/>
      <w:bookmarkEnd w:id="8"/>
      <w:r>
        <w:rPr>
          <w:sz w:val="20"/>
          <w:szCs w:val="20"/>
        </w:rPr>
        <w:tab/>
      </w:r>
      <w:r w:rsidRPr="00FE626A">
        <w:rPr>
          <w:sz w:val="20"/>
          <w:szCs w:val="20"/>
        </w:rPr>
        <w:t>Eugene G. Mazzuca, Kerry Nash and Rafal Szymanski for the respondents</w:t>
      </w:r>
    </w:p>
    <w:p w:rsidR="00990DF5" w:rsidRDefault="00990DF5" w:rsidP="000B3C9A">
      <w:pPr>
        <w:tabs>
          <w:tab w:val="left" w:pos="-1440"/>
          <w:tab w:val="left" w:pos="-720"/>
        </w:tabs>
        <w:jc w:val="both"/>
        <w:rPr>
          <w:sz w:val="20"/>
          <w:szCs w:val="20"/>
        </w:rPr>
      </w:pPr>
    </w:p>
    <w:p w:rsidR="000B3C9A" w:rsidRDefault="00586706" w:rsidP="000B3C9A">
      <w:pPr>
        <w:tabs>
          <w:tab w:val="left" w:pos="-1440"/>
          <w:tab w:val="left" w:pos="-720"/>
        </w:tabs>
        <w:jc w:val="both"/>
        <w:rPr>
          <w:sz w:val="20"/>
          <w:szCs w:val="20"/>
          <w:lang w:val="fr-CA"/>
        </w:rPr>
      </w:pPr>
      <w:r w:rsidRPr="00586706">
        <w:rPr>
          <w:sz w:val="20"/>
          <w:szCs w:val="20"/>
          <w:lang w:val="fr-CA"/>
        </w:rPr>
        <w:pict>
          <v:rect id="_x0000_i1098" style="width:2in;height:1pt" o:hrpct="0" o:hralign="center" o:hrstd="t" o:hrnoshade="t" o:hr="t" fillcolor="black [3213]" stroked="f"/>
        </w:pict>
      </w:r>
    </w:p>
    <w:p w:rsidR="00A248C7" w:rsidRDefault="00A248C7" w:rsidP="000B3C9A">
      <w:pPr>
        <w:tabs>
          <w:tab w:val="left" w:pos="-1440"/>
          <w:tab w:val="left" w:pos="-720"/>
        </w:tabs>
        <w:jc w:val="both"/>
        <w:rPr>
          <w:sz w:val="20"/>
          <w:szCs w:val="20"/>
          <w:lang w:val="fr-CA"/>
        </w:rPr>
      </w:pPr>
    </w:p>
    <w:p w:rsidR="00A248C7" w:rsidRDefault="00A248C7" w:rsidP="000B3C9A">
      <w:pPr>
        <w:tabs>
          <w:tab w:val="left" w:pos="-1440"/>
          <w:tab w:val="left" w:pos="-720"/>
        </w:tabs>
        <w:jc w:val="both"/>
        <w:rPr>
          <w:sz w:val="20"/>
          <w:szCs w:val="20"/>
          <w:lang w:val="fr-CA"/>
        </w:rPr>
      </w:pPr>
    </w:p>
    <w:p w:rsidR="00A248C7" w:rsidRDefault="00A248C7">
      <w:pPr>
        <w:rPr>
          <w:sz w:val="20"/>
          <w:szCs w:val="20"/>
          <w:lang w:val="fr-CA"/>
        </w:rPr>
      </w:pPr>
      <w:r>
        <w:rPr>
          <w:sz w:val="20"/>
          <w:szCs w:val="20"/>
          <w:lang w:val="fr-CA"/>
        </w:rPr>
        <w:br w:type="page"/>
      </w:r>
    </w:p>
    <w:p w:rsidR="00990DF5" w:rsidRPr="009B6B66" w:rsidRDefault="00586706" w:rsidP="00990DF5">
      <w:pPr>
        <w:widowControl w:val="0"/>
        <w:ind w:left="720" w:hanging="720"/>
        <w:jc w:val="both"/>
        <w:rPr>
          <w:sz w:val="20"/>
          <w:szCs w:val="20"/>
          <w:lang w:val="fr-CA"/>
        </w:rPr>
      </w:pPr>
      <w:r w:rsidRPr="009B6B66">
        <w:rPr>
          <w:b/>
          <w:sz w:val="20"/>
          <w:szCs w:val="20"/>
          <w:lang w:val="fr-CA"/>
        </w:rPr>
        <w:lastRenderedPageBreak/>
        <w:fldChar w:fldCharType="begin"/>
      </w:r>
      <w:r w:rsidR="00990DF5" w:rsidRPr="009B6B66">
        <w:rPr>
          <w:b/>
          <w:sz w:val="20"/>
          <w:szCs w:val="20"/>
          <w:lang w:val="fr-CA"/>
        </w:rPr>
        <w:instrText xml:space="preserve"> SEQ CHAPTER \h \r 1</w:instrText>
      </w:r>
      <w:r w:rsidRPr="009B6B66">
        <w:rPr>
          <w:b/>
          <w:sz w:val="20"/>
          <w:szCs w:val="20"/>
          <w:lang w:val="fr-CA"/>
        </w:rPr>
        <w:fldChar w:fldCharType="end"/>
      </w:r>
      <w:r w:rsidR="00990DF5" w:rsidRPr="009B6B66">
        <w:rPr>
          <w:b/>
          <w:sz w:val="20"/>
          <w:szCs w:val="20"/>
          <w:lang w:val="fr-CA"/>
        </w:rPr>
        <w:t>33959</w:t>
      </w:r>
      <w:r w:rsidR="00990DF5" w:rsidRPr="009B6B66">
        <w:rPr>
          <w:sz w:val="20"/>
          <w:szCs w:val="20"/>
          <w:lang w:val="fr-CA"/>
        </w:rPr>
        <w:tab/>
      </w:r>
      <w:r w:rsidR="00990DF5" w:rsidRPr="009B6B66">
        <w:rPr>
          <w:b/>
          <w:i/>
          <w:sz w:val="20"/>
          <w:szCs w:val="20"/>
          <w:lang w:val="fr-CA"/>
        </w:rPr>
        <w:t>Wayne Penner c. Commission régionale de services policiers de la municipalité régionale de Niagara, Gary E. Nicholls, Nathan Parker, Paul Koscinski et Roy Federkow</w:t>
      </w:r>
    </w:p>
    <w:p w:rsidR="00990DF5" w:rsidRDefault="00990DF5" w:rsidP="00990DF5">
      <w:pPr>
        <w:widowControl w:val="0"/>
        <w:jc w:val="both"/>
        <w:rPr>
          <w:sz w:val="20"/>
          <w:szCs w:val="20"/>
          <w:lang w:val="fr-CA"/>
        </w:rPr>
      </w:pPr>
    </w:p>
    <w:p w:rsidR="000253A1" w:rsidRPr="009B6B66" w:rsidRDefault="000253A1" w:rsidP="000253A1">
      <w:pPr>
        <w:widowControl w:val="0"/>
        <w:jc w:val="both"/>
        <w:rPr>
          <w:sz w:val="20"/>
          <w:lang w:val="fr-CA"/>
        </w:rPr>
      </w:pPr>
      <w:r w:rsidRPr="009B6B66">
        <w:rPr>
          <w:sz w:val="20"/>
          <w:lang w:val="fr-CA"/>
        </w:rPr>
        <w:t xml:space="preserve">Procédure civile </w:t>
      </w:r>
      <w:r w:rsidRPr="009B6B66">
        <w:rPr>
          <w:sz w:val="20"/>
          <w:lang w:val="fr-CA"/>
        </w:rPr>
        <w:noBreakHyphen/>
        <w:t xml:space="preserve"> Préclusion </w:t>
      </w:r>
      <w:r w:rsidRPr="009B6B66">
        <w:rPr>
          <w:sz w:val="20"/>
          <w:lang w:val="fr-CA"/>
        </w:rPr>
        <w:noBreakHyphen/>
        <w:t xml:space="preserve"> La Cour d'appel a</w:t>
      </w:r>
      <w:r w:rsidRPr="009B6B66">
        <w:rPr>
          <w:sz w:val="20"/>
          <w:lang w:val="fr-CA"/>
        </w:rPr>
        <w:noBreakHyphen/>
        <w:t>t</w:t>
      </w:r>
      <w:r w:rsidRPr="009B6B66">
        <w:rPr>
          <w:sz w:val="20"/>
          <w:lang w:val="fr-CA"/>
        </w:rPr>
        <w:noBreakHyphen/>
        <w:t>elle</w:t>
      </w:r>
      <w:r>
        <w:rPr>
          <w:sz w:val="20"/>
          <w:lang w:val="fr-CA"/>
        </w:rPr>
        <w:t xml:space="preserve"> eu tort d’</w:t>
      </w:r>
      <w:r w:rsidRPr="009B6B66">
        <w:rPr>
          <w:sz w:val="20"/>
          <w:lang w:val="fr-CA"/>
        </w:rPr>
        <w:t>appliquer la préclusion découlant d’une question déjà tranchée de manière à rendre irrecevables les poursuites civiles de l'appelant?</w:t>
      </w:r>
    </w:p>
    <w:p w:rsidR="00990DF5" w:rsidRPr="009B6B66" w:rsidRDefault="00990DF5" w:rsidP="00990DF5">
      <w:pPr>
        <w:widowControl w:val="0"/>
        <w:jc w:val="both"/>
        <w:rPr>
          <w:sz w:val="20"/>
          <w:szCs w:val="20"/>
          <w:lang w:val="fr-CA"/>
        </w:rPr>
      </w:pPr>
    </w:p>
    <w:p w:rsidR="00990DF5" w:rsidRPr="009B6B66" w:rsidRDefault="00990DF5" w:rsidP="00990DF5">
      <w:pPr>
        <w:widowControl w:val="0"/>
        <w:jc w:val="both"/>
        <w:rPr>
          <w:sz w:val="20"/>
          <w:szCs w:val="20"/>
          <w:lang w:val="fr-CA"/>
        </w:rPr>
      </w:pPr>
      <w:r w:rsidRPr="009B6B66">
        <w:rPr>
          <w:sz w:val="20"/>
          <w:szCs w:val="20"/>
          <w:lang w:val="fr-CA"/>
        </w:rPr>
        <w:t>L’appelant a été arrêté pour avoir perturbé le déroulement d’un procès.  Il a déposé une plainte à la commission des services policiers, alléguant l’inconduite de la police, l’arrestation illégale et le recours à la force excessive.  L’agent d’audience a conclu que l’arrestation était légale et qu’aucune force excessive n’avait été exercée.  La Commission civile des services policiers a infirmé la décision de l’agent d’audience parce qu’il avait omis de statuer sur la question de savoir si les agents qui avaient procédé à l’arrestation avaient le pouvoir légal de le faire, mais a confirmé qu’aucune force excessive n’avait été exercée.  En contrôle judiciaire de la décision de la Commission, la Cour divisionnaire a rétabli la décision de l’agent d’audience.  L’appelant a intenté une action au civil, poursuivant les agents et la Commission régionale des services policiers de Niagara  pour arrestation illégale, usage excessif de la force, séquestration et poursuite abusive.</w:t>
      </w:r>
    </w:p>
    <w:p w:rsidR="00990DF5" w:rsidRPr="009B6B66" w:rsidRDefault="00990DF5" w:rsidP="00990DF5">
      <w:pPr>
        <w:widowControl w:val="0"/>
        <w:jc w:val="both"/>
        <w:rPr>
          <w:sz w:val="20"/>
          <w:szCs w:val="20"/>
          <w:lang w:val="fr-CA"/>
        </w:rPr>
      </w:pPr>
    </w:p>
    <w:p w:rsidR="00990DF5" w:rsidRPr="009B6B66" w:rsidRDefault="00990DF5" w:rsidP="00990DF5">
      <w:pPr>
        <w:widowControl w:val="0"/>
        <w:jc w:val="both"/>
        <w:rPr>
          <w:sz w:val="20"/>
          <w:szCs w:val="20"/>
          <w:lang w:val="fr-CA"/>
        </w:rPr>
      </w:pPr>
    </w:p>
    <w:p w:rsidR="00990DF5" w:rsidRPr="009B6B66" w:rsidRDefault="00990DF5" w:rsidP="00990DF5">
      <w:pPr>
        <w:widowControl w:val="0"/>
        <w:ind w:left="2880" w:hanging="2880"/>
        <w:jc w:val="both"/>
        <w:rPr>
          <w:sz w:val="20"/>
          <w:szCs w:val="20"/>
          <w:lang w:val="fr-CA"/>
        </w:rPr>
      </w:pPr>
      <w:r w:rsidRPr="009B6B66">
        <w:rPr>
          <w:sz w:val="20"/>
          <w:szCs w:val="20"/>
          <w:lang w:val="fr-CA"/>
        </w:rPr>
        <w:t>Origine :</w:t>
      </w:r>
      <w:r w:rsidRPr="009B6B66">
        <w:rPr>
          <w:sz w:val="20"/>
          <w:szCs w:val="20"/>
          <w:lang w:val="fr-CA"/>
        </w:rPr>
        <w:tab/>
        <w:t>Ontario</w:t>
      </w:r>
    </w:p>
    <w:p w:rsidR="00990DF5" w:rsidRPr="009B6B66" w:rsidRDefault="00990DF5" w:rsidP="00990DF5">
      <w:pPr>
        <w:widowControl w:val="0"/>
        <w:jc w:val="both"/>
        <w:rPr>
          <w:sz w:val="20"/>
          <w:szCs w:val="20"/>
          <w:lang w:val="fr-CA"/>
        </w:rPr>
      </w:pPr>
    </w:p>
    <w:p w:rsidR="00990DF5" w:rsidRPr="009B6B66" w:rsidRDefault="00990DF5" w:rsidP="00990DF5">
      <w:pPr>
        <w:widowControl w:val="0"/>
        <w:ind w:left="2880" w:hanging="2880"/>
        <w:jc w:val="both"/>
        <w:rPr>
          <w:sz w:val="20"/>
          <w:szCs w:val="20"/>
          <w:lang w:val="fr-CA"/>
        </w:rPr>
      </w:pPr>
      <w:r w:rsidRPr="009B6B66">
        <w:rPr>
          <w:sz w:val="20"/>
          <w:szCs w:val="20"/>
          <w:lang w:val="fr-CA"/>
        </w:rPr>
        <w:t>N</w:t>
      </w:r>
      <w:r w:rsidRPr="009B6B66">
        <w:rPr>
          <w:sz w:val="20"/>
          <w:szCs w:val="20"/>
          <w:vertAlign w:val="superscript"/>
          <w:lang w:val="fr-CA"/>
        </w:rPr>
        <w:t>o</w:t>
      </w:r>
      <w:r w:rsidRPr="009B6B66">
        <w:rPr>
          <w:sz w:val="20"/>
          <w:szCs w:val="20"/>
          <w:lang w:val="fr-CA"/>
        </w:rPr>
        <w:t xml:space="preserve"> du greffe :</w:t>
      </w:r>
      <w:r w:rsidRPr="009B6B66">
        <w:rPr>
          <w:sz w:val="20"/>
          <w:szCs w:val="20"/>
          <w:lang w:val="fr-CA"/>
        </w:rPr>
        <w:tab/>
        <w:t>33959</w:t>
      </w:r>
    </w:p>
    <w:p w:rsidR="00990DF5" w:rsidRPr="009B6B66" w:rsidRDefault="00990DF5" w:rsidP="00990DF5">
      <w:pPr>
        <w:widowControl w:val="0"/>
        <w:jc w:val="both"/>
        <w:rPr>
          <w:sz w:val="20"/>
          <w:szCs w:val="20"/>
          <w:lang w:val="fr-CA"/>
        </w:rPr>
      </w:pPr>
    </w:p>
    <w:p w:rsidR="00990DF5" w:rsidRPr="009B6B66" w:rsidRDefault="00990DF5" w:rsidP="00990DF5">
      <w:pPr>
        <w:widowControl w:val="0"/>
        <w:ind w:left="2880" w:hanging="2880"/>
        <w:jc w:val="both"/>
        <w:rPr>
          <w:sz w:val="20"/>
          <w:szCs w:val="20"/>
          <w:lang w:val="fr-CA"/>
        </w:rPr>
      </w:pPr>
      <w:r w:rsidRPr="009B6B66">
        <w:rPr>
          <w:sz w:val="20"/>
          <w:szCs w:val="20"/>
          <w:lang w:val="fr-CA"/>
        </w:rPr>
        <w:t>Arrêt de la Cour d’appel :</w:t>
      </w:r>
      <w:r w:rsidRPr="009B6B66">
        <w:rPr>
          <w:sz w:val="20"/>
          <w:szCs w:val="20"/>
          <w:lang w:val="fr-CA"/>
        </w:rPr>
        <w:tab/>
        <w:t>le 27 septembre 2010</w:t>
      </w:r>
    </w:p>
    <w:p w:rsidR="00990DF5" w:rsidRPr="009B6B66" w:rsidRDefault="00990DF5" w:rsidP="00990DF5">
      <w:pPr>
        <w:widowControl w:val="0"/>
        <w:jc w:val="both"/>
        <w:rPr>
          <w:sz w:val="20"/>
          <w:szCs w:val="20"/>
          <w:lang w:val="fr-CA"/>
        </w:rPr>
      </w:pPr>
    </w:p>
    <w:p w:rsidR="00990DF5" w:rsidRPr="009B6B66" w:rsidRDefault="00990DF5" w:rsidP="00990DF5">
      <w:pPr>
        <w:widowControl w:val="0"/>
        <w:ind w:left="2880" w:hanging="2880"/>
        <w:jc w:val="both"/>
        <w:rPr>
          <w:sz w:val="20"/>
          <w:szCs w:val="20"/>
          <w:lang w:val="fr-CA"/>
        </w:rPr>
      </w:pPr>
      <w:r w:rsidRPr="009B6B66">
        <w:rPr>
          <w:sz w:val="20"/>
          <w:szCs w:val="20"/>
          <w:lang w:val="fr-CA"/>
        </w:rPr>
        <w:t>Avocats :</w:t>
      </w:r>
      <w:r w:rsidRPr="009B6B66">
        <w:rPr>
          <w:sz w:val="20"/>
          <w:szCs w:val="20"/>
          <w:lang w:val="fr-CA"/>
        </w:rPr>
        <w:tab/>
        <w:t>Julian N. Falconer, Julian K. Roy et Sunil S. Mathai pour l’appelant</w:t>
      </w:r>
    </w:p>
    <w:p w:rsidR="00990DF5" w:rsidRPr="009B6B66" w:rsidRDefault="00990DF5" w:rsidP="00990DF5">
      <w:pPr>
        <w:widowControl w:val="0"/>
        <w:ind w:left="2880" w:hanging="2880"/>
        <w:jc w:val="both"/>
        <w:rPr>
          <w:sz w:val="20"/>
          <w:szCs w:val="20"/>
          <w:lang w:val="fr-CA"/>
        </w:rPr>
      </w:pPr>
      <w:r>
        <w:rPr>
          <w:sz w:val="20"/>
          <w:szCs w:val="20"/>
          <w:lang w:val="fr-CA"/>
        </w:rPr>
        <w:tab/>
      </w:r>
      <w:r w:rsidRPr="009B6B66">
        <w:rPr>
          <w:sz w:val="20"/>
          <w:szCs w:val="20"/>
          <w:lang w:val="fr-CA"/>
        </w:rPr>
        <w:t>Eugene G. Mazzuca, Kerry Nash et Rafal Szymanski pour les intimés</w:t>
      </w:r>
    </w:p>
    <w:p w:rsidR="00A248C7" w:rsidRDefault="00A248C7" w:rsidP="000B3C9A">
      <w:pPr>
        <w:tabs>
          <w:tab w:val="left" w:pos="-1440"/>
          <w:tab w:val="left" w:pos="-720"/>
        </w:tabs>
        <w:jc w:val="both"/>
        <w:rPr>
          <w:sz w:val="20"/>
          <w:szCs w:val="20"/>
          <w:lang w:val="fr-CA"/>
        </w:rPr>
      </w:pPr>
    </w:p>
    <w:p w:rsidR="00A248C7" w:rsidRDefault="00586706" w:rsidP="000B3C9A">
      <w:pPr>
        <w:tabs>
          <w:tab w:val="left" w:pos="-1440"/>
          <w:tab w:val="left" w:pos="-720"/>
        </w:tabs>
        <w:jc w:val="both"/>
        <w:rPr>
          <w:sz w:val="20"/>
          <w:szCs w:val="20"/>
          <w:lang w:val="fr-CA"/>
        </w:rPr>
      </w:pPr>
      <w:r w:rsidRPr="00586706">
        <w:rPr>
          <w:sz w:val="20"/>
          <w:szCs w:val="20"/>
          <w:lang w:val="fr-CA"/>
        </w:rPr>
        <w:pict>
          <v:rect id="_x0000_i1099" style="width:2in;height:1pt" o:hrpct="0" o:hralign="center" o:hrstd="t" o:hrnoshade="t" o:hr="t" fillcolor="black [3213]" stroked="f"/>
        </w:pict>
      </w:r>
    </w:p>
    <w:p w:rsidR="00A248C7" w:rsidRDefault="00A248C7" w:rsidP="000B3C9A">
      <w:pPr>
        <w:tabs>
          <w:tab w:val="left" w:pos="-1440"/>
          <w:tab w:val="left" w:pos="-720"/>
        </w:tabs>
        <w:jc w:val="both"/>
        <w:rPr>
          <w:sz w:val="20"/>
          <w:szCs w:val="20"/>
          <w:lang w:val="fr-CA"/>
        </w:rPr>
      </w:pPr>
    </w:p>
    <w:p w:rsidR="00A248C7" w:rsidRDefault="00A248C7">
      <w:pPr>
        <w:rPr>
          <w:sz w:val="20"/>
          <w:szCs w:val="20"/>
          <w:lang w:val="fr-CA"/>
        </w:rPr>
      </w:pPr>
      <w:r>
        <w:rPr>
          <w:sz w:val="20"/>
          <w:szCs w:val="20"/>
          <w:lang w:val="fr-CA"/>
        </w:rPr>
        <w:br w:type="page"/>
      </w:r>
    </w:p>
    <w:p w:rsidR="00EB2C33" w:rsidRPr="00DE6F23" w:rsidRDefault="00586706" w:rsidP="00EB2C33">
      <w:pPr>
        <w:widowControl w:val="0"/>
        <w:ind w:left="720" w:hanging="720"/>
        <w:jc w:val="both"/>
        <w:rPr>
          <w:b/>
          <w:i/>
          <w:sz w:val="20"/>
          <w:szCs w:val="20"/>
        </w:rPr>
      </w:pPr>
      <w:r w:rsidRPr="00DE6F23">
        <w:rPr>
          <w:b/>
          <w:sz w:val="20"/>
          <w:szCs w:val="20"/>
        </w:rPr>
        <w:lastRenderedPageBreak/>
        <w:fldChar w:fldCharType="begin"/>
      </w:r>
      <w:r w:rsidR="00EB2C33" w:rsidRPr="00DE6F23">
        <w:rPr>
          <w:b/>
          <w:sz w:val="20"/>
          <w:szCs w:val="20"/>
        </w:rPr>
        <w:instrText xml:space="preserve"> SEQ CHAPTER \h \r 1</w:instrText>
      </w:r>
      <w:r w:rsidRPr="00DE6F23">
        <w:rPr>
          <w:b/>
          <w:sz w:val="20"/>
          <w:szCs w:val="20"/>
        </w:rPr>
        <w:fldChar w:fldCharType="end"/>
      </w:r>
      <w:r w:rsidR="00EB2C33" w:rsidRPr="00DE6F23">
        <w:rPr>
          <w:b/>
          <w:sz w:val="20"/>
          <w:szCs w:val="20"/>
        </w:rPr>
        <w:t>33878</w:t>
      </w:r>
      <w:r w:rsidR="00EB2C33" w:rsidRPr="00DE6F23">
        <w:rPr>
          <w:sz w:val="20"/>
          <w:szCs w:val="20"/>
        </w:rPr>
        <w:tab/>
      </w:r>
      <w:r w:rsidR="00EB2C33" w:rsidRPr="00DE6F23">
        <w:rPr>
          <w:b/>
          <w:i/>
          <w:sz w:val="20"/>
          <w:szCs w:val="20"/>
        </w:rPr>
        <w:t>Toronto</w:t>
      </w:r>
      <w:r w:rsidR="00EB2C33" w:rsidRPr="00DE6F23">
        <w:rPr>
          <w:b/>
          <w:i/>
          <w:sz w:val="20"/>
          <w:szCs w:val="20"/>
        </w:rPr>
        <w:noBreakHyphen/>
        <w:t>Dominion Bank v. Her Majesty the Queen</w:t>
      </w:r>
    </w:p>
    <w:p w:rsidR="00EB2C33" w:rsidRPr="00DE6F23" w:rsidRDefault="00EB2C33" w:rsidP="00EB2C33">
      <w:pPr>
        <w:widowControl w:val="0"/>
        <w:jc w:val="both"/>
        <w:rPr>
          <w:sz w:val="20"/>
          <w:szCs w:val="20"/>
        </w:rPr>
      </w:pPr>
    </w:p>
    <w:p w:rsidR="00EB2C33" w:rsidRPr="00DE6F23" w:rsidRDefault="00EB2C33" w:rsidP="00EB2C33">
      <w:pPr>
        <w:widowControl w:val="0"/>
        <w:jc w:val="both"/>
        <w:rPr>
          <w:sz w:val="20"/>
          <w:szCs w:val="20"/>
        </w:rPr>
      </w:pPr>
      <w:r w:rsidRPr="00DE6F23">
        <w:rPr>
          <w:sz w:val="20"/>
          <w:szCs w:val="20"/>
        </w:rPr>
        <w:t xml:space="preserve">Legislation </w:t>
      </w:r>
      <w:r w:rsidRPr="00DE6F23">
        <w:rPr>
          <w:sz w:val="20"/>
          <w:szCs w:val="20"/>
        </w:rPr>
        <w:noBreakHyphen/>
        <w:t xml:space="preserve"> Interpretation </w:t>
      </w:r>
      <w:r w:rsidRPr="00DE6F23">
        <w:rPr>
          <w:sz w:val="20"/>
          <w:szCs w:val="20"/>
        </w:rPr>
        <w:noBreakHyphen/>
        <w:t xml:space="preserve"> GST amount collected by company deposited in bank account </w:t>
      </w:r>
      <w:r w:rsidRPr="00DE6F23">
        <w:rPr>
          <w:sz w:val="20"/>
          <w:szCs w:val="20"/>
        </w:rPr>
        <w:noBreakHyphen/>
        <w:t xml:space="preserve"> Requirement to pay sent by Minister </w:t>
      </w:r>
      <w:r w:rsidRPr="00DE6F23">
        <w:rPr>
          <w:sz w:val="20"/>
          <w:szCs w:val="20"/>
        </w:rPr>
        <w:noBreakHyphen/>
        <w:t xml:space="preserve"> Notice of intention to make proposal filed two weeks later </w:t>
      </w:r>
      <w:r w:rsidRPr="00DE6F23">
        <w:rPr>
          <w:sz w:val="20"/>
          <w:szCs w:val="20"/>
        </w:rPr>
        <w:noBreakHyphen/>
        <w:t xml:space="preserve"> Notice of stay sent to bank by trustee in bankruptcy </w:t>
      </w:r>
      <w:r w:rsidRPr="00DE6F23">
        <w:rPr>
          <w:sz w:val="20"/>
          <w:szCs w:val="20"/>
        </w:rPr>
        <w:noBreakHyphen/>
        <w:t xml:space="preserve"> Notice of stay complied with </w:t>
      </w:r>
      <w:r w:rsidRPr="00DE6F23">
        <w:rPr>
          <w:sz w:val="20"/>
          <w:szCs w:val="20"/>
        </w:rPr>
        <w:noBreakHyphen/>
        <w:t xml:space="preserve"> Notice of assessment </w:t>
      </w:r>
      <w:r w:rsidRPr="00DE6F23">
        <w:rPr>
          <w:sz w:val="20"/>
          <w:szCs w:val="20"/>
        </w:rPr>
        <w:noBreakHyphen/>
        <w:t xml:space="preserve"> Whether Crown is owner of GST amount in respect of which notice of garnishment issued prior to bankruptcy </w:t>
      </w:r>
      <w:r w:rsidRPr="00DE6F23">
        <w:rPr>
          <w:sz w:val="20"/>
          <w:szCs w:val="20"/>
        </w:rPr>
        <w:noBreakHyphen/>
        <w:t xml:space="preserve"> Whether Crown entitled to set requirement to pay up against trustees and secured creditors if it served before bankruptcy but not executed at time of bankruptcy </w:t>
      </w:r>
      <w:r w:rsidRPr="00DE6F23">
        <w:rPr>
          <w:sz w:val="20"/>
          <w:szCs w:val="20"/>
        </w:rPr>
        <w:noBreakHyphen/>
        <w:t xml:space="preserve"> Whether courts below erred in holding that s. 70(1) of </w:t>
      </w:r>
      <w:r w:rsidRPr="00DE6F23">
        <w:rPr>
          <w:i/>
          <w:sz w:val="20"/>
          <w:szCs w:val="20"/>
        </w:rPr>
        <w:t>Bankruptcy and Insolvency Act</w:t>
      </w:r>
      <w:r w:rsidRPr="00DE6F23">
        <w:rPr>
          <w:sz w:val="20"/>
          <w:szCs w:val="20"/>
        </w:rPr>
        <w:t xml:space="preserve"> does not override transfer of ownership provided for in s. 317(3) of </w:t>
      </w:r>
      <w:r w:rsidRPr="00DE6F23">
        <w:rPr>
          <w:i/>
          <w:sz w:val="20"/>
          <w:szCs w:val="20"/>
        </w:rPr>
        <w:t>Excise Tax Act</w:t>
      </w:r>
      <w:r w:rsidRPr="00DE6F23">
        <w:rPr>
          <w:sz w:val="20"/>
          <w:szCs w:val="20"/>
        </w:rPr>
        <w:t xml:space="preserve"> </w:t>
      </w:r>
      <w:r w:rsidRPr="00DE6F23">
        <w:rPr>
          <w:sz w:val="20"/>
          <w:szCs w:val="20"/>
        </w:rPr>
        <w:noBreakHyphen/>
        <w:t xml:space="preserve"> </w:t>
      </w:r>
      <w:r w:rsidRPr="00DE6F23">
        <w:rPr>
          <w:i/>
          <w:sz w:val="20"/>
          <w:szCs w:val="20"/>
        </w:rPr>
        <w:t>Bankruptcy and Insolvency Act</w:t>
      </w:r>
      <w:r w:rsidRPr="00DE6F23">
        <w:rPr>
          <w:sz w:val="20"/>
          <w:szCs w:val="20"/>
        </w:rPr>
        <w:t>, R.S.C. 1985, c. B</w:t>
      </w:r>
      <w:r w:rsidRPr="00DE6F23">
        <w:rPr>
          <w:sz w:val="20"/>
          <w:szCs w:val="20"/>
        </w:rPr>
        <w:noBreakHyphen/>
        <w:t xml:space="preserve">3, ss. 67(2), 70(1) </w:t>
      </w:r>
      <w:r w:rsidRPr="00DE6F23">
        <w:rPr>
          <w:sz w:val="20"/>
          <w:szCs w:val="20"/>
        </w:rPr>
        <w:noBreakHyphen/>
        <w:t xml:space="preserve"> </w:t>
      </w:r>
      <w:r w:rsidRPr="00DE6F23">
        <w:rPr>
          <w:i/>
          <w:sz w:val="20"/>
          <w:szCs w:val="20"/>
        </w:rPr>
        <w:t>Excise Tax Act</w:t>
      </w:r>
      <w:r w:rsidRPr="00DE6F23">
        <w:rPr>
          <w:sz w:val="20"/>
          <w:szCs w:val="20"/>
        </w:rPr>
        <w:t>, R.S.C. 1985, c. E</w:t>
      </w:r>
      <w:r w:rsidRPr="00DE6F23">
        <w:rPr>
          <w:sz w:val="20"/>
          <w:szCs w:val="20"/>
        </w:rPr>
        <w:noBreakHyphen/>
        <w:t>15, s. 317(3).</w:t>
      </w:r>
    </w:p>
    <w:p w:rsidR="00EB2C33" w:rsidRPr="00DE6F23" w:rsidRDefault="00EB2C33" w:rsidP="00EB2C33">
      <w:pPr>
        <w:widowControl w:val="0"/>
        <w:jc w:val="both"/>
        <w:rPr>
          <w:sz w:val="20"/>
          <w:szCs w:val="20"/>
        </w:rPr>
      </w:pPr>
    </w:p>
    <w:p w:rsidR="00EB2C33" w:rsidRPr="00DE6F23" w:rsidRDefault="00EB2C33" w:rsidP="00EB2C33">
      <w:pPr>
        <w:widowControl w:val="0"/>
        <w:jc w:val="both"/>
        <w:rPr>
          <w:sz w:val="20"/>
          <w:szCs w:val="20"/>
        </w:rPr>
      </w:pPr>
      <w:r w:rsidRPr="00DE6F23">
        <w:rPr>
          <w:sz w:val="20"/>
          <w:szCs w:val="20"/>
        </w:rPr>
        <w:t xml:space="preserve">A company owed the federal government $12,014 in previously collected GST.  The company had $8,868 in an account at the TD Bank.  On December 11, 2007, Revenu Québec, which administers the GST in Quebec, sent the bank a requirement to pay in which it claimed ownership of the amount in the bank account.  On December 24, the company filed a notice of intention to make a proposal to its creditors; the same day, the trustee in bankruptcy sent the bank a notice to stay Revenu Québec’s requirement to pay, which the bank did.  On April 9, 2008, Revenu Québec sent the bank a notice of assessment along with a joint letter from it and Revenue Canada.  On September 26, 2008, after an objection to the assessment was filed, Revenu Québec realized that it had already taken $6,000 from the account and issued a reassessment for $2,868.  The bank appealed the reassessment in both the Court of Québec and the Tax Court of Canada.  The Tax Court of Canada gave priority to the requirement to pay predating the bankruptcy; the Federal Court of Appeal dismissed the bank’s appeal.  In the meantime, the parties agreed to suspend their proceedings in the Court of Québec. </w:t>
      </w:r>
    </w:p>
    <w:p w:rsidR="00EB2C33" w:rsidRPr="00DE6F23" w:rsidRDefault="00EB2C33" w:rsidP="00EB2C33">
      <w:pPr>
        <w:widowControl w:val="0"/>
        <w:jc w:val="both"/>
        <w:rPr>
          <w:sz w:val="20"/>
          <w:szCs w:val="20"/>
        </w:rPr>
      </w:pPr>
    </w:p>
    <w:p w:rsidR="00EB2C33" w:rsidRPr="00DE6F23" w:rsidRDefault="00EB2C33" w:rsidP="00EB2C33">
      <w:pPr>
        <w:widowControl w:val="0"/>
        <w:jc w:val="both"/>
        <w:rPr>
          <w:sz w:val="20"/>
          <w:szCs w:val="20"/>
        </w:rPr>
      </w:pPr>
    </w:p>
    <w:p w:rsidR="00EB2C33" w:rsidRPr="00DE6F23" w:rsidRDefault="00EB2C33" w:rsidP="00EB2C33">
      <w:pPr>
        <w:widowControl w:val="0"/>
        <w:ind w:left="2880" w:hanging="2880"/>
        <w:jc w:val="both"/>
        <w:rPr>
          <w:sz w:val="20"/>
          <w:szCs w:val="20"/>
        </w:rPr>
      </w:pPr>
      <w:r w:rsidRPr="00DE6F23">
        <w:rPr>
          <w:sz w:val="20"/>
          <w:szCs w:val="20"/>
        </w:rPr>
        <w:t>Origin of the case:</w:t>
      </w:r>
      <w:r w:rsidRPr="00DE6F23">
        <w:rPr>
          <w:sz w:val="20"/>
          <w:szCs w:val="20"/>
        </w:rPr>
        <w:tab/>
        <w:t xml:space="preserve">Federal Court of Appeal </w:t>
      </w:r>
    </w:p>
    <w:p w:rsidR="00EB2C33" w:rsidRPr="00DE6F23" w:rsidRDefault="00EB2C33" w:rsidP="00EB2C33">
      <w:pPr>
        <w:widowControl w:val="0"/>
        <w:jc w:val="both"/>
        <w:rPr>
          <w:sz w:val="20"/>
          <w:szCs w:val="20"/>
        </w:rPr>
      </w:pPr>
    </w:p>
    <w:p w:rsidR="00EB2C33" w:rsidRPr="00DE6F23" w:rsidRDefault="00EB2C33" w:rsidP="00EB2C33">
      <w:pPr>
        <w:widowControl w:val="0"/>
        <w:ind w:left="2880" w:hanging="2880"/>
        <w:jc w:val="both"/>
        <w:rPr>
          <w:sz w:val="20"/>
          <w:szCs w:val="20"/>
        </w:rPr>
      </w:pPr>
      <w:r w:rsidRPr="00DE6F23">
        <w:rPr>
          <w:sz w:val="20"/>
          <w:szCs w:val="20"/>
        </w:rPr>
        <w:t>File No.:</w:t>
      </w:r>
      <w:r w:rsidRPr="00DE6F23">
        <w:rPr>
          <w:sz w:val="20"/>
          <w:szCs w:val="20"/>
        </w:rPr>
        <w:tab/>
        <w:t>33878</w:t>
      </w:r>
    </w:p>
    <w:p w:rsidR="00EB2C33" w:rsidRPr="00DE6F23" w:rsidRDefault="00EB2C33" w:rsidP="00EB2C33">
      <w:pPr>
        <w:widowControl w:val="0"/>
        <w:jc w:val="both"/>
        <w:rPr>
          <w:sz w:val="20"/>
          <w:szCs w:val="20"/>
        </w:rPr>
      </w:pPr>
    </w:p>
    <w:p w:rsidR="00EB2C33" w:rsidRPr="00DE6F23" w:rsidRDefault="00EB2C33" w:rsidP="00EB2C33">
      <w:pPr>
        <w:widowControl w:val="0"/>
        <w:ind w:left="2880" w:hanging="2880"/>
        <w:jc w:val="both"/>
        <w:rPr>
          <w:sz w:val="20"/>
          <w:szCs w:val="20"/>
        </w:rPr>
      </w:pPr>
      <w:r w:rsidRPr="00DE6F23">
        <w:rPr>
          <w:sz w:val="20"/>
          <w:szCs w:val="20"/>
        </w:rPr>
        <w:t>Judgment of the Court of Appeal</w:t>
      </w:r>
      <w:r>
        <w:rPr>
          <w:sz w:val="20"/>
          <w:szCs w:val="20"/>
        </w:rPr>
        <w:t>:</w:t>
      </w:r>
      <w:r>
        <w:rPr>
          <w:sz w:val="20"/>
          <w:szCs w:val="20"/>
        </w:rPr>
        <w:tab/>
      </w:r>
      <w:r w:rsidRPr="00DE6F23">
        <w:rPr>
          <w:sz w:val="20"/>
          <w:szCs w:val="20"/>
        </w:rPr>
        <w:t>June 30, 2010</w:t>
      </w:r>
    </w:p>
    <w:p w:rsidR="00EB2C33" w:rsidRPr="00DE6F23" w:rsidRDefault="00EB2C33" w:rsidP="00EB2C33">
      <w:pPr>
        <w:widowControl w:val="0"/>
        <w:jc w:val="both"/>
        <w:rPr>
          <w:sz w:val="20"/>
          <w:szCs w:val="20"/>
        </w:rPr>
      </w:pPr>
    </w:p>
    <w:p w:rsidR="00EB2C33" w:rsidRPr="00DE6F23" w:rsidRDefault="00EB2C33" w:rsidP="00EB2C33">
      <w:pPr>
        <w:widowControl w:val="0"/>
        <w:ind w:left="2880" w:hanging="2880"/>
        <w:jc w:val="both"/>
        <w:rPr>
          <w:sz w:val="20"/>
          <w:szCs w:val="20"/>
        </w:rPr>
      </w:pPr>
      <w:r w:rsidRPr="00DE6F23">
        <w:rPr>
          <w:sz w:val="20"/>
          <w:szCs w:val="20"/>
        </w:rPr>
        <w:t>Counsel:</w:t>
      </w:r>
      <w:r w:rsidRPr="00DE6F23">
        <w:rPr>
          <w:sz w:val="20"/>
          <w:szCs w:val="20"/>
        </w:rPr>
        <w:tab/>
        <w:t>André Rousseau and Éric Potvin for the appellant</w:t>
      </w:r>
    </w:p>
    <w:p w:rsidR="00EB2C33" w:rsidRPr="00DE6F23" w:rsidRDefault="00EB2C33" w:rsidP="00EB2C33">
      <w:pPr>
        <w:widowControl w:val="0"/>
        <w:ind w:left="2880" w:hanging="2880"/>
        <w:jc w:val="both"/>
        <w:rPr>
          <w:sz w:val="20"/>
          <w:szCs w:val="20"/>
        </w:rPr>
      </w:pPr>
      <w:r w:rsidRPr="00DE6F23">
        <w:rPr>
          <w:sz w:val="20"/>
          <w:szCs w:val="20"/>
        </w:rPr>
        <w:tab/>
        <w:t>Christian Boutin for the respondent</w:t>
      </w:r>
    </w:p>
    <w:p w:rsidR="00A248C7" w:rsidRPr="00EB2C33" w:rsidRDefault="00A248C7" w:rsidP="00A248C7">
      <w:pPr>
        <w:tabs>
          <w:tab w:val="left" w:pos="-1440"/>
          <w:tab w:val="left" w:pos="-720"/>
        </w:tabs>
        <w:jc w:val="both"/>
        <w:rPr>
          <w:sz w:val="20"/>
          <w:szCs w:val="20"/>
        </w:rPr>
      </w:pPr>
    </w:p>
    <w:p w:rsidR="00A248C7" w:rsidRPr="00EB2C33" w:rsidRDefault="00586706" w:rsidP="00A248C7">
      <w:pPr>
        <w:tabs>
          <w:tab w:val="left" w:pos="-1440"/>
          <w:tab w:val="left" w:pos="-720"/>
        </w:tabs>
        <w:jc w:val="both"/>
        <w:rPr>
          <w:sz w:val="20"/>
          <w:szCs w:val="20"/>
        </w:rPr>
      </w:pPr>
      <w:r w:rsidRPr="00586706">
        <w:rPr>
          <w:sz w:val="20"/>
          <w:szCs w:val="20"/>
          <w:lang w:val="fr-CA"/>
        </w:rPr>
        <w:pict>
          <v:rect id="_x0000_i1100" style="width:2in;height:1pt" o:hrpct="0" o:hralign="center" o:hrstd="t" o:hrnoshade="t" o:hr="t" fillcolor="black [3213]" stroked="f"/>
        </w:pict>
      </w:r>
    </w:p>
    <w:p w:rsidR="00A248C7" w:rsidRPr="00EB2C33" w:rsidRDefault="00A248C7" w:rsidP="00A248C7">
      <w:pPr>
        <w:tabs>
          <w:tab w:val="left" w:pos="-1440"/>
          <w:tab w:val="left" w:pos="-720"/>
        </w:tabs>
        <w:jc w:val="both"/>
        <w:rPr>
          <w:sz w:val="20"/>
          <w:szCs w:val="20"/>
        </w:rPr>
      </w:pPr>
    </w:p>
    <w:p w:rsidR="00A248C7" w:rsidRPr="00EB2C33" w:rsidRDefault="00A248C7">
      <w:pPr>
        <w:rPr>
          <w:sz w:val="20"/>
          <w:szCs w:val="20"/>
        </w:rPr>
      </w:pPr>
      <w:r w:rsidRPr="00EB2C33">
        <w:rPr>
          <w:sz w:val="20"/>
          <w:szCs w:val="20"/>
        </w:rPr>
        <w:br w:type="page"/>
      </w:r>
    </w:p>
    <w:p w:rsidR="00092E23" w:rsidRPr="0018552A" w:rsidRDefault="00586706" w:rsidP="00092E23">
      <w:pPr>
        <w:widowControl w:val="0"/>
        <w:ind w:left="720" w:hanging="720"/>
        <w:jc w:val="both"/>
        <w:rPr>
          <w:sz w:val="20"/>
          <w:szCs w:val="20"/>
          <w:lang w:val="fr-CA"/>
        </w:rPr>
      </w:pPr>
      <w:r w:rsidRPr="00586706">
        <w:rPr>
          <w:b/>
          <w:sz w:val="20"/>
          <w:szCs w:val="20"/>
          <w:lang w:val="fr-CA"/>
        </w:rPr>
        <w:lastRenderedPageBreak/>
        <w:fldChar w:fldCharType="begin"/>
      </w:r>
      <w:r w:rsidR="00092E23" w:rsidRPr="0018552A">
        <w:rPr>
          <w:b/>
          <w:sz w:val="20"/>
          <w:szCs w:val="20"/>
          <w:lang w:val="fr-CA"/>
        </w:rPr>
        <w:instrText xml:space="preserve"> SEQ CHAPTER \h \r 1</w:instrText>
      </w:r>
      <w:r w:rsidRPr="0018552A">
        <w:rPr>
          <w:b/>
          <w:sz w:val="20"/>
          <w:szCs w:val="20"/>
        </w:rPr>
        <w:fldChar w:fldCharType="end"/>
      </w:r>
      <w:r w:rsidR="00092E23" w:rsidRPr="0018552A">
        <w:rPr>
          <w:b/>
          <w:sz w:val="20"/>
          <w:szCs w:val="20"/>
          <w:lang w:val="fr-CA"/>
        </w:rPr>
        <w:t>33878</w:t>
      </w:r>
      <w:r w:rsidR="00092E23" w:rsidRPr="0018552A">
        <w:rPr>
          <w:sz w:val="20"/>
          <w:szCs w:val="20"/>
          <w:lang w:val="fr-CA"/>
        </w:rPr>
        <w:tab/>
      </w:r>
      <w:r w:rsidR="00092E23" w:rsidRPr="0018552A">
        <w:rPr>
          <w:b/>
          <w:i/>
          <w:sz w:val="20"/>
          <w:szCs w:val="20"/>
          <w:lang w:val="fr-CA"/>
        </w:rPr>
        <w:t>Banque Toronto</w:t>
      </w:r>
      <w:r w:rsidR="00092E23" w:rsidRPr="0018552A">
        <w:rPr>
          <w:b/>
          <w:i/>
          <w:sz w:val="20"/>
          <w:szCs w:val="20"/>
          <w:lang w:val="fr-CA"/>
        </w:rPr>
        <w:noBreakHyphen/>
        <w:t>Dominion c. Sa Majesté la Reine</w:t>
      </w:r>
    </w:p>
    <w:p w:rsidR="00092E23" w:rsidRPr="0018552A" w:rsidRDefault="00092E23" w:rsidP="00092E23">
      <w:pPr>
        <w:widowControl w:val="0"/>
        <w:jc w:val="both"/>
        <w:rPr>
          <w:sz w:val="20"/>
          <w:szCs w:val="20"/>
          <w:lang w:val="fr-CA"/>
        </w:rPr>
      </w:pPr>
    </w:p>
    <w:p w:rsidR="00092E23" w:rsidRPr="0018552A" w:rsidRDefault="00092E23" w:rsidP="00092E23">
      <w:pPr>
        <w:widowControl w:val="0"/>
        <w:jc w:val="both"/>
        <w:rPr>
          <w:sz w:val="20"/>
          <w:szCs w:val="20"/>
          <w:lang w:val="fr-CA"/>
        </w:rPr>
      </w:pPr>
      <w:r w:rsidRPr="0018552A">
        <w:rPr>
          <w:sz w:val="20"/>
          <w:szCs w:val="20"/>
          <w:lang w:val="fr-CA"/>
        </w:rPr>
        <w:t xml:space="preserve">Législation </w:t>
      </w:r>
      <w:r w:rsidRPr="0018552A">
        <w:rPr>
          <w:sz w:val="20"/>
          <w:szCs w:val="20"/>
          <w:lang w:val="fr-CA"/>
        </w:rPr>
        <w:noBreakHyphen/>
        <w:t xml:space="preserve"> Interprétation </w:t>
      </w:r>
      <w:r w:rsidRPr="0018552A">
        <w:rPr>
          <w:sz w:val="20"/>
          <w:szCs w:val="20"/>
          <w:lang w:val="fr-CA"/>
        </w:rPr>
        <w:noBreakHyphen/>
        <w:t xml:space="preserve"> Montant de TPS perçue par une compagnie déposé dans un compte de banque </w:t>
      </w:r>
      <w:r w:rsidRPr="0018552A">
        <w:rPr>
          <w:sz w:val="20"/>
          <w:szCs w:val="20"/>
          <w:lang w:val="fr-CA"/>
        </w:rPr>
        <w:noBreakHyphen/>
        <w:t xml:space="preserve"> Avis ministériel de saisie</w:t>
      </w:r>
      <w:r w:rsidRPr="0018552A">
        <w:rPr>
          <w:sz w:val="20"/>
          <w:szCs w:val="20"/>
          <w:lang w:val="fr-CA"/>
        </w:rPr>
        <w:noBreakHyphen/>
        <w:t xml:space="preserve">arrêt  </w:t>
      </w:r>
      <w:r w:rsidRPr="0018552A">
        <w:rPr>
          <w:sz w:val="20"/>
          <w:szCs w:val="20"/>
          <w:lang w:val="fr-CA"/>
        </w:rPr>
        <w:noBreakHyphen/>
        <w:t xml:space="preserve"> Avis d’intention de faillite deux semaines plus tard </w:t>
      </w:r>
      <w:r w:rsidRPr="0018552A">
        <w:rPr>
          <w:sz w:val="20"/>
          <w:szCs w:val="20"/>
          <w:lang w:val="fr-CA"/>
        </w:rPr>
        <w:noBreakHyphen/>
        <w:t xml:space="preserve"> Avis de surseoir donné à la banque par le syndic de faillite </w:t>
      </w:r>
      <w:r w:rsidRPr="0018552A">
        <w:rPr>
          <w:sz w:val="20"/>
          <w:szCs w:val="20"/>
          <w:lang w:val="fr-CA"/>
        </w:rPr>
        <w:noBreakHyphen/>
        <w:t xml:space="preserve"> Avis de surseoir respecté </w:t>
      </w:r>
      <w:r w:rsidRPr="0018552A">
        <w:rPr>
          <w:sz w:val="20"/>
          <w:szCs w:val="20"/>
          <w:lang w:val="fr-CA"/>
        </w:rPr>
        <w:noBreakHyphen/>
        <w:t xml:space="preserve"> Avis de cotisation </w:t>
      </w:r>
      <w:r w:rsidRPr="0018552A">
        <w:rPr>
          <w:sz w:val="20"/>
          <w:szCs w:val="20"/>
          <w:lang w:val="fr-CA"/>
        </w:rPr>
        <w:noBreakHyphen/>
        <w:t xml:space="preserve"> La Couronne est</w:t>
      </w:r>
      <w:r w:rsidRPr="0018552A">
        <w:rPr>
          <w:sz w:val="20"/>
          <w:szCs w:val="20"/>
          <w:lang w:val="fr-CA"/>
        </w:rPr>
        <w:noBreakHyphen/>
        <w:t>elle propriétaire du montant de TPS ayant fait l’objet d’un avis de saisie</w:t>
      </w:r>
      <w:r w:rsidRPr="0018552A">
        <w:rPr>
          <w:sz w:val="20"/>
          <w:szCs w:val="20"/>
          <w:lang w:val="fr-CA"/>
        </w:rPr>
        <w:noBreakHyphen/>
        <w:t xml:space="preserve">arrêt avant la faillite? </w:t>
      </w:r>
      <w:r w:rsidRPr="0018552A">
        <w:rPr>
          <w:sz w:val="20"/>
          <w:szCs w:val="20"/>
          <w:lang w:val="fr-CA"/>
        </w:rPr>
        <w:noBreakHyphen/>
        <w:t xml:space="preserve"> Quels sont les droits de la couronne quant à l’opposabilité face aux syndics et aux créanciers garanties des demandes formelles de paiement signifiées avant la faillite, mais non réglées lors de la faillite? </w:t>
      </w:r>
      <w:r w:rsidRPr="0018552A">
        <w:rPr>
          <w:sz w:val="20"/>
          <w:szCs w:val="20"/>
          <w:lang w:val="fr-CA"/>
        </w:rPr>
        <w:noBreakHyphen/>
        <w:t xml:space="preserve"> Les tribunaux inférieurs ont</w:t>
      </w:r>
      <w:r w:rsidRPr="0018552A">
        <w:rPr>
          <w:sz w:val="20"/>
          <w:szCs w:val="20"/>
          <w:lang w:val="fr-CA"/>
        </w:rPr>
        <w:noBreakHyphen/>
        <w:t xml:space="preserve">ils commis une erreur en concluant que le par. 70(1) de la Loi sur la faillite et l’insolvabilité ne vient pas faire échec au transfert de propriété prévu au par. 317(3) de la Loi sur la taxe d’accise? </w:t>
      </w:r>
      <w:r w:rsidRPr="0018552A">
        <w:rPr>
          <w:sz w:val="20"/>
          <w:szCs w:val="20"/>
          <w:lang w:val="fr-CA"/>
        </w:rPr>
        <w:noBreakHyphen/>
        <w:t xml:space="preserve"> </w:t>
      </w:r>
      <w:r w:rsidRPr="0018552A">
        <w:rPr>
          <w:i/>
          <w:sz w:val="20"/>
          <w:szCs w:val="20"/>
          <w:lang w:val="fr-CA"/>
        </w:rPr>
        <w:t>Loi sur la faillite et l’insolvabilité</w:t>
      </w:r>
      <w:r w:rsidRPr="0018552A">
        <w:rPr>
          <w:sz w:val="20"/>
          <w:szCs w:val="20"/>
          <w:lang w:val="fr-CA"/>
        </w:rPr>
        <w:t>, L.R.C. 1985 ch. B</w:t>
      </w:r>
      <w:r w:rsidRPr="0018552A">
        <w:rPr>
          <w:sz w:val="20"/>
          <w:szCs w:val="20"/>
          <w:lang w:val="fr-CA"/>
        </w:rPr>
        <w:noBreakHyphen/>
        <w:t xml:space="preserve">3, par. 67(2), 70(1) </w:t>
      </w:r>
      <w:r w:rsidRPr="0018552A">
        <w:rPr>
          <w:sz w:val="20"/>
          <w:szCs w:val="20"/>
          <w:lang w:val="fr-CA"/>
        </w:rPr>
        <w:noBreakHyphen/>
        <w:t xml:space="preserve"> </w:t>
      </w:r>
      <w:r w:rsidRPr="0018552A">
        <w:rPr>
          <w:i/>
          <w:sz w:val="20"/>
          <w:szCs w:val="20"/>
          <w:lang w:val="fr-CA"/>
        </w:rPr>
        <w:t>Loi sur la taxe d’accise</w:t>
      </w:r>
      <w:r w:rsidRPr="0018552A">
        <w:rPr>
          <w:sz w:val="20"/>
          <w:szCs w:val="20"/>
          <w:lang w:val="fr-CA"/>
        </w:rPr>
        <w:t>, L.R.C. 1985, ch. E</w:t>
      </w:r>
      <w:r w:rsidRPr="0018552A">
        <w:rPr>
          <w:sz w:val="20"/>
          <w:szCs w:val="20"/>
          <w:lang w:val="fr-CA"/>
        </w:rPr>
        <w:noBreakHyphen/>
        <w:t>15, par. 317(3).</w:t>
      </w:r>
    </w:p>
    <w:p w:rsidR="00092E23" w:rsidRPr="0018552A" w:rsidRDefault="00092E23" w:rsidP="00092E23">
      <w:pPr>
        <w:widowControl w:val="0"/>
        <w:jc w:val="both"/>
        <w:rPr>
          <w:sz w:val="20"/>
          <w:szCs w:val="20"/>
          <w:lang w:val="fr-CA"/>
        </w:rPr>
      </w:pPr>
    </w:p>
    <w:p w:rsidR="00092E23" w:rsidRPr="0018552A" w:rsidRDefault="00092E23" w:rsidP="00092E23">
      <w:pPr>
        <w:widowControl w:val="0"/>
        <w:jc w:val="both"/>
        <w:rPr>
          <w:sz w:val="20"/>
          <w:szCs w:val="20"/>
          <w:lang w:val="fr-CA"/>
        </w:rPr>
      </w:pPr>
      <w:r w:rsidRPr="0018552A">
        <w:rPr>
          <w:sz w:val="20"/>
          <w:szCs w:val="20"/>
          <w:lang w:val="fr-CA"/>
        </w:rPr>
        <w:t>Une compagnie doit au gouvernement fédéral $12 014 en TPS précédemment perçue.  Cette compagnie possède $8 868 dans un compte à la banque TD.  Le 11 décembre 2007, Revenu Québec, qui administre la TPS dans la province, adresse à la banque une demande formelle de paiement, réclamant la propriété du montant du compte bancaire.  Le 24 décembre, la compagnie dépose un avis d’intention de faire une offre à ses créanciers; ce même jour, le syndic de faillite transmet à la banque un avis de surseoir à l’avis de saisie</w:t>
      </w:r>
      <w:r w:rsidRPr="0018552A">
        <w:rPr>
          <w:sz w:val="20"/>
          <w:szCs w:val="20"/>
          <w:lang w:val="fr-CA"/>
        </w:rPr>
        <w:noBreakHyphen/>
        <w:t xml:space="preserve">arrêt du ministère.  La banque sursoit.  Le 9 avril 2008, un avis de cotisation de Québec lui est adressé, accompagné d’une lettre conjointe de Revenu Canada et Revenu Québec.  Le 26 septembre 2008, après opposition à la cotisation, le ministère constate avoir déjà pris $6 000 de ce compte et il établit une nouvelle cotisation de $2 868.  La banque porte cette cotisation en appel, à la fois devant la Cour du Québec et devant la Cour canadienne de l’impôt.  La Cour canadienne de l’impôt donne priorité à la demande formelle de paiement, antérieure à la faillite; la Cour d’appel fédérale rejette l’appel de la banque.  Dans l’intervalle, les parties ont convenu de mettre en suspens leur litige devant la Cour du Québec. </w:t>
      </w:r>
    </w:p>
    <w:p w:rsidR="00092E23" w:rsidRPr="0018552A" w:rsidRDefault="00092E23" w:rsidP="00092E23">
      <w:pPr>
        <w:widowControl w:val="0"/>
        <w:jc w:val="both"/>
        <w:rPr>
          <w:sz w:val="20"/>
          <w:szCs w:val="20"/>
          <w:lang w:val="fr-CA"/>
        </w:rPr>
      </w:pPr>
    </w:p>
    <w:p w:rsidR="00092E23" w:rsidRPr="0018552A" w:rsidRDefault="00092E23" w:rsidP="00092E23">
      <w:pPr>
        <w:widowControl w:val="0"/>
        <w:jc w:val="both"/>
        <w:rPr>
          <w:sz w:val="20"/>
          <w:szCs w:val="20"/>
          <w:lang w:val="fr-CA"/>
        </w:rPr>
      </w:pPr>
    </w:p>
    <w:p w:rsidR="00092E23" w:rsidRPr="0018552A" w:rsidRDefault="00092E23" w:rsidP="00092E23">
      <w:pPr>
        <w:widowControl w:val="0"/>
        <w:ind w:left="2880" w:hanging="2880"/>
        <w:jc w:val="both"/>
        <w:rPr>
          <w:sz w:val="20"/>
          <w:szCs w:val="20"/>
          <w:lang w:val="fr-CA"/>
        </w:rPr>
      </w:pPr>
      <w:r w:rsidRPr="0018552A">
        <w:rPr>
          <w:sz w:val="20"/>
          <w:szCs w:val="20"/>
          <w:lang w:val="fr-CA"/>
        </w:rPr>
        <w:t>Origine :</w:t>
      </w:r>
      <w:r w:rsidRPr="0018552A">
        <w:rPr>
          <w:sz w:val="20"/>
          <w:szCs w:val="20"/>
          <w:lang w:val="fr-CA"/>
        </w:rPr>
        <w:tab/>
        <w:t>Cour d’appel fédérale</w:t>
      </w:r>
    </w:p>
    <w:p w:rsidR="00092E23" w:rsidRPr="0018552A" w:rsidRDefault="00092E23" w:rsidP="00092E23">
      <w:pPr>
        <w:widowControl w:val="0"/>
        <w:ind w:left="2880" w:hanging="2880"/>
        <w:jc w:val="both"/>
        <w:rPr>
          <w:sz w:val="20"/>
          <w:szCs w:val="20"/>
          <w:lang w:val="fr-CA"/>
        </w:rPr>
      </w:pPr>
    </w:p>
    <w:p w:rsidR="00092E23" w:rsidRPr="0018552A" w:rsidRDefault="00092E23" w:rsidP="00092E23">
      <w:pPr>
        <w:widowControl w:val="0"/>
        <w:ind w:left="2880" w:hanging="2880"/>
        <w:jc w:val="both"/>
        <w:rPr>
          <w:sz w:val="20"/>
          <w:szCs w:val="20"/>
          <w:lang w:val="fr-CA"/>
        </w:rPr>
      </w:pPr>
      <w:r w:rsidRPr="0018552A">
        <w:rPr>
          <w:sz w:val="20"/>
          <w:szCs w:val="20"/>
          <w:lang w:val="fr-CA"/>
        </w:rPr>
        <w:t>N</w:t>
      </w:r>
      <w:r w:rsidRPr="0018552A">
        <w:rPr>
          <w:sz w:val="20"/>
          <w:szCs w:val="20"/>
          <w:vertAlign w:val="superscript"/>
          <w:lang w:val="fr-CA"/>
        </w:rPr>
        <w:t>o</w:t>
      </w:r>
      <w:r w:rsidRPr="0018552A">
        <w:rPr>
          <w:sz w:val="20"/>
          <w:szCs w:val="20"/>
          <w:lang w:val="fr-CA"/>
        </w:rPr>
        <w:t xml:space="preserve"> du greffe :</w:t>
      </w:r>
      <w:r w:rsidRPr="0018552A">
        <w:rPr>
          <w:sz w:val="20"/>
          <w:szCs w:val="20"/>
          <w:lang w:val="fr-CA"/>
        </w:rPr>
        <w:tab/>
        <w:t>33878</w:t>
      </w:r>
    </w:p>
    <w:p w:rsidR="00092E23" w:rsidRPr="0018552A" w:rsidRDefault="00092E23" w:rsidP="00092E23">
      <w:pPr>
        <w:widowControl w:val="0"/>
        <w:ind w:left="2880" w:hanging="2880"/>
        <w:jc w:val="both"/>
        <w:rPr>
          <w:sz w:val="20"/>
          <w:szCs w:val="20"/>
          <w:lang w:val="fr-CA"/>
        </w:rPr>
      </w:pPr>
    </w:p>
    <w:p w:rsidR="00092E23" w:rsidRPr="0018552A" w:rsidRDefault="00092E23" w:rsidP="00092E23">
      <w:pPr>
        <w:widowControl w:val="0"/>
        <w:ind w:left="2880" w:hanging="2880"/>
        <w:jc w:val="both"/>
        <w:rPr>
          <w:sz w:val="20"/>
          <w:szCs w:val="20"/>
          <w:lang w:val="fr-CA"/>
        </w:rPr>
      </w:pPr>
      <w:r w:rsidRPr="0018552A">
        <w:rPr>
          <w:sz w:val="20"/>
          <w:szCs w:val="20"/>
          <w:lang w:val="fr-CA"/>
        </w:rPr>
        <w:t>Arrêt de la Cour d’appel :</w:t>
      </w:r>
      <w:r w:rsidRPr="0018552A">
        <w:rPr>
          <w:sz w:val="20"/>
          <w:szCs w:val="20"/>
          <w:lang w:val="fr-CA"/>
        </w:rPr>
        <w:tab/>
        <w:t>Le 30 juin 2010</w:t>
      </w:r>
    </w:p>
    <w:p w:rsidR="00092E23" w:rsidRPr="0018552A" w:rsidRDefault="00092E23" w:rsidP="00092E23">
      <w:pPr>
        <w:widowControl w:val="0"/>
        <w:ind w:left="2880" w:hanging="2880"/>
        <w:jc w:val="both"/>
        <w:rPr>
          <w:sz w:val="20"/>
          <w:szCs w:val="20"/>
          <w:lang w:val="fr-CA"/>
        </w:rPr>
      </w:pPr>
    </w:p>
    <w:p w:rsidR="00092E23" w:rsidRPr="0018552A" w:rsidRDefault="00092E23" w:rsidP="00092E23">
      <w:pPr>
        <w:widowControl w:val="0"/>
        <w:ind w:left="2880" w:hanging="2880"/>
        <w:jc w:val="both"/>
        <w:rPr>
          <w:sz w:val="20"/>
          <w:szCs w:val="20"/>
          <w:lang w:val="fr-CA"/>
        </w:rPr>
      </w:pPr>
      <w:r w:rsidRPr="0018552A">
        <w:rPr>
          <w:sz w:val="20"/>
          <w:szCs w:val="20"/>
          <w:lang w:val="fr-CA"/>
        </w:rPr>
        <w:t>Avocats :</w:t>
      </w:r>
      <w:r w:rsidRPr="0018552A">
        <w:rPr>
          <w:sz w:val="20"/>
          <w:szCs w:val="20"/>
          <w:lang w:val="fr-CA"/>
        </w:rPr>
        <w:tab/>
        <w:t>André Rousseau et Éric Potvin pour l’appelante</w:t>
      </w:r>
    </w:p>
    <w:p w:rsidR="00092E23" w:rsidRPr="0018552A" w:rsidRDefault="00092E23" w:rsidP="00092E23">
      <w:pPr>
        <w:widowControl w:val="0"/>
        <w:ind w:left="2880" w:hanging="2880"/>
        <w:jc w:val="both"/>
        <w:rPr>
          <w:sz w:val="20"/>
          <w:szCs w:val="20"/>
          <w:lang w:val="fr-CA"/>
        </w:rPr>
      </w:pPr>
      <w:r w:rsidRPr="0018552A">
        <w:rPr>
          <w:sz w:val="20"/>
          <w:szCs w:val="20"/>
          <w:lang w:val="fr-CA"/>
        </w:rPr>
        <w:tab/>
        <w:t>Christian Boutin pour l’intimée</w:t>
      </w:r>
    </w:p>
    <w:p w:rsidR="00A248C7" w:rsidRPr="00EB2C33" w:rsidRDefault="00A248C7" w:rsidP="00A248C7">
      <w:pPr>
        <w:tabs>
          <w:tab w:val="left" w:pos="-1440"/>
          <w:tab w:val="left" w:pos="-720"/>
        </w:tabs>
        <w:jc w:val="both"/>
        <w:rPr>
          <w:sz w:val="20"/>
          <w:szCs w:val="20"/>
        </w:rPr>
      </w:pPr>
    </w:p>
    <w:p w:rsidR="00A248C7" w:rsidRPr="00EB2C33" w:rsidRDefault="00586706" w:rsidP="00A248C7">
      <w:pPr>
        <w:tabs>
          <w:tab w:val="left" w:pos="-1440"/>
          <w:tab w:val="left" w:pos="-720"/>
        </w:tabs>
        <w:jc w:val="both"/>
        <w:rPr>
          <w:sz w:val="20"/>
          <w:szCs w:val="20"/>
        </w:rPr>
      </w:pPr>
      <w:r w:rsidRPr="00586706">
        <w:rPr>
          <w:sz w:val="20"/>
          <w:szCs w:val="20"/>
          <w:lang w:val="fr-CA"/>
        </w:rPr>
        <w:pict>
          <v:rect id="_x0000_i1101" style="width:2in;height:1pt" o:hrpct="0" o:hralign="center" o:hrstd="t" o:hrnoshade="t" o:hr="t" fillcolor="black [3213]" stroked="f"/>
        </w:pict>
      </w:r>
    </w:p>
    <w:p w:rsidR="00A248C7" w:rsidRPr="00EB2C33" w:rsidRDefault="00A248C7" w:rsidP="00A248C7">
      <w:pPr>
        <w:tabs>
          <w:tab w:val="left" w:pos="-1440"/>
          <w:tab w:val="left" w:pos="-720"/>
        </w:tabs>
        <w:jc w:val="both"/>
        <w:rPr>
          <w:sz w:val="20"/>
          <w:szCs w:val="20"/>
        </w:rPr>
      </w:pPr>
    </w:p>
    <w:p w:rsidR="00A248C7" w:rsidRPr="00EB2C33" w:rsidRDefault="00A248C7">
      <w:pPr>
        <w:rPr>
          <w:sz w:val="20"/>
          <w:szCs w:val="20"/>
        </w:rPr>
      </w:pPr>
      <w:r w:rsidRPr="00EB2C33">
        <w:rPr>
          <w:sz w:val="20"/>
          <w:szCs w:val="20"/>
        </w:rPr>
        <w:br w:type="page"/>
      </w:r>
    </w:p>
    <w:p w:rsidR="00710D34" w:rsidRPr="00D9563D" w:rsidRDefault="00586706" w:rsidP="00710D34">
      <w:pPr>
        <w:widowControl w:val="0"/>
        <w:ind w:left="720" w:hanging="720"/>
        <w:jc w:val="both"/>
        <w:rPr>
          <w:sz w:val="20"/>
          <w:szCs w:val="20"/>
        </w:rPr>
      </w:pPr>
      <w:r w:rsidRPr="00D9563D">
        <w:rPr>
          <w:b/>
          <w:sz w:val="20"/>
          <w:szCs w:val="20"/>
        </w:rPr>
        <w:lastRenderedPageBreak/>
        <w:fldChar w:fldCharType="begin"/>
      </w:r>
      <w:r w:rsidR="00710D34" w:rsidRPr="00D9563D">
        <w:rPr>
          <w:b/>
          <w:sz w:val="20"/>
          <w:szCs w:val="20"/>
        </w:rPr>
        <w:instrText xml:space="preserve"> SEQ CHAPTER \h \r 1</w:instrText>
      </w:r>
      <w:r w:rsidRPr="00D9563D">
        <w:rPr>
          <w:b/>
          <w:sz w:val="20"/>
          <w:szCs w:val="20"/>
        </w:rPr>
        <w:fldChar w:fldCharType="end"/>
      </w:r>
      <w:r w:rsidR="00710D34" w:rsidRPr="00D9563D">
        <w:rPr>
          <w:b/>
          <w:sz w:val="20"/>
          <w:szCs w:val="20"/>
        </w:rPr>
        <w:t>33874</w:t>
      </w:r>
      <w:r w:rsidR="00710D34" w:rsidRPr="00D9563D">
        <w:rPr>
          <w:sz w:val="20"/>
          <w:szCs w:val="20"/>
        </w:rPr>
        <w:tab/>
      </w:r>
      <w:r w:rsidR="00710D34" w:rsidRPr="00D9563D">
        <w:rPr>
          <w:b/>
          <w:i/>
          <w:sz w:val="20"/>
          <w:szCs w:val="20"/>
        </w:rPr>
        <w:t xml:space="preserve">Her Majesty the Queen v. GlaxoSmithKline Inc. </w:t>
      </w:r>
    </w:p>
    <w:p w:rsidR="00710D34" w:rsidRDefault="00710D34" w:rsidP="00710D34">
      <w:pPr>
        <w:widowControl w:val="0"/>
        <w:jc w:val="both"/>
        <w:rPr>
          <w:sz w:val="20"/>
          <w:szCs w:val="20"/>
        </w:rPr>
      </w:pPr>
    </w:p>
    <w:p w:rsidR="003812AD" w:rsidRPr="00B011FB" w:rsidRDefault="003812AD" w:rsidP="003812AD">
      <w:pPr>
        <w:widowControl w:val="0"/>
        <w:jc w:val="both"/>
        <w:rPr>
          <w:sz w:val="20"/>
          <w:szCs w:val="20"/>
        </w:rPr>
      </w:pPr>
      <w:r w:rsidRPr="00B011FB">
        <w:rPr>
          <w:sz w:val="20"/>
          <w:szCs w:val="20"/>
        </w:rPr>
        <w:t xml:space="preserve">Taxation </w:t>
      </w:r>
      <w:r w:rsidRPr="00B011FB">
        <w:rPr>
          <w:sz w:val="20"/>
          <w:szCs w:val="20"/>
        </w:rPr>
        <w:noBreakHyphen/>
        <w:t xml:space="preserve"> Income tax </w:t>
      </w:r>
      <w:r w:rsidRPr="00B011FB">
        <w:rPr>
          <w:sz w:val="20"/>
          <w:szCs w:val="20"/>
        </w:rPr>
        <w:noBreakHyphen/>
        <w:t xml:space="preserve"> Assessment </w:t>
      </w:r>
      <w:r w:rsidRPr="00B011FB">
        <w:rPr>
          <w:sz w:val="20"/>
          <w:szCs w:val="20"/>
        </w:rPr>
        <w:noBreakHyphen/>
        <w:t xml:space="preserve"> Transfer prices </w:t>
      </w:r>
      <w:r w:rsidRPr="00B011FB">
        <w:rPr>
          <w:sz w:val="20"/>
          <w:szCs w:val="20"/>
        </w:rPr>
        <w:noBreakHyphen/>
        <w:t xml:space="preserve"> Appeals </w:t>
      </w:r>
      <w:r w:rsidRPr="00B011FB">
        <w:rPr>
          <w:sz w:val="20"/>
          <w:szCs w:val="20"/>
        </w:rPr>
        <w:noBreakHyphen/>
        <w:t xml:space="preserve"> Minister of National Revenue reassessing taxpayer by increasing its income on basis that taxpayer had overpaid non</w:t>
      </w:r>
      <w:r w:rsidRPr="00B011FB">
        <w:rPr>
          <w:sz w:val="20"/>
          <w:szCs w:val="20"/>
        </w:rPr>
        <w:noBreakHyphen/>
        <w:t xml:space="preserve">arm’s length supplier for purchase of drug ingredient </w:t>
      </w:r>
      <w:r w:rsidRPr="00B011FB">
        <w:rPr>
          <w:sz w:val="20"/>
          <w:szCs w:val="20"/>
        </w:rPr>
        <w:noBreakHyphen/>
        <w:t xml:space="preserve"> Whether the Federal Court of Appeal erred by applying the reasonable business person test to the interpretation of s. 69(2) of the </w:t>
      </w:r>
      <w:r w:rsidRPr="00B011FB">
        <w:rPr>
          <w:i/>
          <w:sz w:val="20"/>
          <w:szCs w:val="20"/>
        </w:rPr>
        <w:t>Income Tax Act</w:t>
      </w:r>
      <w:r w:rsidRPr="00B011FB">
        <w:rPr>
          <w:sz w:val="20"/>
          <w:szCs w:val="20"/>
        </w:rPr>
        <w:t xml:space="preserve"> </w:t>
      </w:r>
      <w:r w:rsidRPr="00B011FB">
        <w:rPr>
          <w:sz w:val="20"/>
          <w:szCs w:val="20"/>
        </w:rPr>
        <w:noBreakHyphen/>
        <w:t xml:space="preserve"> Whether the Federal Court of Appeal erred in interpreting s. 69(2) by failing to apply the arm’s length principle on a transaction</w:t>
      </w:r>
      <w:r w:rsidRPr="00B011FB">
        <w:rPr>
          <w:sz w:val="20"/>
          <w:szCs w:val="20"/>
        </w:rPr>
        <w:noBreakHyphen/>
        <w:t>by</w:t>
      </w:r>
      <w:r w:rsidRPr="00B011FB">
        <w:rPr>
          <w:sz w:val="20"/>
          <w:szCs w:val="20"/>
        </w:rPr>
        <w:noBreakHyphen/>
        <w:t xml:space="preserve">transaction basis and on the basis that members of the multinational group are operating as separate entities </w:t>
      </w:r>
      <w:r w:rsidRPr="00B011FB">
        <w:rPr>
          <w:sz w:val="20"/>
          <w:szCs w:val="20"/>
        </w:rPr>
        <w:noBreakHyphen/>
        <w:t xml:space="preserve"> Whether the Federal Court of Appeal erred in ordering that the matter be returned to the trial judge for further determination </w:t>
      </w:r>
      <w:r w:rsidRPr="00B011FB">
        <w:rPr>
          <w:sz w:val="20"/>
          <w:szCs w:val="20"/>
        </w:rPr>
        <w:noBreakHyphen/>
        <w:t xml:space="preserve"> </w:t>
      </w:r>
      <w:r w:rsidRPr="00B011FB">
        <w:rPr>
          <w:i/>
          <w:sz w:val="20"/>
          <w:szCs w:val="20"/>
        </w:rPr>
        <w:t>Income Tax Act</w:t>
      </w:r>
      <w:r w:rsidRPr="00B011FB">
        <w:rPr>
          <w:sz w:val="20"/>
          <w:szCs w:val="20"/>
        </w:rPr>
        <w:t>, R.S.C. 1985 (5</w:t>
      </w:r>
      <w:r w:rsidRPr="00B011FB">
        <w:rPr>
          <w:sz w:val="20"/>
          <w:szCs w:val="20"/>
          <w:vertAlign w:val="superscript"/>
        </w:rPr>
        <w:t>th</w:t>
      </w:r>
      <w:r w:rsidRPr="00B011FB">
        <w:rPr>
          <w:sz w:val="20"/>
          <w:szCs w:val="20"/>
        </w:rPr>
        <w:t> Supp.), c. 1, s. 69(2).</w:t>
      </w:r>
    </w:p>
    <w:p w:rsidR="003812AD" w:rsidRDefault="003812AD" w:rsidP="00710D34">
      <w:pPr>
        <w:widowControl w:val="0"/>
        <w:jc w:val="both"/>
        <w:rPr>
          <w:sz w:val="20"/>
          <w:szCs w:val="20"/>
        </w:rPr>
      </w:pPr>
    </w:p>
    <w:p w:rsidR="00710D34" w:rsidRPr="00D9563D" w:rsidRDefault="00710D34" w:rsidP="00710D34">
      <w:pPr>
        <w:widowControl w:val="0"/>
        <w:jc w:val="both"/>
        <w:rPr>
          <w:sz w:val="20"/>
          <w:szCs w:val="20"/>
        </w:rPr>
      </w:pPr>
      <w:r w:rsidRPr="00D9563D">
        <w:rPr>
          <w:sz w:val="20"/>
          <w:szCs w:val="20"/>
        </w:rPr>
        <w:t>The Minister of National Revenue reassessed the respondent taxpayer by increasing its income on the basis that the taxpayer had overpaid its non</w:t>
      </w:r>
      <w:r w:rsidRPr="00D9563D">
        <w:rPr>
          <w:sz w:val="20"/>
          <w:szCs w:val="20"/>
        </w:rPr>
        <w:noBreakHyphen/>
        <w:t>arm’s length supplier for the purchase of ranitidine, the active pharmaceutical ingredient in a drug marketed by the taxpayer in Canada.  According to the Minister, a reasonable amount for the taxpayer to have paid for ranitidine was the price paid by other pharmaceutical companies that were selling generic versions of the drug.  The Tax Court of Canada upheld the reassessments except for minor upward adjustment to the price paid by the taxpayer.  The Federal Court of Appeal set aside the Tax Court decision and returned the matter for rehearing.</w:t>
      </w:r>
    </w:p>
    <w:p w:rsidR="00710D34" w:rsidRPr="00D9563D" w:rsidRDefault="00710D34" w:rsidP="00710D34">
      <w:pPr>
        <w:widowControl w:val="0"/>
        <w:jc w:val="both"/>
        <w:rPr>
          <w:sz w:val="20"/>
          <w:szCs w:val="20"/>
        </w:rPr>
      </w:pPr>
    </w:p>
    <w:p w:rsidR="00710D34" w:rsidRPr="00D9563D" w:rsidRDefault="00710D34" w:rsidP="00710D34">
      <w:pPr>
        <w:widowControl w:val="0"/>
        <w:jc w:val="both"/>
        <w:rPr>
          <w:sz w:val="20"/>
          <w:szCs w:val="20"/>
        </w:rPr>
      </w:pPr>
    </w:p>
    <w:p w:rsidR="00710D34" w:rsidRPr="00D9563D" w:rsidRDefault="00710D34" w:rsidP="00710D34">
      <w:pPr>
        <w:widowControl w:val="0"/>
        <w:ind w:left="2880" w:hanging="2880"/>
        <w:jc w:val="both"/>
        <w:rPr>
          <w:sz w:val="20"/>
          <w:szCs w:val="20"/>
        </w:rPr>
      </w:pPr>
      <w:r w:rsidRPr="00D9563D">
        <w:rPr>
          <w:sz w:val="20"/>
          <w:szCs w:val="20"/>
        </w:rPr>
        <w:t>Origin of the case:</w:t>
      </w:r>
      <w:r w:rsidRPr="00D9563D">
        <w:rPr>
          <w:sz w:val="20"/>
          <w:szCs w:val="20"/>
        </w:rPr>
        <w:tab/>
        <w:t>Federal Court of Appeal</w:t>
      </w:r>
    </w:p>
    <w:p w:rsidR="00710D34" w:rsidRPr="00D9563D" w:rsidRDefault="00710D34" w:rsidP="00710D34">
      <w:pPr>
        <w:widowControl w:val="0"/>
        <w:ind w:left="2880" w:hanging="2880"/>
        <w:jc w:val="both"/>
        <w:rPr>
          <w:sz w:val="20"/>
          <w:szCs w:val="20"/>
        </w:rPr>
      </w:pPr>
    </w:p>
    <w:p w:rsidR="00710D34" w:rsidRPr="00D9563D" w:rsidRDefault="00710D34" w:rsidP="00710D34">
      <w:pPr>
        <w:widowControl w:val="0"/>
        <w:ind w:left="2880" w:hanging="2880"/>
        <w:jc w:val="both"/>
        <w:rPr>
          <w:sz w:val="20"/>
          <w:szCs w:val="20"/>
        </w:rPr>
      </w:pPr>
      <w:r w:rsidRPr="00D9563D">
        <w:rPr>
          <w:sz w:val="20"/>
          <w:szCs w:val="20"/>
        </w:rPr>
        <w:t>File No.:</w:t>
      </w:r>
      <w:r w:rsidRPr="00D9563D">
        <w:rPr>
          <w:sz w:val="20"/>
          <w:szCs w:val="20"/>
        </w:rPr>
        <w:tab/>
        <w:t>33874</w:t>
      </w:r>
    </w:p>
    <w:p w:rsidR="00710D34" w:rsidRPr="00D9563D" w:rsidRDefault="00710D34" w:rsidP="00710D34">
      <w:pPr>
        <w:widowControl w:val="0"/>
        <w:ind w:left="2880" w:hanging="2880"/>
        <w:jc w:val="both"/>
        <w:rPr>
          <w:sz w:val="20"/>
          <w:szCs w:val="20"/>
        </w:rPr>
      </w:pPr>
    </w:p>
    <w:p w:rsidR="00710D34" w:rsidRPr="00D9563D" w:rsidRDefault="00710D34" w:rsidP="00710D34">
      <w:pPr>
        <w:widowControl w:val="0"/>
        <w:ind w:left="2880" w:hanging="2880"/>
        <w:jc w:val="both"/>
        <w:rPr>
          <w:sz w:val="20"/>
          <w:szCs w:val="20"/>
        </w:rPr>
      </w:pPr>
      <w:r w:rsidRPr="00D9563D">
        <w:rPr>
          <w:sz w:val="20"/>
          <w:szCs w:val="20"/>
        </w:rPr>
        <w:t>Judgment of the Court of Appeal:</w:t>
      </w:r>
      <w:r>
        <w:rPr>
          <w:sz w:val="20"/>
          <w:szCs w:val="20"/>
        </w:rPr>
        <w:tab/>
      </w:r>
      <w:r w:rsidRPr="00D9563D">
        <w:rPr>
          <w:sz w:val="20"/>
          <w:szCs w:val="20"/>
        </w:rPr>
        <w:t>July 26, 2010</w:t>
      </w:r>
    </w:p>
    <w:p w:rsidR="00710D34" w:rsidRPr="00D9563D" w:rsidRDefault="00710D34" w:rsidP="00710D34">
      <w:pPr>
        <w:widowControl w:val="0"/>
        <w:ind w:left="2880" w:hanging="2880"/>
        <w:jc w:val="both"/>
        <w:rPr>
          <w:sz w:val="20"/>
          <w:szCs w:val="20"/>
        </w:rPr>
      </w:pPr>
    </w:p>
    <w:p w:rsidR="00710D34" w:rsidRPr="00D9563D" w:rsidRDefault="00710D34" w:rsidP="00710D34">
      <w:pPr>
        <w:widowControl w:val="0"/>
        <w:ind w:left="2880" w:hanging="2880"/>
        <w:jc w:val="both"/>
        <w:rPr>
          <w:sz w:val="20"/>
          <w:szCs w:val="20"/>
        </w:rPr>
      </w:pPr>
      <w:r w:rsidRPr="00D9563D">
        <w:rPr>
          <w:sz w:val="20"/>
          <w:szCs w:val="20"/>
        </w:rPr>
        <w:t>Counsel:</w:t>
      </w:r>
      <w:r>
        <w:rPr>
          <w:sz w:val="20"/>
          <w:szCs w:val="20"/>
        </w:rPr>
        <w:tab/>
      </w:r>
      <w:r w:rsidRPr="00D9563D">
        <w:rPr>
          <w:sz w:val="20"/>
          <w:szCs w:val="20"/>
        </w:rPr>
        <w:t>Wendy Burnham, Eric Noble and Karen Janke for the appellant</w:t>
      </w:r>
    </w:p>
    <w:p w:rsidR="00710D34" w:rsidRPr="00D9563D" w:rsidRDefault="00710D34" w:rsidP="00710D34">
      <w:pPr>
        <w:widowControl w:val="0"/>
        <w:ind w:left="2880" w:hanging="2880"/>
        <w:jc w:val="both"/>
        <w:rPr>
          <w:sz w:val="20"/>
          <w:szCs w:val="20"/>
        </w:rPr>
      </w:pPr>
      <w:r>
        <w:rPr>
          <w:sz w:val="20"/>
          <w:szCs w:val="20"/>
        </w:rPr>
        <w:tab/>
      </w:r>
      <w:r w:rsidR="004061E0">
        <w:rPr>
          <w:sz w:val="20"/>
          <w:szCs w:val="20"/>
        </w:rPr>
        <w:t>Al Meghji</w:t>
      </w:r>
      <w:r w:rsidRPr="00D9563D">
        <w:rPr>
          <w:sz w:val="20"/>
          <w:szCs w:val="20"/>
        </w:rPr>
        <w:t>, Joseph M. Steiner, Amanda Heale and Pooja Samtani for the respondent</w:t>
      </w:r>
    </w:p>
    <w:p w:rsidR="00A248C7" w:rsidRPr="00EB2C33" w:rsidRDefault="00A248C7" w:rsidP="00A248C7">
      <w:pPr>
        <w:tabs>
          <w:tab w:val="left" w:pos="-1440"/>
          <w:tab w:val="left" w:pos="-720"/>
        </w:tabs>
        <w:jc w:val="both"/>
        <w:rPr>
          <w:sz w:val="20"/>
          <w:szCs w:val="20"/>
        </w:rPr>
      </w:pPr>
    </w:p>
    <w:p w:rsidR="00A248C7" w:rsidRPr="00EB2C33" w:rsidRDefault="00586706" w:rsidP="00A248C7">
      <w:pPr>
        <w:tabs>
          <w:tab w:val="left" w:pos="-1440"/>
          <w:tab w:val="left" w:pos="-720"/>
        </w:tabs>
        <w:jc w:val="both"/>
        <w:rPr>
          <w:sz w:val="20"/>
          <w:szCs w:val="20"/>
        </w:rPr>
      </w:pPr>
      <w:r w:rsidRPr="00586706">
        <w:rPr>
          <w:sz w:val="20"/>
          <w:szCs w:val="20"/>
          <w:lang w:val="fr-CA"/>
        </w:rPr>
        <w:pict>
          <v:rect id="_x0000_i1102" style="width:2in;height:1pt" o:hrpct="0" o:hralign="center" o:hrstd="t" o:hrnoshade="t" o:hr="t" fillcolor="black [3213]" stroked="f"/>
        </w:pict>
      </w:r>
    </w:p>
    <w:p w:rsidR="00A248C7" w:rsidRPr="00EB2C33" w:rsidRDefault="00A248C7" w:rsidP="00A248C7">
      <w:pPr>
        <w:tabs>
          <w:tab w:val="left" w:pos="-1440"/>
          <w:tab w:val="left" w:pos="-720"/>
        </w:tabs>
        <w:jc w:val="both"/>
        <w:rPr>
          <w:sz w:val="20"/>
          <w:szCs w:val="20"/>
        </w:rPr>
      </w:pPr>
    </w:p>
    <w:p w:rsidR="00A248C7" w:rsidRPr="00EB2C33" w:rsidRDefault="00A248C7">
      <w:pPr>
        <w:rPr>
          <w:sz w:val="20"/>
          <w:szCs w:val="20"/>
        </w:rPr>
      </w:pPr>
      <w:r w:rsidRPr="00EB2C33">
        <w:rPr>
          <w:sz w:val="20"/>
          <w:szCs w:val="20"/>
        </w:rPr>
        <w:br w:type="page"/>
      </w:r>
    </w:p>
    <w:p w:rsidR="007D726E" w:rsidRPr="00216B50" w:rsidRDefault="00586706" w:rsidP="007D726E">
      <w:pPr>
        <w:widowControl w:val="0"/>
        <w:ind w:left="720" w:hanging="720"/>
        <w:jc w:val="both"/>
        <w:rPr>
          <w:sz w:val="20"/>
          <w:szCs w:val="20"/>
          <w:lang w:val="fr-CA"/>
        </w:rPr>
      </w:pPr>
      <w:r w:rsidRPr="00216B50">
        <w:rPr>
          <w:b/>
          <w:sz w:val="20"/>
          <w:szCs w:val="20"/>
          <w:lang w:val="fr-CA"/>
        </w:rPr>
        <w:lastRenderedPageBreak/>
        <w:fldChar w:fldCharType="begin"/>
      </w:r>
      <w:r w:rsidR="007D726E" w:rsidRPr="00216B50">
        <w:rPr>
          <w:b/>
          <w:sz w:val="20"/>
          <w:szCs w:val="20"/>
          <w:lang w:val="fr-CA"/>
        </w:rPr>
        <w:instrText xml:space="preserve"> SEQ CHAPTER \h \r 1</w:instrText>
      </w:r>
      <w:r w:rsidRPr="00216B50">
        <w:rPr>
          <w:b/>
          <w:sz w:val="20"/>
          <w:szCs w:val="20"/>
          <w:lang w:val="fr-CA"/>
        </w:rPr>
        <w:fldChar w:fldCharType="end"/>
      </w:r>
      <w:r w:rsidR="007D726E" w:rsidRPr="00216B50">
        <w:rPr>
          <w:b/>
          <w:sz w:val="20"/>
          <w:szCs w:val="20"/>
          <w:lang w:val="fr-CA"/>
        </w:rPr>
        <w:t>33874</w:t>
      </w:r>
      <w:r w:rsidR="007D726E" w:rsidRPr="00216B50">
        <w:rPr>
          <w:sz w:val="20"/>
          <w:szCs w:val="20"/>
          <w:lang w:val="fr-CA"/>
        </w:rPr>
        <w:tab/>
      </w:r>
      <w:r w:rsidR="007D726E" w:rsidRPr="00216B50">
        <w:rPr>
          <w:b/>
          <w:i/>
          <w:sz w:val="20"/>
          <w:szCs w:val="20"/>
          <w:lang w:val="fr-CA"/>
        </w:rPr>
        <w:t xml:space="preserve">Sa Majesté la Reine c. GlaxoSmithKline Inc. </w:t>
      </w:r>
    </w:p>
    <w:p w:rsidR="007D726E" w:rsidRPr="00216B50" w:rsidRDefault="007D726E" w:rsidP="007D726E">
      <w:pPr>
        <w:widowControl w:val="0"/>
        <w:jc w:val="both"/>
        <w:rPr>
          <w:sz w:val="20"/>
          <w:szCs w:val="20"/>
          <w:lang w:val="fr-CA"/>
        </w:rPr>
      </w:pPr>
    </w:p>
    <w:p w:rsidR="007D726E" w:rsidRPr="00216B50" w:rsidRDefault="007D726E" w:rsidP="007D726E">
      <w:pPr>
        <w:widowControl w:val="0"/>
        <w:jc w:val="both"/>
        <w:rPr>
          <w:sz w:val="20"/>
          <w:szCs w:val="20"/>
          <w:lang w:val="fr-CA"/>
        </w:rPr>
      </w:pPr>
      <w:r w:rsidRPr="00216B50">
        <w:rPr>
          <w:sz w:val="20"/>
          <w:szCs w:val="20"/>
          <w:lang w:val="fr-CA"/>
        </w:rPr>
        <w:t xml:space="preserve">Droit fiscal </w:t>
      </w:r>
      <w:r w:rsidRPr="00216B50">
        <w:rPr>
          <w:sz w:val="20"/>
          <w:szCs w:val="20"/>
          <w:lang w:val="fr-CA"/>
        </w:rPr>
        <w:noBreakHyphen/>
        <w:t xml:space="preserve"> Impôt sur le revenu </w:t>
      </w:r>
      <w:r w:rsidRPr="00216B50">
        <w:rPr>
          <w:sz w:val="20"/>
          <w:szCs w:val="20"/>
          <w:lang w:val="fr-CA"/>
        </w:rPr>
        <w:noBreakHyphen/>
        <w:t xml:space="preserve"> Cotisation </w:t>
      </w:r>
      <w:r w:rsidRPr="00216B50">
        <w:rPr>
          <w:sz w:val="20"/>
          <w:szCs w:val="20"/>
          <w:lang w:val="fr-CA"/>
        </w:rPr>
        <w:noBreakHyphen/>
        <w:t xml:space="preserve"> Prix de transfert </w:t>
      </w:r>
      <w:r w:rsidRPr="00216B50">
        <w:rPr>
          <w:sz w:val="20"/>
          <w:szCs w:val="20"/>
          <w:lang w:val="fr-CA"/>
        </w:rPr>
        <w:noBreakHyphen/>
        <w:t xml:space="preserve"> Appels </w:t>
      </w:r>
      <w:r w:rsidRPr="00216B50">
        <w:rPr>
          <w:sz w:val="20"/>
          <w:szCs w:val="20"/>
          <w:lang w:val="fr-CA"/>
        </w:rPr>
        <w:noBreakHyphen/>
        <w:t xml:space="preserve"> Le ministre du Revenu national a établi de nouvelles cotisations à l’égard d’une contribuable en augmentant son revenu au motif qu’elle avait payé en trop le fournisseur avec lequel elle avait un lien de dépendance pour l’achat d’un ingrédient de médicament </w:t>
      </w:r>
      <w:r w:rsidRPr="00216B50">
        <w:rPr>
          <w:sz w:val="20"/>
          <w:szCs w:val="20"/>
          <w:lang w:val="fr-CA"/>
        </w:rPr>
        <w:noBreakHyphen/>
        <w:t xml:space="preserve"> La Cour d’appel fédérale a</w:t>
      </w:r>
      <w:r w:rsidRPr="00216B50">
        <w:rPr>
          <w:sz w:val="20"/>
          <w:szCs w:val="20"/>
          <w:lang w:val="fr-CA"/>
        </w:rPr>
        <w:noBreakHyphen/>
        <w:t>t</w:t>
      </w:r>
      <w:r w:rsidRPr="00216B50">
        <w:rPr>
          <w:sz w:val="20"/>
          <w:szCs w:val="20"/>
          <w:lang w:val="fr-CA"/>
        </w:rPr>
        <w:noBreakHyphen/>
        <w:t xml:space="preserve">elle eu tort d’appliquer le critère de l’homme ou de la femme d’affaires raisonnable à l’interprétation du par. 69(2) de la </w:t>
      </w:r>
      <w:r w:rsidRPr="00216B50">
        <w:rPr>
          <w:i/>
          <w:sz w:val="20"/>
          <w:szCs w:val="20"/>
          <w:lang w:val="fr-CA"/>
        </w:rPr>
        <w:t>Loi de l’impôt sur le revenu</w:t>
      </w:r>
      <w:r w:rsidRPr="00216B50">
        <w:rPr>
          <w:sz w:val="20"/>
          <w:szCs w:val="20"/>
          <w:lang w:val="fr-CA"/>
        </w:rPr>
        <w:t xml:space="preserve">? </w:t>
      </w:r>
      <w:r w:rsidRPr="00216B50">
        <w:rPr>
          <w:sz w:val="20"/>
          <w:szCs w:val="20"/>
          <w:lang w:val="fr-CA"/>
        </w:rPr>
        <w:noBreakHyphen/>
        <w:t xml:space="preserve"> La Cour d’appel fédérale a</w:t>
      </w:r>
      <w:r w:rsidRPr="00216B50">
        <w:rPr>
          <w:sz w:val="20"/>
          <w:szCs w:val="20"/>
          <w:lang w:val="fr-CA"/>
        </w:rPr>
        <w:noBreakHyphen/>
        <w:t>t</w:t>
      </w:r>
      <w:r w:rsidRPr="00216B50">
        <w:rPr>
          <w:sz w:val="20"/>
          <w:szCs w:val="20"/>
          <w:lang w:val="fr-CA"/>
        </w:rPr>
        <w:noBreakHyphen/>
        <w:t xml:space="preserve">elle commis une erreur dans l’interprétation du par. 69(2) en n’appliquant pas le principe du lien de dépendance opération par opération et compte tenu du fait que les membres du groupe multinational fonctionnent comme des entités distinctes? </w:t>
      </w:r>
      <w:r w:rsidRPr="00216B50">
        <w:rPr>
          <w:sz w:val="20"/>
          <w:szCs w:val="20"/>
          <w:lang w:val="fr-CA"/>
        </w:rPr>
        <w:noBreakHyphen/>
        <w:t xml:space="preserve"> La Cour d’appel fédérale a</w:t>
      </w:r>
      <w:r w:rsidRPr="00216B50">
        <w:rPr>
          <w:sz w:val="20"/>
          <w:szCs w:val="20"/>
          <w:lang w:val="fr-CA"/>
        </w:rPr>
        <w:noBreakHyphen/>
        <w:t>t</w:t>
      </w:r>
      <w:r w:rsidRPr="00216B50">
        <w:rPr>
          <w:sz w:val="20"/>
          <w:szCs w:val="20"/>
          <w:lang w:val="fr-CA"/>
        </w:rPr>
        <w:noBreakHyphen/>
        <w:t xml:space="preserve">elle eu tort de renvoyer l’affaire au juge de première instance pour qu’il statue de nouveau? </w:t>
      </w:r>
      <w:r w:rsidRPr="00216B50">
        <w:rPr>
          <w:sz w:val="20"/>
          <w:szCs w:val="20"/>
          <w:lang w:val="fr-CA"/>
        </w:rPr>
        <w:noBreakHyphen/>
        <w:t xml:space="preserve"> </w:t>
      </w:r>
      <w:r w:rsidRPr="00216B50">
        <w:rPr>
          <w:i/>
          <w:iCs/>
          <w:sz w:val="20"/>
          <w:szCs w:val="20"/>
          <w:lang w:val="fr-CA"/>
        </w:rPr>
        <w:t>Loi de l’impôt sur le revenu</w:t>
      </w:r>
      <w:r w:rsidRPr="00216B50">
        <w:rPr>
          <w:sz w:val="20"/>
          <w:szCs w:val="20"/>
          <w:lang w:val="fr-CA"/>
        </w:rPr>
        <w:t>, L.R.C. 1985 (5</w:t>
      </w:r>
      <w:r w:rsidRPr="00216B50">
        <w:rPr>
          <w:sz w:val="20"/>
          <w:szCs w:val="20"/>
          <w:vertAlign w:val="superscript"/>
          <w:lang w:val="fr-CA"/>
        </w:rPr>
        <w:t>e</w:t>
      </w:r>
      <w:r w:rsidRPr="00216B50">
        <w:rPr>
          <w:sz w:val="20"/>
          <w:szCs w:val="20"/>
          <w:lang w:val="fr-CA"/>
        </w:rPr>
        <w:t xml:space="preserve"> suppl.), ch. 1, par. 69(2).</w:t>
      </w:r>
    </w:p>
    <w:p w:rsidR="007D726E" w:rsidRDefault="007D726E" w:rsidP="007D726E">
      <w:pPr>
        <w:widowControl w:val="0"/>
        <w:jc w:val="both"/>
        <w:rPr>
          <w:sz w:val="20"/>
          <w:szCs w:val="20"/>
          <w:lang w:val="fr-CA"/>
        </w:rPr>
      </w:pPr>
    </w:p>
    <w:p w:rsidR="0068760C" w:rsidRPr="00A75FFB" w:rsidRDefault="0068760C" w:rsidP="0068760C">
      <w:pPr>
        <w:widowControl w:val="0"/>
        <w:jc w:val="both"/>
        <w:rPr>
          <w:sz w:val="20"/>
          <w:szCs w:val="20"/>
          <w:lang w:val="fr-CA"/>
        </w:rPr>
      </w:pPr>
      <w:r w:rsidRPr="00A75FFB">
        <w:rPr>
          <w:sz w:val="20"/>
          <w:szCs w:val="20"/>
          <w:lang w:val="fr-CA"/>
        </w:rPr>
        <w:t>Le ministre du Revenu national a établi de nouvelles cotisations à l'égard de la contribuable intimée en augmentant son revenu au motif qu’elle avait payé en trop le fournisseur avec lequel elle avait un lien de dépendance lorsqu'elle avait acheté de la ranitidine, l’ingrédient pharmaceutique actif d’un médicament que la contribuable commercialisait au Canada.  Selon le ministre, le montant raisonnable qu'aurait dû payer la contribuable afin d'obtenir la ranitidine était le prix payé par d’autres sociétés qui vendaient des versions génériques du médicament.  La Cour canadienne de l’impôt a confirmé les nouvelles cotisations, à l’exception d’un léger ajustement à la hausse du prix payé par le contribuable.  La Cour d’appel fédérale a annulé la décision de la Cour de l’impôt et a renvoyé l’affaire pour une nouvelle audience.</w:t>
      </w:r>
    </w:p>
    <w:p w:rsidR="007D726E" w:rsidRPr="00216B50" w:rsidRDefault="007D726E" w:rsidP="007D726E">
      <w:pPr>
        <w:widowControl w:val="0"/>
        <w:jc w:val="both"/>
        <w:rPr>
          <w:sz w:val="20"/>
          <w:szCs w:val="20"/>
          <w:lang w:val="fr-CA"/>
        </w:rPr>
      </w:pPr>
    </w:p>
    <w:p w:rsidR="007D726E" w:rsidRPr="00216B50" w:rsidRDefault="007D726E" w:rsidP="007D726E">
      <w:pPr>
        <w:widowControl w:val="0"/>
        <w:jc w:val="both"/>
        <w:rPr>
          <w:sz w:val="20"/>
          <w:szCs w:val="20"/>
          <w:lang w:val="fr-CA"/>
        </w:rPr>
      </w:pPr>
    </w:p>
    <w:p w:rsidR="007D726E" w:rsidRPr="00216B50" w:rsidRDefault="007D726E" w:rsidP="007D726E">
      <w:pPr>
        <w:widowControl w:val="0"/>
        <w:ind w:left="2880" w:hanging="2880"/>
        <w:jc w:val="both"/>
        <w:rPr>
          <w:sz w:val="20"/>
          <w:szCs w:val="20"/>
          <w:lang w:val="fr-CA"/>
        </w:rPr>
      </w:pPr>
      <w:r w:rsidRPr="00216B50">
        <w:rPr>
          <w:sz w:val="20"/>
          <w:szCs w:val="20"/>
          <w:lang w:val="fr-CA"/>
        </w:rPr>
        <w:t>Origine :</w:t>
      </w:r>
      <w:r w:rsidRPr="00216B50">
        <w:rPr>
          <w:sz w:val="20"/>
          <w:szCs w:val="20"/>
          <w:lang w:val="fr-CA"/>
        </w:rPr>
        <w:tab/>
        <w:t>Cour d’appel fédérale</w:t>
      </w:r>
    </w:p>
    <w:p w:rsidR="007D726E" w:rsidRPr="00216B50" w:rsidRDefault="007D726E" w:rsidP="007D726E">
      <w:pPr>
        <w:widowControl w:val="0"/>
        <w:ind w:left="2880" w:hanging="2880"/>
        <w:jc w:val="both"/>
        <w:rPr>
          <w:sz w:val="20"/>
          <w:szCs w:val="20"/>
          <w:lang w:val="fr-CA"/>
        </w:rPr>
      </w:pPr>
    </w:p>
    <w:p w:rsidR="007D726E" w:rsidRPr="00216B50" w:rsidRDefault="007D726E" w:rsidP="007D726E">
      <w:pPr>
        <w:widowControl w:val="0"/>
        <w:ind w:left="2880" w:hanging="2880"/>
        <w:jc w:val="both"/>
        <w:rPr>
          <w:sz w:val="20"/>
          <w:szCs w:val="20"/>
          <w:lang w:val="fr-CA"/>
        </w:rPr>
      </w:pPr>
      <w:r w:rsidRPr="00216B50">
        <w:rPr>
          <w:sz w:val="20"/>
          <w:szCs w:val="20"/>
          <w:lang w:val="fr-CA"/>
        </w:rPr>
        <w:t>N</w:t>
      </w:r>
      <w:r w:rsidRPr="00216B50">
        <w:rPr>
          <w:sz w:val="20"/>
          <w:szCs w:val="20"/>
          <w:vertAlign w:val="superscript"/>
          <w:lang w:val="fr-CA"/>
        </w:rPr>
        <w:t>o</w:t>
      </w:r>
      <w:r w:rsidRPr="00216B50">
        <w:rPr>
          <w:sz w:val="20"/>
          <w:szCs w:val="20"/>
          <w:lang w:val="fr-CA"/>
        </w:rPr>
        <w:t xml:space="preserve"> du greffe :</w:t>
      </w:r>
      <w:r w:rsidRPr="00216B50">
        <w:rPr>
          <w:sz w:val="20"/>
          <w:szCs w:val="20"/>
          <w:lang w:val="fr-CA"/>
        </w:rPr>
        <w:tab/>
        <w:t>33874</w:t>
      </w:r>
    </w:p>
    <w:p w:rsidR="007D726E" w:rsidRPr="00216B50" w:rsidRDefault="007D726E" w:rsidP="007D726E">
      <w:pPr>
        <w:widowControl w:val="0"/>
        <w:ind w:left="2880" w:hanging="2880"/>
        <w:jc w:val="both"/>
        <w:rPr>
          <w:sz w:val="20"/>
          <w:szCs w:val="20"/>
          <w:lang w:val="fr-CA"/>
        </w:rPr>
      </w:pPr>
    </w:p>
    <w:p w:rsidR="007D726E" w:rsidRPr="00216B50" w:rsidRDefault="007D726E" w:rsidP="007D726E">
      <w:pPr>
        <w:widowControl w:val="0"/>
        <w:ind w:left="2880" w:hanging="2880"/>
        <w:jc w:val="both"/>
        <w:rPr>
          <w:sz w:val="20"/>
          <w:szCs w:val="20"/>
          <w:lang w:val="fr-CA"/>
        </w:rPr>
      </w:pPr>
      <w:r w:rsidRPr="00216B50">
        <w:rPr>
          <w:sz w:val="20"/>
          <w:szCs w:val="20"/>
          <w:lang w:val="fr-CA"/>
        </w:rPr>
        <w:t>Arrêt de la Cour d’appel :</w:t>
      </w:r>
      <w:r>
        <w:rPr>
          <w:sz w:val="20"/>
          <w:szCs w:val="20"/>
          <w:lang w:val="fr-CA"/>
        </w:rPr>
        <w:tab/>
      </w:r>
      <w:r w:rsidRPr="00216B50">
        <w:rPr>
          <w:sz w:val="20"/>
          <w:szCs w:val="20"/>
          <w:lang w:val="fr-CA"/>
        </w:rPr>
        <w:t>le 26 juillet 2010</w:t>
      </w:r>
    </w:p>
    <w:p w:rsidR="007D726E" w:rsidRPr="00216B50" w:rsidRDefault="007D726E" w:rsidP="007D726E">
      <w:pPr>
        <w:widowControl w:val="0"/>
        <w:ind w:left="2880" w:hanging="2880"/>
        <w:jc w:val="both"/>
        <w:rPr>
          <w:sz w:val="20"/>
          <w:szCs w:val="20"/>
          <w:lang w:val="fr-CA"/>
        </w:rPr>
      </w:pPr>
    </w:p>
    <w:p w:rsidR="007D726E" w:rsidRPr="00216B50" w:rsidRDefault="007D726E" w:rsidP="007D726E">
      <w:pPr>
        <w:widowControl w:val="0"/>
        <w:ind w:left="2880" w:hanging="2880"/>
        <w:jc w:val="both"/>
        <w:rPr>
          <w:sz w:val="20"/>
          <w:szCs w:val="20"/>
          <w:lang w:val="fr-CA"/>
        </w:rPr>
      </w:pPr>
      <w:r w:rsidRPr="00216B50">
        <w:rPr>
          <w:sz w:val="20"/>
          <w:szCs w:val="20"/>
          <w:lang w:val="fr-CA"/>
        </w:rPr>
        <w:t>Avocats :</w:t>
      </w:r>
      <w:r w:rsidRPr="00216B50">
        <w:rPr>
          <w:sz w:val="20"/>
          <w:szCs w:val="20"/>
          <w:lang w:val="fr-CA"/>
        </w:rPr>
        <w:tab/>
        <w:t>Wendy Burnham, Eric Noble et Karen Janke pour l’appelante</w:t>
      </w:r>
    </w:p>
    <w:p w:rsidR="007D726E" w:rsidRPr="00216B50" w:rsidRDefault="007D726E" w:rsidP="007D726E">
      <w:pPr>
        <w:widowControl w:val="0"/>
        <w:ind w:left="2880" w:hanging="2880"/>
        <w:jc w:val="both"/>
        <w:rPr>
          <w:sz w:val="20"/>
          <w:szCs w:val="20"/>
          <w:lang w:val="fr-CA"/>
        </w:rPr>
      </w:pPr>
      <w:r>
        <w:rPr>
          <w:sz w:val="20"/>
          <w:szCs w:val="20"/>
          <w:lang w:val="fr-CA"/>
        </w:rPr>
        <w:tab/>
      </w:r>
      <w:r w:rsidR="004061E0">
        <w:rPr>
          <w:sz w:val="20"/>
          <w:szCs w:val="20"/>
          <w:lang w:val="fr-CA"/>
        </w:rPr>
        <w:t>Al Meghji,</w:t>
      </w:r>
      <w:r w:rsidRPr="00216B50">
        <w:rPr>
          <w:sz w:val="20"/>
          <w:szCs w:val="20"/>
          <w:lang w:val="fr-CA"/>
        </w:rPr>
        <w:t xml:space="preserve"> Joseph M. Steiner, Amanda Heale et Pooja Samtani pour l’intimée</w:t>
      </w:r>
    </w:p>
    <w:p w:rsidR="00A248C7" w:rsidRPr="007D726E" w:rsidRDefault="00A248C7" w:rsidP="00A248C7">
      <w:pPr>
        <w:tabs>
          <w:tab w:val="left" w:pos="-1440"/>
          <w:tab w:val="left" w:pos="-720"/>
        </w:tabs>
        <w:jc w:val="both"/>
        <w:rPr>
          <w:sz w:val="20"/>
          <w:szCs w:val="20"/>
          <w:lang w:val="fr-CA"/>
        </w:rPr>
      </w:pPr>
    </w:p>
    <w:p w:rsidR="00A248C7" w:rsidRPr="00EB2C33" w:rsidRDefault="00586706" w:rsidP="00A248C7">
      <w:pPr>
        <w:tabs>
          <w:tab w:val="left" w:pos="-1440"/>
          <w:tab w:val="left" w:pos="-720"/>
        </w:tabs>
        <w:jc w:val="both"/>
        <w:rPr>
          <w:sz w:val="20"/>
          <w:szCs w:val="20"/>
        </w:rPr>
      </w:pPr>
      <w:r w:rsidRPr="00586706">
        <w:rPr>
          <w:sz w:val="20"/>
          <w:szCs w:val="20"/>
          <w:lang w:val="fr-CA"/>
        </w:rPr>
        <w:pict>
          <v:rect id="_x0000_i1103" style="width:2in;height:1pt" o:hrpct="0" o:hralign="center" o:hrstd="t" o:hrnoshade="t" o:hr="t" fillcolor="black [3213]" stroked="f"/>
        </w:pict>
      </w:r>
    </w:p>
    <w:p w:rsidR="00A248C7" w:rsidRPr="00EB2C33" w:rsidRDefault="00A248C7" w:rsidP="00A248C7">
      <w:pPr>
        <w:tabs>
          <w:tab w:val="left" w:pos="-1440"/>
          <w:tab w:val="left" w:pos="-720"/>
        </w:tabs>
        <w:jc w:val="both"/>
        <w:rPr>
          <w:sz w:val="20"/>
          <w:szCs w:val="20"/>
        </w:rPr>
      </w:pPr>
    </w:p>
    <w:p w:rsidR="00A248C7" w:rsidRPr="00EB2C33" w:rsidRDefault="00A248C7">
      <w:pPr>
        <w:rPr>
          <w:sz w:val="20"/>
          <w:szCs w:val="20"/>
        </w:rPr>
      </w:pPr>
      <w:r w:rsidRPr="00EB2C33">
        <w:rPr>
          <w:sz w:val="20"/>
          <w:szCs w:val="20"/>
        </w:rPr>
        <w:br w:type="page"/>
      </w:r>
    </w:p>
    <w:p w:rsidR="00F10E4A" w:rsidRPr="00652994" w:rsidRDefault="00586706" w:rsidP="00F10E4A">
      <w:pPr>
        <w:widowControl w:val="0"/>
        <w:ind w:left="720" w:hanging="720"/>
        <w:jc w:val="both"/>
        <w:rPr>
          <w:sz w:val="20"/>
          <w:szCs w:val="20"/>
        </w:rPr>
      </w:pPr>
      <w:r w:rsidRPr="00081EE4">
        <w:rPr>
          <w:b/>
          <w:sz w:val="20"/>
          <w:szCs w:val="20"/>
        </w:rPr>
        <w:lastRenderedPageBreak/>
        <w:fldChar w:fldCharType="begin"/>
      </w:r>
      <w:r w:rsidR="008631AA" w:rsidRPr="00081EE4">
        <w:rPr>
          <w:b/>
          <w:sz w:val="20"/>
          <w:szCs w:val="20"/>
        </w:rPr>
        <w:instrText xml:space="preserve"> SEQ CHAPTER \h \r 1</w:instrText>
      </w:r>
      <w:r w:rsidRPr="00081EE4">
        <w:rPr>
          <w:b/>
          <w:sz w:val="20"/>
          <w:szCs w:val="20"/>
        </w:rPr>
        <w:fldChar w:fldCharType="end"/>
      </w:r>
      <w:r w:rsidR="008631AA" w:rsidRPr="00081EE4">
        <w:rPr>
          <w:b/>
          <w:sz w:val="20"/>
          <w:szCs w:val="20"/>
        </w:rPr>
        <w:t>33884</w:t>
      </w:r>
      <w:r w:rsidR="008631AA" w:rsidRPr="00081EE4">
        <w:rPr>
          <w:sz w:val="20"/>
          <w:szCs w:val="20"/>
        </w:rPr>
        <w:tab/>
      </w:r>
      <w:r w:rsidR="00F10E4A" w:rsidRPr="00652994">
        <w:rPr>
          <w:b/>
          <w:i/>
          <w:sz w:val="20"/>
          <w:szCs w:val="20"/>
        </w:rPr>
        <w:t xml:space="preserve">Alliance of Canadian Cinema, Television &amp; Radio Artists, Canadian Media Production Association, Directors Guild of Canada and Writers Guild of Canada v. Bell Aliant Regional Communications, LP, Bell Canada, Cogeco Cable Inc., MTS Allstream Inc., Rogers Communications Inc., Telus Communications Company and Videotron Ltd. (The </w:t>
      </w:r>
      <w:r w:rsidR="00F10E4A" w:rsidRPr="00652994">
        <w:rPr>
          <w:sz w:val="20"/>
          <w:szCs w:val="20"/>
        </w:rPr>
        <w:t>“</w:t>
      </w:r>
      <w:r w:rsidR="00F10E4A" w:rsidRPr="00652994">
        <w:rPr>
          <w:b/>
          <w:i/>
          <w:sz w:val="20"/>
          <w:szCs w:val="20"/>
        </w:rPr>
        <w:t>ISP Coalition</w:t>
      </w:r>
      <w:r w:rsidR="00F10E4A" w:rsidRPr="00652994">
        <w:rPr>
          <w:sz w:val="20"/>
          <w:szCs w:val="20"/>
        </w:rPr>
        <w:t>”</w:t>
      </w:r>
      <w:r w:rsidR="00F10E4A" w:rsidRPr="00652994">
        <w:rPr>
          <w:b/>
          <w:i/>
          <w:sz w:val="20"/>
          <w:szCs w:val="20"/>
        </w:rPr>
        <w:t>), Shaw Communications Inc.</w:t>
      </w:r>
    </w:p>
    <w:p w:rsidR="008631AA" w:rsidRPr="00081EE4" w:rsidRDefault="008631AA" w:rsidP="008631AA">
      <w:pPr>
        <w:widowControl w:val="0"/>
        <w:jc w:val="both"/>
        <w:rPr>
          <w:sz w:val="20"/>
          <w:szCs w:val="20"/>
        </w:rPr>
      </w:pPr>
    </w:p>
    <w:p w:rsidR="008631AA" w:rsidRPr="00081EE4" w:rsidRDefault="008631AA" w:rsidP="008631AA">
      <w:pPr>
        <w:widowControl w:val="0"/>
        <w:jc w:val="both"/>
        <w:rPr>
          <w:sz w:val="20"/>
          <w:szCs w:val="20"/>
        </w:rPr>
      </w:pPr>
      <w:r w:rsidRPr="00081EE4">
        <w:rPr>
          <w:sz w:val="20"/>
          <w:szCs w:val="20"/>
        </w:rPr>
        <w:t xml:space="preserve">Communications law </w:t>
      </w:r>
      <w:r w:rsidRPr="00081EE4">
        <w:rPr>
          <w:sz w:val="20"/>
          <w:szCs w:val="20"/>
        </w:rPr>
        <w:noBreakHyphen/>
        <w:t xml:space="preserve"> Broadcasting </w:t>
      </w:r>
      <w:r w:rsidRPr="00081EE4">
        <w:rPr>
          <w:sz w:val="20"/>
          <w:szCs w:val="20"/>
        </w:rPr>
        <w:noBreakHyphen/>
        <w:t xml:space="preserve"> Reference </w:t>
      </w:r>
      <w:r w:rsidRPr="00081EE4">
        <w:rPr>
          <w:sz w:val="20"/>
          <w:szCs w:val="20"/>
        </w:rPr>
        <w:noBreakHyphen/>
        <w:t xml:space="preserve"> Whether retail internet service providers (“ISPs”) carry on, in whole or in part, “broadcasting undertakings” subject to the </w:t>
      </w:r>
      <w:r w:rsidRPr="00081EE4">
        <w:rPr>
          <w:i/>
          <w:sz w:val="20"/>
          <w:szCs w:val="20"/>
        </w:rPr>
        <w:t>Broadcasting Act</w:t>
      </w:r>
      <w:r w:rsidRPr="00081EE4">
        <w:rPr>
          <w:sz w:val="20"/>
          <w:szCs w:val="20"/>
        </w:rPr>
        <w:t xml:space="preserve"> when, in their role as ISPs, they provide access through the Internet to “broadcasting” requested by end</w:t>
      </w:r>
      <w:r w:rsidRPr="00081EE4">
        <w:rPr>
          <w:sz w:val="20"/>
          <w:szCs w:val="20"/>
        </w:rPr>
        <w:noBreakHyphen/>
        <w:t xml:space="preserve">users </w:t>
      </w:r>
      <w:r w:rsidRPr="00081EE4">
        <w:rPr>
          <w:sz w:val="20"/>
          <w:szCs w:val="20"/>
        </w:rPr>
        <w:noBreakHyphen/>
        <w:t xml:space="preserve"> Whether the Federal Court of Appeal erred in law in its interpretation of the word “transmission” in s. 2 of the </w:t>
      </w:r>
      <w:r w:rsidRPr="00081EE4">
        <w:rPr>
          <w:i/>
          <w:sz w:val="20"/>
          <w:szCs w:val="20"/>
        </w:rPr>
        <w:t>Broadcasting Act</w:t>
      </w:r>
      <w:r w:rsidRPr="00081EE4">
        <w:rPr>
          <w:sz w:val="20"/>
          <w:szCs w:val="20"/>
        </w:rPr>
        <w:t xml:space="preserve"> </w:t>
      </w:r>
      <w:r w:rsidRPr="00081EE4">
        <w:rPr>
          <w:sz w:val="20"/>
          <w:szCs w:val="20"/>
        </w:rPr>
        <w:noBreakHyphen/>
        <w:t xml:space="preserve"> Whether the Federal Court of Appeal erred in holding that retail ISPs do not carry on “broadcasting undertakings” by reason of policy or considerations other than the wording of s. 2 of the </w:t>
      </w:r>
      <w:r w:rsidRPr="00081EE4">
        <w:rPr>
          <w:i/>
          <w:sz w:val="20"/>
          <w:szCs w:val="20"/>
        </w:rPr>
        <w:t>Broadcasting Act</w:t>
      </w:r>
      <w:r w:rsidRPr="00081EE4">
        <w:rPr>
          <w:sz w:val="20"/>
          <w:szCs w:val="20"/>
        </w:rPr>
        <w:t xml:space="preserve"> </w:t>
      </w:r>
      <w:r w:rsidRPr="00081EE4">
        <w:rPr>
          <w:sz w:val="20"/>
          <w:szCs w:val="20"/>
        </w:rPr>
        <w:noBreakHyphen/>
        <w:t xml:space="preserve"> </w:t>
      </w:r>
      <w:r w:rsidRPr="00081EE4">
        <w:rPr>
          <w:i/>
          <w:sz w:val="20"/>
          <w:szCs w:val="20"/>
        </w:rPr>
        <w:t>Broadcasting Act</w:t>
      </w:r>
      <w:r w:rsidRPr="00081EE4">
        <w:rPr>
          <w:sz w:val="20"/>
          <w:szCs w:val="20"/>
        </w:rPr>
        <w:t>, S.C. 1991, c. 11.</w:t>
      </w:r>
    </w:p>
    <w:p w:rsidR="008631AA" w:rsidRPr="00081EE4" w:rsidRDefault="008631AA" w:rsidP="008631AA">
      <w:pPr>
        <w:widowControl w:val="0"/>
        <w:jc w:val="both"/>
        <w:rPr>
          <w:sz w:val="20"/>
          <w:szCs w:val="20"/>
        </w:rPr>
      </w:pPr>
    </w:p>
    <w:p w:rsidR="008631AA" w:rsidRPr="00081EE4" w:rsidRDefault="008631AA" w:rsidP="008631AA">
      <w:pPr>
        <w:widowControl w:val="0"/>
        <w:jc w:val="both"/>
        <w:rPr>
          <w:sz w:val="20"/>
          <w:szCs w:val="20"/>
        </w:rPr>
      </w:pPr>
      <w:r w:rsidRPr="00081EE4">
        <w:rPr>
          <w:sz w:val="20"/>
          <w:szCs w:val="20"/>
        </w:rPr>
        <w:t>The Canadian Radio</w:t>
      </w:r>
      <w:r w:rsidRPr="00081EE4">
        <w:rPr>
          <w:sz w:val="20"/>
          <w:szCs w:val="20"/>
        </w:rPr>
        <w:noBreakHyphen/>
        <w:t xml:space="preserve">television and Telecommunications Commission applied to the Federal Court of Appeal for a reference to determine the status of Internet service providers (“ISPs”.)  The question was:  Do retail ISPs carry on, in whole or in part, “broadcasting undertakings” subject to the </w:t>
      </w:r>
      <w:r w:rsidRPr="00081EE4">
        <w:rPr>
          <w:i/>
          <w:sz w:val="20"/>
          <w:szCs w:val="20"/>
        </w:rPr>
        <w:t>Broadcasting Act</w:t>
      </w:r>
      <w:r w:rsidRPr="00081EE4">
        <w:rPr>
          <w:sz w:val="20"/>
          <w:szCs w:val="20"/>
        </w:rPr>
        <w:t>, S.C. 1991,c. 11 when, in their role as ISPs, they provide access through the Internet to “broadcasting” requested by end</w:t>
      </w:r>
      <w:r w:rsidRPr="00081EE4">
        <w:rPr>
          <w:sz w:val="20"/>
          <w:szCs w:val="20"/>
        </w:rPr>
        <w:noBreakHyphen/>
        <w:t>users?  The appellants took the position that the answer should be in the affirmative while the Respondents submitted that it should be answered in the negative.</w:t>
      </w:r>
    </w:p>
    <w:p w:rsidR="008631AA" w:rsidRPr="00081EE4" w:rsidRDefault="008631AA" w:rsidP="008631AA">
      <w:pPr>
        <w:widowControl w:val="0"/>
        <w:jc w:val="both"/>
        <w:rPr>
          <w:sz w:val="20"/>
          <w:szCs w:val="20"/>
        </w:rPr>
      </w:pPr>
    </w:p>
    <w:p w:rsidR="008631AA" w:rsidRPr="00081EE4" w:rsidRDefault="008631AA" w:rsidP="008631AA">
      <w:pPr>
        <w:widowControl w:val="0"/>
        <w:jc w:val="both"/>
        <w:rPr>
          <w:sz w:val="20"/>
          <w:szCs w:val="20"/>
        </w:rPr>
      </w:pPr>
    </w:p>
    <w:p w:rsidR="008631AA" w:rsidRPr="00081EE4" w:rsidRDefault="008631AA" w:rsidP="008631AA">
      <w:pPr>
        <w:widowControl w:val="0"/>
        <w:ind w:left="2880" w:hanging="2880"/>
        <w:jc w:val="both"/>
        <w:rPr>
          <w:sz w:val="20"/>
          <w:szCs w:val="20"/>
        </w:rPr>
      </w:pPr>
      <w:r w:rsidRPr="00081EE4">
        <w:rPr>
          <w:sz w:val="20"/>
          <w:szCs w:val="20"/>
        </w:rPr>
        <w:t>Origin of the case:</w:t>
      </w:r>
      <w:r w:rsidRPr="00081EE4">
        <w:rPr>
          <w:sz w:val="20"/>
          <w:szCs w:val="20"/>
        </w:rPr>
        <w:tab/>
        <w:t>Federal Court of Appeal</w:t>
      </w:r>
    </w:p>
    <w:p w:rsidR="008631AA" w:rsidRPr="00081EE4" w:rsidRDefault="008631AA" w:rsidP="008631AA">
      <w:pPr>
        <w:widowControl w:val="0"/>
        <w:ind w:left="2880" w:hanging="2880"/>
        <w:jc w:val="both"/>
        <w:rPr>
          <w:sz w:val="20"/>
          <w:szCs w:val="20"/>
        </w:rPr>
      </w:pPr>
    </w:p>
    <w:p w:rsidR="008631AA" w:rsidRPr="00081EE4" w:rsidRDefault="008631AA" w:rsidP="008631AA">
      <w:pPr>
        <w:widowControl w:val="0"/>
        <w:ind w:left="2880" w:hanging="2880"/>
        <w:jc w:val="both"/>
        <w:rPr>
          <w:sz w:val="20"/>
          <w:szCs w:val="20"/>
        </w:rPr>
      </w:pPr>
      <w:r w:rsidRPr="00081EE4">
        <w:rPr>
          <w:sz w:val="20"/>
          <w:szCs w:val="20"/>
        </w:rPr>
        <w:t>File No.:</w:t>
      </w:r>
      <w:r w:rsidRPr="00081EE4">
        <w:rPr>
          <w:sz w:val="20"/>
          <w:szCs w:val="20"/>
        </w:rPr>
        <w:tab/>
        <w:t>33884</w:t>
      </w:r>
    </w:p>
    <w:p w:rsidR="008631AA" w:rsidRPr="00081EE4" w:rsidRDefault="008631AA" w:rsidP="008631AA">
      <w:pPr>
        <w:widowControl w:val="0"/>
        <w:ind w:left="2880" w:hanging="2880"/>
        <w:jc w:val="both"/>
        <w:rPr>
          <w:sz w:val="20"/>
          <w:szCs w:val="20"/>
        </w:rPr>
      </w:pPr>
    </w:p>
    <w:p w:rsidR="008631AA" w:rsidRPr="00081EE4" w:rsidRDefault="008631AA" w:rsidP="008631AA">
      <w:pPr>
        <w:widowControl w:val="0"/>
        <w:ind w:left="2880" w:hanging="2880"/>
        <w:jc w:val="both"/>
        <w:rPr>
          <w:sz w:val="20"/>
          <w:szCs w:val="20"/>
        </w:rPr>
      </w:pPr>
      <w:r w:rsidRPr="00081EE4">
        <w:rPr>
          <w:sz w:val="20"/>
          <w:szCs w:val="20"/>
        </w:rPr>
        <w:t>Judgment of the Court of Appeal:</w:t>
      </w:r>
      <w:r>
        <w:rPr>
          <w:sz w:val="20"/>
          <w:szCs w:val="20"/>
        </w:rPr>
        <w:tab/>
      </w:r>
      <w:r w:rsidRPr="00081EE4">
        <w:rPr>
          <w:sz w:val="20"/>
          <w:szCs w:val="20"/>
        </w:rPr>
        <w:t>July 7, 2010</w:t>
      </w:r>
    </w:p>
    <w:p w:rsidR="008631AA" w:rsidRPr="00081EE4" w:rsidRDefault="008631AA" w:rsidP="008631AA">
      <w:pPr>
        <w:widowControl w:val="0"/>
        <w:ind w:left="2880" w:hanging="2880"/>
        <w:jc w:val="both"/>
        <w:rPr>
          <w:sz w:val="20"/>
          <w:szCs w:val="20"/>
        </w:rPr>
      </w:pPr>
    </w:p>
    <w:p w:rsidR="008631AA" w:rsidRPr="00081EE4" w:rsidRDefault="008631AA" w:rsidP="008631AA">
      <w:pPr>
        <w:widowControl w:val="0"/>
        <w:ind w:left="2880" w:hanging="2880"/>
        <w:jc w:val="both"/>
        <w:rPr>
          <w:sz w:val="20"/>
          <w:szCs w:val="20"/>
        </w:rPr>
      </w:pPr>
      <w:r w:rsidRPr="00081EE4">
        <w:rPr>
          <w:sz w:val="20"/>
          <w:szCs w:val="20"/>
        </w:rPr>
        <w:t>Counsel:</w:t>
      </w:r>
      <w:r w:rsidRPr="00081EE4">
        <w:rPr>
          <w:sz w:val="20"/>
          <w:szCs w:val="20"/>
        </w:rPr>
        <w:tab/>
        <w:t>Thomas G. Heintzman and Bram Abramson for the appellants</w:t>
      </w:r>
    </w:p>
    <w:p w:rsidR="008631AA" w:rsidRPr="00081EE4" w:rsidRDefault="008631AA" w:rsidP="008631AA">
      <w:pPr>
        <w:widowControl w:val="0"/>
        <w:ind w:left="2880" w:hanging="2880"/>
        <w:jc w:val="both"/>
        <w:rPr>
          <w:sz w:val="20"/>
          <w:szCs w:val="20"/>
        </w:rPr>
      </w:pPr>
      <w:r>
        <w:rPr>
          <w:sz w:val="20"/>
          <w:szCs w:val="20"/>
        </w:rPr>
        <w:tab/>
      </w:r>
      <w:proofErr w:type="gramStart"/>
      <w:r w:rsidRPr="00081EE4">
        <w:rPr>
          <w:sz w:val="20"/>
          <w:szCs w:val="20"/>
        </w:rPr>
        <w:t>Nicholas McHaffie for the respondent Shaw Communications Inc.</w:t>
      </w:r>
      <w:proofErr w:type="gramEnd"/>
    </w:p>
    <w:p w:rsidR="008631AA" w:rsidRPr="00081EE4" w:rsidRDefault="008631AA" w:rsidP="008631AA">
      <w:pPr>
        <w:widowControl w:val="0"/>
        <w:ind w:left="2880" w:hanging="2880"/>
        <w:jc w:val="both"/>
        <w:rPr>
          <w:sz w:val="20"/>
          <w:szCs w:val="20"/>
        </w:rPr>
      </w:pPr>
      <w:r>
        <w:rPr>
          <w:sz w:val="20"/>
          <w:szCs w:val="20"/>
        </w:rPr>
        <w:tab/>
      </w:r>
      <w:proofErr w:type="gramStart"/>
      <w:r w:rsidRPr="00081EE4">
        <w:rPr>
          <w:sz w:val="20"/>
          <w:szCs w:val="20"/>
        </w:rPr>
        <w:t>John B. Laskin and Yousuf Aftab for the respondents Bell Aliant Regional Communications et al.</w:t>
      </w:r>
      <w:proofErr w:type="gramEnd"/>
    </w:p>
    <w:p w:rsidR="00A248C7" w:rsidRPr="00EB2C33" w:rsidRDefault="00A248C7" w:rsidP="008631AA">
      <w:pPr>
        <w:tabs>
          <w:tab w:val="left" w:pos="-1440"/>
          <w:tab w:val="left" w:pos="-720"/>
        </w:tabs>
        <w:ind w:left="2880" w:hanging="2880"/>
        <w:jc w:val="both"/>
        <w:rPr>
          <w:sz w:val="20"/>
          <w:szCs w:val="20"/>
        </w:rPr>
      </w:pPr>
    </w:p>
    <w:p w:rsidR="00A248C7" w:rsidRDefault="00586706" w:rsidP="00A248C7">
      <w:pPr>
        <w:tabs>
          <w:tab w:val="left" w:pos="-1440"/>
          <w:tab w:val="left" w:pos="-720"/>
        </w:tabs>
        <w:jc w:val="both"/>
        <w:rPr>
          <w:sz w:val="20"/>
          <w:szCs w:val="20"/>
          <w:lang w:val="fr-CA"/>
        </w:rPr>
      </w:pPr>
      <w:r w:rsidRPr="00586706">
        <w:rPr>
          <w:sz w:val="20"/>
          <w:szCs w:val="20"/>
          <w:lang w:val="fr-CA"/>
        </w:rPr>
        <w:pict>
          <v:rect id="_x0000_i1104" style="width:2in;height:1pt" o:hrpct="0" o:hralign="center" o:hrstd="t" o:hrnoshade="t" o:hr="t" fillcolor="black [3213]" stroked="f"/>
        </w:pict>
      </w:r>
    </w:p>
    <w:p w:rsidR="00A248C7" w:rsidRPr="00DD0B49" w:rsidRDefault="00A248C7" w:rsidP="00A248C7">
      <w:pPr>
        <w:tabs>
          <w:tab w:val="left" w:pos="-1440"/>
          <w:tab w:val="left" w:pos="-720"/>
        </w:tabs>
        <w:jc w:val="both"/>
        <w:rPr>
          <w:sz w:val="20"/>
          <w:szCs w:val="20"/>
          <w:lang w:val="fr-CA"/>
        </w:rPr>
      </w:pPr>
    </w:p>
    <w:p w:rsidR="00A248C7" w:rsidRDefault="00A248C7">
      <w:pPr>
        <w:rPr>
          <w:sz w:val="20"/>
          <w:szCs w:val="20"/>
          <w:lang w:val="fr-CA"/>
        </w:rPr>
      </w:pPr>
      <w:r>
        <w:rPr>
          <w:sz w:val="20"/>
          <w:szCs w:val="20"/>
          <w:lang w:val="fr-CA"/>
        </w:rPr>
        <w:br w:type="page"/>
      </w:r>
    </w:p>
    <w:p w:rsidR="008631AA" w:rsidRPr="007C71C0" w:rsidRDefault="00586706" w:rsidP="008631AA">
      <w:pPr>
        <w:widowControl w:val="0"/>
        <w:ind w:left="720" w:hanging="720"/>
        <w:jc w:val="both"/>
        <w:rPr>
          <w:sz w:val="20"/>
          <w:szCs w:val="20"/>
          <w:lang w:val="fr-CA"/>
        </w:rPr>
      </w:pPr>
      <w:r w:rsidRPr="007C71C0">
        <w:rPr>
          <w:b/>
          <w:sz w:val="20"/>
          <w:szCs w:val="20"/>
          <w:lang w:val="fr-CA"/>
        </w:rPr>
        <w:lastRenderedPageBreak/>
        <w:fldChar w:fldCharType="begin"/>
      </w:r>
      <w:r w:rsidR="008631AA" w:rsidRPr="007C71C0">
        <w:rPr>
          <w:b/>
          <w:sz w:val="20"/>
          <w:szCs w:val="20"/>
          <w:lang w:val="fr-CA"/>
        </w:rPr>
        <w:instrText xml:space="preserve"> SEQ CHAPTER \h \r 1</w:instrText>
      </w:r>
      <w:r w:rsidRPr="007C71C0">
        <w:rPr>
          <w:b/>
          <w:sz w:val="20"/>
          <w:szCs w:val="20"/>
          <w:lang w:val="fr-CA"/>
        </w:rPr>
        <w:fldChar w:fldCharType="end"/>
      </w:r>
      <w:r w:rsidR="008631AA" w:rsidRPr="007C71C0">
        <w:rPr>
          <w:b/>
          <w:sz w:val="20"/>
          <w:szCs w:val="20"/>
          <w:lang w:val="fr-CA"/>
        </w:rPr>
        <w:t>33884</w:t>
      </w:r>
      <w:r w:rsidR="008631AA" w:rsidRPr="007C71C0">
        <w:rPr>
          <w:sz w:val="20"/>
          <w:szCs w:val="20"/>
          <w:lang w:val="fr-CA"/>
        </w:rPr>
        <w:tab/>
      </w:r>
      <w:r w:rsidR="008631AA" w:rsidRPr="007C71C0">
        <w:rPr>
          <w:b/>
          <w:i/>
          <w:sz w:val="20"/>
          <w:szCs w:val="20"/>
          <w:lang w:val="fr-CA"/>
        </w:rPr>
        <w:t>Alliance of Canadian Cinema, Television &amp; Radio Artists, l’Association canadienne de production de films et de télévision, la Guilde canadienne des réalisateurs et la Writers Guild of Canada c. Bell Aliant Communications régionales, LP, Bell Canada, Cogeco Cable Inc., MTS Allstream Inc., Rogers Communications Inc., Telus Communications Company et Vidéotron Ltée (la coalition des FSI), Shaw Communications Inc.</w:t>
      </w:r>
    </w:p>
    <w:p w:rsidR="008631AA" w:rsidRPr="007C71C0" w:rsidRDefault="008631AA" w:rsidP="008631AA">
      <w:pPr>
        <w:widowControl w:val="0"/>
        <w:jc w:val="both"/>
        <w:rPr>
          <w:sz w:val="20"/>
          <w:szCs w:val="20"/>
          <w:lang w:val="fr-CA"/>
        </w:rPr>
      </w:pPr>
    </w:p>
    <w:p w:rsidR="008631AA" w:rsidRPr="007C71C0" w:rsidRDefault="008631AA" w:rsidP="008631AA">
      <w:pPr>
        <w:widowControl w:val="0"/>
        <w:jc w:val="both"/>
        <w:rPr>
          <w:sz w:val="20"/>
          <w:szCs w:val="20"/>
          <w:lang w:val="fr-CA"/>
        </w:rPr>
      </w:pPr>
      <w:r w:rsidRPr="007C71C0">
        <w:rPr>
          <w:sz w:val="20"/>
          <w:szCs w:val="20"/>
          <w:lang w:val="fr-CA"/>
        </w:rPr>
        <w:t xml:space="preserve">Droit des communications </w:t>
      </w:r>
      <w:r w:rsidRPr="007C71C0">
        <w:rPr>
          <w:sz w:val="20"/>
          <w:szCs w:val="20"/>
          <w:lang w:val="fr-CA"/>
        </w:rPr>
        <w:noBreakHyphen/>
        <w:t xml:space="preserve"> Radiodiffusion </w:t>
      </w:r>
      <w:r w:rsidRPr="007C71C0">
        <w:rPr>
          <w:sz w:val="20"/>
          <w:szCs w:val="20"/>
          <w:lang w:val="fr-CA"/>
        </w:rPr>
        <w:noBreakHyphen/>
        <w:t xml:space="preserve"> Renvoi </w:t>
      </w:r>
      <w:r w:rsidRPr="007C71C0">
        <w:rPr>
          <w:sz w:val="20"/>
          <w:szCs w:val="20"/>
          <w:lang w:val="fr-CA"/>
        </w:rPr>
        <w:noBreakHyphen/>
        <w:t xml:space="preserve"> Les fournisseurs de services Internet (« FSI ») de détail exploitent</w:t>
      </w:r>
      <w:r w:rsidRPr="007C71C0">
        <w:rPr>
          <w:sz w:val="20"/>
          <w:szCs w:val="20"/>
          <w:lang w:val="fr-CA"/>
        </w:rPr>
        <w:noBreakHyphen/>
        <w:t xml:space="preserve">ils, en tout ou en partie, des « entreprises de radiodiffusion » assujetties à la </w:t>
      </w:r>
      <w:r w:rsidRPr="007C71C0">
        <w:rPr>
          <w:i/>
          <w:sz w:val="20"/>
          <w:szCs w:val="20"/>
          <w:lang w:val="fr-CA"/>
        </w:rPr>
        <w:t>Loi sur la radiodiffusion</w:t>
      </w:r>
      <w:r w:rsidRPr="007C71C0">
        <w:rPr>
          <w:sz w:val="20"/>
          <w:szCs w:val="20"/>
          <w:lang w:val="fr-CA"/>
        </w:rPr>
        <w:t xml:space="preserve">, lorsque, conformément à leur rôle comme FSI, ils fournissent l’accès par Internet à la « radiodiffusion » demandée par les utilisateurs finaux? </w:t>
      </w:r>
      <w:r w:rsidRPr="007C71C0">
        <w:rPr>
          <w:sz w:val="20"/>
          <w:szCs w:val="20"/>
          <w:lang w:val="fr-CA"/>
        </w:rPr>
        <w:noBreakHyphen/>
        <w:t xml:space="preserve"> La Cour d’appel fédérale a</w:t>
      </w:r>
      <w:r w:rsidRPr="007C71C0">
        <w:rPr>
          <w:sz w:val="20"/>
          <w:szCs w:val="20"/>
          <w:lang w:val="fr-CA"/>
        </w:rPr>
        <w:noBreakHyphen/>
        <w:t>t</w:t>
      </w:r>
      <w:r w:rsidRPr="007C71C0">
        <w:rPr>
          <w:sz w:val="20"/>
          <w:szCs w:val="20"/>
          <w:lang w:val="fr-CA"/>
        </w:rPr>
        <w:noBreakHyphen/>
        <w:t xml:space="preserve">elle commis une erreur de droit dans son interprétation de l’art. 2 de la </w:t>
      </w:r>
      <w:r w:rsidRPr="007C71C0">
        <w:rPr>
          <w:i/>
          <w:sz w:val="20"/>
          <w:szCs w:val="20"/>
          <w:lang w:val="fr-CA"/>
        </w:rPr>
        <w:t>Loi sur la radiodiffusion</w:t>
      </w:r>
      <w:r w:rsidRPr="007C71C0">
        <w:rPr>
          <w:sz w:val="20"/>
          <w:szCs w:val="20"/>
          <w:lang w:val="fr-CA"/>
        </w:rPr>
        <w:t xml:space="preserve">? </w:t>
      </w:r>
      <w:r w:rsidRPr="007C71C0">
        <w:rPr>
          <w:sz w:val="20"/>
          <w:szCs w:val="20"/>
          <w:lang w:val="fr-CA"/>
        </w:rPr>
        <w:noBreakHyphen/>
        <w:t xml:space="preserve"> La Cour d’appel fédérale a</w:t>
      </w:r>
      <w:r w:rsidRPr="007C71C0">
        <w:rPr>
          <w:sz w:val="20"/>
          <w:szCs w:val="20"/>
          <w:lang w:val="fr-CA"/>
        </w:rPr>
        <w:noBreakHyphen/>
        <w:t>t</w:t>
      </w:r>
      <w:r w:rsidRPr="007C71C0">
        <w:rPr>
          <w:sz w:val="20"/>
          <w:szCs w:val="20"/>
          <w:lang w:val="fr-CA"/>
        </w:rPr>
        <w:noBreakHyphen/>
        <w:t xml:space="preserve">elle eu tort de statuer que les FSI de détail n’exploitent pas des « entreprises de radiodiffusion » en raison de politiques ou de considérations autres que l’article 2 de la </w:t>
      </w:r>
      <w:r w:rsidRPr="007C71C0">
        <w:rPr>
          <w:i/>
          <w:sz w:val="20"/>
          <w:szCs w:val="20"/>
          <w:lang w:val="fr-CA"/>
        </w:rPr>
        <w:t>Loi sur la radiodiffusion</w:t>
      </w:r>
      <w:r w:rsidRPr="007C71C0">
        <w:rPr>
          <w:sz w:val="20"/>
          <w:szCs w:val="20"/>
          <w:lang w:val="fr-CA"/>
        </w:rPr>
        <w:t xml:space="preserve">? </w:t>
      </w:r>
      <w:r w:rsidRPr="007C71C0">
        <w:rPr>
          <w:sz w:val="20"/>
          <w:szCs w:val="20"/>
          <w:lang w:val="fr-CA"/>
        </w:rPr>
        <w:noBreakHyphen/>
        <w:t xml:space="preserve"> </w:t>
      </w:r>
      <w:r w:rsidRPr="007C71C0">
        <w:rPr>
          <w:i/>
          <w:sz w:val="20"/>
          <w:szCs w:val="20"/>
          <w:lang w:val="fr-CA"/>
        </w:rPr>
        <w:t>Loi sur la radiodiffusion</w:t>
      </w:r>
      <w:r w:rsidRPr="007C71C0">
        <w:rPr>
          <w:sz w:val="20"/>
          <w:szCs w:val="20"/>
          <w:lang w:val="fr-CA"/>
        </w:rPr>
        <w:t>, L.C. 1991, ch. 11.</w:t>
      </w:r>
    </w:p>
    <w:p w:rsidR="008631AA" w:rsidRPr="007C71C0" w:rsidRDefault="008631AA" w:rsidP="008631AA">
      <w:pPr>
        <w:widowControl w:val="0"/>
        <w:jc w:val="both"/>
        <w:rPr>
          <w:sz w:val="20"/>
          <w:szCs w:val="20"/>
          <w:lang w:val="fr-CA"/>
        </w:rPr>
      </w:pPr>
    </w:p>
    <w:p w:rsidR="008631AA" w:rsidRPr="007C71C0" w:rsidRDefault="008631AA" w:rsidP="008631AA">
      <w:pPr>
        <w:widowControl w:val="0"/>
        <w:jc w:val="both"/>
        <w:rPr>
          <w:sz w:val="20"/>
          <w:szCs w:val="20"/>
          <w:lang w:val="fr-CA"/>
        </w:rPr>
      </w:pPr>
      <w:r w:rsidRPr="007C71C0">
        <w:rPr>
          <w:sz w:val="20"/>
          <w:szCs w:val="20"/>
          <w:lang w:val="fr-CA"/>
        </w:rPr>
        <w:t xml:space="preserve">Le </w:t>
      </w:r>
      <w:r w:rsidRPr="007C71C0">
        <w:rPr>
          <w:bCs/>
          <w:sz w:val="20"/>
          <w:szCs w:val="20"/>
          <w:lang w:val="fr-CA"/>
        </w:rPr>
        <w:t>Conseil de la radiodiffusion et des télécommunications canadiennes</w:t>
      </w:r>
      <w:r w:rsidRPr="007C71C0">
        <w:rPr>
          <w:sz w:val="20"/>
          <w:szCs w:val="20"/>
          <w:lang w:val="fr-CA"/>
        </w:rPr>
        <w:t xml:space="preserve"> a présenté une demande de renvoi à la Cour d’appel fédérale.  Dans le cadre de ce renvoi, il a demandé à la Cour d’appel fédérale de déterminer le statut des fournisseurs de services Internet.  La question posée dans le cadre de ce renvoi était la suivante : Les fournisseurs de services Internet de détail exploitent</w:t>
      </w:r>
      <w:r w:rsidRPr="007C71C0">
        <w:rPr>
          <w:sz w:val="20"/>
          <w:szCs w:val="20"/>
          <w:lang w:val="fr-CA"/>
        </w:rPr>
        <w:noBreakHyphen/>
        <w:t xml:space="preserve">ils, en tout ou en partie, des « entreprises de radiodiffusion » assujetties à la </w:t>
      </w:r>
      <w:r w:rsidRPr="007C71C0">
        <w:rPr>
          <w:i/>
          <w:iCs/>
          <w:sz w:val="20"/>
          <w:szCs w:val="20"/>
          <w:lang w:val="fr-CA"/>
        </w:rPr>
        <w:t xml:space="preserve">Loi sur la radiodiffusion, </w:t>
      </w:r>
      <w:r w:rsidRPr="007C71C0">
        <w:rPr>
          <w:sz w:val="20"/>
          <w:szCs w:val="20"/>
          <w:lang w:val="fr-CA"/>
        </w:rPr>
        <w:t>L.C. 1991, ch. 11,</w:t>
      </w:r>
      <w:r w:rsidRPr="007C71C0">
        <w:rPr>
          <w:i/>
          <w:iCs/>
          <w:sz w:val="20"/>
          <w:szCs w:val="20"/>
          <w:lang w:val="fr-CA"/>
        </w:rPr>
        <w:t xml:space="preserve"> </w:t>
      </w:r>
      <w:r w:rsidRPr="007C71C0">
        <w:rPr>
          <w:sz w:val="20"/>
          <w:szCs w:val="20"/>
          <w:lang w:val="fr-CA"/>
        </w:rPr>
        <w:t>lorsque, conformément à leur rôle comme FSI, ils fournissent l’accès par Internet à la « radiodiffusion » demandée par les utilisateurs finaux? Les appelantes ont prétendu que la réponse à la question devrait être affirmative alors que les intimées ont prétendu qu’elle devrait être négative.</w:t>
      </w:r>
    </w:p>
    <w:p w:rsidR="008631AA" w:rsidRPr="007C71C0" w:rsidRDefault="008631AA" w:rsidP="008631AA">
      <w:pPr>
        <w:widowControl w:val="0"/>
        <w:jc w:val="both"/>
        <w:rPr>
          <w:sz w:val="20"/>
          <w:szCs w:val="20"/>
          <w:lang w:val="fr-CA"/>
        </w:rPr>
      </w:pPr>
    </w:p>
    <w:p w:rsidR="008631AA" w:rsidRPr="007C71C0" w:rsidRDefault="008631AA" w:rsidP="008631AA">
      <w:pPr>
        <w:widowControl w:val="0"/>
        <w:jc w:val="both"/>
        <w:rPr>
          <w:sz w:val="20"/>
          <w:szCs w:val="20"/>
          <w:lang w:val="fr-CA"/>
        </w:rPr>
      </w:pPr>
    </w:p>
    <w:p w:rsidR="008631AA" w:rsidRPr="007C71C0" w:rsidRDefault="008631AA" w:rsidP="008631AA">
      <w:pPr>
        <w:widowControl w:val="0"/>
        <w:ind w:left="2880" w:hanging="2880"/>
        <w:jc w:val="both"/>
        <w:rPr>
          <w:sz w:val="20"/>
          <w:szCs w:val="20"/>
          <w:lang w:val="fr-CA"/>
        </w:rPr>
      </w:pPr>
      <w:r w:rsidRPr="007C71C0">
        <w:rPr>
          <w:sz w:val="20"/>
          <w:szCs w:val="20"/>
          <w:lang w:val="fr-CA"/>
        </w:rPr>
        <w:t>Origine :</w:t>
      </w:r>
      <w:r w:rsidRPr="007C71C0">
        <w:rPr>
          <w:sz w:val="20"/>
          <w:szCs w:val="20"/>
          <w:lang w:val="fr-CA"/>
        </w:rPr>
        <w:tab/>
        <w:t>Cour d’appel fédérale</w:t>
      </w:r>
    </w:p>
    <w:p w:rsidR="008631AA" w:rsidRPr="007C71C0" w:rsidRDefault="008631AA" w:rsidP="008631AA">
      <w:pPr>
        <w:widowControl w:val="0"/>
        <w:ind w:left="2880" w:hanging="2880"/>
        <w:jc w:val="both"/>
        <w:rPr>
          <w:sz w:val="20"/>
          <w:szCs w:val="20"/>
          <w:lang w:val="fr-CA"/>
        </w:rPr>
      </w:pPr>
    </w:p>
    <w:p w:rsidR="008631AA" w:rsidRPr="007C71C0" w:rsidRDefault="008631AA" w:rsidP="008631AA">
      <w:pPr>
        <w:widowControl w:val="0"/>
        <w:ind w:left="2880" w:hanging="2880"/>
        <w:jc w:val="both"/>
        <w:rPr>
          <w:sz w:val="20"/>
          <w:szCs w:val="20"/>
          <w:lang w:val="fr-CA"/>
        </w:rPr>
      </w:pPr>
      <w:r w:rsidRPr="007C71C0">
        <w:rPr>
          <w:sz w:val="20"/>
          <w:szCs w:val="20"/>
          <w:lang w:val="fr-CA"/>
        </w:rPr>
        <w:t>N</w:t>
      </w:r>
      <w:r w:rsidRPr="007C71C0">
        <w:rPr>
          <w:sz w:val="20"/>
          <w:szCs w:val="20"/>
          <w:vertAlign w:val="superscript"/>
          <w:lang w:val="fr-CA"/>
        </w:rPr>
        <w:t>o</w:t>
      </w:r>
      <w:r w:rsidRPr="007C71C0">
        <w:rPr>
          <w:sz w:val="20"/>
          <w:szCs w:val="20"/>
          <w:lang w:val="fr-CA"/>
        </w:rPr>
        <w:t xml:space="preserve"> du greffe :</w:t>
      </w:r>
      <w:r w:rsidRPr="007C71C0">
        <w:rPr>
          <w:sz w:val="20"/>
          <w:szCs w:val="20"/>
          <w:lang w:val="fr-CA"/>
        </w:rPr>
        <w:tab/>
        <w:t>33884</w:t>
      </w:r>
    </w:p>
    <w:p w:rsidR="008631AA" w:rsidRPr="007C71C0" w:rsidRDefault="008631AA" w:rsidP="008631AA">
      <w:pPr>
        <w:widowControl w:val="0"/>
        <w:ind w:left="2880" w:hanging="2880"/>
        <w:jc w:val="both"/>
        <w:rPr>
          <w:sz w:val="20"/>
          <w:szCs w:val="20"/>
          <w:lang w:val="fr-CA"/>
        </w:rPr>
      </w:pPr>
    </w:p>
    <w:p w:rsidR="008631AA" w:rsidRPr="007C71C0" w:rsidRDefault="008631AA" w:rsidP="008631AA">
      <w:pPr>
        <w:widowControl w:val="0"/>
        <w:ind w:left="2880" w:hanging="2880"/>
        <w:jc w:val="both"/>
        <w:rPr>
          <w:sz w:val="20"/>
          <w:szCs w:val="20"/>
          <w:lang w:val="fr-CA"/>
        </w:rPr>
      </w:pPr>
      <w:r w:rsidRPr="007C71C0">
        <w:rPr>
          <w:sz w:val="20"/>
          <w:szCs w:val="20"/>
          <w:lang w:val="fr-CA"/>
        </w:rPr>
        <w:t>Arrêt de la Cour d’appel :</w:t>
      </w:r>
      <w:r>
        <w:rPr>
          <w:sz w:val="20"/>
          <w:szCs w:val="20"/>
          <w:lang w:val="fr-CA"/>
        </w:rPr>
        <w:tab/>
      </w:r>
      <w:r w:rsidRPr="007C71C0">
        <w:rPr>
          <w:sz w:val="20"/>
          <w:szCs w:val="20"/>
          <w:lang w:val="fr-CA"/>
        </w:rPr>
        <w:t>le 7 juillet 2010</w:t>
      </w:r>
    </w:p>
    <w:p w:rsidR="008631AA" w:rsidRPr="007C71C0" w:rsidRDefault="008631AA" w:rsidP="008631AA">
      <w:pPr>
        <w:widowControl w:val="0"/>
        <w:ind w:left="2880" w:hanging="2880"/>
        <w:jc w:val="both"/>
        <w:rPr>
          <w:sz w:val="20"/>
          <w:szCs w:val="20"/>
          <w:lang w:val="fr-CA"/>
        </w:rPr>
      </w:pPr>
    </w:p>
    <w:p w:rsidR="008631AA" w:rsidRPr="007C71C0" w:rsidRDefault="008631AA" w:rsidP="008631AA">
      <w:pPr>
        <w:widowControl w:val="0"/>
        <w:ind w:left="2880" w:hanging="2880"/>
        <w:jc w:val="both"/>
        <w:rPr>
          <w:sz w:val="20"/>
          <w:szCs w:val="20"/>
          <w:lang w:val="fr-CA"/>
        </w:rPr>
      </w:pPr>
      <w:r w:rsidRPr="007C71C0">
        <w:rPr>
          <w:sz w:val="20"/>
          <w:szCs w:val="20"/>
          <w:lang w:val="fr-CA"/>
        </w:rPr>
        <w:t>Avocats :</w:t>
      </w:r>
      <w:r w:rsidRPr="007C71C0">
        <w:rPr>
          <w:sz w:val="20"/>
          <w:szCs w:val="20"/>
          <w:lang w:val="fr-CA"/>
        </w:rPr>
        <w:tab/>
        <w:t>Thomas G. Heintzman et Bram Abramson pour les appelantes</w:t>
      </w:r>
    </w:p>
    <w:p w:rsidR="008631AA" w:rsidRPr="007C71C0" w:rsidRDefault="008631AA" w:rsidP="008631AA">
      <w:pPr>
        <w:widowControl w:val="0"/>
        <w:ind w:left="2880" w:hanging="2880"/>
        <w:jc w:val="both"/>
        <w:rPr>
          <w:sz w:val="20"/>
          <w:szCs w:val="20"/>
          <w:lang w:val="fr-CA"/>
        </w:rPr>
      </w:pPr>
      <w:r>
        <w:rPr>
          <w:sz w:val="20"/>
          <w:szCs w:val="20"/>
          <w:lang w:val="fr-CA"/>
        </w:rPr>
        <w:tab/>
      </w:r>
      <w:r w:rsidRPr="007C71C0">
        <w:rPr>
          <w:sz w:val="20"/>
          <w:szCs w:val="20"/>
          <w:lang w:val="fr-CA"/>
        </w:rPr>
        <w:t>Nicholas McHaffie pour l’intimée Shaw Communications Inc.</w:t>
      </w:r>
    </w:p>
    <w:p w:rsidR="008631AA" w:rsidRPr="007C71C0" w:rsidRDefault="008631AA" w:rsidP="008631AA">
      <w:pPr>
        <w:widowControl w:val="0"/>
        <w:ind w:left="2880" w:hanging="2880"/>
        <w:jc w:val="both"/>
        <w:rPr>
          <w:sz w:val="20"/>
          <w:szCs w:val="20"/>
          <w:lang w:val="fr-CA"/>
        </w:rPr>
      </w:pPr>
      <w:r>
        <w:rPr>
          <w:sz w:val="20"/>
          <w:szCs w:val="20"/>
          <w:lang w:val="fr-CA"/>
        </w:rPr>
        <w:tab/>
      </w:r>
      <w:r w:rsidRPr="007C71C0">
        <w:rPr>
          <w:sz w:val="20"/>
          <w:szCs w:val="20"/>
          <w:lang w:val="fr-CA"/>
        </w:rPr>
        <w:t>John B. Laskin et Yousuf Aftab pour les intimées Bell Aliant Regional Communications et al.</w:t>
      </w:r>
    </w:p>
    <w:p w:rsidR="00A248C7" w:rsidRDefault="00A248C7" w:rsidP="00A248C7">
      <w:pPr>
        <w:tabs>
          <w:tab w:val="left" w:pos="-1440"/>
          <w:tab w:val="left" w:pos="-720"/>
        </w:tabs>
        <w:jc w:val="both"/>
        <w:rPr>
          <w:sz w:val="20"/>
          <w:szCs w:val="20"/>
          <w:lang w:val="fr-CA"/>
        </w:rPr>
      </w:pPr>
    </w:p>
    <w:p w:rsidR="00A248C7" w:rsidRDefault="00586706" w:rsidP="00A248C7">
      <w:pPr>
        <w:tabs>
          <w:tab w:val="left" w:pos="-1440"/>
          <w:tab w:val="left" w:pos="-720"/>
        </w:tabs>
        <w:jc w:val="both"/>
        <w:rPr>
          <w:sz w:val="20"/>
          <w:szCs w:val="20"/>
          <w:lang w:val="fr-CA"/>
        </w:rPr>
      </w:pPr>
      <w:r w:rsidRPr="00586706">
        <w:rPr>
          <w:sz w:val="20"/>
          <w:szCs w:val="20"/>
          <w:lang w:val="fr-CA"/>
        </w:rPr>
        <w:pict>
          <v:rect id="_x0000_i1105" style="width:2in;height:1pt" o:hrpct="0" o:hralign="center" o:hrstd="t" o:hrnoshade="t" o:hr="t" fillcolor="black [3213]" stroked="f"/>
        </w:pict>
      </w:r>
    </w:p>
    <w:p w:rsidR="00A248C7" w:rsidRPr="00DD0B49" w:rsidRDefault="00A248C7" w:rsidP="00A248C7">
      <w:pPr>
        <w:tabs>
          <w:tab w:val="left" w:pos="-1440"/>
          <w:tab w:val="left" w:pos="-720"/>
        </w:tabs>
        <w:jc w:val="both"/>
        <w:rPr>
          <w:sz w:val="20"/>
          <w:szCs w:val="20"/>
          <w:lang w:val="fr-CA"/>
        </w:rPr>
      </w:pPr>
    </w:p>
    <w:p w:rsidR="00A248C7" w:rsidRDefault="00A248C7">
      <w:pPr>
        <w:rPr>
          <w:sz w:val="20"/>
          <w:szCs w:val="20"/>
          <w:lang w:val="fr-CA"/>
        </w:rPr>
      </w:pPr>
      <w:r>
        <w:rPr>
          <w:sz w:val="20"/>
          <w:szCs w:val="20"/>
          <w:lang w:val="fr-CA"/>
        </w:rPr>
        <w:br w:type="page"/>
      </w:r>
    </w:p>
    <w:p w:rsidR="00562722" w:rsidRPr="0048607A" w:rsidRDefault="00586706" w:rsidP="00562722">
      <w:pPr>
        <w:widowControl w:val="0"/>
        <w:ind w:left="720" w:hanging="720"/>
        <w:jc w:val="both"/>
        <w:rPr>
          <w:sz w:val="20"/>
          <w:szCs w:val="20"/>
          <w:lang w:val="fr-CA"/>
        </w:rPr>
      </w:pPr>
      <w:r w:rsidRPr="0048607A">
        <w:rPr>
          <w:b/>
          <w:sz w:val="20"/>
          <w:szCs w:val="20"/>
        </w:rPr>
        <w:lastRenderedPageBreak/>
        <w:fldChar w:fldCharType="begin"/>
      </w:r>
      <w:r w:rsidR="00562722" w:rsidRPr="0048607A">
        <w:rPr>
          <w:b/>
          <w:sz w:val="20"/>
          <w:szCs w:val="20"/>
          <w:lang w:val="fr-CA"/>
        </w:rPr>
        <w:instrText xml:space="preserve"> SEQ CHAPTER \h \r 1</w:instrText>
      </w:r>
      <w:r w:rsidRPr="0048607A">
        <w:rPr>
          <w:b/>
          <w:sz w:val="20"/>
          <w:szCs w:val="20"/>
        </w:rPr>
        <w:fldChar w:fldCharType="end"/>
      </w:r>
      <w:r w:rsidR="00562722" w:rsidRPr="0048607A">
        <w:rPr>
          <w:b/>
          <w:sz w:val="20"/>
          <w:szCs w:val="20"/>
          <w:lang w:val="fr-CA"/>
        </w:rPr>
        <w:t>33935</w:t>
      </w:r>
      <w:r w:rsidR="00562722" w:rsidRPr="0048607A">
        <w:rPr>
          <w:sz w:val="20"/>
          <w:szCs w:val="20"/>
          <w:lang w:val="fr-CA"/>
        </w:rPr>
        <w:tab/>
      </w:r>
      <w:r w:rsidR="00562722" w:rsidRPr="0048607A">
        <w:rPr>
          <w:b/>
          <w:i/>
          <w:sz w:val="20"/>
          <w:szCs w:val="20"/>
          <w:lang w:val="fr-CA"/>
        </w:rPr>
        <w:t>Tessier Ltée v. Commission de la santé et de la sécurité du travail</w:t>
      </w:r>
    </w:p>
    <w:p w:rsidR="00562722" w:rsidRPr="0048607A" w:rsidRDefault="00562722" w:rsidP="00562722">
      <w:pPr>
        <w:widowControl w:val="0"/>
        <w:jc w:val="both"/>
        <w:rPr>
          <w:sz w:val="20"/>
          <w:szCs w:val="20"/>
          <w:lang w:val="fr-CA"/>
        </w:rPr>
      </w:pPr>
    </w:p>
    <w:p w:rsidR="00562722" w:rsidRPr="0048607A" w:rsidRDefault="00562722" w:rsidP="00562722">
      <w:pPr>
        <w:widowControl w:val="0"/>
        <w:jc w:val="both"/>
        <w:rPr>
          <w:sz w:val="20"/>
          <w:szCs w:val="20"/>
        </w:rPr>
      </w:pPr>
      <w:r w:rsidRPr="0048607A">
        <w:rPr>
          <w:sz w:val="20"/>
          <w:szCs w:val="20"/>
        </w:rPr>
        <w:t xml:space="preserve">Constitutional law </w:t>
      </w:r>
      <w:r w:rsidRPr="0048607A">
        <w:rPr>
          <w:sz w:val="20"/>
          <w:szCs w:val="20"/>
        </w:rPr>
        <w:noBreakHyphen/>
        <w:t xml:space="preserve"> Division of powers </w:t>
      </w:r>
      <w:r w:rsidRPr="0048607A">
        <w:rPr>
          <w:sz w:val="20"/>
          <w:szCs w:val="20"/>
        </w:rPr>
        <w:noBreakHyphen/>
        <w:t xml:space="preserve"> Labour relations </w:t>
      </w:r>
      <w:r w:rsidRPr="0048607A">
        <w:rPr>
          <w:sz w:val="20"/>
          <w:szCs w:val="20"/>
        </w:rPr>
        <w:noBreakHyphen/>
        <w:t xml:space="preserve"> Stevedoring </w:t>
      </w:r>
      <w:r w:rsidRPr="0048607A">
        <w:rPr>
          <w:sz w:val="20"/>
          <w:szCs w:val="20"/>
        </w:rPr>
        <w:noBreakHyphen/>
        <w:t xml:space="preserve"> Company carrying on single undertaking and normally and habitually providing crane and heavy equipment rental services in Quebec and, to lesser extent, stevedoring services </w:t>
      </w:r>
      <w:r w:rsidRPr="0048607A">
        <w:rPr>
          <w:sz w:val="20"/>
          <w:szCs w:val="20"/>
        </w:rPr>
        <w:noBreakHyphen/>
        <w:t xml:space="preserve"> Whether undertaking should be characterized as federal </w:t>
      </w:r>
      <w:r w:rsidRPr="0048607A">
        <w:rPr>
          <w:sz w:val="20"/>
          <w:szCs w:val="20"/>
        </w:rPr>
        <w:noBreakHyphen/>
        <w:t xml:space="preserve"> </w:t>
      </w:r>
      <w:r w:rsidRPr="0048607A">
        <w:rPr>
          <w:i/>
          <w:sz w:val="20"/>
          <w:szCs w:val="20"/>
        </w:rPr>
        <w:t>Constitution Act, 1867</w:t>
      </w:r>
      <w:r w:rsidRPr="0048607A">
        <w:rPr>
          <w:sz w:val="20"/>
          <w:szCs w:val="20"/>
        </w:rPr>
        <w:t>, ss. 91(10) and 92(10).</w:t>
      </w:r>
    </w:p>
    <w:p w:rsidR="00562722" w:rsidRPr="0048607A" w:rsidRDefault="00562722" w:rsidP="00562722">
      <w:pPr>
        <w:widowControl w:val="0"/>
        <w:jc w:val="both"/>
        <w:rPr>
          <w:sz w:val="20"/>
          <w:szCs w:val="20"/>
        </w:rPr>
      </w:pPr>
    </w:p>
    <w:p w:rsidR="00562722" w:rsidRPr="0048607A" w:rsidRDefault="00562722" w:rsidP="00562722">
      <w:pPr>
        <w:widowControl w:val="0"/>
        <w:jc w:val="both"/>
        <w:rPr>
          <w:sz w:val="20"/>
          <w:szCs w:val="20"/>
        </w:rPr>
      </w:pPr>
      <w:r w:rsidRPr="0048607A">
        <w:rPr>
          <w:sz w:val="20"/>
          <w:szCs w:val="20"/>
        </w:rPr>
        <w:t xml:space="preserve">The appellant, Tessier ltée, carried on an undertaking in which it rented cranes for various purposes, including the loading and unloading of ships.  It also engaged in road transportation and maintained and repaired equipment.  In 2007, the respondent decided that, for 2006, Tessier’s activities were within the province’s jurisdiction over labour relations because they could not be linked to any field of federal jurisdiction.  Tessier unsuccessfully contested that decision before the Commission des lésions professionnelles, which found that the evidence did not show that Tessier’s raison d’être fell within federal jurisdiction.  The CLP held that Tessier was not a transportation undertaking for the purposes of s. 92(10) of the </w:t>
      </w:r>
      <w:r w:rsidRPr="0048607A">
        <w:rPr>
          <w:i/>
          <w:sz w:val="20"/>
          <w:szCs w:val="20"/>
        </w:rPr>
        <w:t>Constitution Act, 1867</w:t>
      </w:r>
      <w:r w:rsidRPr="0048607A">
        <w:rPr>
          <w:sz w:val="20"/>
          <w:szCs w:val="20"/>
        </w:rPr>
        <w:t xml:space="preserve"> and that the fact that stevedoring was one component of the undertaking did not suffice for it to be characterized as a federal undertaking.  The CLP also noted that Tessier’s operations were not isolated from one another and that the employees could be interchanged among sectors — in short, that the undertaking was indivisible.  On judicial review, the Superior Court reversed the CLP’s decision, holding that Tessier was a federal undertaking because it had been established that it was an indivisible undertaking normally and habitually engaged in an activity — stevedoring — within federal jurisdiction.  The Court of Appeal restored the CLP’s decision.  In the court’s view, the undertaking was provincial in nature and, absent evidence that it was incorporated into a federal undertaking, the presumption that it fell under the province’s jurisdiction over labour relations had not been rebutted.  The court noted that the existence of a federal undertaking had to be shown before it could be argued that Tessier was indivisible.  Stevedoring was only a minor part of Tessier’s activities and was incorporated into the company’s broader equipment rental activities.</w:t>
      </w:r>
    </w:p>
    <w:p w:rsidR="00562722" w:rsidRPr="0048607A" w:rsidRDefault="00562722" w:rsidP="00562722">
      <w:pPr>
        <w:widowControl w:val="0"/>
        <w:jc w:val="both"/>
        <w:rPr>
          <w:sz w:val="20"/>
          <w:szCs w:val="20"/>
        </w:rPr>
      </w:pPr>
    </w:p>
    <w:p w:rsidR="00562722" w:rsidRPr="0048607A" w:rsidRDefault="00562722" w:rsidP="00562722">
      <w:pPr>
        <w:widowControl w:val="0"/>
        <w:jc w:val="both"/>
        <w:rPr>
          <w:sz w:val="20"/>
          <w:szCs w:val="20"/>
        </w:rPr>
      </w:pPr>
    </w:p>
    <w:p w:rsidR="00562722" w:rsidRPr="0048607A" w:rsidRDefault="00562722" w:rsidP="00562722">
      <w:pPr>
        <w:widowControl w:val="0"/>
        <w:ind w:left="2880" w:hanging="2880"/>
        <w:jc w:val="both"/>
        <w:rPr>
          <w:sz w:val="20"/>
          <w:szCs w:val="20"/>
        </w:rPr>
      </w:pPr>
      <w:r w:rsidRPr="0048607A">
        <w:rPr>
          <w:sz w:val="20"/>
          <w:szCs w:val="20"/>
        </w:rPr>
        <w:t>Origin of the case:</w:t>
      </w:r>
      <w:r w:rsidRPr="0048607A">
        <w:rPr>
          <w:sz w:val="20"/>
          <w:szCs w:val="20"/>
        </w:rPr>
        <w:tab/>
        <w:t>Quebec</w:t>
      </w:r>
    </w:p>
    <w:p w:rsidR="00562722" w:rsidRPr="0048607A" w:rsidRDefault="00562722" w:rsidP="00562722">
      <w:pPr>
        <w:widowControl w:val="0"/>
        <w:ind w:left="2880" w:hanging="2880"/>
        <w:jc w:val="both"/>
        <w:rPr>
          <w:sz w:val="20"/>
          <w:szCs w:val="20"/>
        </w:rPr>
      </w:pPr>
    </w:p>
    <w:p w:rsidR="00562722" w:rsidRPr="0048607A" w:rsidRDefault="00562722" w:rsidP="00562722">
      <w:pPr>
        <w:widowControl w:val="0"/>
        <w:ind w:left="2880" w:hanging="2880"/>
        <w:jc w:val="both"/>
        <w:rPr>
          <w:sz w:val="20"/>
          <w:szCs w:val="20"/>
        </w:rPr>
      </w:pPr>
      <w:r w:rsidRPr="0048607A">
        <w:rPr>
          <w:sz w:val="20"/>
          <w:szCs w:val="20"/>
        </w:rPr>
        <w:t>File No.:</w:t>
      </w:r>
      <w:r w:rsidRPr="0048607A">
        <w:rPr>
          <w:sz w:val="20"/>
          <w:szCs w:val="20"/>
        </w:rPr>
        <w:tab/>
        <w:t>33935</w:t>
      </w:r>
    </w:p>
    <w:p w:rsidR="00562722" w:rsidRPr="0048607A" w:rsidRDefault="00562722" w:rsidP="00562722">
      <w:pPr>
        <w:widowControl w:val="0"/>
        <w:ind w:left="2880" w:hanging="2880"/>
        <w:jc w:val="both"/>
        <w:rPr>
          <w:sz w:val="20"/>
          <w:szCs w:val="20"/>
        </w:rPr>
      </w:pPr>
    </w:p>
    <w:p w:rsidR="00562722" w:rsidRPr="0048607A" w:rsidRDefault="00562722" w:rsidP="00562722">
      <w:pPr>
        <w:widowControl w:val="0"/>
        <w:ind w:left="2880" w:hanging="2880"/>
        <w:jc w:val="both"/>
        <w:rPr>
          <w:sz w:val="20"/>
          <w:szCs w:val="20"/>
        </w:rPr>
      </w:pPr>
      <w:r w:rsidRPr="0048607A">
        <w:rPr>
          <w:sz w:val="20"/>
          <w:szCs w:val="20"/>
        </w:rPr>
        <w:t>Judgment of the Court of Appeal:</w:t>
      </w:r>
      <w:r>
        <w:rPr>
          <w:sz w:val="20"/>
          <w:szCs w:val="20"/>
        </w:rPr>
        <w:tab/>
      </w:r>
      <w:r w:rsidRPr="0048607A">
        <w:rPr>
          <w:sz w:val="20"/>
          <w:szCs w:val="20"/>
        </w:rPr>
        <w:t>September 13, 2010</w:t>
      </w:r>
    </w:p>
    <w:p w:rsidR="00562722" w:rsidRPr="0048607A" w:rsidRDefault="00562722" w:rsidP="00562722">
      <w:pPr>
        <w:widowControl w:val="0"/>
        <w:ind w:left="2880" w:hanging="2880"/>
        <w:jc w:val="both"/>
        <w:rPr>
          <w:sz w:val="20"/>
          <w:szCs w:val="20"/>
        </w:rPr>
      </w:pPr>
    </w:p>
    <w:p w:rsidR="00562722" w:rsidRPr="0048607A" w:rsidRDefault="00562722" w:rsidP="00562722">
      <w:pPr>
        <w:widowControl w:val="0"/>
        <w:ind w:left="2880" w:hanging="2880"/>
        <w:jc w:val="both"/>
        <w:rPr>
          <w:sz w:val="20"/>
          <w:szCs w:val="20"/>
        </w:rPr>
      </w:pPr>
      <w:r w:rsidRPr="0048607A">
        <w:rPr>
          <w:sz w:val="20"/>
          <w:szCs w:val="20"/>
        </w:rPr>
        <w:t>Counsel:</w:t>
      </w:r>
      <w:r w:rsidRPr="0048607A">
        <w:rPr>
          <w:sz w:val="20"/>
          <w:szCs w:val="20"/>
        </w:rPr>
        <w:tab/>
        <w:t>André Asselin, Sébastien Gobeil and Maxime</w:t>
      </w:r>
      <w:r w:rsidRPr="0048607A">
        <w:rPr>
          <w:sz w:val="20"/>
          <w:szCs w:val="20"/>
        </w:rPr>
        <w:noBreakHyphen/>
        <w:t>Arnaud Keable for the appellant</w:t>
      </w:r>
    </w:p>
    <w:p w:rsidR="00562722" w:rsidRPr="0048607A" w:rsidRDefault="00562722" w:rsidP="00562722">
      <w:pPr>
        <w:widowControl w:val="0"/>
        <w:ind w:left="2880" w:hanging="2880"/>
        <w:jc w:val="both"/>
        <w:rPr>
          <w:sz w:val="20"/>
          <w:szCs w:val="20"/>
          <w:lang w:val="fr-CA"/>
        </w:rPr>
      </w:pPr>
      <w:r w:rsidRPr="0048607A">
        <w:rPr>
          <w:sz w:val="20"/>
          <w:szCs w:val="20"/>
        </w:rPr>
        <w:tab/>
      </w:r>
      <w:r w:rsidRPr="0048607A">
        <w:rPr>
          <w:sz w:val="20"/>
          <w:szCs w:val="20"/>
          <w:lang w:val="fr-CA"/>
        </w:rPr>
        <w:t>Pierre Michel Lajeunesse for the respondent</w:t>
      </w:r>
    </w:p>
    <w:p w:rsidR="00A248C7" w:rsidRDefault="00A248C7" w:rsidP="00A248C7">
      <w:pPr>
        <w:tabs>
          <w:tab w:val="left" w:pos="-1440"/>
          <w:tab w:val="left" w:pos="-720"/>
        </w:tabs>
        <w:jc w:val="both"/>
        <w:rPr>
          <w:sz w:val="20"/>
          <w:szCs w:val="20"/>
          <w:lang w:val="fr-CA"/>
        </w:rPr>
      </w:pPr>
    </w:p>
    <w:p w:rsidR="00A248C7" w:rsidRDefault="00586706" w:rsidP="00A248C7">
      <w:pPr>
        <w:tabs>
          <w:tab w:val="left" w:pos="-1440"/>
          <w:tab w:val="left" w:pos="-720"/>
        </w:tabs>
        <w:jc w:val="both"/>
        <w:rPr>
          <w:sz w:val="20"/>
          <w:szCs w:val="20"/>
          <w:lang w:val="fr-CA"/>
        </w:rPr>
      </w:pPr>
      <w:r w:rsidRPr="00586706">
        <w:rPr>
          <w:sz w:val="20"/>
          <w:szCs w:val="20"/>
          <w:lang w:val="fr-CA"/>
        </w:rPr>
        <w:pict>
          <v:rect id="_x0000_i1106" style="width:2in;height:1pt" o:hrpct="0" o:hralign="center" o:hrstd="t" o:hrnoshade="t" o:hr="t" fillcolor="black [3213]" stroked="f"/>
        </w:pict>
      </w:r>
    </w:p>
    <w:p w:rsidR="00A248C7" w:rsidRPr="00DD0B49" w:rsidRDefault="00A248C7" w:rsidP="00A248C7">
      <w:pPr>
        <w:tabs>
          <w:tab w:val="left" w:pos="-1440"/>
          <w:tab w:val="left" w:pos="-720"/>
        </w:tabs>
        <w:jc w:val="both"/>
        <w:rPr>
          <w:sz w:val="20"/>
          <w:szCs w:val="20"/>
          <w:lang w:val="fr-CA"/>
        </w:rPr>
      </w:pPr>
    </w:p>
    <w:p w:rsidR="00A248C7" w:rsidRDefault="00A248C7">
      <w:pPr>
        <w:rPr>
          <w:sz w:val="20"/>
          <w:szCs w:val="20"/>
          <w:lang w:val="fr-CA"/>
        </w:rPr>
      </w:pPr>
      <w:r>
        <w:rPr>
          <w:sz w:val="20"/>
          <w:szCs w:val="20"/>
          <w:lang w:val="fr-CA"/>
        </w:rPr>
        <w:br w:type="page"/>
      </w:r>
    </w:p>
    <w:p w:rsidR="007062F8" w:rsidRPr="004769CD" w:rsidRDefault="00586706" w:rsidP="007062F8">
      <w:pPr>
        <w:widowControl w:val="0"/>
        <w:ind w:left="720" w:hanging="720"/>
        <w:jc w:val="both"/>
        <w:rPr>
          <w:sz w:val="20"/>
          <w:szCs w:val="20"/>
          <w:lang w:val="fr-CA"/>
        </w:rPr>
      </w:pPr>
      <w:r w:rsidRPr="00586706">
        <w:rPr>
          <w:b/>
          <w:sz w:val="20"/>
          <w:szCs w:val="20"/>
          <w:lang w:val="fr-CA"/>
        </w:rPr>
        <w:lastRenderedPageBreak/>
        <w:fldChar w:fldCharType="begin"/>
      </w:r>
      <w:r w:rsidR="007062F8" w:rsidRPr="004769CD">
        <w:rPr>
          <w:b/>
          <w:sz w:val="20"/>
          <w:szCs w:val="20"/>
          <w:lang w:val="fr-CA"/>
        </w:rPr>
        <w:instrText xml:space="preserve"> SEQ CHAPTER \h \r 1</w:instrText>
      </w:r>
      <w:r w:rsidRPr="004769CD">
        <w:rPr>
          <w:b/>
          <w:sz w:val="20"/>
          <w:szCs w:val="20"/>
        </w:rPr>
        <w:fldChar w:fldCharType="end"/>
      </w:r>
      <w:r w:rsidR="007062F8" w:rsidRPr="004769CD">
        <w:rPr>
          <w:b/>
          <w:sz w:val="20"/>
          <w:szCs w:val="20"/>
          <w:lang w:val="fr-CA"/>
        </w:rPr>
        <w:t>33935</w:t>
      </w:r>
      <w:r w:rsidR="007062F8" w:rsidRPr="004769CD">
        <w:rPr>
          <w:sz w:val="20"/>
          <w:szCs w:val="20"/>
          <w:lang w:val="fr-CA"/>
        </w:rPr>
        <w:tab/>
      </w:r>
      <w:r w:rsidR="007062F8" w:rsidRPr="004769CD">
        <w:rPr>
          <w:b/>
          <w:i/>
          <w:sz w:val="20"/>
          <w:szCs w:val="20"/>
          <w:lang w:val="fr-CA"/>
        </w:rPr>
        <w:t>Tessier Ltée c. Commission de la santé et de la sécurité du travail</w:t>
      </w:r>
    </w:p>
    <w:p w:rsidR="007062F8" w:rsidRPr="004769CD" w:rsidRDefault="007062F8" w:rsidP="007062F8">
      <w:pPr>
        <w:widowControl w:val="0"/>
        <w:jc w:val="both"/>
        <w:rPr>
          <w:sz w:val="20"/>
          <w:szCs w:val="20"/>
          <w:lang w:val="fr-CA"/>
        </w:rPr>
      </w:pPr>
    </w:p>
    <w:p w:rsidR="007062F8" w:rsidRPr="004769CD" w:rsidRDefault="007062F8" w:rsidP="007062F8">
      <w:pPr>
        <w:widowControl w:val="0"/>
        <w:jc w:val="both"/>
        <w:rPr>
          <w:sz w:val="20"/>
          <w:szCs w:val="20"/>
          <w:lang w:val="fr-CA"/>
        </w:rPr>
      </w:pPr>
      <w:r w:rsidRPr="004769CD">
        <w:rPr>
          <w:sz w:val="20"/>
          <w:szCs w:val="20"/>
          <w:lang w:val="fr-CA"/>
        </w:rPr>
        <w:t xml:space="preserve">Droit constitutionnel </w:t>
      </w:r>
      <w:r w:rsidRPr="004769CD">
        <w:rPr>
          <w:sz w:val="20"/>
          <w:szCs w:val="20"/>
          <w:lang w:val="fr-CA"/>
        </w:rPr>
        <w:noBreakHyphen/>
        <w:t xml:space="preserve"> Partage des compétences </w:t>
      </w:r>
      <w:r w:rsidRPr="004769CD">
        <w:rPr>
          <w:sz w:val="20"/>
          <w:szCs w:val="20"/>
          <w:lang w:val="fr-CA"/>
        </w:rPr>
        <w:noBreakHyphen/>
        <w:t xml:space="preserve"> Relations de travail </w:t>
      </w:r>
      <w:r w:rsidRPr="004769CD">
        <w:rPr>
          <w:sz w:val="20"/>
          <w:szCs w:val="20"/>
          <w:lang w:val="fr-CA"/>
        </w:rPr>
        <w:noBreakHyphen/>
        <w:t xml:space="preserve"> Débardage </w:t>
      </w:r>
      <w:r w:rsidRPr="004769CD">
        <w:rPr>
          <w:sz w:val="20"/>
          <w:szCs w:val="20"/>
          <w:lang w:val="fr-CA"/>
        </w:rPr>
        <w:noBreakHyphen/>
        <w:t xml:space="preserve"> Société exerçant une seule entreprise et offrant de façon normale et habituelle des services de location de grues et de machinerie lourde au Québec ainsi que, dans une moindre mesure, des services de débardage </w:t>
      </w:r>
      <w:r w:rsidRPr="004769CD">
        <w:rPr>
          <w:sz w:val="20"/>
          <w:szCs w:val="20"/>
          <w:lang w:val="fr-CA"/>
        </w:rPr>
        <w:noBreakHyphen/>
        <w:t xml:space="preserve"> L’entreprise devait</w:t>
      </w:r>
      <w:r w:rsidRPr="004769CD">
        <w:rPr>
          <w:sz w:val="20"/>
          <w:szCs w:val="20"/>
          <w:lang w:val="fr-CA"/>
        </w:rPr>
        <w:noBreakHyphen/>
        <w:t xml:space="preserve">elle être qualifiée de fédérale? </w:t>
      </w:r>
      <w:r w:rsidRPr="004769CD">
        <w:rPr>
          <w:sz w:val="20"/>
          <w:szCs w:val="20"/>
          <w:lang w:val="fr-CA"/>
        </w:rPr>
        <w:noBreakHyphen/>
        <w:t xml:space="preserve"> </w:t>
      </w:r>
      <w:r w:rsidRPr="004769CD">
        <w:rPr>
          <w:i/>
          <w:sz w:val="20"/>
          <w:szCs w:val="20"/>
          <w:lang w:val="fr-CA"/>
        </w:rPr>
        <w:t>Loi constitutionnelle de 1867</w:t>
      </w:r>
      <w:r w:rsidRPr="004769CD">
        <w:rPr>
          <w:sz w:val="20"/>
          <w:szCs w:val="20"/>
          <w:lang w:val="fr-CA"/>
        </w:rPr>
        <w:t>, art. 91(1) et 92(10).</w:t>
      </w:r>
    </w:p>
    <w:p w:rsidR="007062F8" w:rsidRPr="004769CD" w:rsidRDefault="007062F8" w:rsidP="007062F8">
      <w:pPr>
        <w:widowControl w:val="0"/>
        <w:jc w:val="both"/>
        <w:rPr>
          <w:sz w:val="20"/>
          <w:szCs w:val="20"/>
          <w:lang w:val="fr-CA"/>
        </w:rPr>
      </w:pPr>
    </w:p>
    <w:p w:rsidR="007062F8" w:rsidRPr="004769CD" w:rsidRDefault="007062F8" w:rsidP="007062F8">
      <w:pPr>
        <w:widowControl w:val="0"/>
        <w:jc w:val="both"/>
        <w:rPr>
          <w:sz w:val="20"/>
          <w:szCs w:val="20"/>
          <w:lang w:val="fr-CA"/>
        </w:rPr>
      </w:pPr>
      <w:r w:rsidRPr="004769CD">
        <w:rPr>
          <w:sz w:val="20"/>
          <w:szCs w:val="20"/>
          <w:lang w:val="fr-CA"/>
        </w:rPr>
        <w:t xml:space="preserve">L’appelante, Tessier ltée, exploite une entreprise louant des grues à diverses fins, dont le chargement et le déchargement de navires.  Elle effectue aussi du transport routier, ainsi que l’entretien et la réparation de machinerie.  En 2007, l’intimée décide que pour l’année 2006, les activités de Tessier relèvent de la compétence provinciale sur les relations de travail car elles ne peuvent être rattachées à aucun champ de compétence fédérale.  Tessier conteste cette décision auprès de la Commission des lésions professionnelles, mais en vain.  La C.L.P. estime que la preuve ne permet pas de conclure que la raison d’être de Tessier relève d’une compétence fédérale.  Elle juge que Tessier n’est pas une entreprise de transport au sens du par. 92(10) de la </w:t>
      </w:r>
      <w:r w:rsidRPr="004769CD">
        <w:rPr>
          <w:i/>
          <w:sz w:val="20"/>
          <w:szCs w:val="20"/>
          <w:lang w:val="fr-CA"/>
        </w:rPr>
        <w:t>Loi constitutionnelle de 1867</w:t>
      </w:r>
      <w:r w:rsidRPr="004769CD">
        <w:rPr>
          <w:sz w:val="20"/>
          <w:szCs w:val="20"/>
          <w:lang w:val="fr-CA"/>
        </w:rPr>
        <w:t>, et que le fait que le débardage soit l’une des composantes de l’entreprise n’est pas suffisant pour la qualifier d’entreprise fédérale.  Elle note aussi que les opérations de Tessier ne sont pas isolées les unes des autres et que les employés peuvent être interchangés d’un secteur à l’autre — bref que l’entreprise est indivisible.  En révision judiciaire, la Cour supérieure infirme la décision.  Elle conclut que Tessier est une entreprise fédérale, car il est acquis que Tessier est une entreprise indivisible et qu’elle effectue une activité de compétence fédérale — le débardage — de façon normale et habituelle.  La Cour d’appel rétablit la décision de la C.L.P.  Selon elle, l’entreprise est de nature provinciale, et en l’absence de preuve d’intégration à une autre entreprise de nature fédérale, la présomption de compétence provinciale en relation de travail n’est pas écartée.  Elle souligne qu’avant d’invoquer le caractère indivisible de Tessier, il fallait démontrer l’existence d’une entreprise fédérale.  Or, le débardage n’est qu’une partie mineure des activités de Tessier et il s’intègre dans ses activités plus vastes de location de machinerie.</w:t>
      </w:r>
    </w:p>
    <w:p w:rsidR="007062F8" w:rsidRPr="004769CD" w:rsidRDefault="007062F8" w:rsidP="007062F8">
      <w:pPr>
        <w:widowControl w:val="0"/>
        <w:jc w:val="both"/>
        <w:rPr>
          <w:sz w:val="20"/>
          <w:szCs w:val="20"/>
          <w:lang w:val="fr-CA"/>
        </w:rPr>
      </w:pPr>
    </w:p>
    <w:p w:rsidR="007062F8" w:rsidRPr="004769CD" w:rsidRDefault="007062F8" w:rsidP="007062F8">
      <w:pPr>
        <w:widowControl w:val="0"/>
        <w:jc w:val="both"/>
        <w:rPr>
          <w:sz w:val="20"/>
          <w:szCs w:val="20"/>
          <w:lang w:val="fr-CA"/>
        </w:rPr>
      </w:pPr>
    </w:p>
    <w:p w:rsidR="007062F8" w:rsidRPr="004769CD" w:rsidRDefault="007062F8" w:rsidP="007062F8">
      <w:pPr>
        <w:widowControl w:val="0"/>
        <w:ind w:left="2880" w:hanging="2880"/>
        <w:jc w:val="both"/>
        <w:rPr>
          <w:sz w:val="20"/>
          <w:szCs w:val="20"/>
          <w:lang w:val="fr-CA"/>
        </w:rPr>
      </w:pPr>
      <w:r w:rsidRPr="004769CD">
        <w:rPr>
          <w:sz w:val="20"/>
          <w:szCs w:val="20"/>
          <w:lang w:val="fr-CA"/>
        </w:rPr>
        <w:t>Origine :</w:t>
      </w:r>
      <w:r w:rsidRPr="004769CD">
        <w:rPr>
          <w:sz w:val="20"/>
          <w:szCs w:val="20"/>
          <w:lang w:val="fr-CA"/>
        </w:rPr>
        <w:tab/>
        <w:t>Québec</w:t>
      </w:r>
    </w:p>
    <w:p w:rsidR="007062F8" w:rsidRPr="004769CD" w:rsidRDefault="007062F8" w:rsidP="007062F8">
      <w:pPr>
        <w:widowControl w:val="0"/>
        <w:ind w:left="2880" w:hanging="2880"/>
        <w:jc w:val="both"/>
        <w:rPr>
          <w:sz w:val="20"/>
          <w:szCs w:val="20"/>
          <w:lang w:val="fr-CA"/>
        </w:rPr>
      </w:pPr>
    </w:p>
    <w:p w:rsidR="007062F8" w:rsidRPr="004769CD" w:rsidRDefault="007062F8" w:rsidP="007062F8">
      <w:pPr>
        <w:widowControl w:val="0"/>
        <w:ind w:left="2880" w:hanging="2880"/>
        <w:jc w:val="both"/>
        <w:rPr>
          <w:sz w:val="20"/>
          <w:szCs w:val="20"/>
          <w:lang w:val="fr-CA"/>
        </w:rPr>
      </w:pPr>
      <w:r w:rsidRPr="004769CD">
        <w:rPr>
          <w:sz w:val="20"/>
          <w:szCs w:val="20"/>
          <w:lang w:val="fr-CA"/>
        </w:rPr>
        <w:t>N</w:t>
      </w:r>
      <w:r w:rsidRPr="004769CD">
        <w:rPr>
          <w:sz w:val="20"/>
          <w:szCs w:val="20"/>
          <w:vertAlign w:val="superscript"/>
          <w:lang w:val="fr-CA"/>
        </w:rPr>
        <w:t>o</w:t>
      </w:r>
      <w:r w:rsidRPr="004769CD">
        <w:rPr>
          <w:sz w:val="20"/>
          <w:szCs w:val="20"/>
          <w:lang w:val="fr-CA"/>
        </w:rPr>
        <w:t xml:space="preserve"> du greffe :</w:t>
      </w:r>
      <w:r w:rsidRPr="004769CD">
        <w:rPr>
          <w:sz w:val="20"/>
          <w:szCs w:val="20"/>
          <w:lang w:val="fr-CA"/>
        </w:rPr>
        <w:tab/>
        <w:t>33935</w:t>
      </w:r>
    </w:p>
    <w:p w:rsidR="007062F8" w:rsidRPr="004769CD" w:rsidRDefault="007062F8" w:rsidP="007062F8">
      <w:pPr>
        <w:widowControl w:val="0"/>
        <w:ind w:left="2880" w:hanging="2880"/>
        <w:jc w:val="both"/>
        <w:rPr>
          <w:sz w:val="20"/>
          <w:szCs w:val="20"/>
          <w:lang w:val="fr-CA"/>
        </w:rPr>
      </w:pPr>
    </w:p>
    <w:p w:rsidR="007062F8" w:rsidRPr="004769CD" w:rsidRDefault="007062F8" w:rsidP="007062F8">
      <w:pPr>
        <w:widowControl w:val="0"/>
        <w:ind w:left="2880" w:hanging="2880"/>
        <w:jc w:val="both"/>
        <w:rPr>
          <w:sz w:val="20"/>
          <w:szCs w:val="20"/>
          <w:lang w:val="fr-CA"/>
        </w:rPr>
      </w:pPr>
      <w:r w:rsidRPr="004769CD">
        <w:rPr>
          <w:sz w:val="20"/>
          <w:szCs w:val="20"/>
          <w:lang w:val="fr-CA"/>
        </w:rPr>
        <w:t>Arrêt de la Cour d’appel :</w:t>
      </w:r>
      <w:r w:rsidRPr="004769CD">
        <w:rPr>
          <w:sz w:val="20"/>
          <w:szCs w:val="20"/>
          <w:lang w:val="fr-CA"/>
        </w:rPr>
        <w:tab/>
        <w:t>Le 13 septembre 2010</w:t>
      </w:r>
    </w:p>
    <w:p w:rsidR="007062F8" w:rsidRPr="004769CD" w:rsidRDefault="007062F8" w:rsidP="007062F8">
      <w:pPr>
        <w:widowControl w:val="0"/>
        <w:ind w:left="2880" w:hanging="2880"/>
        <w:jc w:val="both"/>
        <w:rPr>
          <w:sz w:val="20"/>
          <w:szCs w:val="20"/>
          <w:lang w:val="fr-CA"/>
        </w:rPr>
      </w:pPr>
    </w:p>
    <w:p w:rsidR="007062F8" w:rsidRPr="004769CD" w:rsidRDefault="007062F8" w:rsidP="007062F8">
      <w:pPr>
        <w:widowControl w:val="0"/>
        <w:ind w:left="2880" w:hanging="2880"/>
        <w:jc w:val="both"/>
        <w:rPr>
          <w:sz w:val="20"/>
          <w:szCs w:val="20"/>
          <w:lang w:val="fr-CA"/>
        </w:rPr>
      </w:pPr>
      <w:r w:rsidRPr="004769CD">
        <w:rPr>
          <w:sz w:val="20"/>
          <w:szCs w:val="20"/>
          <w:lang w:val="fr-CA"/>
        </w:rPr>
        <w:t>Avocats :</w:t>
      </w:r>
      <w:r w:rsidRPr="004769CD">
        <w:rPr>
          <w:sz w:val="20"/>
          <w:szCs w:val="20"/>
          <w:lang w:val="fr-CA"/>
        </w:rPr>
        <w:tab/>
        <w:t>André Asselin, Sébastien Gobeil et Maxime</w:t>
      </w:r>
      <w:r w:rsidRPr="004769CD">
        <w:rPr>
          <w:sz w:val="20"/>
          <w:szCs w:val="20"/>
          <w:lang w:val="fr-CA"/>
        </w:rPr>
        <w:noBreakHyphen/>
        <w:t>Arnaud Keable pour l’appelante</w:t>
      </w:r>
    </w:p>
    <w:p w:rsidR="007062F8" w:rsidRPr="004769CD" w:rsidRDefault="007062F8" w:rsidP="007062F8">
      <w:pPr>
        <w:widowControl w:val="0"/>
        <w:ind w:left="2880" w:hanging="2880"/>
        <w:jc w:val="both"/>
        <w:rPr>
          <w:sz w:val="20"/>
          <w:szCs w:val="20"/>
          <w:lang w:val="fr-CA"/>
        </w:rPr>
      </w:pPr>
      <w:r>
        <w:rPr>
          <w:sz w:val="20"/>
          <w:szCs w:val="20"/>
          <w:lang w:val="fr-CA"/>
        </w:rPr>
        <w:tab/>
      </w:r>
      <w:r w:rsidRPr="004769CD">
        <w:rPr>
          <w:sz w:val="20"/>
          <w:szCs w:val="20"/>
          <w:lang w:val="fr-CA"/>
        </w:rPr>
        <w:t>Pierre Michel Lajeunesse pour l’intimée</w:t>
      </w:r>
    </w:p>
    <w:p w:rsidR="00A248C7" w:rsidRDefault="00A248C7" w:rsidP="00A248C7">
      <w:pPr>
        <w:tabs>
          <w:tab w:val="left" w:pos="-1440"/>
          <w:tab w:val="left" w:pos="-720"/>
        </w:tabs>
        <w:jc w:val="both"/>
        <w:rPr>
          <w:sz w:val="20"/>
          <w:szCs w:val="20"/>
          <w:lang w:val="fr-CA"/>
        </w:rPr>
      </w:pPr>
    </w:p>
    <w:p w:rsidR="00A248C7" w:rsidRDefault="00586706" w:rsidP="00A248C7">
      <w:pPr>
        <w:tabs>
          <w:tab w:val="left" w:pos="-1440"/>
          <w:tab w:val="left" w:pos="-720"/>
        </w:tabs>
        <w:jc w:val="both"/>
        <w:rPr>
          <w:sz w:val="20"/>
          <w:szCs w:val="20"/>
          <w:lang w:val="fr-CA"/>
        </w:rPr>
      </w:pPr>
      <w:r w:rsidRPr="00586706">
        <w:rPr>
          <w:sz w:val="20"/>
          <w:szCs w:val="20"/>
          <w:lang w:val="fr-CA"/>
        </w:rPr>
        <w:pict>
          <v:rect id="_x0000_i1107" style="width:2in;height:1pt" o:hrpct="0" o:hralign="center" o:hrstd="t" o:hrnoshade="t" o:hr="t" fillcolor="black [3213]" stroked="f"/>
        </w:pict>
      </w:r>
    </w:p>
    <w:p w:rsidR="00A248C7" w:rsidRPr="00DD0B49" w:rsidRDefault="00A248C7" w:rsidP="00A248C7">
      <w:pPr>
        <w:tabs>
          <w:tab w:val="left" w:pos="-1440"/>
          <w:tab w:val="left" w:pos="-720"/>
        </w:tabs>
        <w:jc w:val="both"/>
        <w:rPr>
          <w:sz w:val="20"/>
          <w:szCs w:val="20"/>
          <w:lang w:val="fr-CA"/>
        </w:rPr>
      </w:pPr>
    </w:p>
    <w:p w:rsidR="00A248C7" w:rsidRDefault="00A248C7">
      <w:pPr>
        <w:rPr>
          <w:sz w:val="20"/>
          <w:szCs w:val="20"/>
          <w:lang w:val="fr-CA"/>
        </w:rPr>
      </w:pPr>
      <w:r>
        <w:rPr>
          <w:sz w:val="20"/>
          <w:szCs w:val="20"/>
          <w:lang w:val="fr-CA"/>
        </w:rPr>
        <w:br w:type="page"/>
      </w:r>
    </w:p>
    <w:p w:rsidR="00AF1DC1" w:rsidRPr="00AF1DC1" w:rsidRDefault="00586706" w:rsidP="00AF1DC1">
      <w:pPr>
        <w:widowControl w:val="0"/>
        <w:ind w:left="720" w:hanging="720"/>
        <w:jc w:val="both"/>
        <w:rPr>
          <w:sz w:val="20"/>
          <w:szCs w:val="20"/>
          <w:lang w:val="fr-CA"/>
        </w:rPr>
      </w:pPr>
      <w:r w:rsidRPr="00717236">
        <w:rPr>
          <w:b/>
          <w:sz w:val="20"/>
          <w:szCs w:val="20"/>
        </w:rPr>
        <w:lastRenderedPageBreak/>
        <w:fldChar w:fldCharType="begin"/>
      </w:r>
      <w:r w:rsidR="00AF1DC1" w:rsidRPr="00AF1DC1">
        <w:rPr>
          <w:b/>
          <w:sz w:val="20"/>
          <w:szCs w:val="20"/>
          <w:lang w:val="fr-CA"/>
        </w:rPr>
        <w:instrText xml:space="preserve"> SEQ CHAPTER \h \r 1</w:instrText>
      </w:r>
      <w:r w:rsidRPr="00717236">
        <w:rPr>
          <w:b/>
          <w:sz w:val="20"/>
          <w:szCs w:val="20"/>
        </w:rPr>
        <w:fldChar w:fldCharType="end"/>
      </w:r>
      <w:r w:rsidR="00AF1DC1" w:rsidRPr="00AF1DC1">
        <w:rPr>
          <w:b/>
          <w:sz w:val="20"/>
          <w:szCs w:val="20"/>
          <w:lang w:val="fr-CA"/>
        </w:rPr>
        <w:t>33990</w:t>
      </w:r>
      <w:r w:rsidR="00AF1DC1" w:rsidRPr="00AF1DC1">
        <w:rPr>
          <w:sz w:val="20"/>
          <w:szCs w:val="20"/>
          <w:lang w:val="fr-CA"/>
        </w:rPr>
        <w:tab/>
      </w:r>
      <w:r w:rsidR="00AF1DC1" w:rsidRPr="00AF1DC1">
        <w:rPr>
          <w:b/>
          <w:i/>
          <w:sz w:val="20"/>
          <w:szCs w:val="20"/>
          <w:lang w:val="fr-CA"/>
        </w:rPr>
        <w:t xml:space="preserve">Attorney General of Quebec v. A and Attorney General of Canada and Fédération des associations de familles monoparentales et recomposées du Québec </w:t>
      </w:r>
      <w:r w:rsidR="00AF1DC1" w:rsidRPr="00AF1DC1">
        <w:rPr>
          <w:i/>
          <w:sz w:val="20"/>
          <w:szCs w:val="20"/>
          <w:lang w:val="fr-CA"/>
        </w:rPr>
        <w:noBreakHyphen/>
        <w:t xml:space="preserve"> </w:t>
      </w:r>
      <w:r w:rsidR="00AF1DC1" w:rsidRPr="00AF1DC1">
        <w:rPr>
          <w:b/>
          <w:i/>
          <w:sz w:val="20"/>
          <w:szCs w:val="20"/>
          <w:lang w:val="fr-CA"/>
        </w:rPr>
        <w:t xml:space="preserve">B v. A and Attorney General of Quebec, Attorney General of Canada and Fédération des associations de familles monoparentales et recomposées du Québec </w:t>
      </w:r>
      <w:r w:rsidR="00AF1DC1" w:rsidRPr="00AF1DC1">
        <w:rPr>
          <w:i/>
          <w:sz w:val="20"/>
          <w:szCs w:val="20"/>
          <w:lang w:val="fr-CA"/>
        </w:rPr>
        <w:noBreakHyphen/>
        <w:t xml:space="preserve"> </w:t>
      </w:r>
      <w:r w:rsidR="00AF1DC1" w:rsidRPr="00AF1DC1">
        <w:rPr>
          <w:b/>
          <w:i/>
          <w:sz w:val="20"/>
          <w:szCs w:val="20"/>
          <w:lang w:val="fr-CA"/>
        </w:rPr>
        <w:t>A v. B and Attorney General of Quebec, Attorney General of Canada and Fédération des associations de familles recomposées du Québec</w:t>
      </w:r>
    </w:p>
    <w:p w:rsidR="00AF1DC1" w:rsidRPr="00AF1DC1" w:rsidRDefault="00AF1DC1" w:rsidP="00AF1DC1">
      <w:pPr>
        <w:widowControl w:val="0"/>
        <w:jc w:val="both"/>
        <w:rPr>
          <w:sz w:val="20"/>
          <w:szCs w:val="20"/>
          <w:lang w:val="fr-CA"/>
        </w:rPr>
      </w:pPr>
    </w:p>
    <w:p w:rsidR="00AF1DC1" w:rsidRPr="00717236" w:rsidRDefault="00AF1DC1" w:rsidP="00AF1DC1">
      <w:pPr>
        <w:pStyle w:val="ORPara"/>
        <w:tabs>
          <w:tab w:val="left" w:pos="1770"/>
        </w:tabs>
        <w:spacing w:after="0"/>
        <w:rPr>
          <w:sz w:val="20"/>
          <w:szCs w:val="20"/>
          <w:lang w:val="en-CA"/>
        </w:rPr>
      </w:pPr>
      <w:r w:rsidRPr="00717236">
        <w:rPr>
          <w:i/>
          <w:sz w:val="20"/>
          <w:szCs w:val="20"/>
          <w:lang w:val="en-CA"/>
        </w:rPr>
        <w:t>Charter of Rights</w:t>
      </w:r>
      <w:r w:rsidRPr="00717236">
        <w:rPr>
          <w:sz w:val="20"/>
          <w:szCs w:val="20"/>
          <w:lang w:val="en-CA"/>
        </w:rPr>
        <w:t xml:space="preserve"> </w:t>
      </w:r>
      <w:r w:rsidRPr="00717236">
        <w:rPr>
          <w:sz w:val="20"/>
          <w:szCs w:val="20"/>
          <w:lang w:val="en-CA"/>
        </w:rPr>
        <w:noBreakHyphen/>
        <w:t xml:space="preserve"> Right to equality </w:t>
      </w:r>
      <w:r w:rsidRPr="00717236">
        <w:rPr>
          <w:sz w:val="20"/>
          <w:szCs w:val="20"/>
          <w:lang w:val="en-CA"/>
        </w:rPr>
        <w:noBreakHyphen/>
        <w:t xml:space="preserve"> Marital status </w:t>
      </w:r>
      <w:r w:rsidRPr="00717236">
        <w:rPr>
          <w:sz w:val="20"/>
          <w:szCs w:val="20"/>
          <w:lang w:val="en-CA"/>
        </w:rPr>
        <w:noBreakHyphen/>
        <w:t xml:space="preserve"> Remedy </w:t>
      </w:r>
      <w:r w:rsidRPr="00717236">
        <w:rPr>
          <w:sz w:val="20"/>
          <w:szCs w:val="20"/>
          <w:lang w:val="en-CA"/>
        </w:rPr>
        <w:noBreakHyphen/>
        <w:t xml:space="preserve"> Family law </w:t>
      </w:r>
      <w:r w:rsidRPr="00717236">
        <w:rPr>
          <w:sz w:val="20"/>
          <w:szCs w:val="20"/>
          <w:lang w:val="en-CA"/>
        </w:rPr>
        <w:noBreakHyphen/>
        <w:t xml:space="preserve"> </w:t>
      </w:r>
      <w:r w:rsidRPr="00717236">
        <w:rPr>
          <w:i/>
          <w:sz w:val="20"/>
          <w:szCs w:val="20"/>
          <w:lang w:val="en-CA"/>
        </w:rPr>
        <w:t>De facto</w:t>
      </w:r>
      <w:r w:rsidRPr="00717236">
        <w:rPr>
          <w:sz w:val="20"/>
          <w:szCs w:val="20"/>
          <w:lang w:val="en-CA"/>
        </w:rPr>
        <w:t xml:space="preserve"> spouses </w:t>
      </w:r>
      <w:r w:rsidRPr="00717236">
        <w:rPr>
          <w:sz w:val="20"/>
          <w:szCs w:val="20"/>
          <w:lang w:val="en-CA"/>
        </w:rPr>
        <w:noBreakHyphen/>
        <w:t xml:space="preserve"> Support </w:t>
      </w:r>
      <w:r w:rsidRPr="00717236">
        <w:rPr>
          <w:sz w:val="20"/>
          <w:szCs w:val="20"/>
          <w:lang w:val="en-CA"/>
        </w:rPr>
        <w:noBreakHyphen/>
        <w:t xml:space="preserve"> Family assets</w:t>
      </w:r>
      <w:r w:rsidRPr="00717236">
        <w:rPr>
          <w:i/>
          <w:sz w:val="20"/>
          <w:szCs w:val="20"/>
          <w:lang w:val="en-CA"/>
        </w:rPr>
        <w:t xml:space="preserve"> </w:t>
      </w:r>
      <w:r w:rsidRPr="00717236">
        <w:rPr>
          <w:i/>
          <w:sz w:val="20"/>
          <w:szCs w:val="20"/>
          <w:lang w:val="en-CA"/>
        </w:rPr>
        <w:noBreakHyphen/>
      </w:r>
      <w:r w:rsidRPr="00717236">
        <w:rPr>
          <w:sz w:val="20"/>
          <w:szCs w:val="20"/>
          <w:lang w:val="en-CA"/>
        </w:rPr>
        <w:t xml:space="preserve"> </w:t>
      </w:r>
      <w:proofErr w:type="gramStart"/>
      <w:r w:rsidRPr="00717236">
        <w:rPr>
          <w:sz w:val="20"/>
          <w:szCs w:val="20"/>
          <w:lang w:val="en-CA"/>
        </w:rPr>
        <w:t>Whether</w:t>
      </w:r>
      <w:proofErr w:type="gramEnd"/>
      <w:r w:rsidRPr="00717236">
        <w:rPr>
          <w:sz w:val="20"/>
          <w:szCs w:val="20"/>
          <w:lang w:val="en-CA"/>
        </w:rPr>
        <w:t xml:space="preserve"> arts. 401 to 430, 432, 433, 448 to 484 and 585 of </w:t>
      </w:r>
      <w:r w:rsidRPr="00717236">
        <w:rPr>
          <w:i/>
          <w:sz w:val="20"/>
          <w:szCs w:val="20"/>
          <w:lang w:val="en-CA"/>
        </w:rPr>
        <w:t>Civil Code of Québec</w:t>
      </w:r>
      <w:r w:rsidRPr="00717236">
        <w:rPr>
          <w:sz w:val="20"/>
          <w:szCs w:val="20"/>
          <w:lang w:val="en-CA"/>
        </w:rPr>
        <w:t xml:space="preserve">, S.Q. 1991, c. 64, infringe s. 15(1) of </w:t>
      </w:r>
      <w:r w:rsidRPr="00717236">
        <w:rPr>
          <w:i/>
          <w:sz w:val="20"/>
          <w:szCs w:val="20"/>
          <w:lang w:val="en-CA"/>
        </w:rPr>
        <w:t xml:space="preserve">Canadian Charter of Rights and Freedoms </w:t>
      </w:r>
      <w:r w:rsidRPr="00717236">
        <w:rPr>
          <w:i/>
          <w:sz w:val="20"/>
          <w:szCs w:val="20"/>
          <w:lang w:val="en-CA"/>
        </w:rPr>
        <w:noBreakHyphen/>
        <w:t xml:space="preserve"> </w:t>
      </w:r>
      <w:r w:rsidRPr="00717236">
        <w:rPr>
          <w:sz w:val="20"/>
          <w:szCs w:val="20"/>
          <w:lang w:val="en-CA"/>
        </w:rPr>
        <w:t xml:space="preserve">If so, whether infringement is reasonable limit prescribed by law that can be demonstrably justified in free and democratic society under s. 1 of </w:t>
      </w:r>
      <w:r w:rsidRPr="00717236">
        <w:rPr>
          <w:i/>
          <w:sz w:val="20"/>
          <w:szCs w:val="20"/>
          <w:lang w:val="en-CA"/>
        </w:rPr>
        <w:t>Canadian Charter of Rights and Freedoms</w:t>
      </w:r>
      <w:r w:rsidRPr="00717236">
        <w:rPr>
          <w:sz w:val="20"/>
          <w:szCs w:val="20"/>
          <w:lang w:val="en-CA"/>
        </w:rPr>
        <w:t xml:space="preserve"> </w:t>
      </w:r>
      <w:r w:rsidRPr="00717236">
        <w:rPr>
          <w:i/>
          <w:sz w:val="20"/>
          <w:szCs w:val="20"/>
          <w:lang w:val="en-CA"/>
        </w:rPr>
        <w:noBreakHyphen/>
        <w:t xml:space="preserve"> </w:t>
      </w:r>
      <w:r w:rsidRPr="00717236">
        <w:rPr>
          <w:sz w:val="20"/>
          <w:szCs w:val="20"/>
          <w:lang w:val="en-CA"/>
        </w:rPr>
        <w:t xml:space="preserve">Whether Court of Appeal erred in choice of remedy, on one hand by failing to immediately enable all Quebeckers to benefit from remedy rectifying constitutional invalidity in issue, and on other hand with respect to remedy granted to female appellant </w:t>
      </w:r>
      <w:r w:rsidRPr="00717236">
        <w:rPr>
          <w:i/>
          <w:sz w:val="20"/>
          <w:szCs w:val="20"/>
          <w:lang w:val="en-CA"/>
        </w:rPr>
        <w:noBreakHyphen/>
        <w:t xml:space="preserve"> Canadian Charter of Rights and Freedoms</w:t>
      </w:r>
      <w:r w:rsidRPr="00717236">
        <w:rPr>
          <w:sz w:val="20"/>
          <w:szCs w:val="20"/>
          <w:lang w:val="en-CA"/>
        </w:rPr>
        <w:t>, ss. 1, 15(1), 24(1).</w:t>
      </w:r>
    </w:p>
    <w:p w:rsidR="00AF1DC1" w:rsidRPr="00717236" w:rsidRDefault="00AF1DC1" w:rsidP="00AF1DC1">
      <w:pPr>
        <w:pStyle w:val="ORPara"/>
        <w:tabs>
          <w:tab w:val="left" w:pos="1770"/>
        </w:tabs>
        <w:spacing w:after="0"/>
        <w:rPr>
          <w:sz w:val="20"/>
          <w:szCs w:val="20"/>
          <w:lang w:val="en-CA"/>
        </w:rPr>
      </w:pPr>
    </w:p>
    <w:p w:rsidR="00AF1DC1" w:rsidRPr="00717236" w:rsidRDefault="00AF1DC1" w:rsidP="00AF1DC1">
      <w:pPr>
        <w:jc w:val="both"/>
        <w:rPr>
          <w:sz w:val="20"/>
          <w:szCs w:val="20"/>
        </w:rPr>
      </w:pPr>
      <w:r w:rsidRPr="00717236">
        <w:rPr>
          <w:sz w:val="20"/>
          <w:szCs w:val="20"/>
        </w:rPr>
        <w:t xml:space="preserve">Under the </w:t>
      </w:r>
      <w:r w:rsidRPr="00717236">
        <w:rPr>
          <w:i/>
          <w:sz w:val="20"/>
          <w:szCs w:val="20"/>
        </w:rPr>
        <w:t>Civil Code of Québec</w:t>
      </w:r>
      <w:r w:rsidRPr="00717236">
        <w:rPr>
          <w:sz w:val="20"/>
          <w:szCs w:val="20"/>
        </w:rPr>
        <w:t xml:space="preserve">, </w:t>
      </w:r>
      <w:r w:rsidRPr="00717236">
        <w:rPr>
          <w:i/>
          <w:sz w:val="20"/>
          <w:szCs w:val="20"/>
        </w:rPr>
        <w:t>de facto</w:t>
      </w:r>
      <w:r w:rsidRPr="00717236">
        <w:rPr>
          <w:sz w:val="20"/>
          <w:szCs w:val="20"/>
        </w:rPr>
        <w:t xml:space="preserve"> spouses have no rights, duties or obligations arising out of the fact that they have lived together.  As a result, they may not bring support proceedings against one another or partition the family patrimony, and they are governed by no statutory matrimonial regime.  If they break up, support will be awarded only for the needs of children born of their relationship, and on the same basis as if they were married or civil union spouses.  </w:t>
      </w:r>
      <w:r w:rsidRPr="00717236">
        <w:rPr>
          <w:i/>
          <w:sz w:val="20"/>
          <w:szCs w:val="20"/>
        </w:rPr>
        <w:t>De facto</w:t>
      </w:r>
      <w:r w:rsidRPr="00717236">
        <w:rPr>
          <w:sz w:val="20"/>
          <w:szCs w:val="20"/>
        </w:rPr>
        <w:t xml:space="preserve"> spouses may decide to enter into a cohabitation agreement. </w:t>
      </w:r>
    </w:p>
    <w:p w:rsidR="00AF1DC1" w:rsidRPr="00717236" w:rsidRDefault="00AF1DC1" w:rsidP="00AF1DC1">
      <w:pPr>
        <w:jc w:val="both"/>
        <w:rPr>
          <w:sz w:val="20"/>
          <w:szCs w:val="20"/>
        </w:rPr>
      </w:pPr>
    </w:p>
    <w:p w:rsidR="00AF1DC1" w:rsidRPr="00717236" w:rsidRDefault="00AF1DC1" w:rsidP="00AF1DC1">
      <w:pPr>
        <w:pStyle w:val="ORPara"/>
        <w:tabs>
          <w:tab w:val="left" w:pos="1770"/>
        </w:tabs>
        <w:rPr>
          <w:sz w:val="20"/>
          <w:szCs w:val="20"/>
          <w:lang w:val="en-CA"/>
        </w:rPr>
      </w:pPr>
      <w:r w:rsidRPr="00717236">
        <w:rPr>
          <w:sz w:val="20"/>
          <w:szCs w:val="20"/>
          <w:lang w:val="en-CA"/>
        </w:rPr>
        <w:t>In the instant case, Ms. A and Mr. B lived together for seven years and had three children together.  When they separated, Ms. A filed a motion in the Superior Court seeking child custody, support, a lump sum, use of the family residence, a provision for costs and an interim order.  The motion was accompanied by a notice to the Attorney General of Quebec stating that Ms. </w:t>
      </w:r>
      <w:proofErr w:type="gramStart"/>
      <w:r w:rsidRPr="00717236">
        <w:rPr>
          <w:sz w:val="20"/>
          <w:szCs w:val="20"/>
          <w:lang w:val="en-CA"/>
        </w:rPr>
        <w:t>A</w:t>
      </w:r>
      <w:proofErr w:type="gramEnd"/>
      <w:r w:rsidRPr="00717236">
        <w:rPr>
          <w:sz w:val="20"/>
          <w:szCs w:val="20"/>
          <w:lang w:val="en-CA"/>
        </w:rPr>
        <w:t xml:space="preserve"> intended to challenge the constitutionality of several provisions of the </w:t>
      </w:r>
      <w:r w:rsidRPr="00717236">
        <w:rPr>
          <w:i/>
          <w:sz w:val="20"/>
          <w:szCs w:val="20"/>
          <w:lang w:val="en-CA"/>
        </w:rPr>
        <w:t>Civil Code of Québec</w:t>
      </w:r>
      <w:r w:rsidRPr="00717236">
        <w:rPr>
          <w:sz w:val="20"/>
          <w:szCs w:val="20"/>
          <w:lang w:val="en-CA"/>
        </w:rPr>
        <w:t xml:space="preserve"> in order to obtain the same rights for </w:t>
      </w:r>
      <w:r w:rsidRPr="00717236">
        <w:rPr>
          <w:i/>
          <w:sz w:val="20"/>
          <w:szCs w:val="20"/>
          <w:lang w:val="en-CA"/>
        </w:rPr>
        <w:t>de facto</w:t>
      </w:r>
      <w:r w:rsidRPr="00717236">
        <w:rPr>
          <w:sz w:val="20"/>
          <w:szCs w:val="20"/>
          <w:lang w:val="en-CA"/>
        </w:rPr>
        <w:t xml:space="preserve"> spouses as are held by married and civil union spouses.  This appeal concerns only the constitutional aspect of the motion.</w:t>
      </w:r>
    </w:p>
    <w:p w:rsidR="00AF1DC1" w:rsidRPr="00717236" w:rsidRDefault="00AF1DC1" w:rsidP="00AF1DC1">
      <w:pPr>
        <w:widowControl w:val="0"/>
        <w:jc w:val="both"/>
        <w:rPr>
          <w:sz w:val="20"/>
          <w:szCs w:val="20"/>
        </w:rPr>
      </w:pPr>
    </w:p>
    <w:p w:rsidR="00AF1DC1" w:rsidRPr="00717236" w:rsidRDefault="00AF1DC1" w:rsidP="00AF1DC1">
      <w:pPr>
        <w:widowControl w:val="0"/>
        <w:ind w:left="2880" w:hanging="2880"/>
        <w:jc w:val="both"/>
        <w:rPr>
          <w:sz w:val="20"/>
          <w:szCs w:val="20"/>
        </w:rPr>
      </w:pPr>
      <w:r w:rsidRPr="00717236">
        <w:rPr>
          <w:sz w:val="20"/>
          <w:szCs w:val="20"/>
        </w:rPr>
        <w:t>Origin of the case:</w:t>
      </w:r>
      <w:r w:rsidRPr="00717236">
        <w:rPr>
          <w:sz w:val="20"/>
          <w:szCs w:val="20"/>
        </w:rPr>
        <w:tab/>
        <w:t>Quebec</w:t>
      </w:r>
    </w:p>
    <w:p w:rsidR="00AF1DC1" w:rsidRPr="00717236" w:rsidRDefault="00AF1DC1" w:rsidP="00AF1DC1">
      <w:pPr>
        <w:widowControl w:val="0"/>
        <w:ind w:left="2880" w:hanging="2880"/>
        <w:jc w:val="both"/>
        <w:rPr>
          <w:sz w:val="20"/>
          <w:szCs w:val="20"/>
        </w:rPr>
      </w:pPr>
    </w:p>
    <w:p w:rsidR="00AF1DC1" w:rsidRPr="00717236" w:rsidRDefault="00AF1DC1" w:rsidP="00AF1DC1">
      <w:pPr>
        <w:widowControl w:val="0"/>
        <w:ind w:left="2880" w:hanging="2880"/>
        <w:jc w:val="both"/>
        <w:rPr>
          <w:sz w:val="20"/>
          <w:szCs w:val="20"/>
        </w:rPr>
      </w:pPr>
      <w:r w:rsidRPr="00717236">
        <w:rPr>
          <w:sz w:val="20"/>
          <w:szCs w:val="20"/>
        </w:rPr>
        <w:t>File No.:</w:t>
      </w:r>
      <w:r w:rsidRPr="00717236">
        <w:rPr>
          <w:sz w:val="20"/>
          <w:szCs w:val="20"/>
        </w:rPr>
        <w:tab/>
        <w:t>33990</w:t>
      </w:r>
    </w:p>
    <w:p w:rsidR="00AF1DC1" w:rsidRPr="00717236" w:rsidRDefault="00AF1DC1" w:rsidP="00AF1DC1">
      <w:pPr>
        <w:widowControl w:val="0"/>
        <w:ind w:left="2880" w:hanging="2880"/>
        <w:jc w:val="both"/>
        <w:rPr>
          <w:sz w:val="20"/>
          <w:szCs w:val="20"/>
        </w:rPr>
      </w:pPr>
    </w:p>
    <w:p w:rsidR="00AF1DC1" w:rsidRPr="00717236" w:rsidRDefault="00AF1DC1" w:rsidP="00AF1DC1">
      <w:pPr>
        <w:widowControl w:val="0"/>
        <w:ind w:left="2880" w:hanging="2880"/>
        <w:jc w:val="both"/>
        <w:rPr>
          <w:sz w:val="20"/>
          <w:szCs w:val="20"/>
        </w:rPr>
      </w:pPr>
      <w:r w:rsidRPr="00717236">
        <w:rPr>
          <w:sz w:val="20"/>
          <w:szCs w:val="20"/>
        </w:rPr>
        <w:t>Judgment of the Court of Appeal:</w:t>
      </w:r>
      <w:r w:rsidRPr="00717236">
        <w:rPr>
          <w:sz w:val="20"/>
          <w:szCs w:val="20"/>
        </w:rPr>
        <w:tab/>
        <w:t>November 3, 2010</w:t>
      </w:r>
    </w:p>
    <w:p w:rsidR="00AF1DC1" w:rsidRPr="00717236" w:rsidRDefault="00AF1DC1" w:rsidP="00AF1DC1">
      <w:pPr>
        <w:widowControl w:val="0"/>
        <w:ind w:left="2880" w:hanging="2880"/>
        <w:jc w:val="both"/>
        <w:rPr>
          <w:sz w:val="20"/>
          <w:szCs w:val="20"/>
        </w:rPr>
      </w:pPr>
    </w:p>
    <w:p w:rsidR="00AF1DC1" w:rsidRPr="00717236" w:rsidRDefault="00AF1DC1" w:rsidP="00AF1DC1">
      <w:pPr>
        <w:widowControl w:val="0"/>
        <w:ind w:left="2880" w:hanging="2880"/>
        <w:jc w:val="both"/>
        <w:rPr>
          <w:sz w:val="20"/>
          <w:szCs w:val="20"/>
        </w:rPr>
      </w:pPr>
      <w:r w:rsidRPr="00717236">
        <w:rPr>
          <w:sz w:val="20"/>
          <w:szCs w:val="20"/>
        </w:rPr>
        <w:t>Counsel:</w:t>
      </w:r>
      <w:r>
        <w:rPr>
          <w:sz w:val="20"/>
          <w:szCs w:val="20"/>
        </w:rPr>
        <w:tab/>
      </w:r>
      <w:r w:rsidRPr="00717236">
        <w:rPr>
          <w:sz w:val="20"/>
          <w:szCs w:val="20"/>
        </w:rPr>
        <w:t>Benoit Belleau and Hugo Jean for the Attorney General of Quebec</w:t>
      </w:r>
    </w:p>
    <w:p w:rsidR="00AF1DC1" w:rsidRPr="00717236" w:rsidRDefault="00AF1DC1" w:rsidP="00AF1DC1">
      <w:pPr>
        <w:widowControl w:val="0"/>
        <w:ind w:left="2880" w:hanging="2880"/>
        <w:jc w:val="both"/>
        <w:rPr>
          <w:sz w:val="20"/>
          <w:szCs w:val="20"/>
        </w:rPr>
      </w:pPr>
      <w:r>
        <w:rPr>
          <w:sz w:val="20"/>
          <w:szCs w:val="20"/>
        </w:rPr>
        <w:tab/>
      </w:r>
      <w:r w:rsidRPr="00717236">
        <w:rPr>
          <w:sz w:val="20"/>
          <w:szCs w:val="20"/>
        </w:rPr>
        <w:t>Guy J. Pratte and Mark Phillips for Ms. A</w:t>
      </w:r>
    </w:p>
    <w:p w:rsidR="00AF1DC1" w:rsidRPr="00717236" w:rsidRDefault="00AF1DC1" w:rsidP="00AF1DC1">
      <w:pPr>
        <w:widowControl w:val="0"/>
        <w:ind w:left="2880" w:hanging="2880"/>
        <w:jc w:val="both"/>
        <w:rPr>
          <w:sz w:val="20"/>
          <w:szCs w:val="20"/>
        </w:rPr>
      </w:pPr>
      <w:r>
        <w:rPr>
          <w:sz w:val="20"/>
          <w:szCs w:val="20"/>
        </w:rPr>
        <w:tab/>
      </w:r>
      <w:r w:rsidRPr="00717236">
        <w:rPr>
          <w:sz w:val="20"/>
          <w:szCs w:val="20"/>
        </w:rPr>
        <w:t>Pierre Bienvenu, Ad. E., Azim Hussain and Catherine Martel, co</w:t>
      </w:r>
      <w:r w:rsidRPr="00717236">
        <w:rPr>
          <w:sz w:val="20"/>
          <w:szCs w:val="20"/>
        </w:rPr>
        <w:noBreakHyphen/>
        <w:t>counsel for Mr. B</w:t>
      </w:r>
    </w:p>
    <w:p w:rsidR="00AF1DC1" w:rsidRPr="00717236" w:rsidRDefault="00AF1DC1" w:rsidP="00AF1DC1">
      <w:pPr>
        <w:widowControl w:val="0"/>
        <w:ind w:left="2880" w:hanging="2880"/>
        <w:jc w:val="both"/>
        <w:rPr>
          <w:sz w:val="20"/>
          <w:szCs w:val="20"/>
        </w:rPr>
      </w:pPr>
      <w:r>
        <w:rPr>
          <w:sz w:val="20"/>
          <w:szCs w:val="20"/>
        </w:rPr>
        <w:tab/>
      </w:r>
      <w:r w:rsidRPr="00717236">
        <w:rPr>
          <w:sz w:val="20"/>
          <w:szCs w:val="20"/>
        </w:rPr>
        <w:t>Suzanne H. Pringle and Johane Thibodeau, co</w:t>
      </w:r>
      <w:r w:rsidRPr="00717236">
        <w:rPr>
          <w:sz w:val="20"/>
          <w:szCs w:val="20"/>
        </w:rPr>
        <w:noBreakHyphen/>
        <w:t>counsel for Mr. B</w:t>
      </w:r>
    </w:p>
    <w:p w:rsidR="00A248C7" w:rsidRPr="00AF1DC1" w:rsidRDefault="00A248C7" w:rsidP="000B3C9A">
      <w:pPr>
        <w:tabs>
          <w:tab w:val="left" w:pos="-1440"/>
          <w:tab w:val="left" w:pos="-720"/>
        </w:tabs>
        <w:jc w:val="both"/>
        <w:rPr>
          <w:sz w:val="20"/>
          <w:szCs w:val="20"/>
        </w:rPr>
      </w:pPr>
    </w:p>
    <w:p w:rsidR="00AF1DC1" w:rsidRDefault="00586706" w:rsidP="000B3C9A">
      <w:pPr>
        <w:tabs>
          <w:tab w:val="left" w:pos="-1440"/>
          <w:tab w:val="left" w:pos="-720"/>
        </w:tabs>
        <w:jc w:val="both"/>
        <w:rPr>
          <w:sz w:val="20"/>
          <w:szCs w:val="20"/>
          <w:lang w:val="fr-CA"/>
        </w:rPr>
      </w:pPr>
      <w:r w:rsidRPr="00586706">
        <w:rPr>
          <w:sz w:val="20"/>
          <w:szCs w:val="20"/>
          <w:lang w:val="fr-CA"/>
        </w:rPr>
        <w:pict>
          <v:rect id="_x0000_i1108" style="width:2in;height:1pt" o:hrpct="0" o:hralign="center" o:hrstd="t" o:hrnoshade="t" o:hr="t" fillcolor="black [3213]" stroked="f"/>
        </w:pict>
      </w:r>
    </w:p>
    <w:p w:rsidR="00AF1DC1" w:rsidRDefault="00AF1DC1" w:rsidP="000B3C9A">
      <w:pPr>
        <w:tabs>
          <w:tab w:val="left" w:pos="-1440"/>
          <w:tab w:val="left" w:pos="-720"/>
        </w:tabs>
        <w:jc w:val="both"/>
        <w:rPr>
          <w:sz w:val="20"/>
          <w:szCs w:val="20"/>
          <w:lang w:val="fr-CA"/>
        </w:rPr>
      </w:pPr>
    </w:p>
    <w:p w:rsidR="00AF1DC1" w:rsidRDefault="00AF1DC1">
      <w:pPr>
        <w:rPr>
          <w:sz w:val="20"/>
          <w:szCs w:val="20"/>
          <w:lang w:val="fr-CA"/>
        </w:rPr>
      </w:pPr>
      <w:r>
        <w:rPr>
          <w:sz w:val="20"/>
          <w:szCs w:val="20"/>
          <w:lang w:val="fr-CA"/>
        </w:rPr>
        <w:br w:type="page"/>
      </w:r>
    </w:p>
    <w:p w:rsidR="00AF1DC1" w:rsidRPr="005A3369" w:rsidRDefault="00586706" w:rsidP="00AF1DC1">
      <w:pPr>
        <w:widowControl w:val="0"/>
        <w:ind w:left="720" w:hanging="720"/>
        <w:jc w:val="both"/>
        <w:rPr>
          <w:sz w:val="20"/>
          <w:szCs w:val="20"/>
          <w:lang w:val="fr-CA"/>
        </w:rPr>
      </w:pPr>
      <w:r w:rsidRPr="00586706">
        <w:rPr>
          <w:b/>
          <w:sz w:val="20"/>
          <w:szCs w:val="20"/>
          <w:lang w:val="fr-CA"/>
        </w:rPr>
        <w:lastRenderedPageBreak/>
        <w:fldChar w:fldCharType="begin"/>
      </w:r>
      <w:r w:rsidR="00AF1DC1" w:rsidRPr="005A3369">
        <w:rPr>
          <w:b/>
          <w:sz w:val="20"/>
          <w:szCs w:val="20"/>
          <w:lang w:val="fr-CA"/>
        </w:rPr>
        <w:instrText xml:space="preserve"> SEQ CHAPTER \h \r 1</w:instrText>
      </w:r>
      <w:r w:rsidRPr="005A3369">
        <w:rPr>
          <w:b/>
          <w:sz w:val="20"/>
          <w:szCs w:val="20"/>
        </w:rPr>
        <w:fldChar w:fldCharType="end"/>
      </w:r>
      <w:r w:rsidR="00AF1DC1" w:rsidRPr="005A3369">
        <w:rPr>
          <w:b/>
          <w:sz w:val="20"/>
          <w:szCs w:val="20"/>
          <w:lang w:val="fr-CA"/>
        </w:rPr>
        <w:t>33990</w:t>
      </w:r>
      <w:r w:rsidR="00AF1DC1" w:rsidRPr="005A3369">
        <w:rPr>
          <w:sz w:val="20"/>
          <w:szCs w:val="20"/>
          <w:lang w:val="fr-CA"/>
        </w:rPr>
        <w:tab/>
      </w:r>
      <w:r w:rsidR="00AF1DC1" w:rsidRPr="005A3369">
        <w:rPr>
          <w:b/>
          <w:i/>
          <w:sz w:val="20"/>
          <w:szCs w:val="20"/>
          <w:lang w:val="fr-CA"/>
        </w:rPr>
        <w:t xml:space="preserve">Procureur général du Québec c. A et Procureur général du Canada et Fédération des associations de familles monoparentales et recomposées du Québec </w:t>
      </w:r>
      <w:r w:rsidR="00AF1DC1" w:rsidRPr="005A3369">
        <w:rPr>
          <w:i/>
          <w:sz w:val="20"/>
          <w:szCs w:val="20"/>
          <w:lang w:val="fr-FR"/>
        </w:rPr>
        <w:noBreakHyphen/>
        <w:t xml:space="preserve"> </w:t>
      </w:r>
      <w:r w:rsidR="00AF1DC1" w:rsidRPr="005A3369">
        <w:rPr>
          <w:b/>
          <w:i/>
          <w:sz w:val="20"/>
          <w:szCs w:val="20"/>
          <w:lang w:val="fr-FR"/>
        </w:rPr>
        <w:t xml:space="preserve">B c. A et Procureur général du Québec, Procureur général du Canada et Fédération des associations de familles monoparentales et recomposées du Québec </w:t>
      </w:r>
      <w:r w:rsidR="00AF1DC1" w:rsidRPr="005A3369">
        <w:rPr>
          <w:i/>
          <w:sz w:val="20"/>
          <w:szCs w:val="20"/>
          <w:lang w:val="fr-FR"/>
        </w:rPr>
        <w:noBreakHyphen/>
        <w:t xml:space="preserve"> </w:t>
      </w:r>
      <w:r w:rsidR="00AF1DC1" w:rsidRPr="005A3369">
        <w:rPr>
          <w:b/>
          <w:i/>
          <w:sz w:val="20"/>
          <w:szCs w:val="20"/>
          <w:lang w:val="fr-FR"/>
        </w:rPr>
        <w:t>A c. B et Procureur général du Québec, Procureur général du Canada et Fédération des associations de familles recomposées du Québec</w:t>
      </w:r>
    </w:p>
    <w:p w:rsidR="00AF1DC1" w:rsidRPr="005A3369" w:rsidRDefault="00AF1DC1" w:rsidP="00AF1DC1">
      <w:pPr>
        <w:widowControl w:val="0"/>
        <w:jc w:val="both"/>
        <w:rPr>
          <w:sz w:val="20"/>
          <w:szCs w:val="20"/>
          <w:lang w:val="fr-CA"/>
        </w:rPr>
      </w:pPr>
    </w:p>
    <w:p w:rsidR="00AF1DC1" w:rsidRPr="005A3369" w:rsidRDefault="00AF1DC1" w:rsidP="00AF1DC1">
      <w:pPr>
        <w:pStyle w:val="ORPara"/>
        <w:tabs>
          <w:tab w:val="left" w:pos="1770"/>
        </w:tabs>
        <w:spacing w:after="0"/>
        <w:rPr>
          <w:sz w:val="20"/>
          <w:szCs w:val="20"/>
          <w:lang w:val="fr-FR"/>
        </w:rPr>
      </w:pPr>
      <w:r w:rsidRPr="005A3369">
        <w:rPr>
          <w:i/>
          <w:sz w:val="20"/>
          <w:szCs w:val="20"/>
          <w:lang w:val="fr-FR"/>
        </w:rPr>
        <w:t xml:space="preserve">Charte des droits </w:t>
      </w:r>
      <w:r w:rsidRPr="005A3369">
        <w:rPr>
          <w:i/>
          <w:sz w:val="20"/>
          <w:szCs w:val="20"/>
          <w:lang w:val="fr-FR"/>
        </w:rPr>
        <w:noBreakHyphen/>
      </w:r>
      <w:r w:rsidRPr="005A3369">
        <w:rPr>
          <w:sz w:val="20"/>
          <w:szCs w:val="20"/>
          <w:lang w:val="fr-FR"/>
        </w:rPr>
        <w:t xml:space="preserve"> Droit à l’égalité </w:t>
      </w:r>
      <w:r w:rsidRPr="005A3369">
        <w:rPr>
          <w:i/>
          <w:sz w:val="20"/>
          <w:szCs w:val="20"/>
          <w:lang w:val="fr-FR"/>
        </w:rPr>
        <w:noBreakHyphen/>
      </w:r>
      <w:r w:rsidRPr="005A3369">
        <w:rPr>
          <w:sz w:val="20"/>
          <w:szCs w:val="20"/>
          <w:lang w:val="fr-FR"/>
        </w:rPr>
        <w:t xml:space="preserve"> État matrimonial </w:t>
      </w:r>
      <w:r w:rsidRPr="005A3369">
        <w:rPr>
          <w:i/>
          <w:sz w:val="20"/>
          <w:szCs w:val="20"/>
          <w:lang w:val="fr-FR"/>
        </w:rPr>
        <w:noBreakHyphen/>
      </w:r>
      <w:r w:rsidRPr="005A3369">
        <w:rPr>
          <w:sz w:val="20"/>
          <w:szCs w:val="20"/>
          <w:lang w:val="fr-FR"/>
        </w:rPr>
        <w:t xml:space="preserve"> Réparation </w:t>
      </w:r>
      <w:r w:rsidRPr="005A3369">
        <w:rPr>
          <w:i/>
          <w:sz w:val="20"/>
          <w:szCs w:val="20"/>
          <w:lang w:val="fr-FR"/>
        </w:rPr>
        <w:noBreakHyphen/>
      </w:r>
      <w:r w:rsidRPr="005A3369">
        <w:rPr>
          <w:sz w:val="20"/>
          <w:szCs w:val="20"/>
          <w:lang w:val="fr-FR"/>
        </w:rPr>
        <w:t xml:space="preserve"> Droit de la famille </w:t>
      </w:r>
      <w:r w:rsidRPr="005A3369">
        <w:rPr>
          <w:i/>
          <w:sz w:val="20"/>
          <w:szCs w:val="20"/>
          <w:lang w:val="fr-FR"/>
        </w:rPr>
        <w:noBreakHyphen/>
      </w:r>
      <w:r w:rsidRPr="005A3369">
        <w:rPr>
          <w:sz w:val="20"/>
          <w:szCs w:val="20"/>
          <w:lang w:val="fr-FR"/>
        </w:rPr>
        <w:t xml:space="preserve"> Conjoints de fait </w:t>
      </w:r>
      <w:r w:rsidRPr="005A3369">
        <w:rPr>
          <w:i/>
          <w:sz w:val="20"/>
          <w:szCs w:val="20"/>
          <w:lang w:val="fr-FR"/>
        </w:rPr>
        <w:noBreakHyphen/>
      </w:r>
      <w:r w:rsidRPr="005A3369">
        <w:rPr>
          <w:sz w:val="20"/>
          <w:szCs w:val="20"/>
          <w:lang w:val="fr-FR"/>
        </w:rPr>
        <w:t xml:space="preserve"> Aliments </w:t>
      </w:r>
      <w:r w:rsidRPr="005A3369">
        <w:rPr>
          <w:i/>
          <w:sz w:val="20"/>
          <w:szCs w:val="20"/>
          <w:lang w:val="fr-FR"/>
        </w:rPr>
        <w:noBreakHyphen/>
      </w:r>
      <w:r w:rsidRPr="005A3369">
        <w:rPr>
          <w:sz w:val="20"/>
          <w:szCs w:val="20"/>
          <w:lang w:val="fr-FR"/>
        </w:rPr>
        <w:t xml:space="preserve"> Biens familiaux </w:t>
      </w:r>
      <w:r w:rsidRPr="005A3369">
        <w:rPr>
          <w:i/>
          <w:sz w:val="20"/>
          <w:szCs w:val="20"/>
          <w:lang w:val="fr-FR"/>
        </w:rPr>
        <w:noBreakHyphen/>
      </w:r>
      <w:r w:rsidRPr="005A3369">
        <w:rPr>
          <w:sz w:val="20"/>
          <w:szCs w:val="20"/>
          <w:lang w:val="fr-FR"/>
        </w:rPr>
        <w:t xml:space="preserve"> </w:t>
      </w:r>
      <w:r w:rsidRPr="005A3369">
        <w:rPr>
          <w:sz w:val="20"/>
          <w:szCs w:val="20"/>
        </w:rPr>
        <w:t xml:space="preserve">Les articles 401 à 430, 432, 433, 448 à 484 et 585 du </w:t>
      </w:r>
      <w:r w:rsidRPr="005A3369">
        <w:rPr>
          <w:i/>
          <w:sz w:val="20"/>
          <w:szCs w:val="20"/>
        </w:rPr>
        <w:t>Code civil du Québec</w:t>
      </w:r>
      <w:r w:rsidRPr="005A3369">
        <w:rPr>
          <w:sz w:val="20"/>
          <w:szCs w:val="20"/>
        </w:rPr>
        <w:t>, L.R.Q., ch. C</w:t>
      </w:r>
      <w:r w:rsidRPr="005A3369">
        <w:rPr>
          <w:sz w:val="20"/>
          <w:szCs w:val="20"/>
        </w:rPr>
        <w:noBreakHyphen/>
        <w:t>1991, contreviennent</w:t>
      </w:r>
      <w:r w:rsidRPr="005A3369">
        <w:rPr>
          <w:sz w:val="20"/>
          <w:szCs w:val="20"/>
        </w:rPr>
        <w:noBreakHyphen/>
        <w:t xml:space="preserve">ils au paragraphe 15(1) de la </w:t>
      </w:r>
      <w:r w:rsidRPr="005A3369">
        <w:rPr>
          <w:i/>
          <w:sz w:val="20"/>
          <w:szCs w:val="20"/>
        </w:rPr>
        <w:t>Charte canadienne des droits et libertés</w:t>
      </w:r>
      <w:r w:rsidRPr="005A3369">
        <w:rPr>
          <w:sz w:val="20"/>
          <w:szCs w:val="20"/>
        </w:rPr>
        <w:t>?</w:t>
      </w:r>
      <w:r w:rsidRPr="005A3369">
        <w:rPr>
          <w:sz w:val="20"/>
          <w:szCs w:val="20"/>
          <w:lang w:val="fr-FR"/>
        </w:rPr>
        <w:t xml:space="preserve"> </w:t>
      </w:r>
      <w:r w:rsidRPr="005A3369">
        <w:rPr>
          <w:i/>
          <w:sz w:val="20"/>
          <w:szCs w:val="20"/>
          <w:lang w:val="fr-FR"/>
        </w:rPr>
        <w:noBreakHyphen/>
        <w:t xml:space="preserve"> </w:t>
      </w:r>
      <w:r w:rsidRPr="005A3369">
        <w:rPr>
          <w:sz w:val="20"/>
          <w:szCs w:val="20"/>
        </w:rPr>
        <w:t>Dans l’affirmative, s’agit</w:t>
      </w:r>
      <w:r w:rsidRPr="005A3369">
        <w:rPr>
          <w:sz w:val="20"/>
          <w:szCs w:val="20"/>
        </w:rPr>
        <w:noBreakHyphen/>
        <w:t xml:space="preserve">il d’une limite raisonnable prescrite par une règle de droit dont la justification peut se démontrer dans le cadre d’une société libre et démocratique au sens de l’article premier de la </w:t>
      </w:r>
      <w:r w:rsidRPr="005A3369">
        <w:rPr>
          <w:i/>
          <w:sz w:val="20"/>
          <w:szCs w:val="20"/>
        </w:rPr>
        <w:t>Charte canadienne des droits et libertés</w:t>
      </w:r>
      <w:r w:rsidRPr="005A3369">
        <w:rPr>
          <w:sz w:val="20"/>
          <w:szCs w:val="20"/>
        </w:rPr>
        <w:t>?</w:t>
      </w:r>
      <w:r w:rsidRPr="005A3369">
        <w:rPr>
          <w:sz w:val="20"/>
          <w:szCs w:val="20"/>
          <w:lang w:val="fr-FR"/>
        </w:rPr>
        <w:t xml:space="preserve"> </w:t>
      </w:r>
      <w:r w:rsidRPr="005A3369">
        <w:rPr>
          <w:i/>
          <w:sz w:val="20"/>
          <w:szCs w:val="20"/>
          <w:lang w:val="fr-FR"/>
        </w:rPr>
        <w:noBreakHyphen/>
        <w:t xml:space="preserve"> </w:t>
      </w:r>
      <w:r w:rsidRPr="005A3369">
        <w:rPr>
          <w:sz w:val="20"/>
          <w:szCs w:val="20"/>
          <w:lang w:val="fr-FR"/>
        </w:rPr>
        <w:t>La Cour d’appel a</w:t>
      </w:r>
      <w:r w:rsidRPr="005A3369">
        <w:rPr>
          <w:sz w:val="20"/>
          <w:szCs w:val="20"/>
          <w:lang w:val="fr-FR"/>
        </w:rPr>
        <w:noBreakHyphen/>
        <w:t>t</w:t>
      </w:r>
      <w:r w:rsidRPr="005A3369">
        <w:rPr>
          <w:sz w:val="20"/>
          <w:szCs w:val="20"/>
          <w:lang w:val="fr-FR"/>
        </w:rPr>
        <w:noBreakHyphen/>
        <w:t xml:space="preserve">elle erré dans le choix de la réparation, d’une part, en ne faisant pas bénéficier immédiatement l’ensemble des Québécois et Québécoises d’une réparation corrigeant de manière immédiate l’invalidité inconstitutionnelle en cause et, d’autre part, quant à la question de la réparation de la demanderesse? </w:t>
      </w:r>
      <w:r w:rsidRPr="005A3369">
        <w:rPr>
          <w:i/>
          <w:sz w:val="20"/>
          <w:szCs w:val="20"/>
          <w:lang w:val="fr-FR"/>
        </w:rPr>
        <w:noBreakHyphen/>
      </w:r>
      <w:r w:rsidRPr="005A3369">
        <w:rPr>
          <w:sz w:val="20"/>
          <w:szCs w:val="20"/>
          <w:lang w:val="fr-FR"/>
        </w:rPr>
        <w:t xml:space="preserve"> </w:t>
      </w:r>
      <w:r w:rsidRPr="005A3369">
        <w:rPr>
          <w:i/>
          <w:sz w:val="20"/>
          <w:szCs w:val="20"/>
          <w:lang w:val="fr-FR"/>
        </w:rPr>
        <w:t>Code civil du Québec</w:t>
      </w:r>
      <w:r w:rsidRPr="005A3369">
        <w:rPr>
          <w:sz w:val="20"/>
          <w:szCs w:val="20"/>
          <w:lang w:val="fr-FR"/>
        </w:rPr>
        <w:t>, L.R.Q., ch. C</w:t>
      </w:r>
      <w:r w:rsidRPr="005A3369">
        <w:rPr>
          <w:sz w:val="20"/>
          <w:szCs w:val="20"/>
          <w:lang w:val="fr-FR"/>
        </w:rPr>
        <w:noBreakHyphen/>
        <w:t>1991, art. 401</w:t>
      </w:r>
      <w:r w:rsidRPr="005A3369">
        <w:rPr>
          <w:sz w:val="20"/>
          <w:szCs w:val="20"/>
          <w:lang w:val="fr-FR"/>
        </w:rPr>
        <w:noBreakHyphen/>
        <w:t>430, 432</w:t>
      </w:r>
      <w:r w:rsidRPr="005A3369">
        <w:rPr>
          <w:sz w:val="20"/>
          <w:szCs w:val="20"/>
          <w:lang w:val="fr-FR"/>
        </w:rPr>
        <w:noBreakHyphen/>
        <w:t>433, 448</w:t>
      </w:r>
      <w:r w:rsidRPr="005A3369">
        <w:rPr>
          <w:sz w:val="20"/>
          <w:szCs w:val="20"/>
          <w:lang w:val="fr-FR"/>
        </w:rPr>
        <w:noBreakHyphen/>
        <w:t xml:space="preserve">484, 585 </w:t>
      </w:r>
      <w:r w:rsidRPr="005A3369">
        <w:rPr>
          <w:i/>
          <w:sz w:val="20"/>
          <w:szCs w:val="20"/>
          <w:lang w:val="fr-FR"/>
        </w:rPr>
        <w:noBreakHyphen/>
      </w:r>
      <w:r w:rsidRPr="005A3369">
        <w:rPr>
          <w:sz w:val="20"/>
          <w:szCs w:val="20"/>
          <w:lang w:val="fr-FR"/>
        </w:rPr>
        <w:t xml:space="preserve"> </w:t>
      </w:r>
      <w:r w:rsidRPr="005A3369">
        <w:rPr>
          <w:i/>
          <w:sz w:val="20"/>
          <w:szCs w:val="20"/>
          <w:lang w:val="fr-FR"/>
        </w:rPr>
        <w:t>Charte canadienne des droits et libertés</w:t>
      </w:r>
      <w:r w:rsidRPr="005A3369">
        <w:rPr>
          <w:sz w:val="20"/>
          <w:szCs w:val="20"/>
          <w:lang w:val="fr-FR"/>
        </w:rPr>
        <w:t>, art. 1, 15(1), 24(1).</w:t>
      </w:r>
    </w:p>
    <w:p w:rsidR="00AF1DC1" w:rsidRPr="005A3369" w:rsidRDefault="00AF1DC1" w:rsidP="00AF1DC1">
      <w:pPr>
        <w:pStyle w:val="ORPara"/>
        <w:tabs>
          <w:tab w:val="left" w:pos="1770"/>
        </w:tabs>
        <w:spacing w:after="0"/>
        <w:rPr>
          <w:sz w:val="20"/>
          <w:szCs w:val="20"/>
          <w:lang w:val="fr-FR"/>
        </w:rPr>
      </w:pPr>
    </w:p>
    <w:p w:rsidR="00AF1DC1" w:rsidRPr="005A3369" w:rsidRDefault="00AF1DC1" w:rsidP="00AF1DC1">
      <w:pPr>
        <w:jc w:val="both"/>
        <w:rPr>
          <w:sz w:val="20"/>
          <w:szCs w:val="20"/>
          <w:lang w:val="fr-FR"/>
        </w:rPr>
      </w:pPr>
      <w:r w:rsidRPr="005A3369">
        <w:rPr>
          <w:sz w:val="20"/>
          <w:szCs w:val="20"/>
          <w:lang w:val="fr-FR"/>
        </w:rPr>
        <w:t xml:space="preserve">Aux termes du </w:t>
      </w:r>
      <w:r w:rsidRPr="005A3369">
        <w:rPr>
          <w:i/>
          <w:sz w:val="20"/>
          <w:szCs w:val="20"/>
          <w:lang w:val="fr-FR"/>
        </w:rPr>
        <w:t>Code civil du Québec</w:t>
      </w:r>
      <w:r w:rsidRPr="005A3369">
        <w:rPr>
          <w:sz w:val="20"/>
          <w:szCs w:val="20"/>
          <w:lang w:val="fr-FR"/>
        </w:rPr>
        <w:t xml:space="preserve">, les conjoints de fait n’ont ni droits, ni devoirs, ni obligations l’un envers l’autre découlant de la vie commune.  Ils ne peuvent donc exercer aucun recours alimentaire l’un contre l’autre, ni partager le patrimoine familial et ne sont régis par aucun régime matrimonial légal.  En cas de rupture, une pension alimentaire sera accordée seulement pour les besoins des enfants issus de l’union des conjoints de fait au même titre que si le couple avait été marié ou uni civilement.  Les conjoints de fait peuvent conclure entre eux un contrat de vie commune. </w:t>
      </w:r>
    </w:p>
    <w:p w:rsidR="00AF1DC1" w:rsidRPr="005A3369" w:rsidRDefault="00AF1DC1" w:rsidP="00AF1DC1">
      <w:pPr>
        <w:jc w:val="both"/>
        <w:rPr>
          <w:sz w:val="20"/>
          <w:szCs w:val="20"/>
          <w:lang w:val="fr-FR"/>
        </w:rPr>
      </w:pPr>
    </w:p>
    <w:p w:rsidR="00AF1DC1" w:rsidRPr="005A3369" w:rsidRDefault="00AF1DC1" w:rsidP="00AF1DC1">
      <w:pPr>
        <w:pStyle w:val="ORPara"/>
        <w:tabs>
          <w:tab w:val="left" w:pos="1770"/>
        </w:tabs>
        <w:rPr>
          <w:sz w:val="20"/>
          <w:szCs w:val="20"/>
        </w:rPr>
      </w:pPr>
      <w:r w:rsidRPr="005A3369">
        <w:rPr>
          <w:sz w:val="20"/>
          <w:szCs w:val="20"/>
          <w:lang w:val="fr-FR"/>
        </w:rPr>
        <w:t xml:space="preserve">En l’espèce, </w:t>
      </w:r>
      <w:r w:rsidRPr="005A3369">
        <w:rPr>
          <w:sz w:val="20"/>
          <w:szCs w:val="20"/>
        </w:rPr>
        <w:t>M</w:t>
      </w:r>
      <w:r w:rsidRPr="005A3369">
        <w:rPr>
          <w:sz w:val="20"/>
          <w:szCs w:val="20"/>
          <w:vertAlign w:val="superscript"/>
        </w:rPr>
        <w:t>me</w:t>
      </w:r>
      <w:r w:rsidRPr="005A3369">
        <w:rPr>
          <w:sz w:val="20"/>
          <w:szCs w:val="20"/>
        </w:rPr>
        <w:t> </w:t>
      </w:r>
      <w:r w:rsidRPr="005A3369">
        <w:rPr>
          <w:sz w:val="20"/>
          <w:szCs w:val="20"/>
          <w:lang w:val="fr-FR"/>
        </w:rPr>
        <w:t xml:space="preserve">A et M. B ont cohabité pendant sept ans et de cette union sont nés trois enfants.  Lors de leur séparation, </w:t>
      </w:r>
      <w:r w:rsidRPr="005A3369">
        <w:rPr>
          <w:sz w:val="20"/>
          <w:szCs w:val="20"/>
        </w:rPr>
        <w:t>M</w:t>
      </w:r>
      <w:r w:rsidRPr="005A3369">
        <w:rPr>
          <w:sz w:val="20"/>
          <w:szCs w:val="20"/>
          <w:vertAlign w:val="superscript"/>
        </w:rPr>
        <w:t>me</w:t>
      </w:r>
      <w:r w:rsidRPr="005A3369">
        <w:rPr>
          <w:sz w:val="20"/>
          <w:szCs w:val="20"/>
        </w:rPr>
        <w:t xml:space="preserve"> </w:t>
      </w:r>
      <w:r w:rsidRPr="005A3369">
        <w:rPr>
          <w:sz w:val="20"/>
          <w:szCs w:val="20"/>
          <w:lang w:val="fr-FR"/>
        </w:rPr>
        <w:t xml:space="preserve">A dépose en Cour supérieure une « Requête pour garde d’enfants, pension alimentaire, somme globale, usage de la résidence familiale, provision pour frais et ordonnance intérimaire », à laquelle elle joint un avis au Procureur général du Québec de son intention de contester la constitutionnalité de plusieurs dispositions du </w:t>
      </w:r>
      <w:r w:rsidRPr="005A3369">
        <w:rPr>
          <w:i/>
          <w:sz w:val="20"/>
          <w:szCs w:val="20"/>
          <w:lang w:val="fr-FR"/>
        </w:rPr>
        <w:t>Code civil du Québec</w:t>
      </w:r>
      <w:r w:rsidRPr="005A3369">
        <w:rPr>
          <w:sz w:val="20"/>
          <w:szCs w:val="20"/>
          <w:lang w:val="fr-FR"/>
        </w:rPr>
        <w:t xml:space="preserve"> aux fins d’obtenir, pour les conjoints de fait, les mêmes droits que ceux octroyés aux conjoints mariés ou unis civilement.  Seul le volet constitutionnel de la requête fait l’objet du présent appel.</w:t>
      </w:r>
    </w:p>
    <w:p w:rsidR="00AF1DC1" w:rsidRPr="005A3369" w:rsidRDefault="00AF1DC1" w:rsidP="00AF1DC1">
      <w:pPr>
        <w:widowControl w:val="0"/>
        <w:jc w:val="both"/>
        <w:rPr>
          <w:sz w:val="20"/>
          <w:szCs w:val="20"/>
          <w:lang w:val="fr-CA"/>
        </w:rPr>
      </w:pPr>
    </w:p>
    <w:p w:rsidR="00AF1DC1" w:rsidRPr="005A3369" w:rsidRDefault="00AF1DC1" w:rsidP="00AF1DC1">
      <w:pPr>
        <w:widowControl w:val="0"/>
        <w:ind w:left="2880" w:hanging="2880"/>
        <w:jc w:val="both"/>
        <w:rPr>
          <w:sz w:val="20"/>
          <w:szCs w:val="20"/>
          <w:lang w:val="fr-CA"/>
        </w:rPr>
      </w:pPr>
      <w:r w:rsidRPr="005A3369">
        <w:rPr>
          <w:sz w:val="20"/>
          <w:szCs w:val="20"/>
          <w:lang w:val="fr-CA"/>
        </w:rPr>
        <w:t>Origine :</w:t>
      </w:r>
      <w:r w:rsidRPr="005A3369">
        <w:rPr>
          <w:sz w:val="20"/>
          <w:szCs w:val="20"/>
          <w:lang w:val="fr-CA"/>
        </w:rPr>
        <w:tab/>
        <w:t>Québec</w:t>
      </w:r>
    </w:p>
    <w:p w:rsidR="00AF1DC1" w:rsidRPr="005A3369" w:rsidRDefault="00AF1DC1" w:rsidP="00AF1DC1">
      <w:pPr>
        <w:widowControl w:val="0"/>
        <w:ind w:left="2880" w:hanging="2880"/>
        <w:jc w:val="both"/>
        <w:rPr>
          <w:sz w:val="20"/>
          <w:szCs w:val="20"/>
          <w:lang w:val="fr-CA"/>
        </w:rPr>
      </w:pPr>
    </w:p>
    <w:p w:rsidR="00AF1DC1" w:rsidRPr="005A3369" w:rsidRDefault="00AF1DC1" w:rsidP="00AF1DC1">
      <w:pPr>
        <w:widowControl w:val="0"/>
        <w:ind w:left="2880" w:hanging="2880"/>
        <w:jc w:val="both"/>
        <w:rPr>
          <w:sz w:val="20"/>
          <w:szCs w:val="20"/>
          <w:lang w:val="fr-CA"/>
        </w:rPr>
      </w:pPr>
      <w:r w:rsidRPr="005A3369">
        <w:rPr>
          <w:sz w:val="20"/>
          <w:szCs w:val="20"/>
          <w:lang w:val="fr-CA"/>
        </w:rPr>
        <w:t>N</w:t>
      </w:r>
      <w:r w:rsidRPr="005A3369">
        <w:rPr>
          <w:sz w:val="20"/>
          <w:szCs w:val="20"/>
          <w:vertAlign w:val="superscript"/>
          <w:lang w:val="fr-CA"/>
        </w:rPr>
        <w:t>o</w:t>
      </w:r>
      <w:r w:rsidRPr="005A3369">
        <w:rPr>
          <w:sz w:val="20"/>
          <w:szCs w:val="20"/>
          <w:lang w:val="fr-CA"/>
        </w:rPr>
        <w:t xml:space="preserve"> du greffe :</w:t>
      </w:r>
      <w:r w:rsidRPr="005A3369">
        <w:rPr>
          <w:sz w:val="20"/>
          <w:szCs w:val="20"/>
          <w:lang w:val="fr-CA"/>
        </w:rPr>
        <w:tab/>
        <w:t>33990</w:t>
      </w:r>
    </w:p>
    <w:p w:rsidR="00AF1DC1" w:rsidRPr="005A3369" w:rsidRDefault="00AF1DC1" w:rsidP="00AF1DC1">
      <w:pPr>
        <w:widowControl w:val="0"/>
        <w:ind w:left="2880" w:hanging="2880"/>
        <w:jc w:val="both"/>
        <w:rPr>
          <w:sz w:val="20"/>
          <w:szCs w:val="20"/>
          <w:lang w:val="fr-CA"/>
        </w:rPr>
      </w:pPr>
    </w:p>
    <w:p w:rsidR="00AF1DC1" w:rsidRPr="005A3369" w:rsidRDefault="00AF1DC1" w:rsidP="00AF1DC1">
      <w:pPr>
        <w:widowControl w:val="0"/>
        <w:ind w:left="2880" w:hanging="2880"/>
        <w:jc w:val="both"/>
        <w:rPr>
          <w:sz w:val="20"/>
          <w:szCs w:val="20"/>
          <w:lang w:val="fr-CA"/>
        </w:rPr>
      </w:pPr>
      <w:r w:rsidRPr="005A3369">
        <w:rPr>
          <w:sz w:val="20"/>
          <w:szCs w:val="20"/>
          <w:lang w:val="fr-CA"/>
        </w:rPr>
        <w:t>Arrêt de la Cour d’appel :</w:t>
      </w:r>
      <w:r w:rsidRPr="005A3369">
        <w:rPr>
          <w:sz w:val="20"/>
          <w:szCs w:val="20"/>
          <w:lang w:val="fr-CA"/>
        </w:rPr>
        <w:tab/>
        <w:t>Le 3 novembre 2010</w:t>
      </w:r>
    </w:p>
    <w:p w:rsidR="00AF1DC1" w:rsidRPr="005A3369" w:rsidRDefault="00AF1DC1" w:rsidP="00AF1DC1">
      <w:pPr>
        <w:widowControl w:val="0"/>
        <w:ind w:left="2880" w:hanging="2880"/>
        <w:jc w:val="both"/>
        <w:rPr>
          <w:sz w:val="20"/>
          <w:szCs w:val="20"/>
          <w:lang w:val="fr-CA"/>
        </w:rPr>
      </w:pPr>
    </w:p>
    <w:p w:rsidR="00AF1DC1" w:rsidRPr="005A3369" w:rsidRDefault="00AF1DC1" w:rsidP="00AF1DC1">
      <w:pPr>
        <w:widowControl w:val="0"/>
        <w:ind w:left="2880" w:hanging="2880"/>
        <w:jc w:val="both"/>
        <w:rPr>
          <w:sz w:val="20"/>
          <w:szCs w:val="20"/>
          <w:lang w:val="fr-CA"/>
        </w:rPr>
      </w:pPr>
      <w:r w:rsidRPr="005A3369">
        <w:rPr>
          <w:sz w:val="20"/>
          <w:szCs w:val="20"/>
          <w:lang w:val="fr-CA"/>
        </w:rPr>
        <w:t>Avocats:</w:t>
      </w:r>
      <w:r w:rsidRPr="005A3369">
        <w:rPr>
          <w:sz w:val="20"/>
          <w:szCs w:val="20"/>
          <w:lang w:val="fr-CA"/>
        </w:rPr>
        <w:tab/>
        <w:t>Me Benoit Belleau et Me Hugo Jean, procureurs du Procureur général du Québec.</w:t>
      </w:r>
    </w:p>
    <w:p w:rsidR="00AF1DC1" w:rsidRPr="005A3369" w:rsidRDefault="00AF1DC1" w:rsidP="00AF1DC1">
      <w:pPr>
        <w:widowControl w:val="0"/>
        <w:ind w:left="2880" w:hanging="2880"/>
        <w:jc w:val="both"/>
        <w:rPr>
          <w:sz w:val="20"/>
          <w:szCs w:val="20"/>
          <w:lang w:val="fr-CA"/>
        </w:rPr>
      </w:pPr>
      <w:r>
        <w:rPr>
          <w:sz w:val="20"/>
          <w:szCs w:val="20"/>
          <w:lang w:val="fr-CA"/>
        </w:rPr>
        <w:tab/>
      </w:r>
      <w:r w:rsidRPr="005A3369">
        <w:rPr>
          <w:sz w:val="20"/>
          <w:szCs w:val="20"/>
          <w:lang w:val="fr-CA"/>
        </w:rPr>
        <w:t>Me Guy J. Pratte et Me Mark Phillips, procureurs de M</w:t>
      </w:r>
      <w:r w:rsidRPr="005A3369">
        <w:rPr>
          <w:sz w:val="20"/>
          <w:szCs w:val="20"/>
          <w:vertAlign w:val="superscript"/>
          <w:lang w:val="fr-CA"/>
        </w:rPr>
        <w:t>me </w:t>
      </w:r>
      <w:r w:rsidRPr="005A3369">
        <w:rPr>
          <w:sz w:val="20"/>
          <w:szCs w:val="20"/>
          <w:lang w:val="fr-CA"/>
        </w:rPr>
        <w:t>A.</w:t>
      </w:r>
    </w:p>
    <w:p w:rsidR="00AF1DC1" w:rsidRPr="005A3369" w:rsidRDefault="00AF1DC1" w:rsidP="00AF1DC1">
      <w:pPr>
        <w:widowControl w:val="0"/>
        <w:ind w:left="2880" w:hanging="2880"/>
        <w:jc w:val="both"/>
        <w:rPr>
          <w:sz w:val="20"/>
          <w:szCs w:val="20"/>
          <w:lang w:val="fr-CA"/>
        </w:rPr>
      </w:pPr>
      <w:r>
        <w:rPr>
          <w:sz w:val="20"/>
          <w:szCs w:val="20"/>
          <w:lang w:val="fr-CA"/>
        </w:rPr>
        <w:tab/>
      </w:r>
      <w:r w:rsidRPr="005A3369">
        <w:rPr>
          <w:sz w:val="20"/>
          <w:szCs w:val="20"/>
          <w:lang w:val="fr-CA"/>
        </w:rPr>
        <w:t>Me Pierre Bienvenu, Ad. E., Me Azim Hussain et Me Catherine Martel, coprocureurs de M. B.</w:t>
      </w:r>
    </w:p>
    <w:p w:rsidR="00AF1DC1" w:rsidRDefault="00AF1DC1" w:rsidP="00AF1DC1">
      <w:pPr>
        <w:widowControl w:val="0"/>
        <w:ind w:left="2880" w:hanging="2880"/>
        <w:jc w:val="both"/>
        <w:rPr>
          <w:sz w:val="20"/>
          <w:szCs w:val="20"/>
          <w:lang w:val="fr-CA"/>
        </w:rPr>
      </w:pPr>
      <w:r>
        <w:rPr>
          <w:sz w:val="20"/>
          <w:szCs w:val="20"/>
          <w:lang w:val="fr-CA"/>
        </w:rPr>
        <w:tab/>
      </w:r>
      <w:r w:rsidRPr="005A3369">
        <w:rPr>
          <w:sz w:val="20"/>
          <w:szCs w:val="20"/>
          <w:lang w:val="fr-CA"/>
        </w:rPr>
        <w:t>Me Suzanne H. Pringle et Me Johane Thibodeau, coprocureurs de M. B.</w:t>
      </w:r>
    </w:p>
    <w:p w:rsidR="00AF1DC1" w:rsidRPr="005A3369" w:rsidRDefault="00AF1DC1" w:rsidP="00AF1DC1">
      <w:pPr>
        <w:widowControl w:val="0"/>
        <w:ind w:left="2880" w:hanging="2880"/>
        <w:jc w:val="both"/>
        <w:rPr>
          <w:sz w:val="20"/>
          <w:szCs w:val="20"/>
          <w:lang w:val="fr-CA"/>
        </w:rPr>
      </w:pPr>
    </w:p>
    <w:p w:rsidR="00AF1DC1" w:rsidRDefault="00586706">
      <w:pPr>
        <w:rPr>
          <w:sz w:val="20"/>
          <w:szCs w:val="20"/>
          <w:lang w:val="fr-CA"/>
        </w:rPr>
      </w:pPr>
      <w:r w:rsidRPr="00586706">
        <w:rPr>
          <w:sz w:val="20"/>
          <w:szCs w:val="20"/>
          <w:lang w:val="fr-CA"/>
        </w:rPr>
        <w:pict>
          <v:rect id="_x0000_i1109" style="width:2in;height:1pt" o:hrpct="0" o:hralign="center" o:hrstd="t" o:hrnoshade="t" o:hr="t" fillcolor="black [3213]" stroked="f"/>
        </w:pict>
      </w:r>
    </w:p>
    <w:p w:rsidR="00AF1DC1" w:rsidRDefault="00AF1DC1">
      <w:pPr>
        <w:rPr>
          <w:sz w:val="20"/>
          <w:szCs w:val="20"/>
          <w:lang w:val="fr-CA"/>
        </w:rPr>
      </w:pPr>
    </w:p>
    <w:p w:rsidR="00AF1DC1" w:rsidRDefault="00AF1DC1">
      <w:pPr>
        <w:rPr>
          <w:sz w:val="20"/>
          <w:szCs w:val="20"/>
          <w:lang w:val="fr-CA"/>
        </w:rPr>
      </w:pPr>
      <w:r>
        <w:rPr>
          <w:sz w:val="20"/>
          <w:szCs w:val="20"/>
          <w:lang w:val="fr-CA"/>
        </w:rPr>
        <w:br w:type="page"/>
      </w:r>
    </w:p>
    <w:p w:rsidR="00545CFB" w:rsidRPr="000332E9" w:rsidRDefault="00586706" w:rsidP="00545CFB">
      <w:pPr>
        <w:widowControl w:val="0"/>
        <w:ind w:left="720" w:hanging="720"/>
        <w:jc w:val="both"/>
        <w:rPr>
          <w:sz w:val="20"/>
          <w:szCs w:val="20"/>
        </w:rPr>
      </w:pPr>
      <w:r w:rsidRPr="000332E9">
        <w:rPr>
          <w:b/>
          <w:sz w:val="20"/>
          <w:szCs w:val="20"/>
        </w:rPr>
        <w:lastRenderedPageBreak/>
        <w:fldChar w:fldCharType="begin"/>
      </w:r>
      <w:r w:rsidR="00545CFB" w:rsidRPr="000332E9">
        <w:rPr>
          <w:b/>
          <w:sz w:val="20"/>
          <w:szCs w:val="20"/>
        </w:rPr>
        <w:instrText xml:space="preserve"> SEQ CHAPTER \h \r 1</w:instrText>
      </w:r>
      <w:r w:rsidRPr="000332E9">
        <w:rPr>
          <w:b/>
          <w:sz w:val="20"/>
          <w:szCs w:val="20"/>
        </w:rPr>
        <w:fldChar w:fldCharType="end"/>
      </w:r>
      <w:r w:rsidR="00545CFB" w:rsidRPr="000332E9">
        <w:rPr>
          <w:b/>
          <w:sz w:val="20"/>
          <w:szCs w:val="20"/>
        </w:rPr>
        <w:t>33981</w:t>
      </w:r>
      <w:r w:rsidR="00545CFB" w:rsidRPr="000332E9">
        <w:rPr>
          <w:sz w:val="20"/>
          <w:szCs w:val="20"/>
        </w:rPr>
        <w:tab/>
      </w:r>
      <w:r w:rsidR="00545CFB" w:rsidRPr="000332E9">
        <w:rPr>
          <w:b/>
          <w:i/>
          <w:sz w:val="20"/>
          <w:szCs w:val="20"/>
        </w:rPr>
        <w:t>The Attorney General of Canada v. Downtown Eastside Sex Workers United Against Violence Society and Sheryl Kiselbach</w:t>
      </w:r>
    </w:p>
    <w:p w:rsidR="00545CFB" w:rsidRPr="000332E9" w:rsidRDefault="00545CFB" w:rsidP="00545CFB">
      <w:pPr>
        <w:widowControl w:val="0"/>
        <w:jc w:val="both"/>
        <w:rPr>
          <w:sz w:val="20"/>
          <w:szCs w:val="20"/>
        </w:rPr>
      </w:pPr>
    </w:p>
    <w:p w:rsidR="00545CFB" w:rsidRPr="000332E9" w:rsidRDefault="00545CFB" w:rsidP="00545CFB">
      <w:pPr>
        <w:widowControl w:val="0"/>
        <w:jc w:val="both"/>
        <w:rPr>
          <w:sz w:val="20"/>
          <w:szCs w:val="20"/>
        </w:rPr>
      </w:pPr>
      <w:r w:rsidRPr="000332E9">
        <w:rPr>
          <w:i/>
          <w:sz w:val="20"/>
          <w:szCs w:val="20"/>
        </w:rPr>
        <w:t>Charter of Rights</w:t>
      </w:r>
      <w:r w:rsidRPr="000332E9">
        <w:rPr>
          <w:sz w:val="20"/>
          <w:szCs w:val="20"/>
        </w:rPr>
        <w:t xml:space="preserve"> </w:t>
      </w:r>
      <w:r w:rsidRPr="000332E9">
        <w:rPr>
          <w:sz w:val="20"/>
          <w:szCs w:val="20"/>
        </w:rPr>
        <w:noBreakHyphen/>
        <w:t xml:space="preserve"> Civil Proceedings </w:t>
      </w:r>
      <w:r w:rsidRPr="000332E9">
        <w:rPr>
          <w:sz w:val="20"/>
          <w:szCs w:val="20"/>
        </w:rPr>
        <w:noBreakHyphen/>
        <w:t xml:space="preserve"> Parties </w:t>
      </w:r>
      <w:r w:rsidRPr="000332E9">
        <w:rPr>
          <w:sz w:val="20"/>
          <w:szCs w:val="20"/>
        </w:rPr>
        <w:noBreakHyphen/>
        <w:t xml:space="preserve"> Standing </w:t>
      </w:r>
      <w:r w:rsidRPr="000332E9">
        <w:rPr>
          <w:sz w:val="20"/>
          <w:szCs w:val="20"/>
        </w:rPr>
        <w:noBreakHyphen/>
        <w:t xml:space="preserve"> Test for public interest standing</w:t>
      </w:r>
      <w:r w:rsidRPr="000332E9">
        <w:rPr>
          <w:sz w:val="20"/>
          <w:szCs w:val="20"/>
        </w:rPr>
        <w:noBreakHyphen/>
        <w:t xml:space="preserve"> Parameters for granting public interest standing </w:t>
      </w:r>
      <w:r w:rsidRPr="000332E9">
        <w:rPr>
          <w:sz w:val="20"/>
          <w:szCs w:val="20"/>
        </w:rPr>
        <w:noBreakHyphen/>
        <w:t xml:space="preserve"> Assessing whether there is another reasonable and effective way to bring constitutional issues before courts for the purposes of determining whether to grant public interest standing </w:t>
      </w:r>
      <w:r w:rsidRPr="000332E9">
        <w:rPr>
          <w:sz w:val="20"/>
          <w:szCs w:val="20"/>
        </w:rPr>
        <w:noBreakHyphen/>
        <w:t xml:space="preserve"> Circumstances in which public interest litigants can bring challenges to government legislation or action </w:t>
      </w:r>
      <w:r w:rsidRPr="000332E9">
        <w:rPr>
          <w:sz w:val="20"/>
          <w:szCs w:val="20"/>
        </w:rPr>
        <w:noBreakHyphen/>
        <w:t xml:space="preserve"> Relevance of the nature of the constitutional challenge to the assessment of whether there are other reasonable means by which a challenge may be brought </w:t>
      </w:r>
      <w:r w:rsidRPr="000332E9">
        <w:rPr>
          <w:sz w:val="20"/>
          <w:szCs w:val="20"/>
        </w:rPr>
        <w:noBreakHyphen/>
        <w:t xml:space="preserve"> Whether the Court of Appeal misinterpreted and unjustifiably relaxed the requirement that public interest standing only be granted if there is no other reasonable or effective manner to bring the issue to court </w:t>
      </w:r>
      <w:r w:rsidRPr="000332E9">
        <w:rPr>
          <w:sz w:val="20"/>
          <w:szCs w:val="20"/>
        </w:rPr>
        <w:noBreakHyphen/>
        <w:t xml:space="preserve"> Whether the Court of Appeal erred in finding that the respondents had raised a serious question to be tried with respect to the constitutionality of s. 213(1)(c) of the </w:t>
      </w:r>
      <w:r w:rsidRPr="000332E9">
        <w:rPr>
          <w:i/>
          <w:sz w:val="20"/>
          <w:szCs w:val="20"/>
        </w:rPr>
        <w:t>Criminal Code</w:t>
      </w:r>
      <w:r w:rsidRPr="000332E9">
        <w:rPr>
          <w:sz w:val="20"/>
          <w:szCs w:val="20"/>
        </w:rPr>
        <w:t>, R.S.C. 1985, c. C</w:t>
      </w:r>
      <w:r w:rsidRPr="000332E9">
        <w:rPr>
          <w:sz w:val="20"/>
          <w:szCs w:val="20"/>
        </w:rPr>
        <w:noBreakHyphen/>
        <w:t>46.</w:t>
      </w:r>
    </w:p>
    <w:p w:rsidR="00545CFB" w:rsidRPr="000332E9" w:rsidRDefault="00545CFB" w:rsidP="00545CFB">
      <w:pPr>
        <w:widowControl w:val="0"/>
        <w:jc w:val="both"/>
        <w:rPr>
          <w:sz w:val="20"/>
          <w:szCs w:val="20"/>
        </w:rPr>
      </w:pPr>
    </w:p>
    <w:p w:rsidR="00545CFB" w:rsidRPr="000332E9" w:rsidRDefault="00545CFB" w:rsidP="00545CFB">
      <w:pPr>
        <w:widowControl w:val="0"/>
        <w:jc w:val="both"/>
        <w:rPr>
          <w:sz w:val="20"/>
          <w:szCs w:val="20"/>
        </w:rPr>
      </w:pPr>
      <w:r w:rsidRPr="000332E9">
        <w:rPr>
          <w:sz w:val="20"/>
          <w:szCs w:val="20"/>
        </w:rPr>
        <w:t xml:space="preserve">The respondents commenced an action challenging the constitutional validity of </w:t>
      </w:r>
      <w:r w:rsidRPr="000332E9">
        <w:rPr>
          <w:i/>
          <w:iCs/>
          <w:sz w:val="20"/>
          <w:szCs w:val="20"/>
        </w:rPr>
        <w:t>Criminal Code</w:t>
      </w:r>
      <w:r w:rsidRPr="000332E9">
        <w:rPr>
          <w:sz w:val="20"/>
          <w:szCs w:val="20"/>
        </w:rPr>
        <w:t xml:space="preserve"> sections 210 (keeping and being within a common bawdy house), 211 (transporting a person to a common bawdy house), 212 (procuring and living on the avails of prostitution) except for ss. 212(1)(g) and (i), and 213 (soliciting in a public place) on the basis these provisions infringe ss. 2(b), 2(d), 7 and 15 of the </w:t>
      </w:r>
      <w:r w:rsidRPr="000332E9">
        <w:rPr>
          <w:i/>
          <w:iCs/>
          <w:sz w:val="20"/>
          <w:szCs w:val="20"/>
        </w:rPr>
        <w:t>Charter of Rights and Freedoms</w:t>
      </w:r>
      <w:r w:rsidRPr="000332E9">
        <w:rPr>
          <w:iCs/>
          <w:sz w:val="20"/>
          <w:szCs w:val="20"/>
        </w:rPr>
        <w:t xml:space="preserve">.  </w:t>
      </w:r>
      <w:r w:rsidRPr="000332E9">
        <w:rPr>
          <w:sz w:val="20"/>
          <w:szCs w:val="20"/>
        </w:rPr>
        <w:t xml:space="preserve">Neither respondent is currently charged with any of these offences.  </w:t>
      </w:r>
      <w:r w:rsidRPr="000332E9">
        <w:rPr>
          <w:iCs/>
          <w:sz w:val="20"/>
          <w:szCs w:val="20"/>
        </w:rPr>
        <w:t xml:space="preserve">The </w:t>
      </w:r>
      <w:r w:rsidRPr="000332E9">
        <w:rPr>
          <w:sz w:val="20"/>
          <w:szCs w:val="20"/>
        </w:rPr>
        <w:t>Attorney General of Canada brought an application in part seeking to have the action dismissed for lack of standing.</w:t>
      </w:r>
    </w:p>
    <w:p w:rsidR="00545CFB" w:rsidRPr="000332E9" w:rsidRDefault="00545CFB" w:rsidP="00545CFB">
      <w:pPr>
        <w:widowControl w:val="0"/>
        <w:jc w:val="both"/>
        <w:rPr>
          <w:sz w:val="20"/>
          <w:szCs w:val="20"/>
        </w:rPr>
      </w:pPr>
    </w:p>
    <w:p w:rsidR="00545CFB" w:rsidRPr="000332E9" w:rsidRDefault="00545CFB" w:rsidP="00545CFB">
      <w:pPr>
        <w:widowControl w:val="0"/>
        <w:jc w:val="both"/>
        <w:rPr>
          <w:sz w:val="20"/>
          <w:szCs w:val="20"/>
        </w:rPr>
      </w:pPr>
    </w:p>
    <w:p w:rsidR="00545CFB" w:rsidRPr="000332E9" w:rsidRDefault="00545CFB" w:rsidP="00545CFB">
      <w:pPr>
        <w:widowControl w:val="0"/>
        <w:ind w:left="2880" w:hanging="2880"/>
        <w:jc w:val="both"/>
        <w:rPr>
          <w:sz w:val="20"/>
          <w:szCs w:val="20"/>
        </w:rPr>
      </w:pPr>
      <w:r w:rsidRPr="000332E9">
        <w:rPr>
          <w:sz w:val="20"/>
          <w:szCs w:val="20"/>
        </w:rPr>
        <w:t>Origin of the case:</w:t>
      </w:r>
      <w:r w:rsidRPr="000332E9">
        <w:rPr>
          <w:sz w:val="20"/>
          <w:szCs w:val="20"/>
        </w:rPr>
        <w:tab/>
        <w:t>British Columbia</w:t>
      </w:r>
    </w:p>
    <w:p w:rsidR="00545CFB" w:rsidRPr="000332E9" w:rsidRDefault="00545CFB" w:rsidP="00545CFB">
      <w:pPr>
        <w:widowControl w:val="0"/>
        <w:ind w:left="2880" w:hanging="2880"/>
        <w:jc w:val="both"/>
        <w:rPr>
          <w:sz w:val="20"/>
          <w:szCs w:val="20"/>
        </w:rPr>
      </w:pPr>
    </w:p>
    <w:p w:rsidR="00545CFB" w:rsidRPr="000332E9" w:rsidRDefault="00545CFB" w:rsidP="00545CFB">
      <w:pPr>
        <w:widowControl w:val="0"/>
        <w:ind w:left="2880" w:hanging="2880"/>
        <w:jc w:val="both"/>
        <w:rPr>
          <w:sz w:val="20"/>
          <w:szCs w:val="20"/>
        </w:rPr>
      </w:pPr>
      <w:r w:rsidRPr="000332E9">
        <w:rPr>
          <w:sz w:val="20"/>
          <w:szCs w:val="20"/>
        </w:rPr>
        <w:t>File No.:</w:t>
      </w:r>
      <w:r w:rsidRPr="000332E9">
        <w:rPr>
          <w:sz w:val="20"/>
          <w:szCs w:val="20"/>
        </w:rPr>
        <w:tab/>
        <w:t>33981</w:t>
      </w:r>
    </w:p>
    <w:p w:rsidR="00545CFB" w:rsidRPr="000332E9" w:rsidRDefault="00545CFB" w:rsidP="00545CFB">
      <w:pPr>
        <w:widowControl w:val="0"/>
        <w:ind w:left="2880" w:hanging="2880"/>
        <w:jc w:val="both"/>
        <w:rPr>
          <w:sz w:val="20"/>
          <w:szCs w:val="20"/>
        </w:rPr>
      </w:pPr>
    </w:p>
    <w:p w:rsidR="00545CFB" w:rsidRPr="000332E9" w:rsidRDefault="00545CFB" w:rsidP="00545CFB">
      <w:pPr>
        <w:widowControl w:val="0"/>
        <w:ind w:left="2880" w:hanging="2880"/>
        <w:jc w:val="both"/>
        <w:rPr>
          <w:sz w:val="20"/>
          <w:szCs w:val="20"/>
        </w:rPr>
      </w:pPr>
      <w:r w:rsidRPr="000332E9">
        <w:rPr>
          <w:sz w:val="20"/>
          <w:szCs w:val="20"/>
        </w:rPr>
        <w:t>Judgment of the Court of Appeal:</w:t>
      </w:r>
      <w:r>
        <w:rPr>
          <w:sz w:val="20"/>
          <w:szCs w:val="20"/>
        </w:rPr>
        <w:tab/>
      </w:r>
      <w:r w:rsidRPr="000332E9">
        <w:rPr>
          <w:sz w:val="20"/>
          <w:szCs w:val="20"/>
        </w:rPr>
        <w:t>October 12, 2010</w:t>
      </w:r>
    </w:p>
    <w:p w:rsidR="00545CFB" w:rsidRPr="000332E9" w:rsidRDefault="00545CFB" w:rsidP="00545CFB">
      <w:pPr>
        <w:widowControl w:val="0"/>
        <w:ind w:left="2880" w:hanging="2880"/>
        <w:jc w:val="both"/>
        <w:rPr>
          <w:sz w:val="20"/>
          <w:szCs w:val="20"/>
        </w:rPr>
      </w:pPr>
    </w:p>
    <w:p w:rsidR="00545CFB" w:rsidRPr="000332E9" w:rsidRDefault="00545CFB" w:rsidP="00545CFB">
      <w:pPr>
        <w:widowControl w:val="0"/>
        <w:ind w:left="2880" w:hanging="2880"/>
        <w:jc w:val="both"/>
        <w:rPr>
          <w:sz w:val="20"/>
          <w:szCs w:val="20"/>
        </w:rPr>
      </w:pPr>
      <w:r w:rsidRPr="000332E9">
        <w:rPr>
          <w:sz w:val="20"/>
          <w:szCs w:val="20"/>
        </w:rPr>
        <w:t>Counsel:</w:t>
      </w:r>
      <w:r w:rsidRPr="000332E9">
        <w:rPr>
          <w:sz w:val="20"/>
          <w:szCs w:val="20"/>
        </w:rPr>
        <w:tab/>
        <w:t>Cheryl J. Tobias, Q.C., Donnaree Nygard and Kenneth A. Manning for the appellant</w:t>
      </w:r>
    </w:p>
    <w:p w:rsidR="00545CFB" w:rsidRPr="000332E9" w:rsidRDefault="00545CFB" w:rsidP="00545CFB">
      <w:pPr>
        <w:widowControl w:val="0"/>
        <w:ind w:left="2880" w:hanging="2880"/>
        <w:jc w:val="both"/>
        <w:rPr>
          <w:sz w:val="20"/>
          <w:szCs w:val="20"/>
        </w:rPr>
      </w:pPr>
      <w:r>
        <w:rPr>
          <w:sz w:val="20"/>
          <w:szCs w:val="20"/>
        </w:rPr>
        <w:tab/>
      </w:r>
      <w:r w:rsidRPr="000332E9">
        <w:rPr>
          <w:sz w:val="20"/>
          <w:szCs w:val="20"/>
        </w:rPr>
        <w:t>Joseph J. Arvay, Q.C. and Katrina Pacey for the respondents</w:t>
      </w:r>
    </w:p>
    <w:p w:rsidR="00AF1DC1" w:rsidRPr="00545CFB" w:rsidRDefault="00AF1DC1">
      <w:pPr>
        <w:rPr>
          <w:sz w:val="20"/>
          <w:szCs w:val="20"/>
        </w:rPr>
      </w:pPr>
    </w:p>
    <w:p w:rsidR="00AF1DC1" w:rsidRDefault="00586706">
      <w:pPr>
        <w:rPr>
          <w:sz w:val="20"/>
          <w:szCs w:val="20"/>
          <w:lang w:val="fr-CA"/>
        </w:rPr>
      </w:pPr>
      <w:r w:rsidRPr="00586706">
        <w:rPr>
          <w:sz w:val="20"/>
          <w:szCs w:val="20"/>
          <w:lang w:val="fr-CA"/>
        </w:rPr>
        <w:pict>
          <v:rect id="_x0000_i1110" style="width:2in;height:1pt" o:hrpct="0" o:hralign="center" o:hrstd="t" o:hrnoshade="t" o:hr="t" fillcolor="black [3213]" stroked="f"/>
        </w:pict>
      </w:r>
    </w:p>
    <w:p w:rsidR="00AF1DC1" w:rsidRDefault="00AF1DC1">
      <w:pPr>
        <w:rPr>
          <w:sz w:val="20"/>
          <w:szCs w:val="20"/>
          <w:lang w:val="fr-CA"/>
        </w:rPr>
      </w:pPr>
    </w:p>
    <w:p w:rsidR="00AF1DC1" w:rsidRDefault="00AF1DC1">
      <w:pPr>
        <w:rPr>
          <w:sz w:val="20"/>
          <w:szCs w:val="20"/>
          <w:lang w:val="fr-CA"/>
        </w:rPr>
      </w:pPr>
      <w:r>
        <w:rPr>
          <w:sz w:val="20"/>
          <w:szCs w:val="20"/>
          <w:lang w:val="fr-CA"/>
        </w:rPr>
        <w:br w:type="page"/>
      </w:r>
    </w:p>
    <w:p w:rsidR="00D27D77" w:rsidRPr="00346502" w:rsidRDefault="00586706" w:rsidP="00D27D77">
      <w:pPr>
        <w:widowControl w:val="0"/>
        <w:ind w:left="720" w:hanging="720"/>
        <w:jc w:val="both"/>
        <w:rPr>
          <w:sz w:val="20"/>
          <w:szCs w:val="20"/>
        </w:rPr>
      </w:pPr>
      <w:r w:rsidRPr="00346502">
        <w:rPr>
          <w:b/>
          <w:sz w:val="20"/>
          <w:szCs w:val="20"/>
          <w:lang w:val="fr-CA"/>
        </w:rPr>
        <w:lastRenderedPageBreak/>
        <w:fldChar w:fldCharType="begin"/>
      </w:r>
      <w:r w:rsidR="00D27D77" w:rsidRPr="00346502">
        <w:rPr>
          <w:b/>
          <w:sz w:val="20"/>
          <w:szCs w:val="20"/>
        </w:rPr>
        <w:instrText xml:space="preserve"> SEQ CHAPTER \h \r 1</w:instrText>
      </w:r>
      <w:r w:rsidRPr="00346502">
        <w:rPr>
          <w:b/>
          <w:sz w:val="20"/>
          <w:szCs w:val="20"/>
          <w:lang w:val="fr-CA"/>
        </w:rPr>
        <w:fldChar w:fldCharType="end"/>
      </w:r>
      <w:r w:rsidR="00D27D77" w:rsidRPr="00346502">
        <w:rPr>
          <w:b/>
          <w:sz w:val="20"/>
          <w:szCs w:val="20"/>
        </w:rPr>
        <w:t>33981</w:t>
      </w:r>
      <w:r w:rsidR="00D27D77" w:rsidRPr="00346502">
        <w:rPr>
          <w:sz w:val="20"/>
          <w:szCs w:val="20"/>
        </w:rPr>
        <w:tab/>
      </w:r>
      <w:r w:rsidR="00D27D77" w:rsidRPr="00346502">
        <w:rPr>
          <w:b/>
          <w:i/>
          <w:sz w:val="20"/>
          <w:szCs w:val="20"/>
        </w:rPr>
        <w:t xml:space="preserve">Le procureur général du Canada c. Downtown Eastside Sex Workers United Against Violence Society </w:t>
      </w:r>
      <w:proofErr w:type="gramStart"/>
      <w:r w:rsidR="00D27D77" w:rsidRPr="00346502">
        <w:rPr>
          <w:b/>
          <w:i/>
          <w:sz w:val="20"/>
          <w:szCs w:val="20"/>
        </w:rPr>
        <w:t>et</w:t>
      </w:r>
      <w:proofErr w:type="gramEnd"/>
      <w:r w:rsidR="00D27D77" w:rsidRPr="00346502">
        <w:rPr>
          <w:b/>
          <w:i/>
          <w:sz w:val="20"/>
          <w:szCs w:val="20"/>
        </w:rPr>
        <w:t xml:space="preserve"> Sheryl Kiselbach</w:t>
      </w:r>
    </w:p>
    <w:p w:rsidR="00D27D77" w:rsidRPr="00346502" w:rsidRDefault="00D27D77" w:rsidP="00D27D77">
      <w:pPr>
        <w:widowControl w:val="0"/>
        <w:jc w:val="both"/>
        <w:rPr>
          <w:sz w:val="20"/>
          <w:szCs w:val="20"/>
        </w:rPr>
      </w:pPr>
    </w:p>
    <w:p w:rsidR="00D27D77" w:rsidRPr="00346502" w:rsidRDefault="00D27D77" w:rsidP="00D27D77">
      <w:pPr>
        <w:widowControl w:val="0"/>
        <w:jc w:val="both"/>
        <w:rPr>
          <w:sz w:val="20"/>
          <w:szCs w:val="20"/>
          <w:lang w:val="fr-CA"/>
        </w:rPr>
      </w:pPr>
      <w:r w:rsidRPr="00346502">
        <w:rPr>
          <w:i/>
          <w:iCs/>
          <w:sz w:val="20"/>
          <w:szCs w:val="20"/>
          <w:lang w:val="fr-CA"/>
        </w:rPr>
        <w:t xml:space="preserve">Charte des droits </w:t>
      </w:r>
      <w:r w:rsidRPr="00346502">
        <w:rPr>
          <w:sz w:val="20"/>
          <w:szCs w:val="20"/>
          <w:lang w:val="fr-CA"/>
        </w:rPr>
        <w:noBreakHyphen/>
        <w:t xml:space="preserve"> Instance civile </w:t>
      </w:r>
      <w:r w:rsidRPr="00346502">
        <w:rPr>
          <w:sz w:val="20"/>
          <w:szCs w:val="20"/>
          <w:lang w:val="fr-CA"/>
        </w:rPr>
        <w:noBreakHyphen/>
        <w:t xml:space="preserve"> Parties </w:t>
      </w:r>
      <w:r w:rsidRPr="00346502">
        <w:rPr>
          <w:sz w:val="20"/>
          <w:szCs w:val="20"/>
          <w:lang w:val="fr-CA"/>
        </w:rPr>
        <w:noBreakHyphen/>
        <w:t xml:space="preserve"> Qualité pour agir </w:t>
      </w:r>
      <w:r w:rsidRPr="00346502">
        <w:rPr>
          <w:sz w:val="20"/>
          <w:szCs w:val="20"/>
          <w:lang w:val="fr-CA"/>
        </w:rPr>
        <w:noBreakHyphen/>
        <w:t xml:space="preserve"> Critère pour déterminer la qualité pour agir dans l'intérêt public </w:t>
      </w:r>
      <w:r w:rsidRPr="00346502">
        <w:rPr>
          <w:sz w:val="20"/>
          <w:szCs w:val="20"/>
          <w:lang w:val="fr-CA"/>
        </w:rPr>
        <w:noBreakHyphen/>
        <w:t xml:space="preserve"> Paramètres pour accorder la qualité pour agir dans l'intérêt public </w:t>
      </w:r>
      <w:r w:rsidRPr="00346502">
        <w:rPr>
          <w:sz w:val="20"/>
          <w:szCs w:val="20"/>
          <w:lang w:val="fr-CA"/>
        </w:rPr>
        <w:noBreakHyphen/>
      </w:r>
      <w:r w:rsidRPr="00346502">
        <w:rPr>
          <w:color w:val="000000"/>
          <w:sz w:val="20"/>
          <w:szCs w:val="20"/>
          <w:lang w:val="fr-CA"/>
        </w:rPr>
        <w:t xml:space="preserve"> Évaluation de la question de savoir s'il y a une autre manière raisonnable et efficace de soumettre des questions constitutionnelles aux tribunaux afin de déterminer s'il y a lieu d'accorder la qualité pour agir dans l'intérêt public </w:t>
      </w:r>
      <w:r w:rsidRPr="00346502">
        <w:rPr>
          <w:sz w:val="20"/>
          <w:szCs w:val="20"/>
          <w:lang w:val="fr-CA"/>
        </w:rPr>
        <w:noBreakHyphen/>
        <w:t xml:space="preserve"> Circonstances dans lesquelles les plaideurs ayant la qualité pour agir dans l'intérêt public peuvent contester des lois ou des mesures gouvernementales </w:t>
      </w:r>
      <w:r w:rsidRPr="00346502">
        <w:rPr>
          <w:sz w:val="20"/>
          <w:szCs w:val="20"/>
          <w:lang w:val="fr-CA"/>
        </w:rPr>
        <w:noBreakHyphen/>
        <w:t xml:space="preserve"> Pertinence de la nature de la contestation constitutionnelle dans l'évaluation de la question de savoir s'il y a d'autres moyens raisonnables d'introduire la contestation </w:t>
      </w:r>
      <w:r w:rsidRPr="00346502">
        <w:rPr>
          <w:sz w:val="20"/>
          <w:szCs w:val="20"/>
          <w:lang w:val="fr-CA"/>
        </w:rPr>
        <w:noBreakHyphen/>
        <w:t xml:space="preserve"> La Cour d'appel a</w:t>
      </w:r>
      <w:r w:rsidRPr="00346502">
        <w:rPr>
          <w:sz w:val="20"/>
          <w:szCs w:val="20"/>
          <w:lang w:val="fr-CA"/>
        </w:rPr>
        <w:noBreakHyphen/>
        <w:t>t</w:t>
      </w:r>
      <w:r w:rsidRPr="00346502">
        <w:rPr>
          <w:sz w:val="20"/>
          <w:szCs w:val="20"/>
          <w:lang w:val="fr-CA"/>
        </w:rPr>
        <w:noBreakHyphen/>
        <w:t xml:space="preserve">elle mal interprété et indûment assoupli l’exigence selon laquelle la qualité pour agir dans l'intérêt public ne devrait être reconnue que s’il n’y a aucune autre manière raisonnable ou efficace de soumettre la question au tribunal? </w:t>
      </w:r>
      <w:r w:rsidRPr="00346502">
        <w:rPr>
          <w:sz w:val="20"/>
          <w:szCs w:val="20"/>
          <w:lang w:val="fr-CA"/>
        </w:rPr>
        <w:noBreakHyphen/>
        <w:t xml:space="preserve"> La Cour d’appel a</w:t>
      </w:r>
      <w:r w:rsidRPr="00346502">
        <w:rPr>
          <w:sz w:val="20"/>
          <w:szCs w:val="20"/>
          <w:lang w:val="fr-CA"/>
        </w:rPr>
        <w:noBreakHyphen/>
        <w:t>t</w:t>
      </w:r>
      <w:r w:rsidRPr="00346502">
        <w:rPr>
          <w:sz w:val="20"/>
          <w:szCs w:val="20"/>
          <w:lang w:val="fr-CA"/>
        </w:rPr>
        <w:noBreakHyphen/>
        <w:t>elle eu tort de conclure que les intimées avaient soulevé une question sérieuse à juger relativement à la constitutionnalité de l’al. 213(1)</w:t>
      </w:r>
      <w:r w:rsidRPr="00346502">
        <w:rPr>
          <w:i/>
          <w:sz w:val="20"/>
          <w:szCs w:val="20"/>
          <w:lang w:val="fr-CA"/>
        </w:rPr>
        <w:t>c</w:t>
      </w:r>
      <w:r w:rsidRPr="00346502">
        <w:rPr>
          <w:sz w:val="20"/>
          <w:szCs w:val="20"/>
          <w:lang w:val="fr-CA"/>
        </w:rPr>
        <w:t xml:space="preserve">) du </w:t>
      </w:r>
      <w:r w:rsidRPr="00346502">
        <w:rPr>
          <w:i/>
          <w:sz w:val="20"/>
          <w:szCs w:val="20"/>
          <w:lang w:val="fr-CA"/>
        </w:rPr>
        <w:t>Code criminel</w:t>
      </w:r>
      <w:r w:rsidRPr="00346502">
        <w:rPr>
          <w:sz w:val="20"/>
          <w:szCs w:val="20"/>
          <w:lang w:val="fr-CA"/>
        </w:rPr>
        <w:t>, L.R.C. 1985, ch. C</w:t>
      </w:r>
      <w:r w:rsidRPr="00346502">
        <w:rPr>
          <w:sz w:val="20"/>
          <w:szCs w:val="20"/>
          <w:lang w:val="fr-CA"/>
        </w:rPr>
        <w:noBreakHyphen/>
        <w:t>46?</w:t>
      </w:r>
    </w:p>
    <w:p w:rsidR="00D27D77" w:rsidRPr="00346502" w:rsidRDefault="00D27D77" w:rsidP="00D27D77">
      <w:pPr>
        <w:widowControl w:val="0"/>
        <w:jc w:val="both"/>
        <w:rPr>
          <w:sz w:val="20"/>
          <w:szCs w:val="20"/>
          <w:lang w:val="fr-CA"/>
        </w:rPr>
      </w:pPr>
    </w:p>
    <w:p w:rsidR="00D27D77" w:rsidRPr="00346502" w:rsidRDefault="00D27D77" w:rsidP="00D27D77">
      <w:pPr>
        <w:widowControl w:val="0"/>
        <w:jc w:val="both"/>
        <w:rPr>
          <w:sz w:val="20"/>
          <w:szCs w:val="20"/>
          <w:lang w:val="fr-CA"/>
        </w:rPr>
      </w:pPr>
      <w:r w:rsidRPr="00346502">
        <w:rPr>
          <w:sz w:val="20"/>
          <w:szCs w:val="20"/>
          <w:lang w:val="fr-CA"/>
        </w:rPr>
        <w:t xml:space="preserve">Les intimées ont intenté une action dans laquelle elles ont contesté la validité constitutionnelle des articles 210 </w:t>
      </w:r>
      <w:r w:rsidRPr="00346502">
        <w:rPr>
          <w:color w:val="000000"/>
          <w:sz w:val="20"/>
          <w:szCs w:val="20"/>
          <w:lang w:val="fr-CA"/>
        </w:rPr>
        <w:t>(tenue d'une maison de débauche et fait de s’y trouver)</w:t>
      </w:r>
      <w:r w:rsidRPr="00346502">
        <w:rPr>
          <w:sz w:val="20"/>
          <w:szCs w:val="20"/>
          <w:lang w:val="fr-CA"/>
        </w:rPr>
        <w:t xml:space="preserve">, 211 </w:t>
      </w:r>
      <w:r w:rsidRPr="00346502">
        <w:rPr>
          <w:color w:val="000000"/>
          <w:sz w:val="20"/>
          <w:szCs w:val="20"/>
          <w:lang w:val="fr-CA"/>
        </w:rPr>
        <w:t>(transport de personnes à une maison de débauche)</w:t>
      </w:r>
      <w:r w:rsidRPr="00346502">
        <w:rPr>
          <w:sz w:val="20"/>
          <w:szCs w:val="20"/>
          <w:lang w:val="fr-CA"/>
        </w:rPr>
        <w:t xml:space="preserve">, 212 </w:t>
      </w:r>
      <w:r w:rsidRPr="00346502">
        <w:rPr>
          <w:color w:val="000000"/>
          <w:sz w:val="20"/>
          <w:szCs w:val="20"/>
          <w:lang w:val="fr-CA"/>
        </w:rPr>
        <w:t>(proxénétisme et fait de vivre des produits de la prostitution), à l’exception des al. 212(1)</w:t>
      </w:r>
      <w:r w:rsidRPr="00346502">
        <w:rPr>
          <w:i/>
          <w:color w:val="000000"/>
          <w:sz w:val="20"/>
          <w:szCs w:val="20"/>
          <w:lang w:val="fr-CA"/>
        </w:rPr>
        <w:t>g</w:t>
      </w:r>
      <w:r w:rsidRPr="00346502">
        <w:rPr>
          <w:color w:val="000000"/>
          <w:sz w:val="20"/>
          <w:szCs w:val="20"/>
          <w:lang w:val="fr-CA"/>
        </w:rPr>
        <w:t xml:space="preserve">) et </w:t>
      </w:r>
      <w:r w:rsidRPr="00346502">
        <w:rPr>
          <w:i/>
          <w:color w:val="000000"/>
          <w:sz w:val="20"/>
          <w:szCs w:val="20"/>
          <w:lang w:val="fr-CA"/>
        </w:rPr>
        <w:t>i</w:t>
      </w:r>
      <w:r w:rsidRPr="00346502">
        <w:rPr>
          <w:color w:val="000000"/>
          <w:sz w:val="20"/>
          <w:szCs w:val="20"/>
          <w:lang w:val="fr-CA"/>
        </w:rPr>
        <w:t>), et</w:t>
      </w:r>
      <w:r w:rsidRPr="00346502">
        <w:rPr>
          <w:sz w:val="20"/>
          <w:szCs w:val="20"/>
          <w:lang w:val="fr-CA"/>
        </w:rPr>
        <w:t xml:space="preserve"> 213 </w:t>
      </w:r>
      <w:r w:rsidRPr="00346502">
        <w:rPr>
          <w:color w:val="000000"/>
          <w:sz w:val="20"/>
          <w:szCs w:val="20"/>
          <w:lang w:val="fr-CA"/>
        </w:rPr>
        <w:t>(sollicitation dans un lieu public)</w:t>
      </w:r>
      <w:r w:rsidRPr="00346502">
        <w:rPr>
          <w:sz w:val="20"/>
          <w:szCs w:val="20"/>
          <w:lang w:val="fr-CA"/>
        </w:rPr>
        <w:t xml:space="preserve"> du </w:t>
      </w:r>
      <w:r w:rsidRPr="00346502">
        <w:rPr>
          <w:i/>
          <w:iCs/>
          <w:sz w:val="20"/>
          <w:szCs w:val="20"/>
          <w:lang w:val="fr-CA"/>
        </w:rPr>
        <w:t>Code criminel</w:t>
      </w:r>
      <w:r w:rsidRPr="00346502">
        <w:rPr>
          <w:sz w:val="20"/>
          <w:szCs w:val="20"/>
          <w:lang w:val="fr-CA"/>
        </w:rPr>
        <w:t xml:space="preserve"> au motif que ces dispositions violeraient </w:t>
      </w:r>
      <w:proofErr w:type="gramStart"/>
      <w:r w:rsidRPr="00346502">
        <w:rPr>
          <w:sz w:val="20"/>
          <w:szCs w:val="20"/>
          <w:lang w:val="fr-CA"/>
        </w:rPr>
        <w:t>les art</w:t>
      </w:r>
      <w:proofErr w:type="gramEnd"/>
      <w:r w:rsidRPr="00346502">
        <w:rPr>
          <w:sz w:val="20"/>
          <w:szCs w:val="20"/>
          <w:lang w:val="fr-CA"/>
        </w:rPr>
        <w:t>. 2</w:t>
      </w:r>
      <w:r w:rsidRPr="00346502">
        <w:rPr>
          <w:i/>
          <w:sz w:val="20"/>
          <w:szCs w:val="20"/>
          <w:lang w:val="fr-CA"/>
        </w:rPr>
        <w:t>b</w:t>
      </w:r>
      <w:r w:rsidRPr="00346502">
        <w:rPr>
          <w:sz w:val="20"/>
          <w:szCs w:val="20"/>
          <w:lang w:val="fr-CA"/>
        </w:rPr>
        <w:t>), 2</w:t>
      </w:r>
      <w:r w:rsidRPr="00346502">
        <w:rPr>
          <w:i/>
          <w:sz w:val="20"/>
          <w:szCs w:val="20"/>
          <w:lang w:val="fr-CA"/>
        </w:rPr>
        <w:t>d</w:t>
      </w:r>
      <w:r w:rsidRPr="00346502">
        <w:rPr>
          <w:sz w:val="20"/>
          <w:szCs w:val="20"/>
          <w:lang w:val="fr-CA"/>
        </w:rPr>
        <w:t xml:space="preserve">), 7 et 15 de la </w:t>
      </w:r>
      <w:r w:rsidRPr="00346502">
        <w:rPr>
          <w:i/>
          <w:iCs/>
          <w:sz w:val="20"/>
          <w:szCs w:val="20"/>
          <w:lang w:val="fr-CA"/>
        </w:rPr>
        <w:t>Charte des droits et libertés</w:t>
      </w:r>
      <w:r w:rsidRPr="00346502">
        <w:rPr>
          <w:sz w:val="20"/>
          <w:szCs w:val="20"/>
          <w:lang w:val="fr-CA"/>
        </w:rPr>
        <w:t>.</w:t>
      </w:r>
      <w:r w:rsidRPr="00346502">
        <w:rPr>
          <w:color w:val="000000"/>
          <w:sz w:val="20"/>
          <w:szCs w:val="20"/>
          <w:lang w:val="fr-CA"/>
        </w:rPr>
        <w:t xml:space="preserve">  Ni l’une ni l’autre des intimées n'est actuellement accusée de ces infractions.  Le procureur général du Canada a présenté une demande dans laquelle il cherche notamment à faire rejeter l'action pour absence de qualité pour agir</w:t>
      </w:r>
      <w:r w:rsidRPr="00346502">
        <w:rPr>
          <w:sz w:val="20"/>
          <w:szCs w:val="20"/>
          <w:lang w:val="fr-CA"/>
        </w:rPr>
        <w:t>.</w:t>
      </w:r>
    </w:p>
    <w:p w:rsidR="00D27D77" w:rsidRPr="00346502" w:rsidRDefault="00D27D77" w:rsidP="00D27D77">
      <w:pPr>
        <w:widowControl w:val="0"/>
        <w:jc w:val="both"/>
        <w:rPr>
          <w:sz w:val="20"/>
          <w:szCs w:val="20"/>
          <w:lang w:val="fr-CA"/>
        </w:rPr>
      </w:pPr>
    </w:p>
    <w:p w:rsidR="00D27D77" w:rsidRPr="00346502" w:rsidRDefault="00D27D77" w:rsidP="00D27D77">
      <w:pPr>
        <w:widowControl w:val="0"/>
        <w:jc w:val="both"/>
        <w:rPr>
          <w:sz w:val="20"/>
          <w:szCs w:val="20"/>
          <w:lang w:val="fr-CA"/>
        </w:rPr>
      </w:pPr>
    </w:p>
    <w:p w:rsidR="00D27D77" w:rsidRPr="00346502" w:rsidRDefault="00D27D77" w:rsidP="00D27D77">
      <w:pPr>
        <w:widowControl w:val="0"/>
        <w:ind w:left="2880" w:hanging="2880"/>
        <w:jc w:val="both"/>
        <w:rPr>
          <w:sz w:val="20"/>
          <w:szCs w:val="20"/>
          <w:lang w:val="fr-CA"/>
        </w:rPr>
      </w:pPr>
      <w:r w:rsidRPr="00346502">
        <w:rPr>
          <w:sz w:val="20"/>
          <w:szCs w:val="20"/>
          <w:lang w:val="fr-CA"/>
        </w:rPr>
        <w:t>Origine :</w:t>
      </w:r>
      <w:r w:rsidRPr="00346502">
        <w:rPr>
          <w:sz w:val="20"/>
          <w:szCs w:val="20"/>
          <w:lang w:val="fr-CA"/>
        </w:rPr>
        <w:tab/>
        <w:t>Colombie</w:t>
      </w:r>
      <w:r w:rsidRPr="00346502">
        <w:rPr>
          <w:sz w:val="20"/>
          <w:szCs w:val="20"/>
          <w:lang w:val="fr-CA"/>
        </w:rPr>
        <w:noBreakHyphen/>
        <w:t>Britannique</w:t>
      </w:r>
    </w:p>
    <w:p w:rsidR="00D27D77" w:rsidRPr="00346502" w:rsidRDefault="00D27D77" w:rsidP="00D27D77">
      <w:pPr>
        <w:widowControl w:val="0"/>
        <w:ind w:left="2880" w:hanging="2880"/>
        <w:jc w:val="both"/>
        <w:rPr>
          <w:sz w:val="20"/>
          <w:szCs w:val="20"/>
          <w:lang w:val="fr-CA"/>
        </w:rPr>
      </w:pPr>
    </w:p>
    <w:p w:rsidR="00D27D77" w:rsidRPr="00346502" w:rsidRDefault="00D27D77" w:rsidP="00D27D77">
      <w:pPr>
        <w:widowControl w:val="0"/>
        <w:ind w:left="2880" w:hanging="2880"/>
        <w:jc w:val="both"/>
        <w:rPr>
          <w:sz w:val="20"/>
          <w:szCs w:val="20"/>
          <w:lang w:val="fr-CA"/>
        </w:rPr>
      </w:pPr>
      <w:r w:rsidRPr="00346502">
        <w:rPr>
          <w:sz w:val="20"/>
          <w:szCs w:val="20"/>
          <w:lang w:val="fr-CA"/>
        </w:rPr>
        <w:t>N</w:t>
      </w:r>
      <w:r w:rsidRPr="00346502">
        <w:rPr>
          <w:sz w:val="20"/>
          <w:szCs w:val="20"/>
          <w:vertAlign w:val="superscript"/>
          <w:lang w:val="fr-CA"/>
        </w:rPr>
        <w:t>o</w:t>
      </w:r>
      <w:r w:rsidRPr="00346502">
        <w:rPr>
          <w:sz w:val="20"/>
          <w:szCs w:val="20"/>
          <w:lang w:val="fr-CA"/>
        </w:rPr>
        <w:t xml:space="preserve"> du greffe :</w:t>
      </w:r>
      <w:r w:rsidRPr="00346502">
        <w:rPr>
          <w:sz w:val="20"/>
          <w:szCs w:val="20"/>
          <w:lang w:val="fr-CA"/>
        </w:rPr>
        <w:tab/>
        <w:t>33981</w:t>
      </w:r>
    </w:p>
    <w:p w:rsidR="00D27D77" w:rsidRPr="00346502" w:rsidRDefault="00D27D77" w:rsidP="00D27D77">
      <w:pPr>
        <w:widowControl w:val="0"/>
        <w:ind w:left="2880" w:hanging="2880"/>
        <w:jc w:val="both"/>
        <w:rPr>
          <w:sz w:val="20"/>
          <w:szCs w:val="20"/>
          <w:lang w:val="fr-CA"/>
        </w:rPr>
      </w:pPr>
    </w:p>
    <w:p w:rsidR="00D27D77" w:rsidRPr="00346502" w:rsidRDefault="00D27D77" w:rsidP="00D27D77">
      <w:pPr>
        <w:widowControl w:val="0"/>
        <w:ind w:left="2880" w:hanging="2880"/>
        <w:jc w:val="both"/>
        <w:rPr>
          <w:sz w:val="20"/>
          <w:szCs w:val="20"/>
          <w:lang w:val="fr-CA"/>
        </w:rPr>
      </w:pPr>
      <w:r w:rsidRPr="00346502">
        <w:rPr>
          <w:sz w:val="20"/>
          <w:szCs w:val="20"/>
          <w:lang w:val="fr-CA"/>
        </w:rPr>
        <w:t>Arrêt de la Cour d’appel :</w:t>
      </w:r>
      <w:r w:rsidRPr="00346502">
        <w:rPr>
          <w:sz w:val="20"/>
          <w:szCs w:val="20"/>
          <w:lang w:val="fr-CA"/>
        </w:rPr>
        <w:tab/>
        <w:t>le 12 octobre 2010</w:t>
      </w:r>
    </w:p>
    <w:p w:rsidR="00D27D77" w:rsidRPr="00346502" w:rsidRDefault="00D27D77" w:rsidP="00D27D77">
      <w:pPr>
        <w:widowControl w:val="0"/>
        <w:ind w:left="2880" w:hanging="2880"/>
        <w:jc w:val="both"/>
        <w:rPr>
          <w:sz w:val="20"/>
          <w:szCs w:val="20"/>
          <w:lang w:val="fr-CA"/>
        </w:rPr>
      </w:pPr>
    </w:p>
    <w:p w:rsidR="00D27D77" w:rsidRPr="00346502" w:rsidRDefault="00D27D77" w:rsidP="00D27D77">
      <w:pPr>
        <w:widowControl w:val="0"/>
        <w:ind w:left="2880" w:hanging="2880"/>
        <w:jc w:val="both"/>
        <w:rPr>
          <w:sz w:val="20"/>
          <w:szCs w:val="20"/>
          <w:lang w:val="fr-CA"/>
        </w:rPr>
      </w:pPr>
      <w:r w:rsidRPr="00346502">
        <w:rPr>
          <w:sz w:val="20"/>
          <w:szCs w:val="20"/>
          <w:lang w:val="fr-CA"/>
        </w:rPr>
        <w:t>Avocats :</w:t>
      </w:r>
      <w:r w:rsidRPr="00346502">
        <w:rPr>
          <w:sz w:val="20"/>
          <w:szCs w:val="20"/>
          <w:lang w:val="fr-CA"/>
        </w:rPr>
        <w:tab/>
        <w:t xml:space="preserve">Cheryl J. Tobias, </w:t>
      </w:r>
      <w:proofErr w:type="gramStart"/>
      <w:r w:rsidRPr="00346502">
        <w:rPr>
          <w:sz w:val="20"/>
          <w:szCs w:val="20"/>
          <w:lang w:val="fr-CA"/>
        </w:rPr>
        <w:t>c.r.,</w:t>
      </w:r>
      <w:proofErr w:type="gramEnd"/>
      <w:r w:rsidRPr="00346502">
        <w:rPr>
          <w:sz w:val="20"/>
          <w:szCs w:val="20"/>
          <w:lang w:val="fr-CA"/>
        </w:rPr>
        <w:t xml:space="preserve"> Donnaree Nygard et Kenneth A. Manning pour l’appelante</w:t>
      </w:r>
    </w:p>
    <w:p w:rsidR="00D27D77" w:rsidRPr="00346502" w:rsidRDefault="00D27D77" w:rsidP="00D27D77">
      <w:pPr>
        <w:widowControl w:val="0"/>
        <w:ind w:left="2880" w:hanging="2880"/>
        <w:jc w:val="both"/>
        <w:rPr>
          <w:sz w:val="20"/>
          <w:szCs w:val="20"/>
          <w:lang w:val="fr-CA"/>
        </w:rPr>
      </w:pPr>
      <w:r>
        <w:rPr>
          <w:sz w:val="20"/>
          <w:szCs w:val="20"/>
          <w:lang w:val="fr-CA"/>
        </w:rPr>
        <w:tab/>
      </w:r>
      <w:r w:rsidRPr="00346502">
        <w:rPr>
          <w:sz w:val="20"/>
          <w:szCs w:val="20"/>
          <w:lang w:val="fr-CA"/>
        </w:rPr>
        <w:t>Joseph J. Arvay, c.r. et Katrina Pacey pour les intimées</w:t>
      </w:r>
    </w:p>
    <w:p w:rsidR="00AF1DC1" w:rsidRDefault="00AF1DC1" w:rsidP="000B3C9A">
      <w:pPr>
        <w:tabs>
          <w:tab w:val="left" w:pos="-1440"/>
          <w:tab w:val="left" w:pos="-720"/>
        </w:tabs>
        <w:jc w:val="both"/>
        <w:rPr>
          <w:sz w:val="20"/>
          <w:szCs w:val="20"/>
          <w:lang w:val="fr-CA"/>
        </w:rPr>
      </w:pPr>
    </w:p>
    <w:p w:rsidR="00AF1DC1" w:rsidRDefault="00586706" w:rsidP="000B3C9A">
      <w:pPr>
        <w:tabs>
          <w:tab w:val="left" w:pos="-1440"/>
          <w:tab w:val="left" w:pos="-720"/>
        </w:tabs>
        <w:jc w:val="both"/>
        <w:rPr>
          <w:sz w:val="20"/>
          <w:szCs w:val="20"/>
          <w:lang w:val="fr-CA"/>
        </w:rPr>
      </w:pPr>
      <w:r w:rsidRPr="00586706">
        <w:rPr>
          <w:sz w:val="20"/>
          <w:szCs w:val="20"/>
          <w:lang w:val="fr-CA"/>
        </w:rPr>
        <w:pict>
          <v:rect id="_x0000_i1111" style="width:2in;height:1pt" o:hrpct="0" o:hralign="center" o:hrstd="t" o:hrnoshade="t" o:hr="t" fillcolor="black [3213]" stroked="f"/>
        </w:pict>
      </w:r>
    </w:p>
    <w:p w:rsidR="00AF1DC1" w:rsidRPr="00DD0B49" w:rsidRDefault="00AF1DC1" w:rsidP="000B3C9A">
      <w:pPr>
        <w:tabs>
          <w:tab w:val="left" w:pos="-1440"/>
          <w:tab w:val="left" w:pos="-720"/>
        </w:tabs>
        <w:jc w:val="both"/>
        <w:rPr>
          <w:sz w:val="20"/>
          <w:szCs w:val="20"/>
          <w:lang w:val="fr-CA"/>
        </w:rPr>
      </w:pPr>
    </w:p>
    <w:p w:rsidR="005F263E" w:rsidRPr="00C50A5C" w:rsidRDefault="005F263E" w:rsidP="00782AE4">
      <w:pPr>
        <w:jc w:val="both"/>
        <w:rPr>
          <w:sz w:val="20"/>
          <w:szCs w:val="20"/>
          <w:lang w:val="fr-CA"/>
        </w:rPr>
      </w:pPr>
    </w:p>
    <w:p w:rsidR="005F263E" w:rsidRPr="00C50A5C" w:rsidRDefault="005F263E" w:rsidP="00782AE4">
      <w:pPr>
        <w:jc w:val="both"/>
        <w:rPr>
          <w:sz w:val="20"/>
          <w:szCs w:val="20"/>
          <w:lang w:val="fr-CA"/>
        </w:rPr>
        <w:sectPr w:rsidR="005F263E" w:rsidRPr="00C50A5C" w:rsidSect="005F263E">
          <w:headerReference w:type="default" r:id="rId59"/>
          <w:footerReference w:type="default" r:id="rId60"/>
          <w:headerReference w:type="first" r:id="rId61"/>
          <w:footerReference w:type="first" r:id="rId62"/>
          <w:pgSz w:w="12240" w:h="15840"/>
          <w:pgMar w:top="720" w:right="965" w:bottom="1080" w:left="1656" w:header="720" w:footer="965" w:gutter="0"/>
          <w:cols w:space="720"/>
          <w:titlePg/>
          <w:docGrid w:linePitch="326"/>
        </w:sectPr>
      </w:pPr>
    </w:p>
    <w:p w:rsidR="00E903A1" w:rsidRPr="002E0C7E" w:rsidRDefault="00586706" w:rsidP="00E903A1">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00E903A1"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00E903A1" w:rsidRPr="002E0C7E">
        <w:rPr>
          <w:rFonts w:asciiTheme="minorHAnsi" w:hAnsiTheme="minorHAnsi" w:cstheme="minorHAnsi"/>
          <w:b/>
          <w:szCs w:val="24"/>
        </w:rPr>
        <w:t>SUPREME COURT OF CANADA SCHEDULE / CALENDRIER DE LA COUR SUPREME</w:t>
      </w:r>
    </w:p>
    <w:p w:rsidR="00E903A1" w:rsidRPr="002E0C7E" w:rsidRDefault="00E903A1" w:rsidP="00E903A1">
      <w:pPr>
        <w:widowControl w:val="0"/>
        <w:spacing w:line="180" w:lineRule="auto"/>
        <w:rPr>
          <w:rFonts w:asciiTheme="minorHAnsi" w:hAnsiTheme="minorHAnsi" w:cstheme="minorHAnsi"/>
          <w:szCs w:val="24"/>
        </w:rPr>
      </w:pPr>
      <w:r w:rsidRPr="002E0C7E">
        <w:rPr>
          <w:rFonts w:asciiTheme="minorHAnsi" w:hAnsiTheme="minorHAnsi" w:cstheme="minorHAnsi"/>
          <w:szCs w:val="24"/>
        </w:rPr>
        <w:t xml:space="preserve"> </w:t>
      </w:r>
    </w:p>
    <w:p w:rsidR="00E903A1" w:rsidRPr="002E0C7E" w:rsidRDefault="00E903A1" w:rsidP="00E903A1">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2011</w:t>
      </w:r>
      <w:r w:rsidRPr="002E0C7E">
        <w:rPr>
          <w:rFonts w:ascii="Arial" w:hAnsi="Arial"/>
          <w:i/>
          <w:sz w:val="36"/>
        </w:rPr>
        <w:t xml:space="preserve"> -</w:t>
      </w:r>
      <w:r w:rsidRPr="002E0C7E">
        <w:rPr>
          <w:rFonts w:ascii="Arial" w:hAnsi="Arial"/>
          <w:sz w:val="18"/>
        </w:rPr>
        <w:tab/>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50"/>
        <w:gridCol w:w="488"/>
        <w:gridCol w:w="469"/>
        <w:gridCol w:w="469"/>
        <w:gridCol w:w="463"/>
        <w:gridCol w:w="475"/>
        <w:gridCol w:w="469"/>
        <w:gridCol w:w="469"/>
        <w:gridCol w:w="469"/>
        <w:gridCol w:w="457"/>
        <w:gridCol w:w="506"/>
        <w:gridCol w:w="450"/>
        <w:gridCol w:w="484"/>
        <w:gridCol w:w="450"/>
        <w:gridCol w:w="468"/>
        <w:gridCol w:w="469"/>
        <w:gridCol w:w="536"/>
        <w:gridCol w:w="450"/>
        <w:gridCol w:w="540"/>
        <w:gridCol w:w="450"/>
        <w:gridCol w:w="450"/>
        <w:gridCol w:w="396"/>
        <w:gridCol w:w="470"/>
      </w:tblGrid>
      <w:tr w:rsidR="00E903A1" w:rsidRPr="002E0C7E" w:rsidTr="002A4AFA">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2A4AFA">
            <w:pPr>
              <w:widowControl w:val="0"/>
              <w:jc w:val="center"/>
              <w:rPr>
                <w:rFonts w:ascii="Arial" w:hAnsi="Arial"/>
                <w:sz w:val="14"/>
              </w:rPr>
            </w:pPr>
          </w:p>
        </w:tc>
        <w:tc>
          <w:tcPr>
            <w:tcW w:w="3284"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2A4AFA">
            <w:pPr>
              <w:widowControl w:val="0"/>
              <w:jc w:val="center"/>
              <w:rPr>
                <w:rFonts w:ascii="Arial" w:hAnsi="Arial"/>
                <w:sz w:val="14"/>
              </w:rPr>
            </w:pPr>
          </w:p>
        </w:tc>
        <w:tc>
          <w:tcPr>
            <w:tcW w:w="3292"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DECEMBER - DÉCEMBRE</w:t>
            </w:r>
          </w:p>
        </w:tc>
      </w:tr>
      <w:tr w:rsidR="00E903A1" w:rsidRPr="002E0C7E" w:rsidTr="002A4AFA">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8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57"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53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5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39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r>
      <w:tr w:rsidR="00E903A1" w:rsidRPr="002E0C7E" w:rsidTr="002A4AFA">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88"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57"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5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r>
      <w:tr w:rsidR="00E903A1" w:rsidRPr="002E0C7E" w:rsidTr="002A4AFA">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88"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nil"/>
              <w:bottom w:val="nil"/>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463"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57"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50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84"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10</w:t>
            </w:r>
          </w:p>
        </w:tc>
        <w:tc>
          <w:tcPr>
            <w:tcW w:w="45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68" w:type="dxa"/>
            <w:tcBorders>
              <w:top w:val="single" w:sz="8" w:space="0" w:color="000000"/>
              <w:left w:val="nil"/>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5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10</w:t>
            </w:r>
          </w:p>
        </w:tc>
      </w:tr>
      <w:tr w:rsidR="00E903A1" w:rsidRPr="002E0C7E" w:rsidTr="002A4AFA">
        <w:trPr>
          <w:cantSplit/>
          <w:trHeight w:val="288"/>
          <w:jc w:val="center"/>
        </w:trPr>
        <w:tc>
          <w:tcPr>
            <w:tcW w:w="450"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88"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10</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57"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506"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84"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c>
          <w:tcPr>
            <w:tcW w:w="450" w:type="dxa"/>
            <w:tcBorders>
              <w:top w:val="nil"/>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r>
      <w:tr w:rsidR="00E903A1" w:rsidRPr="002E0C7E" w:rsidTr="002A4AFA">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88" w:type="dxa"/>
            <w:tcBorders>
              <w:top w:val="nil"/>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57"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506"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450"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5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r>
      <w:tr w:rsidR="00E903A1" w:rsidRPr="002E0C7E" w:rsidTr="002A4AFA">
        <w:trPr>
          <w:cantSplit/>
          <w:trHeight w:val="288"/>
          <w:jc w:val="center"/>
        </w:trPr>
        <w:tc>
          <w:tcPr>
            <w:tcW w:w="45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23</w:t>
            </w:r>
          </w:p>
          <w:p w:rsidR="00E903A1" w:rsidRPr="002E0C7E" w:rsidRDefault="00E903A1" w:rsidP="002A4AFA">
            <w:pPr>
              <w:widowControl w:val="0"/>
              <w:jc w:val="center"/>
              <w:rPr>
                <w:rFonts w:ascii="Arial" w:hAnsi="Arial"/>
                <w:sz w:val="14"/>
              </w:rPr>
            </w:pPr>
            <w:r w:rsidRPr="002E0C7E">
              <w:rPr>
                <w:rFonts w:ascii="Arial" w:hAnsi="Arial"/>
                <w:sz w:val="14"/>
              </w:rPr>
              <w:t>/ 30</w:t>
            </w:r>
          </w:p>
        </w:tc>
        <w:tc>
          <w:tcPr>
            <w:tcW w:w="48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24</w:t>
            </w:r>
          </w:p>
          <w:p w:rsidR="00E903A1" w:rsidRPr="002E0C7E" w:rsidRDefault="00E903A1" w:rsidP="002A4AFA">
            <w:pPr>
              <w:widowControl w:val="0"/>
              <w:jc w:val="center"/>
              <w:rPr>
                <w:rFonts w:ascii="Arial" w:hAnsi="Arial"/>
                <w:sz w:val="14"/>
              </w:rPr>
            </w:pPr>
            <w:r w:rsidRPr="002E0C7E">
              <w:rPr>
                <w:rFonts w:ascii="Arial" w:hAnsi="Arial"/>
                <w:sz w:val="14"/>
              </w:rPr>
              <w:t>/ 31</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463"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75"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57"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50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30</w:t>
            </w:r>
          </w:p>
        </w:tc>
        <w:tc>
          <w:tcPr>
            <w:tcW w:w="484"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8"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536" w:type="dxa"/>
            <w:tcBorders>
              <w:top w:val="sing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5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54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39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30</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31</w:t>
            </w:r>
          </w:p>
        </w:tc>
      </w:tr>
    </w:tbl>
    <w:p w:rsidR="00E903A1" w:rsidRPr="002E0C7E" w:rsidRDefault="00E903A1" w:rsidP="00E903A1">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2012</w:t>
      </w:r>
      <w:r w:rsidRPr="002E0C7E">
        <w:rPr>
          <w:rFonts w:ascii="Arial" w:hAnsi="Arial"/>
          <w:i/>
          <w:sz w:val="36"/>
        </w:rPr>
        <w:t xml:space="preserve"> -</w:t>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98"/>
        <w:gridCol w:w="440"/>
        <w:gridCol w:w="469"/>
        <w:gridCol w:w="469"/>
        <w:gridCol w:w="469"/>
        <w:gridCol w:w="469"/>
        <w:gridCol w:w="469"/>
        <w:gridCol w:w="469"/>
        <w:gridCol w:w="469"/>
        <w:gridCol w:w="469"/>
        <w:gridCol w:w="486"/>
        <w:gridCol w:w="452"/>
        <w:gridCol w:w="469"/>
        <w:gridCol w:w="469"/>
        <w:gridCol w:w="469"/>
        <w:gridCol w:w="480"/>
        <w:gridCol w:w="458"/>
        <w:gridCol w:w="442"/>
        <w:gridCol w:w="450"/>
        <w:gridCol w:w="516"/>
        <w:gridCol w:w="470"/>
      </w:tblGrid>
      <w:tr w:rsidR="00E903A1" w:rsidRPr="002E0C7E" w:rsidTr="002A4AFA">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2A4AFA">
            <w:pPr>
              <w:widowControl w:val="0"/>
              <w:jc w:val="center"/>
              <w:rPr>
                <w:rFonts w:ascii="Arial" w:hAnsi="Arial"/>
                <w:sz w:val="14"/>
              </w:rPr>
            </w:pPr>
          </w:p>
        </w:tc>
        <w:tc>
          <w:tcPr>
            <w:tcW w:w="3283"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2A4AFA">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MARCH - MARS</w:t>
            </w:r>
          </w:p>
        </w:tc>
      </w:tr>
      <w:tr w:rsidR="00E903A1" w:rsidRPr="002E0C7E" w:rsidTr="002A4AFA">
        <w:trPr>
          <w:cantSplit/>
          <w:jc w:val="center"/>
        </w:trPr>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49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45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4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51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r>
      <w:tr w:rsidR="00E903A1" w:rsidRPr="002E0C7E" w:rsidTr="002A4AFA">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r>
      <w:tr w:rsidR="00E903A1" w:rsidRPr="002E0C7E" w:rsidTr="002A4AFA">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9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10</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10</w:t>
            </w:r>
          </w:p>
        </w:tc>
      </w:tr>
      <w:tr w:rsidR="00E903A1" w:rsidRPr="002E0C7E" w:rsidTr="002A4AFA">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9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8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51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r>
      <w:tr w:rsidR="00E903A1" w:rsidRPr="002E0C7E" w:rsidTr="002A4AFA">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8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51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r>
      <w:tr w:rsidR="00E903A1" w:rsidRPr="002E0C7E" w:rsidTr="002A4AFA">
        <w:trPr>
          <w:cantSplit/>
          <w:jc w:val="center"/>
        </w:trPr>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30</w:t>
            </w:r>
          </w:p>
        </w:tc>
        <w:tc>
          <w:tcPr>
            <w:tcW w:w="49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31</w:t>
            </w:r>
          </w:p>
        </w:tc>
        <w:tc>
          <w:tcPr>
            <w:tcW w:w="4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5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4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51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30</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31</w:t>
            </w:r>
          </w:p>
        </w:tc>
      </w:tr>
    </w:tbl>
    <w:p w:rsidR="00E903A1" w:rsidRPr="002E0C7E" w:rsidRDefault="00E903A1" w:rsidP="00E903A1">
      <w:pPr>
        <w:widowControl w:val="0"/>
        <w:rPr>
          <w:rFonts w:ascii="Arial" w:hAnsi="Arial"/>
          <w:vanish/>
          <w:szCs w:val="24"/>
        </w:rPr>
      </w:pP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46"/>
        <w:gridCol w:w="492"/>
        <w:gridCol w:w="469"/>
        <w:gridCol w:w="469"/>
        <w:gridCol w:w="469"/>
        <w:gridCol w:w="469"/>
        <w:gridCol w:w="469"/>
        <w:gridCol w:w="469"/>
        <w:gridCol w:w="473"/>
        <w:gridCol w:w="466"/>
        <w:gridCol w:w="469"/>
        <w:gridCol w:w="469"/>
        <w:gridCol w:w="486"/>
        <w:gridCol w:w="450"/>
        <w:gridCol w:w="472"/>
        <w:gridCol w:w="518"/>
        <w:gridCol w:w="420"/>
        <w:gridCol w:w="480"/>
        <w:gridCol w:w="458"/>
        <w:gridCol w:w="469"/>
        <w:gridCol w:w="469"/>
        <w:gridCol w:w="469"/>
        <w:gridCol w:w="470"/>
      </w:tblGrid>
      <w:tr w:rsidR="00E903A1" w:rsidRPr="002E0C7E" w:rsidTr="002A4AFA">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APRIL - AVRIL</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2A4AFA">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MAY - MAI</w:t>
            </w:r>
          </w:p>
        </w:tc>
        <w:tc>
          <w:tcPr>
            <w:tcW w:w="518"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2A4AFA">
            <w:pPr>
              <w:widowControl w:val="0"/>
              <w:jc w:val="center"/>
              <w:rPr>
                <w:rFonts w:ascii="Arial" w:hAnsi="Arial"/>
                <w:sz w:val="14"/>
              </w:rPr>
            </w:pPr>
          </w:p>
        </w:tc>
        <w:tc>
          <w:tcPr>
            <w:tcW w:w="323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JUNE - JUIN</w:t>
            </w:r>
          </w:p>
        </w:tc>
      </w:tr>
      <w:tr w:rsidR="00E903A1" w:rsidRPr="002E0C7E" w:rsidTr="002A4AFA">
        <w:trPr>
          <w:cantSplit/>
          <w:jc w:val="center"/>
        </w:trPr>
        <w:tc>
          <w:tcPr>
            <w:tcW w:w="44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9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73"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6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72"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20"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M</w:t>
            </w:r>
          </w:p>
          <w:p w:rsidR="00E903A1" w:rsidRPr="002E0C7E" w:rsidRDefault="00E903A1" w:rsidP="002A4AFA">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W</w:t>
            </w:r>
          </w:p>
          <w:p w:rsidR="00E903A1" w:rsidRPr="002E0C7E" w:rsidRDefault="00E903A1" w:rsidP="002A4AFA">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T</w:t>
            </w:r>
          </w:p>
          <w:p w:rsidR="00E903A1" w:rsidRPr="002E0C7E" w:rsidRDefault="00E903A1" w:rsidP="002A4AFA">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F</w:t>
            </w:r>
          </w:p>
          <w:p w:rsidR="00E903A1" w:rsidRPr="002E0C7E" w:rsidRDefault="00E903A1" w:rsidP="002A4AFA">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s</w:t>
            </w:r>
          </w:p>
          <w:p w:rsidR="00E903A1" w:rsidRPr="002E0C7E" w:rsidRDefault="00E903A1" w:rsidP="002A4AFA">
            <w:pPr>
              <w:widowControl w:val="0"/>
              <w:jc w:val="center"/>
              <w:rPr>
                <w:rFonts w:ascii="Arial" w:hAnsi="Arial"/>
                <w:sz w:val="14"/>
              </w:rPr>
            </w:pPr>
            <w:r w:rsidRPr="002E0C7E">
              <w:rPr>
                <w:rFonts w:ascii="Arial" w:hAnsi="Arial"/>
                <w:sz w:val="14"/>
              </w:rPr>
              <w:t>s</w:t>
            </w:r>
          </w:p>
        </w:tc>
      </w:tr>
      <w:tr w:rsidR="00E903A1" w:rsidRPr="002E0C7E" w:rsidTr="002A4AFA">
        <w:trPr>
          <w:cantSplit/>
          <w:trHeight w:val="422"/>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49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b/>
                <w:sz w:val="14"/>
              </w:rPr>
            </w:pPr>
          </w:p>
          <w:p w:rsidR="00E903A1" w:rsidRPr="002E0C7E" w:rsidRDefault="00E903A1" w:rsidP="002A4AFA">
            <w:pPr>
              <w:widowControl w:val="0"/>
              <w:jc w:val="center"/>
              <w:rPr>
                <w:rFonts w:ascii="Arial" w:hAnsi="Arial"/>
                <w:sz w:val="14"/>
              </w:rPr>
            </w:pPr>
            <w:r w:rsidRPr="002E0C7E">
              <w:rPr>
                <w:rFonts w:ascii="Arial" w:hAnsi="Arial"/>
                <w:b/>
                <w:sz w:val="14"/>
              </w:rPr>
              <w:t>4</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w:t>
            </w:r>
          </w:p>
        </w:tc>
      </w:tr>
      <w:tr w:rsidR="00E903A1" w:rsidRPr="002E0C7E" w:rsidTr="002A4AFA">
        <w:trPr>
          <w:cantSplit/>
          <w:jc w:val="center"/>
        </w:trPr>
        <w:tc>
          <w:tcPr>
            <w:tcW w:w="44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492"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66"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9</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10</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w:t>
            </w:r>
          </w:p>
        </w:tc>
        <w:tc>
          <w:tcPr>
            <w:tcW w:w="48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M</w:t>
            </w:r>
          </w:p>
          <w:p w:rsidR="00E903A1" w:rsidRPr="002E0C7E" w:rsidRDefault="00E903A1" w:rsidP="002A4AFA">
            <w:pPr>
              <w:widowControl w:val="0"/>
              <w:jc w:val="center"/>
              <w:rPr>
                <w:rFonts w:ascii="Arial" w:hAnsi="Arial"/>
                <w:sz w:val="14"/>
              </w:rPr>
            </w:pPr>
            <w:r w:rsidRPr="002E0C7E">
              <w:rPr>
                <w:rFonts w:ascii="Arial" w:hAnsi="Arial"/>
                <w:sz w:val="14"/>
              </w:rPr>
              <w:t>4</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8</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9</w:t>
            </w:r>
          </w:p>
        </w:tc>
      </w:tr>
      <w:tr w:rsidR="00E903A1" w:rsidRPr="002E0C7E" w:rsidTr="002A4AFA">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492" w:type="dxa"/>
            <w:tcBorders>
              <w:top w:val="nil"/>
              <w:left w:val="single" w:sz="8" w:space="0" w:color="000000"/>
              <w:bottom w:val="single" w:sz="8" w:space="0" w:color="000000"/>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66"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10</w:t>
            </w:r>
          </w:p>
        </w:tc>
        <w:tc>
          <w:tcPr>
            <w:tcW w:w="48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11</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15</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16</w:t>
            </w:r>
          </w:p>
        </w:tc>
      </w:tr>
      <w:tr w:rsidR="00E903A1" w:rsidRPr="002E0C7E" w:rsidTr="002A4AFA">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49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vAlign w:val="cente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66"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b/>
                <w:sz w:val="14"/>
              </w:rPr>
              <w:t>H</w:t>
            </w: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17</w:t>
            </w: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18</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23</w:t>
            </w:r>
          </w:p>
        </w:tc>
      </w:tr>
      <w:tr w:rsidR="00E903A1" w:rsidRPr="002E0C7E" w:rsidTr="002A4AFA">
        <w:trPr>
          <w:cantSplit/>
          <w:jc w:val="center"/>
        </w:trPr>
        <w:tc>
          <w:tcPr>
            <w:tcW w:w="446"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49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73"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r w:rsidRPr="002E0C7E">
              <w:rPr>
                <w:rFonts w:ascii="Arial" w:hAnsi="Arial"/>
                <w:sz w:val="14"/>
              </w:rPr>
              <w:t xml:space="preserve">    </w:t>
            </w: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6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30</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31</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472"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tc>
        <w:tc>
          <w:tcPr>
            <w:tcW w:w="42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24</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25</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29</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2A4AFA">
            <w:pPr>
              <w:widowControl w:val="0"/>
              <w:jc w:val="center"/>
              <w:rPr>
                <w:rFonts w:ascii="Arial" w:hAnsi="Arial"/>
                <w:sz w:val="14"/>
              </w:rPr>
            </w:pPr>
          </w:p>
          <w:p w:rsidR="00E903A1" w:rsidRPr="002E0C7E" w:rsidRDefault="00E903A1" w:rsidP="002A4AFA">
            <w:pPr>
              <w:widowControl w:val="0"/>
              <w:jc w:val="center"/>
              <w:rPr>
                <w:rFonts w:ascii="Arial" w:hAnsi="Arial"/>
                <w:sz w:val="14"/>
              </w:rPr>
            </w:pPr>
            <w:r w:rsidRPr="002E0C7E">
              <w:rPr>
                <w:rFonts w:ascii="Arial" w:hAnsi="Arial"/>
                <w:sz w:val="14"/>
              </w:rPr>
              <w:t>30</w:t>
            </w:r>
          </w:p>
        </w:tc>
      </w:tr>
    </w:tbl>
    <w:p w:rsidR="00E903A1" w:rsidRPr="002E0C7E" w:rsidRDefault="00E903A1" w:rsidP="00E903A1">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tblPr>
      <w:tblGrid>
        <w:gridCol w:w="1710"/>
        <w:gridCol w:w="540"/>
        <w:gridCol w:w="8370"/>
      </w:tblGrid>
      <w:tr w:rsidR="00E903A1" w:rsidRPr="002E0C7E" w:rsidTr="002A4AFA">
        <w:trPr>
          <w:cantSplit/>
        </w:trPr>
        <w:tc>
          <w:tcPr>
            <w:tcW w:w="1710" w:type="dxa"/>
            <w:tcBorders>
              <w:top w:val="nil"/>
              <w:left w:val="nil"/>
              <w:bottom w:val="nil"/>
              <w:right w:val="nil"/>
            </w:tcBorders>
            <w:tcMar>
              <w:top w:w="43" w:type="dxa"/>
              <w:left w:w="120" w:type="dxa"/>
              <w:bottom w:w="29" w:type="dxa"/>
              <w:right w:w="120" w:type="dxa"/>
            </w:tcMar>
          </w:tcPr>
          <w:p w:rsidR="00E903A1" w:rsidRPr="002E0C7E" w:rsidRDefault="00E903A1" w:rsidP="002A4AFA">
            <w:pPr>
              <w:widowControl w:val="0"/>
              <w:rPr>
                <w:rFonts w:ascii="Arial" w:hAnsi="Arial"/>
                <w:sz w:val="16"/>
              </w:rPr>
            </w:pPr>
            <w:r w:rsidRPr="002E0C7E">
              <w:rPr>
                <w:rFonts w:ascii="Arial" w:hAnsi="Arial"/>
                <w:sz w:val="16"/>
              </w:rPr>
              <w:t>Sittings of the court:</w:t>
            </w:r>
          </w:p>
          <w:p w:rsidR="00E903A1" w:rsidRPr="002E0C7E" w:rsidRDefault="00E903A1" w:rsidP="002A4AFA">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E903A1" w:rsidRPr="002E0C7E" w:rsidRDefault="00E903A1" w:rsidP="002A4AFA">
            <w:pPr>
              <w:widowControl w:val="0"/>
              <w:rPr>
                <w:rFonts w:ascii="Arial" w:hAnsi="Arial"/>
                <w:sz w:val="16"/>
              </w:rPr>
            </w:pPr>
          </w:p>
          <w:p w:rsidR="00E903A1" w:rsidRPr="002E0C7E" w:rsidRDefault="00E903A1" w:rsidP="002A4AFA">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E903A1" w:rsidRPr="00B058C3"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18  sitting weeks/semaines séances de la cour</w:t>
            </w:r>
          </w:p>
          <w:p w:rsidR="00E903A1" w:rsidRPr="00B058C3"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87  sitting days/journées séances de la cour</w:t>
            </w:r>
          </w:p>
          <w:p w:rsidR="00E903A1" w:rsidRPr="00B058C3"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9    motion and conference days/ journées des requêtes et des conférences</w:t>
            </w:r>
          </w:p>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sidRPr="002E0C7E">
              <w:rPr>
                <w:rFonts w:ascii="Arial" w:hAnsi="Arial"/>
                <w:b/>
                <w:sz w:val="16"/>
              </w:rPr>
              <w:t>3    holidays during sitting days/ jours fériés durant les sessions</w:t>
            </w:r>
          </w:p>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E903A1" w:rsidRPr="002E0C7E" w:rsidTr="002A4AFA">
        <w:trPr>
          <w:cantSplit/>
        </w:trPr>
        <w:tc>
          <w:tcPr>
            <w:tcW w:w="1710" w:type="dxa"/>
            <w:tcBorders>
              <w:top w:val="nil"/>
              <w:left w:val="nil"/>
              <w:bottom w:val="nil"/>
              <w:right w:val="double" w:sz="8" w:space="0" w:color="000000"/>
            </w:tcBorders>
            <w:tcMar>
              <w:top w:w="43" w:type="dxa"/>
              <w:left w:w="120" w:type="dxa"/>
              <w:bottom w:w="29" w:type="dxa"/>
              <w:right w:w="120" w:type="dxa"/>
            </w:tcMar>
          </w:tcPr>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E903A1" w:rsidRPr="002E0C7E" w:rsidTr="002A4AFA">
        <w:trPr>
          <w:cantSplit/>
        </w:trPr>
        <w:tc>
          <w:tcPr>
            <w:tcW w:w="1710" w:type="dxa"/>
            <w:tcBorders>
              <w:top w:val="nil"/>
              <w:left w:val="nil"/>
              <w:bottom w:val="nil"/>
              <w:right w:val="double" w:sz="8" w:space="0" w:color="000000"/>
            </w:tcBorders>
            <w:tcMar>
              <w:top w:w="43" w:type="dxa"/>
              <w:left w:w="120" w:type="dxa"/>
              <w:bottom w:w="29" w:type="dxa"/>
              <w:right w:w="120" w:type="dxa"/>
            </w:tcMar>
          </w:tcPr>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E903A1" w:rsidRPr="002E0C7E" w:rsidRDefault="00E903A1" w:rsidP="002A4AFA">
            <w:pPr>
              <w:widowControl w:val="0"/>
              <w:tabs>
                <w:tab w:val="center" w:pos="150"/>
              </w:tabs>
              <w:rPr>
                <w:rFonts w:ascii="Arial" w:hAnsi="Arial"/>
                <w:sz w:val="16"/>
              </w:rPr>
            </w:pPr>
            <w:r w:rsidRPr="002E0C7E">
              <w:rPr>
                <w:rFonts w:ascii="Arial" w:hAnsi="Arial"/>
                <w:b/>
                <w:sz w:val="16"/>
              </w:rPr>
              <w:tab/>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E903A1" w:rsidRPr="002E0C7E" w:rsidRDefault="00E903A1" w:rsidP="002A4A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E903A1" w:rsidRPr="002E0C7E" w:rsidRDefault="00E903A1" w:rsidP="00E903A1">
      <w:pPr>
        <w:widowControl w:val="0"/>
        <w:rPr>
          <w:rFonts w:ascii="Arial" w:hAnsi="Arial"/>
          <w:sz w:val="16"/>
        </w:rPr>
      </w:pPr>
    </w:p>
    <w:p w:rsidR="002410B8" w:rsidRPr="0022323B" w:rsidRDefault="002410B8" w:rsidP="00E903A1">
      <w:pPr>
        <w:jc w:val="center"/>
        <w:rPr>
          <w:lang w:val="fr-CA"/>
        </w:rPr>
      </w:pPr>
    </w:p>
    <w:sectPr w:rsidR="002410B8" w:rsidRPr="0022323B" w:rsidSect="00924065">
      <w:headerReference w:type="default" r:id="rId63"/>
      <w:footerReference w:type="default" r:id="rId64"/>
      <w:pgSz w:w="12240" w:h="15840" w:code="1"/>
      <w:pgMar w:top="720" w:right="720" w:bottom="1110" w:left="1080" w:header="144"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11F" w:rsidRDefault="0075411F" w:rsidP="00A87207">
      <w:r>
        <w:separator/>
      </w:r>
    </w:p>
  </w:endnote>
  <w:endnote w:type="continuationSeparator" w:id="0">
    <w:p w:rsidR="0075411F" w:rsidRDefault="0075411F" w:rsidP="00A8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pPr>
      <w:pStyle w:val="Footer"/>
      <w:rPr>
        <w:lang w:val="fr-CA"/>
      </w:rPr>
    </w:pPr>
    <w:r w:rsidRPr="00586706">
      <w:rPr>
        <w:lang w:val="fr-CA"/>
      </w:rPr>
      <w:pict>
        <v:rect id="_x0000_i1067" style="width:480.95pt;height:1pt" o:hralign="center" o:hrstd="t" o:hrnoshade="t" o:hr="t" fillcolor="black [3213]" stroked="f"/>
      </w:pict>
    </w:r>
  </w:p>
  <w:p w:rsidR="0075411F" w:rsidRDefault="0075411F" w:rsidP="00245129">
    <w:pPr>
      <w:tabs>
        <w:tab w:val="center" w:pos="4680"/>
      </w:tabs>
    </w:pPr>
    <w:r>
      <w:tab/>
    </w:r>
    <w:r w:rsidRPr="0009648D">
      <w:t xml:space="preserve">- </w:t>
    </w:r>
    <w:fldSimple w:instr=" PAGE   \* MERGEFORMAT ">
      <w:r w:rsidR="001512C2">
        <w:rPr>
          <w:noProof/>
        </w:rPr>
        <w:t>1917</w:t>
      </w:r>
    </w:fldSimple>
    <w:r w:rsidRPr="0009648D">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5411F" w:rsidRDefault="0075411F">
    <w:pPr>
      <w:tabs>
        <w:tab w:val="center" w:pos="4740"/>
      </w:tabs>
    </w:pPr>
    <w:r>
      <w:tab/>
      <w:t xml:space="preserve">- </w:t>
    </w:r>
    <w:r>
      <w:pgNum/>
    </w: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755F22">
    <w:pPr>
      <w:tabs>
        <w:tab w:val="left" w:pos="-1440"/>
        <w:tab w:val="left" w:pos="-720"/>
      </w:tabs>
    </w:pPr>
    <w:r>
      <w:pict>
        <v:rect id="_x0000_i1071" style="width:480.95pt;height:1pt" o:hralign="center" o:hrstd="t" o:hrnoshade="t" o:hr="t" fillcolor="black [3213]" stroked="f"/>
      </w:pict>
    </w:r>
  </w:p>
  <w:p w:rsidR="0075411F" w:rsidRDefault="0075411F" w:rsidP="00EB2B90">
    <w:pPr>
      <w:tabs>
        <w:tab w:val="center" w:pos="4680"/>
      </w:tabs>
    </w:pPr>
    <w:r>
      <w:tab/>
      <w:t xml:space="preserve">- </w:t>
    </w:r>
    <w:fldSimple w:instr=" PAGE   \* MERGEFORMAT ">
      <w:r w:rsidR="001512C2">
        <w:rPr>
          <w:noProof/>
        </w:rPr>
        <w:t>1939</w:t>
      </w:r>
    </w:fldSimple>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EB2B90">
    <w:pPr>
      <w:tabs>
        <w:tab w:val="center" w:pos="4680"/>
      </w:tabs>
    </w:pPr>
    <w:r>
      <w:pict>
        <v:rect id="_x0000_i1072" style="width:480.95pt;height:1pt" o:hralign="center" o:hrstd="t" o:hrnoshade="t" o:hr="t" fillcolor="black [3213]" stroked="f"/>
      </w:pict>
    </w:r>
  </w:p>
  <w:p w:rsidR="0075411F" w:rsidRPr="0031432F" w:rsidRDefault="0075411F" w:rsidP="00EB2B90">
    <w:pPr>
      <w:tabs>
        <w:tab w:val="center" w:pos="4680"/>
      </w:tabs>
    </w:pPr>
    <w:r>
      <w:tab/>
      <w:t xml:space="preserve">- </w:t>
    </w:r>
    <w:fldSimple w:instr=" PAGE   \* MERGEFORMAT ">
      <w:r w:rsidR="001512C2">
        <w:rPr>
          <w:noProof/>
        </w:rPr>
        <w:t>1938</w:t>
      </w:r>
    </w:fldSimple>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5411F" w:rsidRDefault="0075411F">
    <w:pPr>
      <w:tabs>
        <w:tab w:val="center" w:pos="4740"/>
      </w:tabs>
    </w:pPr>
    <w:r>
      <w:tab/>
      <w:t xml:space="preserve">- </w:t>
    </w:r>
    <w:r>
      <w:pgNum/>
    </w: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6706">
      <w:rPr>
        <w:lang w:val="fr-CA"/>
      </w:rPr>
      <w:pict>
        <v:rect id="_x0000_i1075" style="width:480.95pt;height:1pt" o:hralign="center" o:hrstd="t" o:hrnoshade="t" o:hr="t" fillcolor="black [3213]" stroked="f"/>
      </w:pict>
    </w:r>
  </w:p>
  <w:p w:rsidR="0075411F" w:rsidRDefault="0075411F" w:rsidP="00EB2B90">
    <w:pPr>
      <w:tabs>
        <w:tab w:val="center" w:pos="4680"/>
      </w:tabs>
    </w:pPr>
    <w:r>
      <w:tab/>
      <w:t xml:space="preserve">- </w:t>
    </w:r>
    <w:fldSimple w:instr=" PAGE   \* MERGEFORMAT ">
      <w:r>
        <w:rPr>
          <w:noProof/>
        </w:rPr>
        <w:t>519</w:t>
      </w:r>
    </w:fldSimple>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pPr>
      <w:pStyle w:val="Footer"/>
      <w:rPr>
        <w:lang w:val="fr-CA"/>
      </w:rPr>
    </w:pPr>
    <w:r w:rsidRPr="00586706">
      <w:rPr>
        <w:lang w:val="fr-CA"/>
      </w:rPr>
      <w:pict>
        <v:rect id="_x0000_i1076" style="width:480.95pt;height:1pt" o:hralign="center" o:hrstd="t" o:hrnoshade="t" o:hr="t" fillcolor="black [3213]" stroked="f"/>
      </w:pict>
    </w:r>
  </w:p>
  <w:p w:rsidR="0075411F" w:rsidRDefault="0075411F" w:rsidP="00EB2B90">
    <w:pPr>
      <w:tabs>
        <w:tab w:val="center" w:pos="4680"/>
      </w:tabs>
    </w:pPr>
    <w:r>
      <w:tab/>
      <w:t xml:space="preserve">- </w:t>
    </w:r>
    <w:fldSimple w:instr=" PAGE   \* MERGEFORMAT ">
      <w:r w:rsidR="001512C2">
        <w:rPr>
          <w:noProof/>
        </w:rPr>
        <w:t>1940</w:t>
      </w:r>
    </w:fldSimple>
    <w: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5411F" w:rsidRDefault="0075411F">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732DB7">
    <w:r>
      <w:pict>
        <v:rect id="_x0000_i1080" style="width:480.95pt;height:1pt" o:hralign="center" o:hrstd="t" o:hrnoshade="t" o:hr="t" fillcolor="black" stroked="f"/>
      </w:pict>
    </w:r>
  </w:p>
  <w:p w:rsidR="0075411F" w:rsidRDefault="0075411F">
    <w:pPr>
      <w:tabs>
        <w:tab w:val="center" w:pos="4740"/>
      </w:tabs>
      <w:spacing w:line="0" w:lineRule="atLeast"/>
    </w:pPr>
    <w:r>
      <w:tab/>
      <w:t xml:space="preserve">- </w:t>
    </w:r>
    <w:r>
      <w:pgNum/>
    </w:r>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pPr>
      <w:pStyle w:val="Footer"/>
    </w:pPr>
    <w:r>
      <w:pict>
        <v:rect id="_x0000_i1081" style="width:480.95pt;height:1pt" o:hralign="center" o:hrstd="t" o:hrnoshade="t" o:hr="t" fillcolor="black [3213]" stroked="f"/>
      </w:pict>
    </w:r>
  </w:p>
  <w:p w:rsidR="0075411F" w:rsidRPr="003C2C0F" w:rsidRDefault="0075411F" w:rsidP="00697C62">
    <w:pPr>
      <w:tabs>
        <w:tab w:val="center" w:pos="4680"/>
      </w:tabs>
    </w:pPr>
    <w:r>
      <w:tab/>
      <w:t xml:space="preserve">- </w:t>
    </w:r>
    <w:fldSimple w:instr=" PAGE   \* MERGEFORMAT ">
      <w:r w:rsidR="001512C2">
        <w:rPr>
          <w:noProof/>
        </w:rPr>
        <w:t>1941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5411F" w:rsidRDefault="0075411F">
    <w:pPr>
      <w:tabs>
        <w:tab w:val="center" w:pos="4740"/>
      </w:tabs>
    </w:pPr>
    <w:r>
      <w:tab/>
      <w:t xml:space="preserve">- </w:t>
    </w:r>
    <w:r>
      <w:pgNum/>
    </w:r>
    <w: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75411F" w:rsidRDefault="005867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88" style="width:480.95pt;height:1pt" o:hralign="center" o:hrstd="t" o:hrnoshade="t" o:hr="t" fillcolor="black [3213]" stroked="f"/>
      </w:pict>
    </w:r>
  </w:p>
  <w:p w:rsidR="0075411F" w:rsidRDefault="0075411F" w:rsidP="00782AE4">
    <w:pPr>
      <w:tabs>
        <w:tab w:val="center" w:pos="4680"/>
      </w:tabs>
    </w:pPr>
    <w:r>
      <w:tab/>
      <w:t xml:space="preserve">- </w:t>
    </w:r>
    <w:r w:rsidR="00586706" w:rsidRPr="001775C1">
      <w:rPr>
        <w:szCs w:val="24"/>
      </w:rPr>
      <w:fldChar w:fldCharType="begin"/>
    </w:r>
    <w:r w:rsidRPr="001775C1">
      <w:rPr>
        <w:szCs w:val="24"/>
      </w:rPr>
      <w:instrText xml:space="preserve"> PAGE   \* MERGEFORMAT </w:instrText>
    </w:r>
    <w:r w:rsidR="00586706" w:rsidRPr="001775C1">
      <w:rPr>
        <w:szCs w:val="24"/>
      </w:rPr>
      <w:fldChar w:fldCharType="separate"/>
    </w:r>
    <w:r w:rsidR="001512C2">
      <w:rPr>
        <w:noProof/>
        <w:szCs w:val="24"/>
      </w:rPr>
      <w:t>1957</w:t>
    </w:r>
    <w:r w:rsidR="00586706" w:rsidRPr="001775C1">
      <w:rPr>
        <w:szCs w:val="24"/>
      </w:rPr>
      <w:fldChar w:fldCharType="end"/>
    </w:r>
    <w: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782AE4">
    <w:pPr>
      <w:tabs>
        <w:tab w:val="center" w:pos="4680"/>
      </w:tabs>
    </w:pPr>
    <w:r>
      <w:pict>
        <v:rect id="_x0000_i1089" style="width:480.95pt;height:1pt" o:hralign="center" o:hrstd="t" o:hrnoshade="t" o:hr="t" fillcolor="black [3213]" stroked="f"/>
      </w:pict>
    </w:r>
  </w:p>
  <w:p w:rsidR="0075411F" w:rsidRDefault="0075411F" w:rsidP="00782AE4">
    <w:pPr>
      <w:tabs>
        <w:tab w:val="center" w:pos="4680"/>
      </w:tabs>
    </w:pPr>
    <w:r>
      <w:tab/>
      <w:t xml:space="preserve">- </w:t>
    </w:r>
    <w:r w:rsidR="00586706" w:rsidRPr="001775C1">
      <w:rPr>
        <w:szCs w:val="24"/>
      </w:rPr>
      <w:fldChar w:fldCharType="begin"/>
    </w:r>
    <w:r w:rsidRPr="001775C1">
      <w:rPr>
        <w:szCs w:val="24"/>
      </w:rPr>
      <w:instrText xml:space="preserve"> PAGE   \* MERGEFORMAT </w:instrText>
    </w:r>
    <w:r w:rsidR="00586706" w:rsidRPr="001775C1">
      <w:rPr>
        <w:szCs w:val="24"/>
      </w:rPr>
      <w:fldChar w:fldCharType="separate"/>
    </w:r>
    <w:r w:rsidR="001512C2">
      <w:rPr>
        <w:noProof/>
        <w:szCs w:val="24"/>
      </w:rPr>
      <w:t>1943</w:t>
    </w:r>
    <w:r w:rsidR="00586706" w:rsidRPr="001775C1">
      <w:rPr>
        <w:szCs w:val="24"/>
      </w:rPr>
      <w:fldChar w:fldCharType="end"/>
    </w:r>
    <w: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75411F" w:rsidRDefault="0075411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75411F" w:rsidRDefault="0075411F">
    <w:pPr>
      <w:tabs>
        <w:tab w:val="center" w:pos="4740"/>
      </w:tabs>
    </w:pPr>
    <w:r>
      <w:tab/>
      <w:t xml:space="preserve">- </w:t>
    </w:r>
    <w:r>
      <w:pgNum/>
    </w:r>
    <w: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22323B">
    <w:r>
      <w:pict>
        <v:rect id="_x0000_i1092" style="width:480.95pt;height:1pt" o:hralign="center" o:hrstd="t" o:hrnoshade="t" o:hr="t" fillcolor="black [3213]" stroked="f"/>
      </w:pict>
    </w:r>
  </w:p>
  <w:p w:rsidR="0075411F" w:rsidRDefault="0075411F">
    <w:pPr>
      <w:tabs>
        <w:tab w:val="center" w:pos="4740"/>
      </w:tabs>
      <w:spacing w:line="0" w:lineRule="atLeast"/>
    </w:pPr>
    <w:r>
      <w:tab/>
      <w:t xml:space="preserve">- </w:t>
    </w:r>
    <w:fldSimple w:instr=" PAGE   \* MERGEFORMAT ">
      <w:r w:rsidR="001512C2">
        <w:rPr>
          <w:noProof/>
        </w:rPr>
        <w:t>1960</w:t>
      </w:r>
    </w:fldSimple>
    <w: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22323B">
    <w:r>
      <w:pict>
        <v:rect id="_x0000_i1093" style="width:480.95pt;height:1pt" o:hralign="center" o:hrstd="t" o:hrnoshade="t" o:hr="t" fillcolor="black [3213]" stroked="f"/>
      </w:pict>
    </w:r>
  </w:p>
  <w:p w:rsidR="0075411F" w:rsidRDefault="0075411F" w:rsidP="0022323B">
    <w:pPr>
      <w:tabs>
        <w:tab w:val="center" w:pos="4740"/>
      </w:tabs>
      <w:spacing w:line="0" w:lineRule="atLeast"/>
    </w:pPr>
    <w:r>
      <w:tab/>
      <w:t xml:space="preserve">- </w:t>
    </w:r>
    <w:fldSimple w:instr=" PAGE   \* MERGEFORMAT ">
      <w:r w:rsidR="001512C2">
        <w:rPr>
          <w:noProof/>
        </w:rPr>
        <w:t>1958</w:t>
      </w:r>
    </w:fldSimple>
    <w:r>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22323B">
    <w:r>
      <w:pict>
        <v:rect id="_x0000_i1112" style="width:480.95pt;height:1pt" o:hralign="center" o:hrstd="t" o:hrnoshade="t" o:hr="t" fillcolor="black [3213]" stroked="f"/>
      </w:pict>
    </w:r>
  </w:p>
  <w:p w:rsidR="0075411F" w:rsidRDefault="0075411F">
    <w:pPr>
      <w:tabs>
        <w:tab w:val="center" w:pos="4740"/>
      </w:tabs>
      <w:spacing w:line="0" w:lineRule="atLeast"/>
    </w:pPr>
    <w:r>
      <w:tab/>
      <w:t xml:space="preserve">- </w:t>
    </w:r>
    <w:fldSimple w:instr=" PAGE   \* MERGEFORMAT ">
      <w:r w:rsidR="001512C2">
        <w:rPr>
          <w:noProof/>
        </w:rPr>
        <w:t>1966</w:t>
      </w:r>
    </w:fldSimple>
    <w:r>
      <w:t xml:space="preserve"> -</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22323B">
    <w:r>
      <w:pict>
        <v:rect id="_x0000_i1113" style="width:480.95pt;height:1pt" o:hralign="center" o:hrstd="t" o:hrnoshade="t" o:hr="t" fillcolor="black [3213]" stroked="f"/>
      </w:pict>
    </w:r>
  </w:p>
  <w:p w:rsidR="0075411F" w:rsidRDefault="0075411F" w:rsidP="0022323B">
    <w:pPr>
      <w:tabs>
        <w:tab w:val="center" w:pos="4740"/>
      </w:tabs>
      <w:spacing w:line="0" w:lineRule="atLeast"/>
    </w:pPr>
    <w:r>
      <w:tab/>
      <w:t xml:space="preserve">- </w:t>
    </w:r>
    <w:fldSimple w:instr=" PAGE   \* MERGEFORMAT ">
      <w:r w:rsidR="001512C2">
        <w:rPr>
          <w:noProof/>
        </w:rPr>
        <w:t>1961</w:t>
      </w:r>
    </w:fldSimple>
    <w:r>
      <w:t xml:space="preserve"> -</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Pr="00924065" w:rsidRDefault="0075411F" w:rsidP="00924065">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A87207">
    <w:pPr>
      <w:pStyle w:val="Footer"/>
    </w:pPr>
    <w:r>
      <w:pict>
        <v:rect id="_x0000_i1039" style="width:480.95pt;height:1pt" o:hralign="center" o:hrstd="t" o:hrnoshade="t" o:hr="t" fillcolor="black [3213]" stroked="f"/>
      </w:pict>
    </w:r>
  </w:p>
  <w:p w:rsidR="0075411F" w:rsidRPr="00B7374B" w:rsidRDefault="0075411F" w:rsidP="00B7374B">
    <w:pPr>
      <w:tabs>
        <w:tab w:val="center" w:pos="4680"/>
      </w:tabs>
      <w:rPr>
        <w:szCs w:val="24"/>
      </w:rPr>
    </w:pPr>
    <w:r w:rsidRPr="00954D22">
      <w:rPr>
        <w:szCs w:val="24"/>
      </w:rPr>
      <w:tab/>
      <w:t xml:space="preserve">- </w:t>
    </w:r>
    <w:r w:rsidR="00586706" w:rsidRPr="00954D22">
      <w:rPr>
        <w:szCs w:val="24"/>
      </w:rPr>
      <w:fldChar w:fldCharType="begin"/>
    </w:r>
    <w:r w:rsidRPr="00954D22">
      <w:rPr>
        <w:szCs w:val="24"/>
      </w:rPr>
      <w:instrText xml:space="preserve"> PAGE   \* MERGEFORMAT </w:instrText>
    </w:r>
    <w:r w:rsidR="00586706" w:rsidRPr="00954D22">
      <w:rPr>
        <w:szCs w:val="24"/>
      </w:rPr>
      <w:fldChar w:fldCharType="separate"/>
    </w:r>
    <w:r w:rsidR="001512C2">
      <w:rPr>
        <w:noProof/>
        <w:szCs w:val="24"/>
      </w:rPr>
      <w:t>1914</w:t>
    </w:r>
    <w:r w:rsidR="00586706" w:rsidRPr="00954D22">
      <w:rPr>
        <w:szCs w:val="24"/>
      </w:rPr>
      <w:fldChar w:fldCharType="end"/>
    </w:r>
    <w:r w:rsidRPr="00954D22">
      <w:rPr>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755F22">
    <w:pPr>
      <w:tabs>
        <w:tab w:val="left" w:pos="-1440"/>
        <w:tab w:val="left" w:pos="-720"/>
      </w:tabs>
    </w:pPr>
    <w:r>
      <w:pict>
        <v:rect id="_x0000_i1040" style="width:480.95pt;height:1pt" o:hralign="center" o:hrstd="t" o:hrnoshade="t" o:hr="t" fillcolor="black [3213]" stroked="f"/>
      </w:pict>
    </w:r>
  </w:p>
  <w:p w:rsidR="0075411F" w:rsidRPr="00954D22" w:rsidRDefault="0075411F" w:rsidP="00B7374B">
    <w:pPr>
      <w:tabs>
        <w:tab w:val="center" w:pos="4680"/>
      </w:tabs>
      <w:rPr>
        <w:szCs w:val="24"/>
      </w:rPr>
    </w:pPr>
    <w:r w:rsidRPr="00954D22">
      <w:rPr>
        <w:szCs w:val="24"/>
      </w:rPr>
      <w:tab/>
      <w:t xml:space="preserve">- </w:t>
    </w:r>
    <w:r w:rsidR="00586706">
      <w:rPr>
        <w:szCs w:val="24"/>
      </w:rPr>
      <w:fldChar w:fldCharType="begin"/>
    </w:r>
    <w:r>
      <w:rPr>
        <w:szCs w:val="24"/>
      </w:rPr>
      <w:instrText xml:space="preserve"> PAGE   \* MERGEFORMAT </w:instrText>
    </w:r>
    <w:r w:rsidR="00586706">
      <w:rPr>
        <w:szCs w:val="24"/>
      </w:rPr>
      <w:fldChar w:fldCharType="separate"/>
    </w:r>
    <w:r w:rsidR="001512C2">
      <w:rPr>
        <w:noProof/>
        <w:szCs w:val="24"/>
      </w:rPr>
      <w:t>1913</w:t>
    </w:r>
    <w:r w:rsidR="00586706">
      <w:rPr>
        <w:szCs w:val="24"/>
      </w:rPr>
      <w:fldChar w:fldCharType="end"/>
    </w:r>
    <w:r w:rsidRPr="00954D22">
      <w:rPr>
        <w:szCs w:val="24"/>
      </w:rPr>
      <w:t xml:space="preserve"> -</w:t>
    </w:r>
  </w:p>
  <w:p w:rsidR="0075411F" w:rsidRDefault="0075411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A87207">
    <w:pPr>
      <w:pStyle w:val="Footer"/>
    </w:pPr>
    <w:r>
      <w:pict>
        <v:rect id="_x0000_i1042" style="width:480.95pt;height:1pt" o:hralign="center" o:hrstd="t" o:hrnoshade="t" o:hr="t" fillcolor="black [3213]" stroked="f"/>
      </w:pict>
    </w:r>
  </w:p>
  <w:p w:rsidR="0075411F" w:rsidRPr="00B7374B" w:rsidRDefault="0075411F" w:rsidP="00B7374B">
    <w:pPr>
      <w:tabs>
        <w:tab w:val="center" w:pos="4680"/>
      </w:tabs>
      <w:rPr>
        <w:szCs w:val="24"/>
      </w:rPr>
    </w:pPr>
    <w:r w:rsidRPr="00954D22">
      <w:rPr>
        <w:szCs w:val="24"/>
      </w:rPr>
      <w:tab/>
      <w:t xml:space="preserve">- </w:t>
    </w:r>
    <w:r w:rsidR="00586706" w:rsidRPr="00954D22">
      <w:rPr>
        <w:szCs w:val="24"/>
      </w:rPr>
      <w:fldChar w:fldCharType="begin"/>
    </w:r>
    <w:r w:rsidRPr="00954D22">
      <w:rPr>
        <w:szCs w:val="24"/>
      </w:rPr>
      <w:instrText xml:space="preserve"> PAGE   \* MERGEFORMAT </w:instrText>
    </w:r>
    <w:r w:rsidR="00586706" w:rsidRPr="00954D22">
      <w:rPr>
        <w:szCs w:val="24"/>
      </w:rPr>
      <w:fldChar w:fldCharType="separate"/>
    </w:r>
    <w:r w:rsidR="001512C2">
      <w:rPr>
        <w:noProof/>
        <w:szCs w:val="24"/>
      </w:rPr>
      <w:t>1916</w:t>
    </w:r>
    <w:r w:rsidR="00586706" w:rsidRPr="00954D22">
      <w:rPr>
        <w:szCs w:val="24"/>
      </w:rPr>
      <w:fldChar w:fldCharType="end"/>
    </w:r>
    <w:r>
      <w:rPr>
        <w:szCs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3" style="width:480.95pt;height:1pt" o:hralign="center" o:hrstd="t" o:hrnoshade="t" o:hr="t" fillcolor="black [3213]" stroked="f"/>
      </w:pict>
    </w:r>
  </w:p>
  <w:p w:rsidR="0075411F" w:rsidRPr="00954D22" w:rsidRDefault="0075411F" w:rsidP="00B7374B">
    <w:pPr>
      <w:tabs>
        <w:tab w:val="center" w:pos="4680"/>
      </w:tabs>
      <w:rPr>
        <w:szCs w:val="24"/>
      </w:rPr>
    </w:pPr>
    <w:r w:rsidRPr="00954D22">
      <w:rPr>
        <w:szCs w:val="24"/>
      </w:rPr>
      <w:tab/>
      <w:t xml:space="preserve">- </w:t>
    </w:r>
    <w:r w:rsidR="00586706" w:rsidRPr="00954D22">
      <w:rPr>
        <w:szCs w:val="24"/>
      </w:rPr>
      <w:fldChar w:fldCharType="begin"/>
    </w:r>
    <w:r w:rsidRPr="00954D22">
      <w:rPr>
        <w:szCs w:val="24"/>
      </w:rPr>
      <w:instrText xml:space="preserve"> PAGE   \* MERGEFORMAT </w:instrText>
    </w:r>
    <w:r w:rsidR="00586706" w:rsidRPr="00954D22">
      <w:rPr>
        <w:szCs w:val="24"/>
      </w:rPr>
      <w:fldChar w:fldCharType="separate"/>
    </w:r>
    <w:r w:rsidR="001512C2">
      <w:rPr>
        <w:noProof/>
        <w:szCs w:val="24"/>
      </w:rPr>
      <w:t>1915</w:t>
    </w:r>
    <w:r w:rsidR="00586706" w:rsidRPr="00954D22">
      <w:rPr>
        <w:szCs w:val="24"/>
      </w:rPr>
      <w:fldChar w:fldCharType="end"/>
    </w:r>
    <w:r w:rsidRPr="00954D22">
      <w:rPr>
        <w:szCs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75411F" w:rsidRDefault="0075411F">
    <w:pPr>
      <w:tabs>
        <w:tab w:val="center" w:pos="4740"/>
      </w:tabs>
    </w:pPr>
    <w:r>
      <w:tab/>
      <w:t xml:space="preserve">- </w:t>
    </w:r>
    <w:r>
      <w:pgNum/>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5867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6706">
      <w:rPr>
        <w:lang w:val="fr-CA"/>
      </w:rPr>
      <w:pict>
        <v:rect id="_x0000_i1066" style="width:480.95pt;height:1pt" o:hralign="center" o:hrstd="t" o:hrnoshade="t" o:hr="t" fillcolor="black [3213]" stroked="f"/>
      </w:pict>
    </w:r>
  </w:p>
  <w:p w:rsidR="0075411F" w:rsidRPr="0009648D" w:rsidRDefault="0075411F" w:rsidP="00ED7E83">
    <w:pPr>
      <w:tabs>
        <w:tab w:val="center" w:pos="4680"/>
      </w:tabs>
    </w:pPr>
    <w:r>
      <w:tab/>
    </w:r>
    <w:r w:rsidRPr="0009648D">
      <w:t xml:space="preserve">- </w:t>
    </w:r>
    <w:fldSimple w:instr=" PAGE   \* MERGEFORMAT ">
      <w:r w:rsidR="001512C2">
        <w:rPr>
          <w:noProof/>
        </w:rPr>
        <w:t>1934</w:t>
      </w:r>
    </w:fldSimple>
    <w:r w:rsidRPr="0009648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11F" w:rsidRDefault="0075411F" w:rsidP="00A87207">
      <w:r>
        <w:separator/>
      </w:r>
    </w:p>
  </w:footnote>
  <w:footnote w:type="continuationSeparator" w:id="0">
    <w:p w:rsidR="0075411F" w:rsidRDefault="0075411F" w:rsidP="00A8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75411F">
      <w:tc>
        <w:tcPr>
          <w:tcW w:w="423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75411F"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5411F"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75411F">
      <w:trPr>
        <w:gridAfter w:val="2"/>
        <w:wAfter w:w="5250" w:type="dxa"/>
      </w:trPr>
      <w:tc>
        <w:tcPr>
          <w:tcW w:w="4230" w:type="dxa"/>
          <w:tcMar>
            <w:left w:w="0" w:type="dxa"/>
            <w:right w:w="0" w:type="dxa"/>
          </w:tcMar>
        </w:tcPr>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75411F" w:rsidRPr="00755F22" w:rsidTr="00245129">
      <w:tc>
        <w:tcPr>
          <w:tcW w:w="4230" w:type="dxa"/>
          <w:tcMar>
            <w:left w:w="0" w:type="dxa"/>
            <w:right w:w="0" w:type="dxa"/>
          </w:tcMar>
        </w:tcPr>
        <w:p w:rsidR="0075411F" w:rsidRPr="00755F22" w:rsidRDefault="0075411F" w:rsidP="00831CA9">
          <w:pPr>
            <w:keepNext/>
            <w:keepLines/>
            <w:rPr>
              <w:sz w:val="20"/>
              <w:szCs w:val="20"/>
            </w:rPr>
          </w:pPr>
          <w:r w:rsidRPr="00755F22">
            <w:rPr>
              <w:sz w:val="20"/>
              <w:szCs w:val="20"/>
            </w:rPr>
            <w:t>MOTIONS</w:t>
          </w:r>
        </w:p>
      </w:tc>
      <w:tc>
        <w:tcPr>
          <w:tcW w:w="1170" w:type="dxa"/>
          <w:tcMar>
            <w:left w:w="0" w:type="dxa"/>
            <w:right w:w="0" w:type="dxa"/>
          </w:tcMar>
        </w:tcPr>
        <w:p w:rsidR="0075411F" w:rsidRPr="00755F22" w:rsidRDefault="0075411F" w:rsidP="00831CA9">
          <w:pPr>
            <w:keepLines/>
            <w:jc w:val="center"/>
            <w:rPr>
              <w:sz w:val="20"/>
              <w:szCs w:val="20"/>
            </w:rPr>
          </w:pPr>
        </w:p>
        <w:p w:rsidR="0075411F" w:rsidRPr="00755F22" w:rsidRDefault="0075411F" w:rsidP="00831CA9">
          <w:pPr>
            <w:keepLines/>
            <w:tabs>
              <w:tab w:val="left" w:pos="-1440"/>
              <w:tab w:val="left" w:pos="-720"/>
            </w:tabs>
            <w:jc w:val="center"/>
            <w:rPr>
              <w:sz w:val="20"/>
              <w:szCs w:val="20"/>
            </w:rPr>
          </w:pPr>
        </w:p>
      </w:tc>
      <w:tc>
        <w:tcPr>
          <w:tcW w:w="4080" w:type="dxa"/>
          <w:tcMar>
            <w:left w:w="0" w:type="dxa"/>
            <w:right w:w="0" w:type="dxa"/>
          </w:tcMar>
        </w:tcPr>
        <w:p w:rsidR="0075411F" w:rsidRPr="00BA6468" w:rsidRDefault="0075411F" w:rsidP="00BA6468">
          <w:pPr>
            <w:keepLines/>
            <w:rPr>
              <w:sz w:val="20"/>
              <w:szCs w:val="20"/>
              <w:lang w:val="fr-CA"/>
            </w:rPr>
          </w:pPr>
          <w:r w:rsidRPr="00BA6468">
            <w:rPr>
              <w:sz w:val="20"/>
              <w:szCs w:val="20"/>
              <w:lang w:val="fr-CA"/>
            </w:rPr>
            <w:t>REQUÊTES</w:t>
          </w:r>
        </w:p>
      </w:tc>
    </w:tr>
  </w:tbl>
  <w:p w:rsidR="0075411F" w:rsidRDefault="0075411F" w:rsidP="00831CA9">
    <w:pPr>
      <w:jc w:val="both"/>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75411F" w:rsidRPr="004061E0">
      <w:tc>
        <w:tcPr>
          <w:tcW w:w="420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5411F" w:rsidRPr="00B01A03"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75411F" w:rsidRPr="00B01A03"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75411F" w:rsidRPr="00B01A03"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75411F" w:rsidRPr="004061E0" w:rsidTr="00245129">
      <w:tc>
        <w:tcPr>
          <w:tcW w:w="4200" w:type="dxa"/>
          <w:tcMar>
            <w:left w:w="0" w:type="dxa"/>
            <w:right w:w="0" w:type="dxa"/>
          </w:tcMar>
        </w:tcPr>
        <w:p w:rsidR="0075411F" w:rsidRPr="00F40249" w:rsidRDefault="0075411F"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75411F" w:rsidRDefault="0075411F" w:rsidP="00102926">
          <w:pPr>
            <w:keepNext/>
            <w:keepLines/>
            <w:tabs>
              <w:tab w:val="left" w:pos="-1440"/>
              <w:tab w:val="left" w:pos="-720"/>
            </w:tabs>
            <w:jc w:val="center"/>
            <w:rPr>
              <w:sz w:val="20"/>
              <w:szCs w:val="20"/>
            </w:rPr>
          </w:pPr>
        </w:p>
        <w:p w:rsidR="0075411F" w:rsidRDefault="0075411F" w:rsidP="00102926">
          <w:pPr>
            <w:keepNext/>
            <w:keepLines/>
            <w:tabs>
              <w:tab w:val="left" w:pos="-1440"/>
              <w:tab w:val="left" w:pos="-720"/>
            </w:tabs>
            <w:jc w:val="center"/>
            <w:rPr>
              <w:sz w:val="20"/>
              <w:szCs w:val="20"/>
            </w:rPr>
          </w:pPr>
        </w:p>
        <w:p w:rsidR="0075411F" w:rsidRPr="00F40249" w:rsidRDefault="0075411F" w:rsidP="00102926">
          <w:pPr>
            <w:keepNext/>
            <w:keepLines/>
            <w:tabs>
              <w:tab w:val="left" w:pos="-1440"/>
              <w:tab w:val="left" w:pos="-720"/>
            </w:tabs>
            <w:jc w:val="center"/>
            <w:rPr>
              <w:sz w:val="20"/>
              <w:szCs w:val="20"/>
            </w:rPr>
          </w:pPr>
        </w:p>
      </w:tc>
      <w:tc>
        <w:tcPr>
          <w:tcW w:w="4230" w:type="dxa"/>
          <w:tcMar>
            <w:left w:w="0" w:type="dxa"/>
            <w:right w:w="0" w:type="dxa"/>
          </w:tcMar>
        </w:tcPr>
        <w:p w:rsidR="0075411F" w:rsidRPr="00F40249" w:rsidRDefault="0075411F"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75411F" w:rsidRPr="00B01A03" w:rsidRDefault="0075411F"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75411F" w:rsidRPr="004061E0">
      <w:tc>
        <w:tcPr>
          <w:tcW w:w="420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75411F" w:rsidRPr="003C2C0F"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75411F" w:rsidRPr="003C2C0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75411F" w:rsidRPr="003C2C0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75411F" w:rsidRPr="004061E0" w:rsidTr="00245129">
      <w:tc>
        <w:tcPr>
          <w:tcW w:w="4200" w:type="dxa"/>
          <w:tcMar>
            <w:left w:w="0" w:type="dxa"/>
            <w:right w:w="0" w:type="dxa"/>
          </w:tcMar>
        </w:tcPr>
        <w:p w:rsidR="0075411F" w:rsidRPr="00FF6EEC" w:rsidRDefault="0075411F" w:rsidP="00FF6EEC">
          <w:pPr>
            <w:rPr>
              <w:sz w:val="20"/>
              <w:szCs w:val="20"/>
            </w:rPr>
          </w:pPr>
          <w:r w:rsidRPr="00FF6EEC">
            <w:rPr>
              <w:sz w:val="20"/>
              <w:szCs w:val="20"/>
            </w:rPr>
            <w:t>PRONOUNCEMENTS OF APPEALS RESERVED</w:t>
          </w:r>
        </w:p>
      </w:tc>
      <w:tc>
        <w:tcPr>
          <w:tcW w:w="1200" w:type="dxa"/>
          <w:tcMar>
            <w:left w:w="0" w:type="dxa"/>
            <w:right w:w="0" w:type="dxa"/>
          </w:tcMar>
        </w:tcPr>
        <w:p w:rsidR="0075411F" w:rsidRPr="00FF6EEC" w:rsidRDefault="0075411F" w:rsidP="00FF6EEC">
          <w:pPr>
            <w:jc w:val="center"/>
            <w:rPr>
              <w:sz w:val="20"/>
              <w:szCs w:val="20"/>
            </w:rPr>
          </w:pPr>
        </w:p>
        <w:p w:rsidR="0075411F" w:rsidRPr="00FF6EEC" w:rsidRDefault="0075411F" w:rsidP="00FF6EEC">
          <w:pPr>
            <w:jc w:val="center"/>
            <w:rPr>
              <w:sz w:val="20"/>
              <w:szCs w:val="20"/>
            </w:rPr>
          </w:pPr>
        </w:p>
        <w:p w:rsidR="0075411F" w:rsidRPr="00FF6EEC" w:rsidRDefault="0075411F" w:rsidP="00FF6EEC">
          <w:pPr>
            <w:jc w:val="center"/>
            <w:rPr>
              <w:sz w:val="20"/>
              <w:szCs w:val="20"/>
            </w:rPr>
          </w:pPr>
        </w:p>
      </w:tc>
      <w:tc>
        <w:tcPr>
          <w:tcW w:w="4080" w:type="dxa"/>
          <w:tcMar>
            <w:left w:w="0" w:type="dxa"/>
            <w:right w:w="0" w:type="dxa"/>
          </w:tcMar>
        </w:tcPr>
        <w:p w:rsidR="0075411F" w:rsidRPr="00FF6EEC" w:rsidRDefault="0075411F" w:rsidP="00FF6EEC">
          <w:pPr>
            <w:rPr>
              <w:sz w:val="20"/>
              <w:szCs w:val="20"/>
              <w:lang w:val="fr-CA"/>
            </w:rPr>
          </w:pPr>
          <w:r w:rsidRPr="00FF6EEC">
            <w:rPr>
              <w:sz w:val="20"/>
              <w:szCs w:val="20"/>
              <w:lang w:val="fr-CA"/>
            </w:rPr>
            <w:t>JUGEMENTS RENDUS SUR LES APPELS EN DÉLIBÉRÉ</w:t>
          </w:r>
        </w:p>
      </w:tc>
    </w:tr>
  </w:tbl>
  <w:p w:rsidR="0075411F" w:rsidRPr="003C2C0F" w:rsidRDefault="0075411F"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75411F">
      <w:tc>
        <w:tcPr>
          <w:tcW w:w="423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75411F"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5411F"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75411F" w:rsidRPr="00782AE4" w:rsidTr="00245129">
      <w:tc>
        <w:tcPr>
          <w:tcW w:w="4230" w:type="dxa"/>
          <w:tcMar>
            <w:left w:w="0" w:type="dxa"/>
            <w:right w:w="0" w:type="dxa"/>
          </w:tcMar>
        </w:tcPr>
        <w:p w:rsidR="0075411F" w:rsidRPr="00782AE4" w:rsidRDefault="0075411F" w:rsidP="00102926">
          <w:pPr>
            <w:keepNext/>
            <w:keepLines/>
            <w:tabs>
              <w:tab w:val="left" w:pos="-1440"/>
              <w:tab w:val="left" w:pos="-720"/>
            </w:tabs>
            <w:rPr>
              <w:sz w:val="20"/>
              <w:szCs w:val="20"/>
            </w:rPr>
          </w:pPr>
          <w:r w:rsidRPr="00782AE4">
            <w:rPr>
              <w:sz w:val="20"/>
              <w:szCs w:val="20"/>
            </w:rPr>
            <w:t xml:space="preserve">HEADNOTES OF RECENT </w:t>
          </w:r>
        </w:p>
        <w:p w:rsidR="0075411F" w:rsidRPr="00782AE4"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75411F" w:rsidRDefault="0075411F" w:rsidP="00102926">
          <w:pPr>
            <w:keepNext/>
            <w:keepLines/>
            <w:tabs>
              <w:tab w:val="left" w:pos="-1440"/>
              <w:tab w:val="left" w:pos="-720"/>
            </w:tabs>
            <w:jc w:val="center"/>
            <w:rPr>
              <w:sz w:val="20"/>
              <w:szCs w:val="20"/>
            </w:rPr>
          </w:pPr>
        </w:p>
        <w:p w:rsidR="0075411F" w:rsidRDefault="0075411F" w:rsidP="00102926">
          <w:pPr>
            <w:keepNext/>
            <w:keepLines/>
            <w:tabs>
              <w:tab w:val="left" w:pos="-1440"/>
              <w:tab w:val="left" w:pos="-720"/>
            </w:tabs>
            <w:jc w:val="center"/>
            <w:rPr>
              <w:sz w:val="20"/>
              <w:szCs w:val="20"/>
            </w:rPr>
          </w:pPr>
        </w:p>
        <w:p w:rsidR="0075411F" w:rsidRPr="00782AE4" w:rsidRDefault="0075411F" w:rsidP="00102926">
          <w:pPr>
            <w:keepNext/>
            <w:keepLines/>
            <w:tabs>
              <w:tab w:val="left" w:pos="-1440"/>
              <w:tab w:val="left" w:pos="-720"/>
            </w:tabs>
            <w:jc w:val="center"/>
            <w:rPr>
              <w:sz w:val="20"/>
              <w:szCs w:val="20"/>
            </w:rPr>
          </w:pPr>
        </w:p>
      </w:tc>
      <w:tc>
        <w:tcPr>
          <w:tcW w:w="4080" w:type="dxa"/>
          <w:tcMar>
            <w:left w:w="0" w:type="dxa"/>
            <w:right w:w="0" w:type="dxa"/>
          </w:tcMar>
        </w:tcPr>
        <w:p w:rsidR="0075411F" w:rsidRPr="00102926"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75411F" w:rsidRPr="00782AE4" w:rsidRDefault="0075411F" w:rsidP="00102926">
          <w:pPr>
            <w:keepLines/>
            <w:tabs>
              <w:tab w:val="left" w:pos="-1440"/>
              <w:tab w:val="left" w:pos="-720"/>
            </w:tabs>
            <w:rPr>
              <w:sz w:val="20"/>
              <w:szCs w:val="20"/>
            </w:rPr>
          </w:pPr>
          <w:r w:rsidRPr="00102926">
            <w:rPr>
              <w:sz w:val="20"/>
              <w:szCs w:val="20"/>
              <w:lang w:val="fr-CA"/>
            </w:rPr>
            <w:t>RÉCENTS</w:t>
          </w:r>
        </w:p>
      </w:tc>
    </w:tr>
  </w:tbl>
  <w:p w:rsidR="0075411F" w:rsidRDefault="0075411F"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75411F">
      <w:tc>
        <w:tcPr>
          <w:tcW w:w="4200" w:type="dxa"/>
          <w:tcMar>
            <w:left w:w="0" w:type="dxa"/>
            <w:right w:w="0" w:type="dxa"/>
          </w:tcMar>
        </w:tcPr>
        <w:p w:rsidR="0075411F" w:rsidRDefault="0075411F">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75411F" w:rsidRDefault="0075411F">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75411F" w:rsidRDefault="0075411F">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75411F" w:rsidRDefault="0075411F">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75411F" w:rsidRDefault="0075411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75411F" w:rsidRDefault="0075411F">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75411F" w:rsidRPr="00C50A5C" w:rsidTr="00245129">
      <w:tc>
        <w:tcPr>
          <w:tcW w:w="4200" w:type="dxa"/>
          <w:tcMar>
            <w:left w:w="0" w:type="dxa"/>
            <w:right w:w="0" w:type="dxa"/>
          </w:tcMar>
        </w:tcPr>
        <w:p w:rsidR="0075411F" w:rsidRPr="00C50A5C" w:rsidRDefault="0075411F" w:rsidP="00BB420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rPr>
          </w:pPr>
          <w:r w:rsidRPr="00C50A5C">
            <w:rPr>
              <w:sz w:val="20"/>
              <w:szCs w:val="20"/>
            </w:rPr>
            <w:t xml:space="preserve">AGENDA FOR </w:t>
          </w:r>
          <w:r>
            <w:rPr>
              <w:sz w:val="20"/>
              <w:szCs w:val="20"/>
            </w:rPr>
            <w:t>J</w:t>
          </w:r>
          <w:r w:rsidRPr="00C50A5C">
            <w:rPr>
              <w:sz w:val="20"/>
              <w:szCs w:val="20"/>
            </w:rPr>
            <w:t>A</w:t>
          </w:r>
          <w:r>
            <w:rPr>
              <w:sz w:val="20"/>
              <w:szCs w:val="20"/>
            </w:rPr>
            <w:t>NUARY 2012</w:t>
          </w:r>
        </w:p>
      </w:tc>
      <w:tc>
        <w:tcPr>
          <w:tcW w:w="1200" w:type="dxa"/>
          <w:tcMar>
            <w:left w:w="0" w:type="dxa"/>
            <w:right w:w="0" w:type="dxa"/>
          </w:tcMar>
        </w:tcPr>
        <w:p w:rsidR="0075411F" w:rsidRPr="00C50A5C" w:rsidRDefault="0075411F"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p w:rsidR="0075411F" w:rsidRPr="00C50A5C" w:rsidRDefault="0075411F"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tc>
      <w:tc>
        <w:tcPr>
          <w:tcW w:w="4080" w:type="dxa"/>
          <w:tcMar>
            <w:left w:w="0" w:type="dxa"/>
            <w:right w:w="0" w:type="dxa"/>
          </w:tcMar>
        </w:tcPr>
        <w:p w:rsidR="0075411F" w:rsidRPr="00C50A5C" w:rsidRDefault="0075411F" w:rsidP="00BB420B">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lang w:val="fr-CA"/>
            </w:rPr>
          </w:pPr>
          <w:r w:rsidRPr="00C50A5C">
            <w:rPr>
              <w:sz w:val="20"/>
              <w:szCs w:val="20"/>
              <w:lang w:val="fr-CA"/>
            </w:rPr>
            <w:t xml:space="preserve">CALENDRIER DE </w:t>
          </w:r>
          <w:r>
            <w:rPr>
              <w:sz w:val="20"/>
              <w:szCs w:val="20"/>
              <w:lang w:val="fr-CA"/>
            </w:rPr>
            <w:t>J</w:t>
          </w:r>
          <w:r w:rsidRPr="00C50A5C">
            <w:rPr>
              <w:sz w:val="20"/>
              <w:szCs w:val="20"/>
              <w:lang w:val="fr-CA"/>
            </w:rPr>
            <w:t>A</w:t>
          </w:r>
          <w:r>
            <w:rPr>
              <w:sz w:val="20"/>
              <w:szCs w:val="20"/>
              <w:lang w:val="fr-CA"/>
            </w:rPr>
            <w:t>NVI</w:t>
          </w:r>
          <w:r w:rsidRPr="00C50A5C">
            <w:rPr>
              <w:sz w:val="20"/>
              <w:szCs w:val="20"/>
              <w:lang w:val="fr-CA"/>
            </w:rPr>
            <w:t>E</w:t>
          </w:r>
          <w:r>
            <w:rPr>
              <w:sz w:val="20"/>
              <w:szCs w:val="20"/>
              <w:lang w:val="fr-CA"/>
            </w:rPr>
            <w:t>R 2012</w:t>
          </w:r>
        </w:p>
      </w:tc>
    </w:tr>
  </w:tbl>
  <w:p w:rsidR="0075411F" w:rsidRDefault="0075411F"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75411F" w:rsidRPr="005F263E" w:rsidTr="00245129">
      <w:tc>
        <w:tcPr>
          <w:tcW w:w="4200" w:type="dxa"/>
          <w:tcMar>
            <w:left w:w="0" w:type="dxa"/>
            <w:right w:w="0" w:type="dxa"/>
          </w:tcMar>
        </w:tcPr>
        <w:p w:rsidR="0075411F" w:rsidRPr="005F263E" w:rsidRDefault="0075411F" w:rsidP="00245129">
          <w:pPr>
            <w:keepNext/>
            <w:keepLines/>
            <w:tabs>
              <w:tab w:val="left" w:pos="-1440"/>
              <w:tab w:val="left" w:pos="-720"/>
            </w:tabs>
            <w:rPr>
              <w:sz w:val="20"/>
              <w:szCs w:val="20"/>
            </w:rPr>
          </w:pPr>
          <w:r w:rsidRPr="005F263E">
            <w:rPr>
              <w:sz w:val="20"/>
              <w:szCs w:val="20"/>
            </w:rPr>
            <w:t>SUMMARIES OF THE CASES</w:t>
          </w:r>
        </w:p>
      </w:tc>
      <w:tc>
        <w:tcPr>
          <w:tcW w:w="1200" w:type="dxa"/>
          <w:tcMar>
            <w:left w:w="0" w:type="dxa"/>
            <w:right w:w="0" w:type="dxa"/>
          </w:tcMar>
        </w:tcPr>
        <w:p w:rsidR="0075411F" w:rsidRPr="005F263E" w:rsidRDefault="0075411F" w:rsidP="00245129">
          <w:pPr>
            <w:keepNext/>
            <w:keepLines/>
            <w:tabs>
              <w:tab w:val="left" w:pos="-1440"/>
              <w:tab w:val="left" w:pos="-720"/>
            </w:tabs>
            <w:jc w:val="center"/>
            <w:rPr>
              <w:sz w:val="20"/>
              <w:szCs w:val="20"/>
            </w:rPr>
          </w:pPr>
        </w:p>
        <w:p w:rsidR="0075411F" w:rsidRPr="005F263E" w:rsidRDefault="0075411F" w:rsidP="00245129">
          <w:pPr>
            <w:keepNext/>
            <w:keepLines/>
            <w:tabs>
              <w:tab w:val="left" w:pos="-1440"/>
              <w:tab w:val="left" w:pos="-720"/>
            </w:tabs>
            <w:jc w:val="center"/>
            <w:rPr>
              <w:sz w:val="20"/>
              <w:szCs w:val="20"/>
            </w:rPr>
          </w:pPr>
        </w:p>
      </w:tc>
      <w:tc>
        <w:tcPr>
          <w:tcW w:w="4080" w:type="dxa"/>
          <w:tcMar>
            <w:left w:w="0" w:type="dxa"/>
            <w:right w:w="0" w:type="dxa"/>
          </w:tcMar>
        </w:tcPr>
        <w:p w:rsidR="0075411F" w:rsidRPr="005F263E" w:rsidRDefault="0075411F" w:rsidP="00245129">
          <w:pPr>
            <w:keepLines/>
            <w:tabs>
              <w:tab w:val="left" w:pos="-1440"/>
              <w:tab w:val="left" w:pos="-720"/>
            </w:tabs>
            <w:rPr>
              <w:sz w:val="20"/>
              <w:szCs w:val="20"/>
            </w:rPr>
          </w:pPr>
          <w:r w:rsidRPr="005F263E">
            <w:rPr>
              <w:sz w:val="20"/>
              <w:szCs w:val="20"/>
            </w:rPr>
            <w:t>RÉSUMÉS DES AFFAIRES</w:t>
          </w:r>
        </w:p>
      </w:tc>
    </w:tr>
  </w:tbl>
  <w:p w:rsidR="0075411F" w:rsidRDefault="0075411F" w:rsidP="005F263E"/>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Ind w:w="-90" w:type="dxa"/>
      <w:tblBorders>
        <w:bottom w:val="single" w:sz="8" w:space="0" w:color="auto"/>
      </w:tblBorders>
      <w:tblLayout w:type="fixed"/>
      <w:tblCellMar>
        <w:left w:w="0" w:type="dxa"/>
        <w:right w:w="0" w:type="dxa"/>
      </w:tblCellMar>
      <w:tblLook w:val="0000"/>
    </w:tblPr>
    <w:tblGrid>
      <w:gridCol w:w="4290"/>
      <w:gridCol w:w="1200"/>
      <w:gridCol w:w="4320"/>
    </w:tblGrid>
    <w:tr w:rsidR="0075411F" w:rsidRPr="0044776A" w:rsidTr="00245129">
      <w:tc>
        <w:tcPr>
          <w:tcW w:w="4290" w:type="dxa"/>
          <w:tcMar>
            <w:left w:w="0" w:type="dxa"/>
            <w:right w:w="0" w:type="dxa"/>
          </w:tcMar>
        </w:tcPr>
        <w:p w:rsidR="0075411F" w:rsidRPr="0044776A" w:rsidRDefault="0075411F"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75411F" w:rsidRPr="0044776A" w:rsidRDefault="0075411F" w:rsidP="002E2327">
          <w:pPr>
            <w:keepNext/>
            <w:keepLines/>
            <w:tabs>
              <w:tab w:val="left" w:pos="-1440"/>
              <w:tab w:val="left" w:pos="-720"/>
            </w:tabs>
            <w:jc w:val="center"/>
            <w:rPr>
              <w:sz w:val="20"/>
              <w:szCs w:val="20"/>
            </w:rPr>
          </w:pPr>
        </w:p>
        <w:p w:rsidR="0075411F" w:rsidRPr="0044776A" w:rsidRDefault="0075411F" w:rsidP="002E2327">
          <w:pPr>
            <w:keepNext/>
            <w:keepLines/>
            <w:tabs>
              <w:tab w:val="left" w:pos="-1440"/>
              <w:tab w:val="left" w:pos="-720"/>
            </w:tabs>
            <w:jc w:val="center"/>
            <w:rPr>
              <w:sz w:val="20"/>
              <w:szCs w:val="20"/>
            </w:rPr>
          </w:pPr>
        </w:p>
        <w:p w:rsidR="0075411F" w:rsidRPr="0044776A" w:rsidRDefault="0075411F" w:rsidP="002E2327">
          <w:pPr>
            <w:keepNext/>
            <w:keepLines/>
            <w:tabs>
              <w:tab w:val="left" w:pos="-1440"/>
              <w:tab w:val="left" w:pos="-720"/>
            </w:tabs>
            <w:jc w:val="center"/>
            <w:rPr>
              <w:sz w:val="20"/>
              <w:szCs w:val="20"/>
            </w:rPr>
          </w:pPr>
        </w:p>
      </w:tc>
      <w:tc>
        <w:tcPr>
          <w:tcW w:w="4320" w:type="dxa"/>
          <w:tcMar>
            <w:left w:w="0" w:type="dxa"/>
            <w:right w:w="0" w:type="dxa"/>
          </w:tcMar>
        </w:tcPr>
        <w:p w:rsidR="0075411F" w:rsidRPr="0044776A" w:rsidRDefault="0075411F" w:rsidP="002E2327">
          <w:pPr>
            <w:keepLines/>
            <w:rPr>
              <w:sz w:val="20"/>
              <w:szCs w:val="20"/>
              <w:lang w:val="fr-CA"/>
            </w:rPr>
          </w:pPr>
          <w:r w:rsidRPr="0044776A">
            <w:rPr>
              <w:sz w:val="20"/>
              <w:szCs w:val="20"/>
              <w:lang w:val="fr-CA"/>
            </w:rPr>
            <w:t>DEMANDES D'AUTORISATION D'APPEL DÉPOSÉES</w:t>
          </w:r>
        </w:p>
      </w:tc>
    </w:tr>
  </w:tbl>
  <w:p w:rsidR="0075411F" w:rsidRDefault="0075411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75411F" w:rsidRPr="004061E0" w:rsidTr="00245129">
      <w:tc>
        <w:tcPr>
          <w:tcW w:w="4200" w:type="dxa"/>
          <w:tcMar>
            <w:left w:w="0" w:type="dxa"/>
            <w:right w:w="0" w:type="dxa"/>
          </w:tcMar>
        </w:tcPr>
        <w:p w:rsidR="0075411F" w:rsidRPr="0044776A" w:rsidRDefault="0075411F" w:rsidP="0044776A">
          <w:pPr>
            <w:keepNext/>
            <w:keepLines/>
            <w:widowControl w:val="0"/>
            <w:rPr>
              <w:sz w:val="20"/>
              <w:szCs w:val="20"/>
            </w:rPr>
          </w:pPr>
          <w:r>
            <w:rPr>
              <w:sz w:val="20"/>
              <w:szCs w:val="20"/>
            </w:rPr>
            <w:t>APPLICATIONS FOR LEAVE</w:t>
          </w:r>
        </w:p>
        <w:p w:rsidR="0075411F" w:rsidRPr="0044776A" w:rsidRDefault="0075411F"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75411F" w:rsidRPr="0044776A" w:rsidRDefault="0075411F" w:rsidP="0044776A">
          <w:pPr>
            <w:keepNext/>
            <w:keepLines/>
            <w:widowControl w:val="0"/>
            <w:jc w:val="center"/>
            <w:rPr>
              <w:sz w:val="20"/>
              <w:szCs w:val="20"/>
            </w:rPr>
          </w:pPr>
        </w:p>
        <w:p w:rsidR="0075411F" w:rsidRPr="0044776A" w:rsidRDefault="0075411F" w:rsidP="0044776A">
          <w:pPr>
            <w:keepNext/>
            <w:keepLines/>
            <w:widowControl w:val="0"/>
            <w:jc w:val="center"/>
            <w:rPr>
              <w:sz w:val="20"/>
              <w:szCs w:val="20"/>
            </w:rPr>
          </w:pPr>
        </w:p>
        <w:p w:rsidR="0075411F" w:rsidRPr="0044776A" w:rsidRDefault="0075411F" w:rsidP="0044776A">
          <w:pPr>
            <w:keepNext/>
            <w:keepLines/>
            <w:widowControl w:val="0"/>
            <w:jc w:val="center"/>
            <w:rPr>
              <w:sz w:val="20"/>
              <w:szCs w:val="20"/>
            </w:rPr>
          </w:pPr>
        </w:p>
      </w:tc>
      <w:tc>
        <w:tcPr>
          <w:tcW w:w="4080" w:type="dxa"/>
          <w:tcMar>
            <w:left w:w="0" w:type="dxa"/>
            <w:right w:w="0" w:type="dxa"/>
          </w:tcMar>
        </w:tcPr>
        <w:p w:rsidR="0075411F" w:rsidRPr="0044776A" w:rsidRDefault="0075411F" w:rsidP="0044776A">
          <w:pPr>
            <w:keepLines/>
            <w:widowControl w:val="0"/>
            <w:rPr>
              <w:sz w:val="20"/>
              <w:szCs w:val="20"/>
              <w:lang w:val="fr-CA"/>
            </w:rPr>
          </w:pPr>
          <w:r w:rsidRPr="0044776A">
            <w:rPr>
              <w:sz w:val="20"/>
              <w:szCs w:val="20"/>
              <w:lang w:val="fr-CA"/>
            </w:rPr>
            <w:t>DEMANDES SOUMISES À LA COUR DEPUIS LA DERNIÈRE PARUTION</w:t>
          </w:r>
        </w:p>
        <w:p w:rsidR="0075411F" w:rsidRPr="0044776A" w:rsidRDefault="0075411F" w:rsidP="0044776A">
          <w:pPr>
            <w:widowControl w:val="0"/>
            <w:rPr>
              <w:sz w:val="20"/>
              <w:szCs w:val="20"/>
              <w:lang w:val="fr-CA"/>
            </w:rPr>
          </w:pPr>
        </w:p>
      </w:tc>
    </w:tr>
  </w:tbl>
  <w:p w:rsidR="0075411F" w:rsidRPr="002E2327" w:rsidRDefault="0075411F">
    <w:pPr>
      <w:pStyle w:val="Header"/>
      <w:rPr>
        <w:lang w:val="fr-C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1F" w:rsidRDefault="0075411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75411F" w:rsidRPr="004061E0">
      <w:tc>
        <w:tcPr>
          <w:tcW w:w="4200" w:type="dxa"/>
          <w:tcMar>
            <w:left w:w="0" w:type="dxa"/>
            <w:right w:w="0" w:type="dxa"/>
          </w:tcMar>
        </w:tcPr>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75411F"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75411F"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75411F" w:rsidRPr="00FF6BA5"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75411F" w:rsidRPr="00FF6BA5"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75411F" w:rsidRPr="00FF6BA5"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75411F" w:rsidRPr="00FF6BA5" w:rsidRDefault="00754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75411F" w:rsidRPr="004061E0" w:rsidTr="00245129">
      <w:tc>
        <w:tcPr>
          <w:tcW w:w="4200" w:type="dxa"/>
          <w:tcMar>
            <w:left w:w="0" w:type="dxa"/>
            <w:right w:w="0" w:type="dxa"/>
          </w:tcMar>
        </w:tcPr>
        <w:p w:rsidR="0075411F" w:rsidRPr="00755F22"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75411F" w:rsidRPr="00755F22" w:rsidRDefault="007541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75411F" w:rsidRPr="00755F22" w:rsidRDefault="007541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75411F" w:rsidRPr="00755F22" w:rsidRDefault="007541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75411F" w:rsidRPr="00755F22" w:rsidRDefault="007541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75411F" w:rsidRPr="00755F22" w:rsidRDefault="007541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75411F" w:rsidRPr="00FF6BA5" w:rsidRDefault="0075411F" w:rsidP="00755F22">
    <w:pPr>
      <w:tabs>
        <w:tab w:val="left" w:pos="-1440"/>
        <w:tab w:val="left" w:pos="-720"/>
      </w:tabs>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grammar="clean"/>
  <w:defaultTabStop w:val="720"/>
  <w:drawingGridHorizontalSpacing w:val="120"/>
  <w:displayHorizontalDrawingGridEvery w:val="2"/>
  <w:characterSpacingControl w:val="doNotCompress"/>
  <w:hdrShapeDefaults>
    <o:shapedefaults v:ext="edit" spidmax="30739"/>
  </w:hdrShapeDefaults>
  <w:footnotePr>
    <w:footnote w:id="-1"/>
    <w:footnote w:id="0"/>
  </w:footnotePr>
  <w:endnotePr>
    <w:endnote w:id="-1"/>
    <w:endnote w:id="0"/>
  </w:endnotePr>
  <w:compat/>
  <w:rsids>
    <w:rsidRoot w:val="00612014"/>
    <w:rsid w:val="00006742"/>
    <w:rsid w:val="0001134C"/>
    <w:rsid w:val="000202E0"/>
    <w:rsid w:val="00021123"/>
    <w:rsid w:val="000253A1"/>
    <w:rsid w:val="00026F67"/>
    <w:rsid w:val="0003223B"/>
    <w:rsid w:val="000327B2"/>
    <w:rsid w:val="0005402C"/>
    <w:rsid w:val="00092E23"/>
    <w:rsid w:val="00096BD9"/>
    <w:rsid w:val="000B3C9A"/>
    <w:rsid w:val="000B40A2"/>
    <w:rsid w:val="000C0ACD"/>
    <w:rsid w:val="000C214B"/>
    <w:rsid w:val="000F76EC"/>
    <w:rsid w:val="00102926"/>
    <w:rsid w:val="0010587F"/>
    <w:rsid w:val="00111C6B"/>
    <w:rsid w:val="0011664A"/>
    <w:rsid w:val="0012102B"/>
    <w:rsid w:val="0013369E"/>
    <w:rsid w:val="00133D5E"/>
    <w:rsid w:val="001432AD"/>
    <w:rsid w:val="001437D5"/>
    <w:rsid w:val="001512C2"/>
    <w:rsid w:val="00152219"/>
    <w:rsid w:val="001551A4"/>
    <w:rsid w:val="00164E6D"/>
    <w:rsid w:val="001766BE"/>
    <w:rsid w:val="00176E5E"/>
    <w:rsid w:val="0018069A"/>
    <w:rsid w:val="001975B6"/>
    <w:rsid w:val="001B157C"/>
    <w:rsid w:val="001B5C23"/>
    <w:rsid w:val="001D0D5F"/>
    <w:rsid w:val="001D6B8C"/>
    <w:rsid w:val="001D718B"/>
    <w:rsid w:val="001F1F83"/>
    <w:rsid w:val="002021A9"/>
    <w:rsid w:val="00202738"/>
    <w:rsid w:val="002106C1"/>
    <w:rsid w:val="002139A7"/>
    <w:rsid w:val="00215F7C"/>
    <w:rsid w:val="0022005A"/>
    <w:rsid w:val="0022323B"/>
    <w:rsid w:val="002410B8"/>
    <w:rsid w:val="00242AEE"/>
    <w:rsid w:val="00245129"/>
    <w:rsid w:val="00245879"/>
    <w:rsid w:val="00253DF2"/>
    <w:rsid w:val="00267FD5"/>
    <w:rsid w:val="0028615A"/>
    <w:rsid w:val="002868D0"/>
    <w:rsid w:val="002A27D1"/>
    <w:rsid w:val="002A4AFA"/>
    <w:rsid w:val="002A5605"/>
    <w:rsid w:val="002B516C"/>
    <w:rsid w:val="002C132F"/>
    <w:rsid w:val="002C1885"/>
    <w:rsid w:val="002D72EB"/>
    <w:rsid w:val="002E2327"/>
    <w:rsid w:val="002E3583"/>
    <w:rsid w:val="002E5576"/>
    <w:rsid w:val="003211B6"/>
    <w:rsid w:val="00331B52"/>
    <w:rsid w:val="003359D3"/>
    <w:rsid w:val="00347478"/>
    <w:rsid w:val="00355967"/>
    <w:rsid w:val="003812AD"/>
    <w:rsid w:val="00382C47"/>
    <w:rsid w:val="00384384"/>
    <w:rsid w:val="003866AE"/>
    <w:rsid w:val="003B3977"/>
    <w:rsid w:val="003D345A"/>
    <w:rsid w:val="004061E0"/>
    <w:rsid w:val="00432989"/>
    <w:rsid w:val="00440E24"/>
    <w:rsid w:val="0044655C"/>
    <w:rsid w:val="0044776A"/>
    <w:rsid w:val="00460AFC"/>
    <w:rsid w:val="0047471F"/>
    <w:rsid w:val="00482452"/>
    <w:rsid w:val="00485698"/>
    <w:rsid w:val="00496102"/>
    <w:rsid w:val="004B66B4"/>
    <w:rsid w:val="004B7F60"/>
    <w:rsid w:val="004C1AAC"/>
    <w:rsid w:val="004E300C"/>
    <w:rsid w:val="004F090E"/>
    <w:rsid w:val="00515FDD"/>
    <w:rsid w:val="00527CC7"/>
    <w:rsid w:val="00537732"/>
    <w:rsid w:val="00545CFB"/>
    <w:rsid w:val="00562722"/>
    <w:rsid w:val="00571CA4"/>
    <w:rsid w:val="0058104C"/>
    <w:rsid w:val="00582136"/>
    <w:rsid w:val="00586706"/>
    <w:rsid w:val="005C6840"/>
    <w:rsid w:val="005D052A"/>
    <w:rsid w:val="005E7739"/>
    <w:rsid w:val="005F263E"/>
    <w:rsid w:val="00600252"/>
    <w:rsid w:val="00612014"/>
    <w:rsid w:val="00612A40"/>
    <w:rsid w:val="006336CC"/>
    <w:rsid w:val="00635A8F"/>
    <w:rsid w:val="00641906"/>
    <w:rsid w:val="006728AB"/>
    <w:rsid w:val="00675479"/>
    <w:rsid w:val="006765AB"/>
    <w:rsid w:val="0068760C"/>
    <w:rsid w:val="00696BF9"/>
    <w:rsid w:val="00696F93"/>
    <w:rsid w:val="00697C62"/>
    <w:rsid w:val="006A329B"/>
    <w:rsid w:val="006A7EB8"/>
    <w:rsid w:val="006B6926"/>
    <w:rsid w:val="006C3F47"/>
    <w:rsid w:val="006C5F7A"/>
    <w:rsid w:val="006E06AF"/>
    <w:rsid w:val="006E19F0"/>
    <w:rsid w:val="006F350F"/>
    <w:rsid w:val="00701302"/>
    <w:rsid w:val="007062F8"/>
    <w:rsid w:val="00710D34"/>
    <w:rsid w:val="00723B25"/>
    <w:rsid w:val="00732DB7"/>
    <w:rsid w:val="0074238B"/>
    <w:rsid w:val="007503AD"/>
    <w:rsid w:val="0075411F"/>
    <w:rsid w:val="00755F22"/>
    <w:rsid w:val="00766E4A"/>
    <w:rsid w:val="007820CE"/>
    <w:rsid w:val="00782AE4"/>
    <w:rsid w:val="0079724F"/>
    <w:rsid w:val="007A3EAE"/>
    <w:rsid w:val="007C04FC"/>
    <w:rsid w:val="007D3E0F"/>
    <w:rsid w:val="007D726E"/>
    <w:rsid w:val="007F0098"/>
    <w:rsid w:val="007F387B"/>
    <w:rsid w:val="00802863"/>
    <w:rsid w:val="00815B3C"/>
    <w:rsid w:val="0082783A"/>
    <w:rsid w:val="00831CA9"/>
    <w:rsid w:val="00850DE4"/>
    <w:rsid w:val="00850E1F"/>
    <w:rsid w:val="00851E56"/>
    <w:rsid w:val="0085476B"/>
    <w:rsid w:val="008631AA"/>
    <w:rsid w:val="00890FEB"/>
    <w:rsid w:val="008B3467"/>
    <w:rsid w:val="008C53A6"/>
    <w:rsid w:val="008D292F"/>
    <w:rsid w:val="008E03DC"/>
    <w:rsid w:val="008F07EA"/>
    <w:rsid w:val="00924065"/>
    <w:rsid w:val="00930D68"/>
    <w:rsid w:val="00932DB4"/>
    <w:rsid w:val="00941A4B"/>
    <w:rsid w:val="00946242"/>
    <w:rsid w:val="0095096B"/>
    <w:rsid w:val="00967B3E"/>
    <w:rsid w:val="00970CD3"/>
    <w:rsid w:val="009723FA"/>
    <w:rsid w:val="00972939"/>
    <w:rsid w:val="00984546"/>
    <w:rsid w:val="00990DF5"/>
    <w:rsid w:val="009916DB"/>
    <w:rsid w:val="009957C9"/>
    <w:rsid w:val="00996510"/>
    <w:rsid w:val="009A7D6F"/>
    <w:rsid w:val="009B1554"/>
    <w:rsid w:val="009B58BA"/>
    <w:rsid w:val="009C078F"/>
    <w:rsid w:val="009D1F15"/>
    <w:rsid w:val="009D2FA0"/>
    <w:rsid w:val="009D555E"/>
    <w:rsid w:val="00A0355E"/>
    <w:rsid w:val="00A248C7"/>
    <w:rsid w:val="00A269E9"/>
    <w:rsid w:val="00A30BAF"/>
    <w:rsid w:val="00A375D1"/>
    <w:rsid w:val="00A51D10"/>
    <w:rsid w:val="00A52A83"/>
    <w:rsid w:val="00A62B1D"/>
    <w:rsid w:val="00A6552C"/>
    <w:rsid w:val="00A66367"/>
    <w:rsid w:val="00A830A5"/>
    <w:rsid w:val="00A87207"/>
    <w:rsid w:val="00A935AA"/>
    <w:rsid w:val="00AB2201"/>
    <w:rsid w:val="00AD3259"/>
    <w:rsid w:val="00AF1715"/>
    <w:rsid w:val="00AF1DC1"/>
    <w:rsid w:val="00AF3904"/>
    <w:rsid w:val="00B010C0"/>
    <w:rsid w:val="00B105AC"/>
    <w:rsid w:val="00B23C4F"/>
    <w:rsid w:val="00B32B3D"/>
    <w:rsid w:val="00B4740D"/>
    <w:rsid w:val="00B61629"/>
    <w:rsid w:val="00B70F2B"/>
    <w:rsid w:val="00B7374B"/>
    <w:rsid w:val="00B90DC0"/>
    <w:rsid w:val="00BA116A"/>
    <w:rsid w:val="00BA161C"/>
    <w:rsid w:val="00BA5582"/>
    <w:rsid w:val="00BA6468"/>
    <w:rsid w:val="00BB420B"/>
    <w:rsid w:val="00BC6513"/>
    <w:rsid w:val="00BC6E3A"/>
    <w:rsid w:val="00BD06DA"/>
    <w:rsid w:val="00BD4217"/>
    <w:rsid w:val="00BF25F3"/>
    <w:rsid w:val="00C1697B"/>
    <w:rsid w:val="00C21CB5"/>
    <w:rsid w:val="00C25293"/>
    <w:rsid w:val="00C43481"/>
    <w:rsid w:val="00C45F3C"/>
    <w:rsid w:val="00C50A5C"/>
    <w:rsid w:val="00C50FDF"/>
    <w:rsid w:val="00C64D8F"/>
    <w:rsid w:val="00C73E1B"/>
    <w:rsid w:val="00C759B4"/>
    <w:rsid w:val="00C77713"/>
    <w:rsid w:val="00CB43D5"/>
    <w:rsid w:val="00CC4D84"/>
    <w:rsid w:val="00CE038A"/>
    <w:rsid w:val="00D01E20"/>
    <w:rsid w:val="00D27D77"/>
    <w:rsid w:val="00D345FB"/>
    <w:rsid w:val="00D64901"/>
    <w:rsid w:val="00D76BDF"/>
    <w:rsid w:val="00D8195D"/>
    <w:rsid w:val="00D84A52"/>
    <w:rsid w:val="00D862C1"/>
    <w:rsid w:val="00D93B50"/>
    <w:rsid w:val="00D94670"/>
    <w:rsid w:val="00DA46F6"/>
    <w:rsid w:val="00DC2A08"/>
    <w:rsid w:val="00DD0B49"/>
    <w:rsid w:val="00E06DFA"/>
    <w:rsid w:val="00E1470F"/>
    <w:rsid w:val="00E20A0A"/>
    <w:rsid w:val="00E356C7"/>
    <w:rsid w:val="00E371B3"/>
    <w:rsid w:val="00E45FE4"/>
    <w:rsid w:val="00E477D8"/>
    <w:rsid w:val="00E55216"/>
    <w:rsid w:val="00E55E6F"/>
    <w:rsid w:val="00E64FA7"/>
    <w:rsid w:val="00E770CB"/>
    <w:rsid w:val="00E903A1"/>
    <w:rsid w:val="00E940EB"/>
    <w:rsid w:val="00EA4658"/>
    <w:rsid w:val="00EB2B90"/>
    <w:rsid w:val="00EB2C33"/>
    <w:rsid w:val="00EB6232"/>
    <w:rsid w:val="00EC4BD6"/>
    <w:rsid w:val="00ED7E83"/>
    <w:rsid w:val="00EE563A"/>
    <w:rsid w:val="00EF4B63"/>
    <w:rsid w:val="00F0068D"/>
    <w:rsid w:val="00F0576D"/>
    <w:rsid w:val="00F10E4A"/>
    <w:rsid w:val="00F14E6D"/>
    <w:rsid w:val="00F15EA8"/>
    <w:rsid w:val="00F16C8D"/>
    <w:rsid w:val="00F26C61"/>
    <w:rsid w:val="00F33CCE"/>
    <w:rsid w:val="00F40249"/>
    <w:rsid w:val="00F526C8"/>
    <w:rsid w:val="00F9272D"/>
    <w:rsid w:val="00F9518C"/>
    <w:rsid w:val="00FA2699"/>
    <w:rsid w:val="00FA316E"/>
    <w:rsid w:val="00FA59EF"/>
    <w:rsid w:val="00FB19A2"/>
    <w:rsid w:val="00FD31B7"/>
    <w:rsid w:val="00FE2E98"/>
    <w:rsid w:val="00FF6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Ind w:w="0" w:type="dxa"/>
      <w:tblCellMar>
        <w:top w:w="0" w:type="dxa"/>
        <w:left w:w="576" w:type="dxa"/>
        <w:bottom w:w="0"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Ind w:w="0" w:type="dxa"/>
      <w:tblCellMar>
        <w:top w:w="0" w:type="dxa"/>
        <w:left w:w="576" w:type="dxa"/>
        <w:bottom w:w="0"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i/>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i/>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lang w:val="fr-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paragraph" w:customStyle="1" w:styleId="SCCLsocParty">
    <w:name w:val="SCC.Lsoc.Party"/>
    <w:basedOn w:val="Normal"/>
    <w:next w:val="Normal"/>
    <w:link w:val="SCCLsocPartyChar"/>
    <w:uiPriority w:val="99"/>
    <w:rsid w:val="00D345FB"/>
    <w:pPr>
      <w:jc w:val="center"/>
    </w:pPr>
    <w:rPr>
      <w:rFonts w:eastAsia="Calibri" w:cs="Times New Roman"/>
      <w:lang w:val="fr-CA"/>
    </w:rPr>
  </w:style>
  <w:style w:type="character" w:customStyle="1" w:styleId="SCCLsocPartyChar">
    <w:name w:val="SCC.Lsoc.Party Char"/>
    <w:basedOn w:val="DefaultParagraphFont"/>
    <w:link w:val="SCCLsocParty"/>
    <w:uiPriority w:val="99"/>
    <w:rsid w:val="00D345FB"/>
    <w:rPr>
      <w:rFonts w:eastAsia="Calibri" w:cs="Times New Roman"/>
      <w:lang w:val="fr-CA"/>
    </w:rPr>
  </w:style>
  <w:style w:type="paragraph" w:customStyle="1" w:styleId="SCCLsocOtherPartySeparator">
    <w:name w:val="SCC.Lsoc.OtherPartySeparator"/>
    <w:basedOn w:val="Normal"/>
    <w:next w:val="Normal"/>
    <w:link w:val="SCCLsocOtherPartySeparatorChar"/>
    <w:rsid w:val="00D345FB"/>
    <w:pPr>
      <w:jc w:val="both"/>
    </w:pPr>
    <w:rPr>
      <w:rFonts w:eastAsia="Calibri" w:cs="Times New Roman"/>
      <w:b/>
    </w:rPr>
  </w:style>
  <w:style w:type="character" w:customStyle="1" w:styleId="SCCLsocOtherPartySeparatorChar">
    <w:name w:val="SCC.Lsoc.OtherPartySeparator Char"/>
    <w:basedOn w:val="DefaultParagraphFont"/>
    <w:link w:val="SCCLsocOtherPartySeparator"/>
    <w:rsid w:val="00D345FB"/>
    <w:rPr>
      <w:rFonts w:eastAsia="Calibri" w:cs="Times New Roman"/>
      <w:b/>
      <w:lang w:val="en-CA"/>
    </w:rPr>
  </w:style>
  <w:style w:type="paragraph" w:customStyle="1" w:styleId="loose">
    <w:name w:val="loose"/>
    <w:basedOn w:val="Normal"/>
    <w:rsid w:val="009B1554"/>
    <w:pPr>
      <w:spacing w:before="132"/>
    </w:pPr>
    <w:rPr>
      <w:rFonts w:eastAsia="Times New Roman" w:cs="Times New Roman"/>
      <w:szCs w:val="24"/>
      <w:lang w:val="en-US"/>
    </w:rPr>
  </w:style>
  <w:style w:type="paragraph" w:customStyle="1" w:styleId="SCCLowerCourtNameLowercase">
    <w:name w:val="SCC.LowerCourtNameLowercase"/>
    <w:basedOn w:val="SCCNormalDoubleSpacing"/>
    <w:next w:val="SCCNormalDoubleSpacing"/>
    <w:rsid w:val="00641906"/>
    <w:pPr>
      <w:tabs>
        <w:tab w:val="left" w:pos="1168"/>
      </w:tabs>
    </w:pPr>
    <w:rPr>
      <w:smallCaps/>
    </w:rPr>
  </w:style>
  <w:style w:type="table" w:customStyle="1" w:styleId="TableGrid3">
    <w:name w:val="Table Grid3"/>
    <w:basedOn w:val="TableNormal"/>
    <w:uiPriority w:val="59"/>
    <w:rsid w:val="00A30BAF"/>
    <w:rPr>
      <w:rFonts w:eastAsia="Times New Roman" w:cs="Times New Roman"/>
      <w:sz w:val="20"/>
      <w:szCs w:val="20"/>
      <w:lang w:val="en-CA"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RPara">
    <w:name w:val="ORPara"/>
    <w:aliases w:val="P"/>
    <w:basedOn w:val="Normal"/>
    <w:link w:val="ORParaCar"/>
    <w:locked/>
    <w:rsid w:val="00AF1DC1"/>
    <w:pPr>
      <w:spacing w:after="240"/>
      <w:jc w:val="both"/>
    </w:pPr>
    <w:rPr>
      <w:rFonts w:eastAsia="Times New Roman" w:cs="Times New Roman"/>
      <w:szCs w:val="24"/>
      <w:lang w:val="fr-CA"/>
    </w:rPr>
  </w:style>
  <w:style w:type="character" w:customStyle="1" w:styleId="ORParaCar">
    <w:name w:val="ORPara Car"/>
    <w:aliases w:val="P Car"/>
    <w:link w:val="ORPara"/>
    <w:rsid w:val="00AF1DC1"/>
    <w:rPr>
      <w:rFonts w:eastAsia="Times New Roman" w:cs="Times New Roman"/>
      <w:szCs w:val="24"/>
      <w:lang w:val="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header" Target="head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footer" Target="footer24.xml"/><Relationship Id="rId64" Type="http://schemas.openxmlformats.org/officeDocument/2006/relationships/footer" Target="footer28.xml"/><Relationship Id="rId8" Type="http://schemas.openxmlformats.org/officeDocument/2006/relationships/image" Target="media/image1.wmf"/><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41D5-D4C0-4F98-9A0C-5D73A066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26564</Words>
  <Characters>151416</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2012-01-11T15:27:00Z</dcterms:created>
  <dcterms:modified xsi:type="dcterms:W3CDTF">2012-01-11T15:27:00Z</dcterms:modified>
</cp:coreProperties>
</file>