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8602B3"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8602B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602B3" w:rsidTr="002E5576">
        <w:tc>
          <w:tcPr>
            <w:tcW w:w="4518" w:type="dxa"/>
          </w:tcPr>
          <w:p w:rsidR="00BF25F3" w:rsidRPr="002E2327" w:rsidRDefault="00BF25F3" w:rsidP="00121919">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121919">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8602B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602B3" w:rsidTr="002E5576">
        <w:tc>
          <w:tcPr>
            <w:tcW w:w="4518" w:type="dxa"/>
          </w:tcPr>
          <w:p w:rsidR="00BF25F3" w:rsidRPr="002E2327" w:rsidRDefault="00BF59B3"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59B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121919" w:rsidRPr="008602B3" w:rsidTr="002E5576">
        <w:tc>
          <w:tcPr>
            <w:tcW w:w="4518" w:type="dxa"/>
          </w:tcPr>
          <w:p w:rsidR="00121919" w:rsidRPr="00C5295A" w:rsidRDefault="00121919" w:rsidP="00121919">
            <w:pPr>
              <w:tabs>
                <w:tab w:val="left" w:pos="6075"/>
              </w:tabs>
              <w:rPr>
                <w:rFonts w:cs="Times New Roman"/>
                <w:szCs w:val="24"/>
                <w:lang w:val="fr-CA"/>
              </w:rPr>
            </w:pPr>
          </w:p>
          <w:p w:rsidR="00C5295A" w:rsidRPr="00C5295A" w:rsidRDefault="00C5295A" w:rsidP="00121919">
            <w:pPr>
              <w:tabs>
                <w:tab w:val="left" w:pos="6075"/>
              </w:tabs>
              <w:rPr>
                <w:rFonts w:cs="Times New Roman"/>
                <w:szCs w:val="24"/>
                <w:lang w:val="fr-CA"/>
              </w:rPr>
            </w:pPr>
          </w:p>
        </w:tc>
        <w:tc>
          <w:tcPr>
            <w:tcW w:w="630" w:type="dxa"/>
          </w:tcPr>
          <w:p w:rsidR="00121919" w:rsidRPr="00C5295A" w:rsidRDefault="00121919" w:rsidP="00121919">
            <w:pPr>
              <w:tabs>
                <w:tab w:val="left" w:pos="6075"/>
              </w:tabs>
              <w:rPr>
                <w:rFonts w:cs="Times New Roman"/>
                <w:szCs w:val="24"/>
                <w:lang w:val="fr-CA"/>
              </w:rPr>
            </w:pPr>
          </w:p>
        </w:tc>
        <w:tc>
          <w:tcPr>
            <w:tcW w:w="4428" w:type="dxa"/>
          </w:tcPr>
          <w:p w:rsidR="00121919" w:rsidRPr="00121919" w:rsidRDefault="00121919" w:rsidP="00121919">
            <w:pPr>
              <w:tabs>
                <w:tab w:val="left" w:pos="6075"/>
              </w:tabs>
              <w:rPr>
                <w:rFonts w:cs="Times New Roman"/>
                <w:szCs w:val="24"/>
                <w:lang w:val="fr-CA"/>
              </w:rPr>
            </w:pPr>
          </w:p>
        </w:tc>
      </w:tr>
      <w:tr w:rsidR="00121919" w:rsidRPr="008602B3" w:rsidTr="002E5576">
        <w:tc>
          <w:tcPr>
            <w:tcW w:w="4518" w:type="dxa"/>
          </w:tcPr>
          <w:p w:rsidR="00121919" w:rsidRPr="002E2327" w:rsidRDefault="00121919"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B92D59">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121919" w:rsidRPr="002E2327" w:rsidRDefault="00121919" w:rsidP="00BF25F3">
            <w:pPr>
              <w:tabs>
                <w:tab w:val="left" w:pos="6075"/>
              </w:tabs>
              <w:jc w:val="both"/>
              <w:rPr>
                <w:rFonts w:ascii="Arial" w:hAnsi="Arial" w:cs="Arial"/>
                <w:i/>
                <w:sz w:val="20"/>
                <w:szCs w:val="20"/>
              </w:rPr>
            </w:pPr>
          </w:p>
        </w:tc>
        <w:tc>
          <w:tcPr>
            <w:tcW w:w="4428" w:type="dxa"/>
          </w:tcPr>
          <w:p w:rsidR="00121919" w:rsidRPr="00121919" w:rsidRDefault="00121919" w:rsidP="00BF25F3">
            <w:pPr>
              <w:tabs>
                <w:tab w:val="left" w:pos="6075"/>
              </w:tabs>
              <w:jc w:val="both"/>
              <w:rPr>
                <w:rFonts w:ascii="Arial" w:hAnsi="Arial" w:cs="Arial"/>
                <w:i/>
                <w:sz w:val="20"/>
                <w:szCs w:val="20"/>
                <w:lang w:val="fr-CA"/>
              </w:rPr>
            </w:pPr>
            <w:r w:rsidRPr="00E24AAE">
              <w:rPr>
                <w:rFonts w:ascii="Arial" w:hAnsi="Arial" w:cs="Arial"/>
                <w:i/>
                <w:sz w:val="20"/>
                <w:szCs w:val="20"/>
                <w:lang w:val="fr-CA"/>
              </w:rPr>
              <w:t>Pour de plus amples informations, consulter le site Web de la Cour supr</w:t>
            </w:r>
            <w:r>
              <w:rPr>
                <w:rFonts w:ascii="Arial" w:hAnsi="Arial" w:cs="Arial"/>
                <w:i/>
                <w:sz w:val="20"/>
                <w:szCs w:val="20"/>
                <w:lang w:val="fr-CA"/>
              </w:rPr>
              <w:t xml:space="preserve">ême du Canada à l’adresse suivante : </w:t>
            </w:r>
            <w:hyperlink r:id="rId10" w:history="1">
              <w:r w:rsidRPr="00B92D59">
                <w:rPr>
                  <w:rStyle w:val="Hyperlink"/>
                  <w:rFonts w:ascii="Arial" w:hAnsi="Arial" w:cs="Arial"/>
                  <w:i/>
                  <w:sz w:val="20"/>
                  <w:szCs w:val="20"/>
                  <w:lang w:val="fr-CA"/>
                </w:rPr>
                <w:t>www.scc-csc.gc.ca</w:t>
              </w:r>
            </w:hyperlink>
          </w:p>
        </w:tc>
      </w:tr>
    </w:tbl>
    <w:p w:rsidR="00BF25F3" w:rsidRPr="00121919" w:rsidRDefault="00BF25F3" w:rsidP="00BF25F3">
      <w:pPr>
        <w:tabs>
          <w:tab w:val="left" w:pos="6075"/>
        </w:tabs>
        <w:rPr>
          <w:lang w:val="fr-CA"/>
        </w:rPr>
      </w:pPr>
    </w:p>
    <w:p w:rsidR="00440E24" w:rsidRPr="00121919" w:rsidRDefault="00440E24" w:rsidP="00440E24">
      <w:pPr>
        <w:pBdr>
          <w:bottom w:val="single" w:sz="6" w:space="1" w:color="auto"/>
        </w:pBdr>
        <w:tabs>
          <w:tab w:val="left" w:pos="6075"/>
        </w:tabs>
        <w:rPr>
          <w:lang w:val="fr-CA"/>
        </w:rPr>
      </w:pPr>
    </w:p>
    <w:p w:rsidR="00440E24" w:rsidRPr="00121919"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proofErr w:type="spellStart"/>
      <w:r>
        <w:rPr>
          <w:lang w:val="fr-CA"/>
        </w:rPr>
        <w:t>January</w:t>
      </w:r>
      <w:proofErr w:type="spellEnd"/>
      <w:r w:rsidR="00440E24" w:rsidRPr="00675479">
        <w:rPr>
          <w:lang w:val="fr-CA"/>
        </w:rPr>
        <w:t xml:space="preserve"> </w:t>
      </w:r>
      <w:r w:rsidR="00692795">
        <w:rPr>
          <w:lang w:val="fr-CA"/>
        </w:rPr>
        <w:t>20</w:t>
      </w:r>
      <w:r w:rsidR="00440E24" w:rsidRPr="00675479">
        <w:rPr>
          <w:lang w:val="fr-CA"/>
        </w:rPr>
        <w:t>, 201</w:t>
      </w:r>
      <w:r>
        <w:rPr>
          <w:lang w:val="fr-CA"/>
        </w:rPr>
        <w:t>2</w:t>
      </w:r>
      <w:r w:rsidR="00F0068D" w:rsidRPr="00675479">
        <w:rPr>
          <w:lang w:val="fr-CA"/>
        </w:rPr>
        <w:tab/>
      </w:r>
      <w:r w:rsidR="00692795">
        <w:rPr>
          <w:lang w:val="fr-CA"/>
        </w:rPr>
        <w:t>48</w:t>
      </w:r>
      <w:r w:rsidR="00F0068D" w:rsidRPr="00675479">
        <w:rPr>
          <w:lang w:val="fr-CA"/>
        </w:rPr>
        <w:t xml:space="preserve"> - </w:t>
      </w:r>
      <w:r w:rsidR="00F0478F">
        <w:rPr>
          <w:lang w:val="fr-CA"/>
        </w:rPr>
        <w:t>85</w:t>
      </w:r>
      <w:r w:rsidR="00440E24" w:rsidRPr="00675479">
        <w:rPr>
          <w:lang w:val="fr-CA"/>
        </w:rPr>
        <w:tab/>
      </w:r>
      <w:r w:rsidR="00440E24" w:rsidRPr="002E2327">
        <w:rPr>
          <w:lang w:val="fr-CA"/>
        </w:rPr>
        <w:t>Le</w:t>
      </w:r>
      <w:r>
        <w:rPr>
          <w:lang w:val="fr-CA"/>
        </w:rPr>
        <w:t xml:space="preserve"> </w:t>
      </w:r>
      <w:r w:rsidR="00692795">
        <w:rPr>
          <w:lang w:val="fr-CA"/>
        </w:rPr>
        <w:t>20</w:t>
      </w:r>
      <w:r>
        <w:rPr>
          <w:lang w:val="fr-CA"/>
        </w:rPr>
        <w:t xml:space="preserve"> j</w:t>
      </w:r>
      <w:r w:rsidR="00440E24" w:rsidRPr="002E2327">
        <w:rPr>
          <w:lang w:val="fr-CA"/>
        </w:rPr>
        <w:t>a</w:t>
      </w:r>
      <w:r>
        <w:rPr>
          <w:lang w:val="fr-CA"/>
        </w:rPr>
        <w:t>n</w:t>
      </w:r>
      <w:r w:rsidR="00440E24" w:rsidRPr="002E2327">
        <w:rPr>
          <w:lang w:val="fr-CA"/>
        </w:rPr>
        <w:t>vi</w:t>
      </w:r>
      <w:r>
        <w:rPr>
          <w:lang w:val="fr-CA"/>
        </w:rPr>
        <w:t>er</w:t>
      </w:r>
      <w:r w:rsidR="00440E24" w:rsidRPr="002E2327">
        <w:rPr>
          <w:lang w:val="fr-CA"/>
        </w:rPr>
        <w:t xml:space="preserve"> 201</w:t>
      </w:r>
      <w:r>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xml:space="preserve">© </w:t>
      </w:r>
      <w:proofErr w:type="spellStart"/>
      <w:r w:rsidRPr="007F387B">
        <w:rPr>
          <w:sz w:val="18"/>
          <w:szCs w:val="18"/>
          <w:lang w:val="fr-CA"/>
        </w:rPr>
        <w:t>Supreme</w:t>
      </w:r>
      <w:proofErr w:type="spellEnd"/>
      <w:r w:rsidRPr="007F387B">
        <w:rPr>
          <w:sz w:val="18"/>
          <w:szCs w:val="18"/>
          <w:lang w:val="fr-CA"/>
        </w:rPr>
        <w:t xml:space="preserv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A87207" w:rsidRPr="002E2327" w:rsidRDefault="00A87207" w:rsidP="00F86272">
            <w:pPr>
              <w:tabs>
                <w:tab w:val="right" w:pos="9360"/>
              </w:tabs>
              <w:rPr>
                <w:rFonts w:cs="Times New Roman"/>
                <w:sz w:val="20"/>
                <w:szCs w:val="20"/>
              </w:rPr>
            </w:pPr>
          </w:p>
        </w:tc>
        <w:tc>
          <w:tcPr>
            <w:tcW w:w="1980" w:type="dxa"/>
          </w:tcPr>
          <w:p w:rsidR="0095096B" w:rsidRPr="002E2327" w:rsidRDefault="00692795" w:rsidP="0095096B">
            <w:pPr>
              <w:jc w:val="center"/>
              <w:rPr>
                <w:rFonts w:cs="Times New Roman"/>
                <w:sz w:val="20"/>
                <w:szCs w:val="20"/>
              </w:rPr>
            </w:pPr>
            <w:r>
              <w:rPr>
                <w:rFonts w:cs="Times New Roman"/>
                <w:sz w:val="20"/>
                <w:szCs w:val="20"/>
              </w:rPr>
              <w:t>48</w:t>
            </w:r>
            <w:r w:rsidR="00BF59B3" w:rsidRPr="002E2327">
              <w:rPr>
                <w:rFonts w:cs="Times New Roman"/>
                <w:sz w:val="20"/>
                <w:szCs w:val="20"/>
              </w:rPr>
              <w:fldChar w:fldCharType="begin"/>
            </w:r>
            <w:r w:rsidR="0095096B" w:rsidRPr="002E2327">
              <w:rPr>
                <w:rFonts w:cs="Times New Roman"/>
                <w:sz w:val="20"/>
                <w:szCs w:val="20"/>
              </w:rPr>
              <w:instrText xml:space="preserve"> SEQ CHAPTER \h \r 1</w:instrText>
            </w:r>
            <w:r w:rsidR="00BF59B3"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B2950" w:rsidP="0095096B">
            <w:pPr>
              <w:jc w:val="center"/>
              <w:rPr>
                <w:rFonts w:cs="Times New Roman"/>
                <w:sz w:val="20"/>
                <w:szCs w:val="20"/>
              </w:rPr>
            </w:pPr>
            <w:r>
              <w:rPr>
                <w:rFonts w:cs="Times New Roman"/>
                <w:sz w:val="20"/>
                <w:szCs w:val="20"/>
              </w:rPr>
              <w:t>49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23F41" w:rsidP="0095096B">
            <w:pPr>
              <w:jc w:val="center"/>
              <w:rPr>
                <w:rFonts w:cs="Times New Roman"/>
                <w:sz w:val="20"/>
                <w:szCs w:val="20"/>
              </w:rPr>
            </w:pPr>
            <w:r>
              <w:rPr>
                <w:rFonts w:cs="Times New Roman"/>
                <w:sz w:val="20"/>
                <w:szCs w:val="20"/>
              </w:rPr>
              <w:t xml:space="preserve">50 </w:t>
            </w:r>
            <w:r w:rsidR="0095096B" w:rsidRPr="002E2327">
              <w:rPr>
                <w:rFonts w:cs="Times New Roman"/>
                <w:sz w:val="20"/>
                <w:szCs w:val="20"/>
              </w:rPr>
              <w:t>-</w:t>
            </w:r>
            <w:r w:rsidR="00F61014">
              <w:rPr>
                <w:rFonts w:cs="Times New Roman"/>
                <w:sz w:val="20"/>
                <w:szCs w:val="20"/>
              </w:rPr>
              <w:t xml:space="preserve"> 69</w:t>
            </w:r>
          </w:p>
          <w:p w:rsidR="0095096B" w:rsidRDefault="0095096B" w:rsidP="0095096B">
            <w:pPr>
              <w:jc w:val="center"/>
              <w:rPr>
                <w:rFonts w:cs="Times New Roman"/>
                <w:sz w:val="20"/>
                <w:szCs w:val="20"/>
              </w:rPr>
            </w:pPr>
          </w:p>
          <w:p w:rsidR="00F61014" w:rsidRPr="002E2327" w:rsidRDefault="00F61014" w:rsidP="0095096B">
            <w:pPr>
              <w:jc w:val="center"/>
              <w:rPr>
                <w:rFonts w:cs="Times New Roman"/>
                <w:sz w:val="20"/>
                <w:szCs w:val="20"/>
              </w:rPr>
            </w:pPr>
          </w:p>
          <w:p w:rsidR="0095096B" w:rsidRPr="002E2327" w:rsidRDefault="00F61014" w:rsidP="0095096B">
            <w:pPr>
              <w:jc w:val="center"/>
              <w:rPr>
                <w:rFonts w:cs="Times New Roman"/>
                <w:sz w:val="20"/>
                <w:szCs w:val="20"/>
              </w:rPr>
            </w:pPr>
            <w:r>
              <w:rPr>
                <w:rFonts w:cs="Times New Roman"/>
                <w:sz w:val="20"/>
                <w:szCs w:val="20"/>
              </w:rPr>
              <w:t xml:space="preserve">70 </w:t>
            </w:r>
            <w:r w:rsidR="0095096B" w:rsidRPr="002E2327">
              <w:rPr>
                <w:rFonts w:cs="Times New Roman"/>
                <w:sz w:val="20"/>
                <w:szCs w:val="20"/>
              </w:rPr>
              <w:t>-</w:t>
            </w:r>
            <w:r>
              <w:rPr>
                <w:rFonts w:cs="Times New Roman"/>
                <w:sz w:val="20"/>
                <w:szCs w:val="20"/>
              </w:rPr>
              <w:t xml:space="preserve"> 74</w:t>
            </w:r>
          </w:p>
          <w:p w:rsidR="0095096B" w:rsidRPr="002E2327" w:rsidRDefault="0095096B" w:rsidP="0095096B">
            <w:pPr>
              <w:jc w:val="center"/>
              <w:rPr>
                <w:rFonts w:cs="Times New Roman"/>
                <w:sz w:val="20"/>
                <w:szCs w:val="20"/>
              </w:rPr>
            </w:pPr>
          </w:p>
          <w:p w:rsidR="0095096B" w:rsidRPr="002E2327" w:rsidRDefault="00F61014" w:rsidP="0095096B">
            <w:pPr>
              <w:jc w:val="center"/>
              <w:rPr>
                <w:rFonts w:cs="Times New Roman"/>
                <w:sz w:val="20"/>
                <w:szCs w:val="20"/>
              </w:rPr>
            </w:pPr>
            <w:r>
              <w:rPr>
                <w:rFonts w:cs="Times New Roman"/>
                <w:sz w:val="20"/>
                <w:szCs w:val="20"/>
              </w:rPr>
              <w:t>75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61014" w:rsidP="0095096B">
            <w:pPr>
              <w:jc w:val="center"/>
              <w:rPr>
                <w:rFonts w:cs="Times New Roman"/>
                <w:sz w:val="20"/>
                <w:szCs w:val="20"/>
              </w:rPr>
            </w:pPr>
            <w:r>
              <w:rPr>
                <w:rFonts w:cs="Times New Roman"/>
                <w:sz w:val="20"/>
                <w:szCs w:val="20"/>
              </w:rPr>
              <w:t xml:space="preserve">76 </w:t>
            </w:r>
            <w:r w:rsidR="0095096B" w:rsidRPr="002E2327">
              <w:rPr>
                <w:rFonts w:cs="Times New Roman"/>
                <w:sz w:val="20"/>
                <w:szCs w:val="20"/>
              </w:rPr>
              <w:t>-</w:t>
            </w:r>
            <w:r w:rsidR="00F0478F">
              <w:rPr>
                <w:rFonts w:cs="Times New Roman"/>
                <w:sz w:val="20"/>
                <w:szCs w:val="20"/>
              </w:rPr>
              <w:t xml:space="preserve"> 81</w:t>
            </w:r>
          </w:p>
          <w:p w:rsidR="0095096B" w:rsidRDefault="0095096B" w:rsidP="0095096B">
            <w:pPr>
              <w:jc w:val="center"/>
              <w:rPr>
                <w:rFonts w:cs="Times New Roman"/>
                <w:sz w:val="20"/>
                <w:szCs w:val="20"/>
              </w:rPr>
            </w:pPr>
          </w:p>
          <w:p w:rsidR="00BB2950" w:rsidRPr="002E2327" w:rsidRDefault="00BB2950" w:rsidP="0095096B">
            <w:pPr>
              <w:jc w:val="center"/>
              <w:rPr>
                <w:rFonts w:cs="Times New Roman"/>
                <w:sz w:val="20"/>
                <w:szCs w:val="20"/>
              </w:rPr>
            </w:pPr>
          </w:p>
          <w:p w:rsidR="0095096B" w:rsidRPr="002E2327" w:rsidRDefault="00F0478F" w:rsidP="0095096B">
            <w:pPr>
              <w:jc w:val="center"/>
              <w:rPr>
                <w:rFonts w:cs="Times New Roman"/>
                <w:sz w:val="20"/>
                <w:szCs w:val="20"/>
              </w:rPr>
            </w:pPr>
            <w:r>
              <w:rPr>
                <w:rFonts w:cs="Times New Roman"/>
                <w:sz w:val="20"/>
                <w:szCs w:val="20"/>
              </w:rPr>
              <w:t>82</w:t>
            </w:r>
          </w:p>
          <w:p w:rsidR="0095096B" w:rsidRDefault="0095096B" w:rsidP="0095096B">
            <w:pPr>
              <w:jc w:val="center"/>
              <w:rPr>
                <w:rFonts w:cs="Times New Roman"/>
                <w:sz w:val="20"/>
                <w:szCs w:val="20"/>
              </w:rPr>
            </w:pPr>
          </w:p>
          <w:p w:rsidR="00BB2950" w:rsidRPr="002E2327" w:rsidRDefault="00BB2950" w:rsidP="0095096B">
            <w:pPr>
              <w:jc w:val="center"/>
              <w:rPr>
                <w:rFonts w:cs="Times New Roman"/>
                <w:sz w:val="20"/>
                <w:szCs w:val="20"/>
              </w:rPr>
            </w:pPr>
          </w:p>
          <w:p w:rsidR="0095096B" w:rsidRPr="002E2327" w:rsidRDefault="00F0478F" w:rsidP="0095096B">
            <w:pPr>
              <w:jc w:val="center"/>
              <w:rPr>
                <w:rFonts w:cs="Times New Roman"/>
                <w:sz w:val="20"/>
                <w:szCs w:val="20"/>
              </w:rPr>
            </w:pPr>
            <w:r>
              <w:rPr>
                <w:rFonts w:cs="Times New Roman"/>
                <w:sz w:val="20"/>
                <w:szCs w:val="20"/>
              </w:rPr>
              <w:t xml:space="preserve">83 </w:t>
            </w:r>
            <w:r w:rsidR="0095096B" w:rsidRPr="002E2327">
              <w:rPr>
                <w:rFonts w:cs="Times New Roman"/>
                <w:sz w:val="20"/>
                <w:szCs w:val="20"/>
              </w:rPr>
              <w:t>-</w:t>
            </w:r>
            <w:r>
              <w:rPr>
                <w:rFonts w:cs="Times New Roman"/>
                <w:sz w:val="20"/>
                <w:szCs w:val="20"/>
              </w:rPr>
              <w:t xml:space="preserve"> 85</w:t>
            </w:r>
          </w:p>
          <w:p w:rsidR="00A87207" w:rsidRPr="002E2327" w:rsidRDefault="00A87207" w:rsidP="00BB2950">
            <w:pPr>
              <w:jc w:val="center"/>
              <w:rPr>
                <w:rFonts w:cs="Times New Roman"/>
                <w:sz w:val="20"/>
                <w:szCs w:val="20"/>
              </w:rPr>
            </w:pPr>
          </w:p>
        </w:tc>
        <w:tc>
          <w:tcPr>
            <w:tcW w:w="3888" w:type="dxa"/>
          </w:tcPr>
          <w:p w:rsidR="0095096B" w:rsidRPr="002E2327" w:rsidRDefault="00BF59B3"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F86272">
            <w:pPr>
              <w:tabs>
                <w:tab w:val="right" w:pos="9360"/>
              </w:tabs>
              <w:rPr>
                <w:rFonts w:cs="Times New Roman"/>
                <w:sz w:val="20"/>
                <w:szCs w:val="20"/>
                <w:lang w:val="fr-CA"/>
              </w:rPr>
            </w:pPr>
          </w:p>
        </w:tc>
      </w:tr>
    </w:tbl>
    <w:p w:rsidR="0095096B" w:rsidRDefault="0095096B" w:rsidP="0095096B">
      <w:pPr>
        <w:tabs>
          <w:tab w:val="right" w:pos="9360"/>
        </w:tabs>
      </w:pPr>
    </w:p>
    <w:p w:rsidR="00F86272" w:rsidRDefault="00F86272" w:rsidP="0095096B">
      <w:pPr>
        <w:tabs>
          <w:tab w:val="right" w:pos="9360"/>
        </w:tabs>
      </w:pPr>
    </w:p>
    <w:p w:rsidR="00F86272" w:rsidRDefault="00F86272" w:rsidP="0095096B">
      <w:pPr>
        <w:tabs>
          <w:tab w:val="right" w:pos="9360"/>
        </w:tabs>
      </w:pPr>
    </w:p>
    <w:p w:rsidR="00F86272" w:rsidRDefault="00F86272" w:rsidP="0095096B">
      <w:pPr>
        <w:tabs>
          <w:tab w:val="right" w:pos="9360"/>
        </w:tabs>
      </w:pPr>
    </w:p>
    <w:p w:rsidR="00F86272" w:rsidRDefault="00F86272" w:rsidP="0095096B">
      <w:pPr>
        <w:tabs>
          <w:tab w:val="right" w:pos="9360"/>
        </w:tabs>
      </w:pPr>
    </w:p>
    <w:p w:rsidR="00F86272" w:rsidRPr="002E2327" w:rsidRDefault="00F86272" w:rsidP="0095096B">
      <w:pPr>
        <w:tabs>
          <w:tab w:val="right" w:pos="9360"/>
        </w:tabs>
      </w:pPr>
    </w:p>
    <w:tbl>
      <w:tblPr>
        <w:tblStyle w:val="TableGrid"/>
        <w:tblW w:w="0" w:type="auto"/>
        <w:tblLook w:val="04A0"/>
      </w:tblPr>
      <w:tblGrid>
        <w:gridCol w:w="9576"/>
      </w:tblGrid>
      <w:tr w:rsidR="0079724F" w:rsidRPr="008602B3"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5F1317" w:rsidRDefault="005F1317" w:rsidP="003B3977">
            <w:pPr>
              <w:rPr>
                <w:b/>
                <w:sz w:val="20"/>
                <w:szCs w:val="20"/>
                <w:lang w:val="fr-CA"/>
              </w:rPr>
            </w:pPr>
            <w:r w:rsidRPr="005F1317">
              <w:rPr>
                <w:b/>
                <w:sz w:val="20"/>
                <w:szCs w:val="20"/>
                <w:lang w:val="fr-CA"/>
              </w:rPr>
              <w:t xml:space="preserve">George </w:t>
            </w:r>
            <w:proofErr w:type="spellStart"/>
            <w:r w:rsidRPr="005F1317">
              <w:rPr>
                <w:b/>
                <w:sz w:val="20"/>
                <w:szCs w:val="20"/>
                <w:lang w:val="fr-CA"/>
              </w:rPr>
              <w:t>Paloukis</w:t>
            </w:r>
            <w:proofErr w:type="spellEnd"/>
            <w:r w:rsidRPr="005F1317">
              <w:rPr>
                <w:b/>
                <w:sz w:val="20"/>
                <w:szCs w:val="20"/>
                <w:lang w:val="fr-CA"/>
              </w:rPr>
              <w:t xml:space="preserve"> et autre</w:t>
            </w:r>
          </w:p>
          <w:p w:rsidR="00242AEE" w:rsidRPr="005F1317" w:rsidRDefault="00242AEE" w:rsidP="003B3977">
            <w:pPr>
              <w:tabs>
                <w:tab w:val="left" w:pos="-1440"/>
                <w:tab w:val="left" w:pos="-720"/>
              </w:tabs>
              <w:rPr>
                <w:sz w:val="20"/>
                <w:szCs w:val="20"/>
                <w:lang w:val="fr-CA"/>
              </w:rPr>
            </w:pPr>
            <w:r w:rsidRPr="005F1317">
              <w:rPr>
                <w:sz w:val="20"/>
                <w:szCs w:val="20"/>
                <w:lang w:val="fr-CA"/>
              </w:rPr>
              <w:tab/>
            </w:r>
            <w:r w:rsidR="005F1317" w:rsidRPr="005F1317">
              <w:rPr>
                <w:sz w:val="20"/>
                <w:szCs w:val="20"/>
                <w:lang w:val="fr-CA"/>
              </w:rPr>
              <w:t xml:space="preserve">Serge </w:t>
            </w:r>
            <w:proofErr w:type="spellStart"/>
            <w:r w:rsidR="005F1317" w:rsidRPr="005F1317">
              <w:rPr>
                <w:sz w:val="20"/>
                <w:szCs w:val="20"/>
                <w:lang w:val="fr-CA"/>
              </w:rPr>
              <w:t>Dubé</w:t>
            </w:r>
            <w:proofErr w:type="spellEnd"/>
          </w:p>
          <w:p w:rsidR="00242AEE" w:rsidRPr="005F1317" w:rsidRDefault="00242AEE" w:rsidP="003B3977">
            <w:pPr>
              <w:tabs>
                <w:tab w:val="left" w:pos="-1440"/>
                <w:tab w:val="left" w:pos="-720"/>
              </w:tabs>
              <w:rPr>
                <w:sz w:val="20"/>
                <w:szCs w:val="20"/>
                <w:lang w:val="fr-CA"/>
              </w:rPr>
            </w:pPr>
            <w:r w:rsidRPr="005F1317">
              <w:rPr>
                <w:sz w:val="20"/>
                <w:szCs w:val="20"/>
                <w:lang w:val="fr-CA"/>
              </w:rPr>
              <w:tab/>
            </w:r>
            <w:proofErr w:type="spellStart"/>
            <w:r w:rsidR="005F1317">
              <w:rPr>
                <w:sz w:val="20"/>
                <w:szCs w:val="20"/>
                <w:lang w:val="fr-CA"/>
              </w:rPr>
              <w:t>Dubé</w:t>
            </w:r>
            <w:proofErr w:type="spellEnd"/>
            <w:r w:rsidR="005F1317">
              <w:rPr>
                <w:sz w:val="20"/>
                <w:szCs w:val="20"/>
                <w:lang w:val="fr-CA"/>
              </w:rPr>
              <w:t>, Latreille</w:t>
            </w:r>
          </w:p>
          <w:p w:rsidR="00242AEE" w:rsidRPr="005F1317" w:rsidRDefault="00242AEE" w:rsidP="003B3977">
            <w:pPr>
              <w:tabs>
                <w:tab w:val="left" w:pos="-1440"/>
                <w:tab w:val="left" w:pos="-720"/>
              </w:tabs>
              <w:rPr>
                <w:sz w:val="20"/>
                <w:szCs w:val="20"/>
                <w:lang w:val="fr-CA"/>
              </w:rPr>
            </w:pPr>
          </w:p>
          <w:p w:rsidR="00242AEE" w:rsidRPr="005F1317" w:rsidRDefault="00242AEE" w:rsidP="003B3977">
            <w:pPr>
              <w:tabs>
                <w:tab w:val="left" w:pos="-1440"/>
                <w:tab w:val="left" w:pos="-720"/>
              </w:tabs>
              <w:rPr>
                <w:sz w:val="20"/>
                <w:szCs w:val="20"/>
                <w:lang w:val="fr-CA"/>
              </w:rPr>
            </w:pPr>
            <w:r w:rsidRPr="005F1317">
              <w:rPr>
                <w:sz w:val="20"/>
                <w:szCs w:val="20"/>
                <w:lang w:val="fr-CA"/>
              </w:rPr>
              <w:tab/>
            </w:r>
            <w:r w:rsidR="005F1317">
              <w:rPr>
                <w:sz w:val="20"/>
                <w:szCs w:val="20"/>
                <w:lang w:val="fr-CA"/>
              </w:rPr>
              <w:t>c</w:t>
            </w:r>
            <w:r w:rsidRPr="005F1317">
              <w:rPr>
                <w:sz w:val="20"/>
                <w:szCs w:val="20"/>
                <w:lang w:val="fr-CA"/>
              </w:rPr>
              <w:t>. (3</w:t>
            </w:r>
            <w:r w:rsidR="005F1317" w:rsidRPr="005F1317">
              <w:rPr>
                <w:sz w:val="20"/>
                <w:szCs w:val="20"/>
                <w:lang w:val="fr-CA"/>
              </w:rPr>
              <w:t>4</w:t>
            </w:r>
            <w:r w:rsidR="00692795" w:rsidRPr="005F1317">
              <w:rPr>
                <w:sz w:val="20"/>
                <w:szCs w:val="20"/>
                <w:lang w:val="fr-CA"/>
              </w:rPr>
              <w:t>5</w:t>
            </w:r>
            <w:r w:rsidR="005F1317" w:rsidRPr="005F1317">
              <w:rPr>
                <w:sz w:val="20"/>
                <w:szCs w:val="20"/>
                <w:lang w:val="fr-CA"/>
              </w:rPr>
              <w:t>77</w:t>
            </w:r>
            <w:r w:rsidRPr="005F1317">
              <w:rPr>
                <w:sz w:val="20"/>
                <w:szCs w:val="20"/>
                <w:lang w:val="fr-CA"/>
              </w:rPr>
              <w:t>)</w:t>
            </w:r>
          </w:p>
          <w:p w:rsidR="00242AEE" w:rsidRPr="005F1317" w:rsidRDefault="00242AEE" w:rsidP="003B3977">
            <w:pPr>
              <w:tabs>
                <w:tab w:val="left" w:pos="-1440"/>
                <w:tab w:val="left" w:pos="-720"/>
              </w:tabs>
              <w:rPr>
                <w:sz w:val="20"/>
                <w:szCs w:val="20"/>
                <w:lang w:val="fr-CA"/>
              </w:rPr>
            </w:pPr>
          </w:p>
          <w:p w:rsidR="00242AEE" w:rsidRPr="005F1317" w:rsidRDefault="005F1317" w:rsidP="003B3977">
            <w:pPr>
              <w:tabs>
                <w:tab w:val="left" w:pos="-1440"/>
                <w:tab w:val="left" w:pos="-720"/>
              </w:tabs>
              <w:rPr>
                <w:b/>
                <w:sz w:val="20"/>
                <w:szCs w:val="20"/>
                <w:lang w:val="fr-CA"/>
              </w:rPr>
            </w:pPr>
            <w:r w:rsidRPr="005F1317">
              <w:rPr>
                <w:b/>
                <w:sz w:val="20"/>
                <w:szCs w:val="20"/>
                <w:lang w:val="fr-CA"/>
              </w:rPr>
              <w:t xml:space="preserve">Theodoros </w:t>
            </w:r>
            <w:proofErr w:type="spellStart"/>
            <w:r w:rsidRPr="005F1317">
              <w:rPr>
                <w:b/>
                <w:sz w:val="20"/>
                <w:szCs w:val="20"/>
                <w:lang w:val="fr-CA"/>
              </w:rPr>
              <w:t>Nikoforos</w:t>
            </w:r>
            <w:proofErr w:type="spellEnd"/>
            <w:r w:rsidRPr="005F1317">
              <w:rPr>
                <w:b/>
                <w:sz w:val="20"/>
                <w:szCs w:val="20"/>
                <w:lang w:val="fr-CA"/>
              </w:rPr>
              <w:t xml:space="preserve"> </w:t>
            </w:r>
            <w:r w:rsidR="00242AEE" w:rsidRPr="005F1317">
              <w:rPr>
                <w:b/>
                <w:sz w:val="20"/>
                <w:szCs w:val="20"/>
                <w:lang w:val="fr-CA"/>
              </w:rPr>
              <w:t>(</w:t>
            </w:r>
            <w:proofErr w:type="spellStart"/>
            <w:r w:rsidRPr="005F1317">
              <w:rPr>
                <w:b/>
                <w:sz w:val="20"/>
                <w:szCs w:val="20"/>
                <w:lang w:val="fr-CA"/>
              </w:rPr>
              <w:t>Qc</w:t>
            </w:r>
            <w:proofErr w:type="spellEnd"/>
            <w:r w:rsidR="00242AEE" w:rsidRPr="005F1317">
              <w:rPr>
                <w:b/>
                <w:sz w:val="20"/>
                <w:szCs w:val="20"/>
                <w:lang w:val="fr-CA"/>
              </w:rPr>
              <w:t>)</w:t>
            </w:r>
          </w:p>
          <w:p w:rsidR="00242AEE" w:rsidRPr="005F1317" w:rsidRDefault="00242AEE" w:rsidP="003B3977">
            <w:pPr>
              <w:tabs>
                <w:tab w:val="left" w:pos="-1440"/>
                <w:tab w:val="left" w:pos="-720"/>
              </w:tabs>
              <w:rPr>
                <w:sz w:val="20"/>
                <w:szCs w:val="20"/>
                <w:lang w:val="fr-CA"/>
              </w:rPr>
            </w:pPr>
            <w:r w:rsidRPr="005F1317">
              <w:rPr>
                <w:sz w:val="20"/>
                <w:szCs w:val="20"/>
                <w:lang w:val="fr-CA"/>
              </w:rPr>
              <w:tab/>
            </w:r>
            <w:r w:rsidR="005F1317">
              <w:rPr>
                <w:sz w:val="20"/>
                <w:szCs w:val="20"/>
                <w:lang w:val="fr-CA"/>
              </w:rPr>
              <w:t xml:space="preserve">Nicolas </w:t>
            </w:r>
            <w:proofErr w:type="spellStart"/>
            <w:r w:rsidR="005F1317">
              <w:rPr>
                <w:sz w:val="20"/>
                <w:szCs w:val="20"/>
                <w:lang w:val="fr-CA"/>
              </w:rPr>
              <w:t>Robichon</w:t>
            </w:r>
            <w:proofErr w:type="spellEnd"/>
          </w:p>
          <w:p w:rsidR="00242AEE" w:rsidRPr="005F1317" w:rsidRDefault="00242AEE" w:rsidP="003B3977">
            <w:pPr>
              <w:tabs>
                <w:tab w:val="left" w:pos="-1440"/>
                <w:tab w:val="left" w:pos="-720"/>
              </w:tabs>
              <w:rPr>
                <w:sz w:val="20"/>
                <w:szCs w:val="20"/>
                <w:lang w:val="fr-CA"/>
              </w:rPr>
            </w:pPr>
            <w:r w:rsidRPr="005F1317">
              <w:rPr>
                <w:sz w:val="20"/>
                <w:szCs w:val="20"/>
                <w:lang w:val="fr-CA"/>
              </w:rPr>
              <w:tab/>
            </w:r>
            <w:proofErr w:type="spellStart"/>
            <w:r w:rsidR="005F1317">
              <w:rPr>
                <w:sz w:val="20"/>
                <w:szCs w:val="20"/>
                <w:lang w:val="fr-CA"/>
              </w:rPr>
              <w:t>Donati</w:t>
            </w:r>
            <w:proofErr w:type="spellEnd"/>
            <w:r w:rsidR="005F1317">
              <w:rPr>
                <w:sz w:val="20"/>
                <w:szCs w:val="20"/>
                <w:lang w:val="fr-CA"/>
              </w:rPr>
              <w:t xml:space="preserve"> Maisonneuve</w:t>
            </w:r>
          </w:p>
          <w:p w:rsidR="00242AEE" w:rsidRPr="005F1317" w:rsidRDefault="00242AEE" w:rsidP="003B3977">
            <w:pPr>
              <w:tabs>
                <w:tab w:val="left" w:pos="-1440"/>
                <w:tab w:val="left" w:pos="-720"/>
              </w:tabs>
              <w:rPr>
                <w:sz w:val="20"/>
                <w:szCs w:val="20"/>
                <w:lang w:val="fr-CA"/>
              </w:rPr>
            </w:pPr>
          </w:p>
          <w:p w:rsidR="00242AEE" w:rsidRPr="00ED3AD1" w:rsidRDefault="00242AEE" w:rsidP="003B3977">
            <w:pPr>
              <w:rPr>
                <w:sz w:val="20"/>
                <w:szCs w:val="20"/>
                <w:lang w:val="fr-CA"/>
              </w:rPr>
            </w:pPr>
            <w:r w:rsidRPr="00ED3AD1">
              <w:rPr>
                <w:sz w:val="20"/>
                <w:szCs w:val="20"/>
                <w:lang w:val="fr-CA"/>
              </w:rPr>
              <w:t>DATE</w:t>
            </w:r>
            <w:r w:rsidR="00736CF0" w:rsidRPr="00ED3AD1">
              <w:rPr>
                <w:sz w:val="20"/>
                <w:szCs w:val="20"/>
                <w:lang w:val="fr-CA"/>
              </w:rPr>
              <w:t xml:space="preserve"> DE PRODUCTION </w:t>
            </w:r>
            <w:r w:rsidRPr="00ED3AD1">
              <w:rPr>
                <w:sz w:val="20"/>
                <w:szCs w:val="20"/>
                <w:lang w:val="fr-CA"/>
              </w:rPr>
              <w:t xml:space="preserve">: </w:t>
            </w:r>
            <w:r w:rsidR="005F1317" w:rsidRPr="00ED3AD1">
              <w:rPr>
                <w:sz w:val="20"/>
                <w:szCs w:val="20"/>
                <w:lang w:val="fr-CA"/>
              </w:rPr>
              <w:t>19</w:t>
            </w:r>
            <w:r w:rsidRPr="00ED3AD1">
              <w:rPr>
                <w:sz w:val="20"/>
                <w:szCs w:val="20"/>
                <w:lang w:val="fr-CA"/>
              </w:rPr>
              <w:t>.</w:t>
            </w:r>
            <w:r w:rsidR="00692795" w:rsidRPr="00ED3AD1">
              <w:rPr>
                <w:sz w:val="20"/>
                <w:szCs w:val="20"/>
                <w:lang w:val="fr-CA"/>
              </w:rPr>
              <w:t>12</w:t>
            </w:r>
            <w:r w:rsidRPr="00ED3AD1">
              <w:rPr>
                <w:sz w:val="20"/>
                <w:szCs w:val="20"/>
                <w:lang w:val="fr-CA"/>
              </w:rPr>
              <w:t>.201</w:t>
            </w:r>
            <w:r w:rsidR="00692795" w:rsidRPr="00ED3AD1">
              <w:rPr>
                <w:sz w:val="20"/>
                <w:szCs w:val="20"/>
                <w:lang w:val="fr-CA"/>
              </w:rPr>
              <w:t>1</w:t>
            </w:r>
          </w:p>
          <w:p w:rsidR="00242AEE" w:rsidRPr="00A935AA" w:rsidRDefault="00BF59B3" w:rsidP="003B3977">
            <w:pPr>
              <w:rPr>
                <w:sz w:val="20"/>
                <w:szCs w:val="20"/>
              </w:rPr>
            </w:pPr>
            <w:r w:rsidRPr="00BF59B3">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5F1317" w:rsidP="003B3977">
            <w:pPr>
              <w:keepNext/>
              <w:keepLines/>
              <w:tabs>
                <w:tab w:val="left" w:pos="-1440"/>
                <w:tab w:val="left" w:pos="-720"/>
              </w:tabs>
              <w:rPr>
                <w:b/>
                <w:sz w:val="20"/>
                <w:szCs w:val="20"/>
              </w:rPr>
            </w:pPr>
            <w:r>
              <w:rPr>
                <w:b/>
                <w:sz w:val="20"/>
                <w:szCs w:val="20"/>
              </w:rPr>
              <w:t>Helen Roussy</w:t>
            </w:r>
          </w:p>
          <w:p w:rsidR="00242AEE" w:rsidRPr="00A935AA" w:rsidRDefault="00242AEE" w:rsidP="003B3977">
            <w:pPr>
              <w:keepNext/>
              <w:keepLines/>
              <w:tabs>
                <w:tab w:val="left" w:pos="-1440"/>
                <w:tab w:val="left" w:pos="-720"/>
              </w:tabs>
              <w:rPr>
                <w:sz w:val="20"/>
                <w:szCs w:val="20"/>
              </w:rPr>
            </w:pPr>
            <w:r w:rsidRPr="00A935AA">
              <w:rPr>
                <w:sz w:val="20"/>
                <w:szCs w:val="20"/>
              </w:rPr>
              <w:tab/>
            </w:r>
            <w:r w:rsidR="005F1317">
              <w:rPr>
                <w:sz w:val="20"/>
                <w:szCs w:val="20"/>
              </w:rPr>
              <w:t>E.F. Anthony Merchant, Q.C.</w:t>
            </w:r>
          </w:p>
          <w:p w:rsidR="00242AEE" w:rsidRPr="00A935AA" w:rsidRDefault="00242AEE" w:rsidP="003B3977">
            <w:pPr>
              <w:keepNext/>
              <w:keepLines/>
              <w:tabs>
                <w:tab w:val="left" w:pos="-1440"/>
                <w:tab w:val="left" w:pos="-720"/>
              </w:tabs>
              <w:rPr>
                <w:sz w:val="20"/>
                <w:szCs w:val="20"/>
              </w:rPr>
            </w:pPr>
            <w:r w:rsidRPr="00A935AA">
              <w:rPr>
                <w:sz w:val="20"/>
                <w:szCs w:val="20"/>
              </w:rPr>
              <w:tab/>
            </w:r>
            <w:r w:rsidR="005F1317">
              <w:rPr>
                <w:sz w:val="20"/>
                <w:szCs w:val="20"/>
              </w:rPr>
              <w:t>Merchant Law Group</w:t>
            </w:r>
          </w:p>
          <w:p w:rsidR="00242AEE" w:rsidRPr="00A935AA" w:rsidRDefault="00242AEE" w:rsidP="003B3977">
            <w:pPr>
              <w:keepNext/>
              <w:keepLines/>
              <w:tabs>
                <w:tab w:val="left" w:pos="-1440"/>
                <w:tab w:val="left" w:pos="-720"/>
              </w:tabs>
              <w:rPr>
                <w:sz w:val="20"/>
                <w:szCs w:val="20"/>
              </w:rPr>
            </w:pPr>
          </w:p>
          <w:p w:rsidR="00242AEE" w:rsidRPr="005F1317" w:rsidRDefault="00242AEE" w:rsidP="003B3977">
            <w:pPr>
              <w:keepNext/>
              <w:keepLines/>
              <w:tabs>
                <w:tab w:val="left" w:pos="-1440"/>
                <w:tab w:val="left" w:pos="-720"/>
              </w:tabs>
              <w:rPr>
                <w:sz w:val="20"/>
                <w:szCs w:val="20"/>
              </w:rPr>
            </w:pPr>
            <w:r w:rsidRPr="00A935AA">
              <w:rPr>
                <w:sz w:val="20"/>
                <w:szCs w:val="20"/>
              </w:rPr>
              <w:tab/>
            </w:r>
            <w:r w:rsidRPr="005F1317">
              <w:rPr>
                <w:sz w:val="20"/>
                <w:szCs w:val="20"/>
              </w:rPr>
              <w:t>v. (3</w:t>
            </w:r>
            <w:r w:rsidR="005F1317" w:rsidRPr="005F1317">
              <w:rPr>
                <w:sz w:val="20"/>
                <w:szCs w:val="20"/>
              </w:rPr>
              <w:t>4</w:t>
            </w:r>
            <w:r w:rsidR="00692795" w:rsidRPr="005F1317">
              <w:rPr>
                <w:sz w:val="20"/>
                <w:szCs w:val="20"/>
              </w:rPr>
              <w:t>5</w:t>
            </w:r>
            <w:r w:rsidR="005F1317" w:rsidRPr="005F1317">
              <w:rPr>
                <w:sz w:val="20"/>
                <w:szCs w:val="20"/>
              </w:rPr>
              <w:t>78</w:t>
            </w:r>
            <w:r w:rsidRPr="005F1317">
              <w:rPr>
                <w:sz w:val="20"/>
                <w:szCs w:val="20"/>
              </w:rPr>
              <w:t>)</w:t>
            </w:r>
          </w:p>
          <w:p w:rsidR="00242AEE" w:rsidRPr="005F1317" w:rsidRDefault="00242AEE" w:rsidP="003B3977">
            <w:pPr>
              <w:keepNext/>
              <w:keepLines/>
              <w:tabs>
                <w:tab w:val="left" w:pos="-1440"/>
                <w:tab w:val="left" w:pos="-720"/>
              </w:tabs>
              <w:rPr>
                <w:sz w:val="20"/>
                <w:szCs w:val="20"/>
              </w:rPr>
            </w:pPr>
          </w:p>
          <w:p w:rsidR="00242AEE" w:rsidRPr="005F1317" w:rsidRDefault="005F1317" w:rsidP="003B3977">
            <w:pPr>
              <w:keepNext/>
              <w:keepLines/>
              <w:tabs>
                <w:tab w:val="left" w:pos="-1440"/>
                <w:tab w:val="left" w:pos="-720"/>
              </w:tabs>
              <w:rPr>
                <w:b/>
                <w:sz w:val="20"/>
                <w:szCs w:val="20"/>
              </w:rPr>
            </w:pPr>
            <w:r>
              <w:rPr>
                <w:b/>
                <w:sz w:val="20"/>
                <w:szCs w:val="20"/>
              </w:rPr>
              <w:t xml:space="preserve">Red Seal Vacations Inc. </w:t>
            </w:r>
            <w:r w:rsidR="00242AEE" w:rsidRPr="005F1317">
              <w:rPr>
                <w:b/>
                <w:sz w:val="20"/>
                <w:szCs w:val="20"/>
              </w:rPr>
              <w:t>(</w:t>
            </w:r>
            <w:r>
              <w:rPr>
                <w:b/>
                <w:sz w:val="20"/>
                <w:szCs w:val="20"/>
              </w:rPr>
              <w:t>Sask</w:t>
            </w:r>
            <w:r w:rsidR="00242AEE" w:rsidRPr="005F1317">
              <w:rPr>
                <w:b/>
                <w:sz w:val="20"/>
                <w:szCs w:val="20"/>
              </w:rPr>
              <w:t>.)</w:t>
            </w:r>
          </w:p>
          <w:p w:rsidR="00242AEE" w:rsidRPr="005F1317" w:rsidRDefault="00242AEE" w:rsidP="003B3977">
            <w:pPr>
              <w:keepNext/>
              <w:keepLines/>
              <w:tabs>
                <w:tab w:val="left" w:pos="-1440"/>
                <w:tab w:val="left" w:pos="-720"/>
              </w:tabs>
              <w:rPr>
                <w:sz w:val="20"/>
                <w:szCs w:val="20"/>
              </w:rPr>
            </w:pPr>
            <w:r w:rsidRPr="005F1317">
              <w:rPr>
                <w:sz w:val="20"/>
                <w:szCs w:val="20"/>
              </w:rPr>
              <w:tab/>
            </w:r>
            <w:r w:rsidR="005F1317">
              <w:rPr>
                <w:sz w:val="20"/>
                <w:szCs w:val="20"/>
              </w:rPr>
              <w:t>Mirilyn R. Sharp</w:t>
            </w:r>
          </w:p>
          <w:p w:rsidR="00242AEE" w:rsidRPr="005F1317" w:rsidRDefault="00242AEE" w:rsidP="003B3977">
            <w:pPr>
              <w:keepNext/>
              <w:keepLines/>
              <w:tabs>
                <w:tab w:val="left" w:pos="-1440"/>
                <w:tab w:val="left" w:pos="-720"/>
              </w:tabs>
              <w:rPr>
                <w:sz w:val="20"/>
                <w:szCs w:val="20"/>
              </w:rPr>
            </w:pPr>
            <w:r w:rsidRPr="005F1317">
              <w:rPr>
                <w:sz w:val="20"/>
                <w:szCs w:val="20"/>
              </w:rPr>
              <w:tab/>
            </w:r>
            <w:r w:rsidR="005F1317">
              <w:rPr>
                <w:sz w:val="20"/>
                <w:szCs w:val="20"/>
              </w:rPr>
              <w:t>Blaney McMurtry LLP</w:t>
            </w:r>
          </w:p>
          <w:p w:rsidR="00242AEE" w:rsidRPr="005F1317" w:rsidRDefault="00242AEE" w:rsidP="003B3977">
            <w:pPr>
              <w:keepNext/>
              <w:keepLines/>
              <w:tabs>
                <w:tab w:val="left" w:pos="-1440"/>
                <w:tab w:val="left" w:pos="-720"/>
              </w:tabs>
              <w:rPr>
                <w:sz w:val="20"/>
                <w:szCs w:val="20"/>
              </w:rPr>
            </w:pPr>
          </w:p>
          <w:p w:rsidR="00242AEE" w:rsidRPr="00A935AA" w:rsidRDefault="00242AEE" w:rsidP="005F1317">
            <w:pPr>
              <w:rPr>
                <w:sz w:val="20"/>
                <w:szCs w:val="20"/>
              </w:rPr>
            </w:pPr>
            <w:r w:rsidRPr="00A935AA">
              <w:rPr>
                <w:sz w:val="20"/>
                <w:szCs w:val="20"/>
              </w:rPr>
              <w:t xml:space="preserve">FILING DATE: </w:t>
            </w:r>
            <w:r w:rsidR="005F1317">
              <w:rPr>
                <w:sz w:val="20"/>
                <w:szCs w:val="20"/>
              </w:rPr>
              <w:t>19</w:t>
            </w:r>
            <w:r w:rsidRPr="00A935AA">
              <w:rPr>
                <w:sz w:val="20"/>
                <w:szCs w:val="20"/>
              </w:rPr>
              <w:t>.</w:t>
            </w:r>
            <w:r w:rsidR="00692795">
              <w:rPr>
                <w:sz w:val="20"/>
                <w:szCs w:val="20"/>
              </w:rPr>
              <w:t>12</w:t>
            </w:r>
            <w:r w:rsidRPr="00A935AA">
              <w:rPr>
                <w:sz w:val="20"/>
                <w:szCs w:val="20"/>
              </w:rPr>
              <w:t>.201</w:t>
            </w:r>
            <w:r w:rsidR="00692795">
              <w:rPr>
                <w:sz w:val="20"/>
                <w:szCs w:val="20"/>
              </w:rPr>
              <w:t>1</w:t>
            </w:r>
            <w:r w:rsidR="00BF59B3" w:rsidRPr="00BF59B3">
              <w:rPr>
                <w:sz w:val="20"/>
                <w:szCs w:val="20"/>
                <w:lang w:val="fr-CA"/>
              </w:rPr>
              <w:pict>
                <v:rect id="_x0000_i1026" style="width:108pt;height:1pt" o:hrpct="0" o:hralign="center" o:hrstd="t" o:hrnoshade="t" o:hr="t" fillcolor="black [3213]" stroked="f"/>
              </w:pict>
            </w:r>
          </w:p>
        </w:tc>
      </w:tr>
      <w:tr w:rsidR="00692795" w:rsidRPr="00B962B5" w:rsidTr="003B3977">
        <w:tc>
          <w:tcPr>
            <w:tcW w:w="4320" w:type="dxa"/>
            <w:shd w:val="clear" w:color="auto" w:fill="auto"/>
          </w:tcPr>
          <w:p w:rsidR="00692795" w:rsidRPr="00523F41" w:rsidRDefault="005F1317" w:rsidP="009E58D9">
            <w:pPr>
              <w:rPr>
                <w:b/>
                <w:sz w:val="20"/>
                <w:szCs w:val="20"/>
                <w:lang w:val="fr-CA"/>
              </w:rPr>
            </w:pPr>
            <w:r w:rsidRPr="00523F41">
              <w:rPr>
                <w:b/>
                <w:sz w:val="20"/>
                <w:szCs w:val="20"/>
                <w:lang w:val="fr-CA"/>
              </w:rPr>
              <w:t>Jérôme Racine</w:t>
            </w:r>
          </w:p>
          <w:p w:rsidR="00692795" w:rsidRPr="00523F41" w:rsidRDefault="00692795" w:rsidP="009E58D9">
            <w:pPr>
              <w:tabs>
                <w:tab w:val="left" w:pos="-1440"/>
                <w:tab w:val="left" w:pos="-720"/>
              </w:tabs>
              <w:rPr>
                <w:sz w:val="20"/>
                <w:szCs w:val="20"/>
                <w:lang w:val="fr-CA"/>
              </w:rPr>
            </w:pPr>
            <w:r w:rsidRPr="00523F41">
              <w:rPr>
                <w:sz w:val="20"/>
                <w:szCs w:val="20"/>
                <w:lang w:val="fr-CA"/>
              </w:rPr>
              <w:tab/>
            </w:r>
            <w:r w:rsidR="005F1317" w:rsidRPr="00523F41">
              <w:rPr>
                <w:sz w:val="20"/>
                <w:szCs w:val="20"/>
                <w:lang w:val="fr-CA"/>
              </w:rPr>
              <w:t>Jean-Claude Dufour</w:t>
            </w:r>
          </w:p>
          <w:p w:rsidR="00692795" w:rsidRPr="00523F41" w:rsidRDefault="00692795" w:rsidP="009E58D9">
            <w:pPr>
              <w:tabs>
                <w:tab w:val="left" w:pos="-1440"/>
                <w:tab w:val="left" w:pos="-720"/>
              </w:tabs>
              <w:rPr>
                <w:sz w:val="20"/>
                <w:szCs w:val="20"/>
                <w:lang w:val="fr-CA"/>
              </w:rPr>
            </w:pPr>
          </w:p>
          <w:p w:rsidR="00692795" w:rsidRPr="005F1317" w:rsidRDefault="00692795" w:rsidP="009E58D9">
            <w:pPr>
              <w:tabs>
                <w:tab w:val="left" w:pos="-1440"/>
                <w:tab w:val="left" w:pos="-720"/>
              </w:tabs>
              <w:rPr>
                <w:sz w:val="20"/>
                <w:szCs w:val="20"/>
                <w:lang w:val="fr-CA"/>
              </w:rPr>
            </w:pPr>
            <w:r w:rsidRPr="00523F41">
              <w:rPr>
                <w:sz w:val="20"/>
                <w:szCs w:val="20"/>
                <w:lang w:val="fr-CA"/>
              </w:rPr>
              <w:tab/>
            </w:r>
            <w:r w:rsidR="005F1317" w:rsidRPr="005F1317">
              <w:rPr>
                <w:sz w:val="20"/>
                <w:szCs w:val="20"/>
                <w:lang w:val="fr-CA"/>
              </w:rPr>
              <w:t>c</w:t>
            </w:r>
            <w:r w:rsidRPr="005F1317">
              <w:rPr>
                <w:sz w:val="20"/>
                <w:szCs w:val="20"/>
                <w:lang w:val="fr-CA"/>
              </w:rPr>
              <w:t>. (3</w:t>
            </w:r>
            <w:r w:rsidR="005F1317" w:rsidRPr="005F1317">
              <w:rPr>
                <w:sz w:val="20"/>
                <w:szCs w:val="20"/>
                <w:lang w:val="fr-CA"/>
              </w:rPr>
              <w:t>4</w:t>
            </w:r>
            <w:r w:rsidRPr="005F1317">
              <w:rPr>
                <w:sz w:val="20"/>
                <w:szCs w:val="20"/>
                <w:lang w:val="fr-CA"/>
              </w:rPr>
              <w:t>5</w:t>
            </w:r>
            <w:r w:rsidR="005F1317" w:rsidRPr="005F1317">
              <w:rPr>
                <w:sz w:val="20"/>
                <w:szCs w:val="20"/>
                <w:lang w:val="fr-CA"/>
              </w:rPr>
              <w:t>92</w:t>
            </w:r>
            <w:r w:rsidRPr="005F1317">
              <w:rPr>
                <w:sz w:val="20"/>
                <w:szCs w:val="20"/>
                <w:lang w:val="fr-CA"/>
              </w:rPr>
              <w:t>)</w:t>
            </w:r>
          </w:p>
          <w:p w:rsidR="00692795" w:rsidRPr="005F1317" w:rsidRDefault="00692795" w:rsidP="009E58D9">
            <w:pPr>
              <w:tabs>
                <w:tab w:val="left" w:pos="-1440"/>
                <w:tab w:val="left" w:pos="-720"/>
              </w:tabs>
              <w:rPr>
                <w:sz w:val="20"/>
                <w:szCs w:val="20"/>
                <w:lang w:val="fr-CA"/>
              </w:rPr>
            </w:pPr>
          </w:p>
          <w:p w:rsidR="00692795" w:rsidRPr="005F1317" w:rsidRDefault="005F1317" w:rsidP="009E58D9">
            <w:pPr>
              <w:tabs>
                <w:tab w:val="left" w:pos="-1440"/>
                <w:tab w:val="left" w:pos="-720"/>
              </w:tabs>
              <w:rPr>
                <w:b/>
                <w:sz w:val="20"/>
                <w:szCs w:val="20"/>
                <w:lang w:val="fr-CA"/>
              </w:rPr>
            </w:pPr>
            <w:r w:rsidRPr="005F1317">
              <w:rPr>
                <w:b/>
                <w:sz w:val="20"/>
                <w:szCs w:val="20"/>
                <w:lang w:val="fr-CA"/>
              </w:rPr>
              <w:t xml:space="preserve">Sa Majesté la Reine </w:t>
            </w:r>
            <w:r w:rsidR="00692795" w:rsidRPr="005F1317">
              <w:rPr>
                <w:b/>
                <w:sz w:val="20"/>
                <w:szCs w:val="20"/>
                <w:lang w:val="fr-CA"/>
              </w:rPr>
              <w:t>(</w:t>
            </w:r>
            <w:r w:rsidRPr="005F1317">
              <w:rPr>
                <w:b/>
                <w:sz w:val="20"/>
                <w:szCs w:val="20"/>
                <w:lang w:val="fr-CA"/>
              </w:rPr>
              <w:t>Qc</w:t>
            </w:r>
            <w:r w:rsidR="00692795" w:rsidRPr="005F1317">
              <w:rPr>
                <w:b/>
                <w:sz w:val="20"/>
                <w:szCs w:val="20"/>
                <w:lang w:val="fr-CA"/>
              </w:rPr>
              <w:t>)</w:t>
            </w:r>
          </w:p>
          <w:p w:rsidR="00692795" w:rsidRPr="005F1317" w:rsidRDefault="00692795" w:rsidP="009E58D9">
            <w:pPr>
              <w:tabs>
                <w:tab w:val="left" w:pos="-1440"/>
                <w:tab w:val="left" w:pos="-720"/>
              </w:tabs>
              <w:rPr>
                <w:sz w:val="20"/>
                <w:szCs w:val="20"/>
                <w:lang w:val="fr-CA"/>
              </w:rPr>
            </w:pPr>
            <w:r w:rsidRPr="005F1317">
              <w:rPr>
                <w:sz w:val="20"/>
                <w:szCs w:val="20"/>
                <w:lang w:val="fr-CA"/>
              </w:rPr>
              <w:tab/>
            </w:r>
            <w:r w:rsidR="005F1317">
              <w:rPr>
                <w:sz w:val="20"/>
                <w:szCs w:val="20"/>
                <w:lang w:val="fr-CA"/>
              </w:rPr>
              <w:t>Robin Tremblay</w:t>
            </w:r>
          </w:p>
          <w:p w:rsidR="00692795" w:rsidRPr="005F1317" w:rsidRDefault="00692795" w:rsidP="009E58D9">
            <w:pPr>
              <w:tabs>
                <w:tab w:val="left" w:pos="-1440"/>
                <w:tab w:val="left" w:pos="-720"/>
              </w:tabs>
              <w:rPr>
                <w:sz w:val="20"/>
                <w:szCs w:val="20"/>
                <w:lang w:val="fr-CA"/>
              </w:rPr>
            </w:pPr>
            <w:r w:rsidRPr="005F1317">
              <w:rPr>
                <w:sz w:val="20"/>
                <w:szCs w:val="20"/>
                <w:lang w:val="fr-CA"/>
              </w:rPr>
              <w:tab/>
            </w:r>
            <w:r w:rsidR="005F1317">
              <w:rPr>
                <w:sz w:val="20"/>
                <w:szCs w:val="20"/>
                <w:lang w:val="fr-CA"/>
              </w:rPr>
              <w:t xml:space="preserve">Poursuites criminelles et pénales du </w:t>
            </w:r>
            <w:r w:rsidR="005F1317">
              <w:rPr>
                <w:sz w:val="20"/>
                <w:szCs w:val="20"/>
                <w:lang w:val="fr-CA"/>
              </w:rPr>
              <w:tab/>
              <w:t>Québec</w:t>
            </w:r>
          </w:p>
          <w:p w:rsidR="00692795" w:rsidRDefault="00692795" w:rsidP="009E58D9">
            <w:pPr>
              <w:tabs>
                <w:tab w:val="left" w:pos="-1440"/>
                <w:tab w:val="left" w:pos="-720"/>
              </w:tabs>
              <w:rPr>
                <w:sz w:val="20"/>
                <w:szCs w:val="20"/>
                <w:lang w:val="fr-CA"/>
              </w:rPr>
            </w:pPr>
          </w:p>
          <w:p w:rsidR="005F1317" w:rsidRDefault="005F1317" w:rsidP="009E58D9">
            <w:pPr>
              <w:tabs>
                <w:tab w:val="left" w:pos="-1440"/>
                <w:tab w:val="left" w:pos="-720"/>
              </w:tabs>
              <w:rPr>
                <w:sz w:val="20"/>
                <w:szCs w:val="20"/>
                <w:lang w:val="fr-CA"/>
              </w:rPr>
            </w:pPr>
            <w:r>
              <w:rPr>
                <w:sz w:val="20"/>
                <w:szCs w:val="20"/>
                <w:lang w:val="fr-CA"/>
              </w:rPr>
              <w:t>et entre</w:t>
            </w:r>
          </w:p>
          <w:p w:rsidR="005F1317" w:rsidRDefault="005F1317" w:rsidP="009E58D9">
            <w:pPr>
              <w:tabs>
                <w:tab w:val="left" w:pos="-1440"/>
                <w:tab w:val="left" w:pos="-720"/>
              </w:tabs>
              <w:rPr>
                <w:sz w:val="20"/>
                <w:szCs w:val="20"/>
                <w:lang w:val="fr-CA"/>
              </w:rPr>
            </w:pPr>
          </w:p>
          <w:p w:rsidR="005F1317" w:rsidRPr="005F1317" w:rsidRDefault="005F1317" w:rsidP="005F1317">
            <w:pPr>
              <w:rPr>
                <w:b/>
                <w:sz w:val="20"/>
                <w:szCs w:val="20"/>
                <w:lang w:val="fr-CA"/>
              </w:rPr>
            </w:pPr>
            <w:r w:rsidRPr="005F1317">
              <w:rPr>
                <w:b/>
                <w:sz w:val="20"/>
                <w:szCs w:val="20"/>
                <w:lang w:val="fr-CA"/>
              </w:rPr>
              <w:t>Jérôme Racine</w:t>
            </w:r>
          </w:p>
          <w:p w:rsidR="005F1317" w:rsidRPr="005F1317" w:rsidRDefault="005F1317" w:rsidP="005F1317">
            <w:pPr>
              <w:tabs>
                <w:tab w:val="left" w:pos="-1440"/>
                <w:tab w:val="left" w:pos="-720"/>
              </w:tabs>
              <w:rPr>
                <w:sz w:val="20"/>
                <w:szCs w:val="20"/>
                <w:lang w:val="fr-CA"/>
              </w:rPr>
            </w:pPr>
            <w:r w:rsidRPr="005F1317">
              <w:rPr>
                <w:sz w:val="20"/>
                <w:szCs w:val="20"/>
                <w:lang w:val="fr-CA"/>
              </w:rPr>
              <w:tab/>
              <w:t>Jean-Claude Dufour</w:t>
            </w:r>
          </w:p>
          <w:p w:rsidR="005F1317" w:rsidRPr="005F1317" w:rsidRDefault="005F1317" w:rsidP="005F1317">
            <w:pPr>
              <w:tabs>
                <w:tab w:val="left" w:pos="-1440"/>
                <w:tab w:val="left" w:pos="-720"/>
              </w:tabs>
              <w:rPr>
                <w:sz w:val="20"/>
                <w:szCs w:val="20"/>
                <w:lang w:val="fr-CA"/>
              </w:rPr>
            </w:pPr>
          </w:p>
          <w:p w:rsidR="005F1317" w:rsidRPr="005F1317" w:rsidRDefault="005F1317" w:rsidP="005F1317">
            <w:pPr>
              <w:tabs>
                <w:tab w:val="left" w:pos="-1440"/>
                <w:tab w:val="left" w:pos="-720"/>
              </w:tabs>
              <w:rPr>
                <w:sz w:val="20"/>
                <w:szCs w:val="20"/>
                <w:lang w:val="fr-CA"/>
              </w:rPr>
            </w:pPr>
            <w:r w:rsidRPr="005F1317">
              <w:rPr>
                <w:sz w:val="20"/>
                <w:szCs w:val="20"/>
                <w:lang w:val="fr-CA"/>
              </w:rPr>
              <w:tab/>
              <w:t>c. (34592)</w:t>
            </w:r>
          </w:p>
          <w:p w:rsidR="005F1317" w:rsidRPr="005F1317" w:rsidRDefault="005F1317" w:rsidP="005F1317">
            <w:pPr>
              <w:tabs>
                <w:tab w:val="left" w:pos="-1440"/>
                <w:tab w:val="left" w:pos="-720"/>
              </w:tabs>
              <w:rPr>
                <w:sz w:val="20"/>
                <w:szCs w:val="20"/>
                <w:lang w:val="fr-CA"/>
              </w:rPr>
            </w:pPr>
          </w:p>
          <w:p w:rsidR="005F1317" w:rsidRPr="005F1317" w:rsidRDefault="005F1317" w:rsidP="005F1317">
            <w:pPr>
              <w:tabs>
                <w:tab w:val="left" w:pos="-1440"/>
                <w:tab w:val="left" w:pos="-720"/>
              </w:tabs>
              <w:rPr>
                <w:b/>
                <w:sz w:val="20"/>
                <w:szCs w:val="20"/>
                <w:lang w:val="fr-CA"/>
              </w:rPr>
            </w:pPr>
            <w:r w:rsidRPr="005F1317">
              <w:rPr>
                <w:b/>
                <w:sz w:val="20"/>
                <w:szCs w:val="20"/>
                <w:lang w:val="fr-CA"/>
              </w:rPr>
              <w:t>Sa Majesté la Reine (Qc)</w:t>
            </w:r>
          </w:p>
          <w:p w:rsidR="005F1317" w:rsidRPr="005F1317" w:rsidRDefault="005F1317" w:rsidP="005F1317">
            <w:pPr>
              <w:tabs>
                <w:tab w:val="left" w:pos="-1440"/>
                <w:tab w:val="left" w:pos="-720"/>
              </w:tabs>
              <w:rPr>
                <w:sz w:val="20"/>
                <w:szCs w:val="20"/>
                <w:lang w:val="fr-CA"/>
              </w:rPr>
            </w:pPr>
            <w:r w:rsidRPr="005F1317">
              <w:rPr>
                <w:sz w:val="20"/>
                <w:szCs w:val="20"/>
                <w:lang w:val="fr-CA"/>
              </w:rPr>
              <w:tab/>
            </w:r>
            <w:r>
              <w:rPr>
                <w:sz w:val="20"/>
                <w:szCs w:val="20"/>
                <w:lang w:val="fr-CA"/>
              </w:rPr>
              <w:t>Robin Tremblay</w:t>
            </w:r>
          </w:p>
          <w:p w:rsidR="005F1317" w:rsidRPr="005F1317" w:rsidRDefault="005F1317" w:rsidP="005F1317">
            <w:pPr>
              <w:tabs>
                <w:tab w:val="left" w:pos="-1440"/>
                <w:tab w:val="left" w:pos="-720"/>
              </w:tabs>
              <w:rPr>
                <w:sz w:val="20"/>
                <w:szCs w:val="20"/>
                <w:lang w:val="fr-CA"/>
              </w:rPr>
            </w:pPr>
            <w:r w:rsidRPr="005F1317">
              <w:rPr>
                <w:sz w:val="20"/>
                <w:szCs w:val="20"/>
                <w:lang w:val="fr-CA"/>
              </w:rPr>
              <w:tab/>
            </w:r>
            <w:r>
              <w:rPr>
                <w:sz w:val="20"/>
                <w:szCs w:val="20"/>
                <w:lang w:val="fr-CA"/>
              </w:rPr>
              <w:t xml:space="preserve">Poursuites criminelles et pénales du </w:t>
            </w:r>
            <w:r>
              <w:rPr>
                <w:sz w:val="20"/>
                <w:szCs w:val="20"/>
                <w:lang w:val="fr-CA"/>
              </w:rPr>
              <w:tab/>
              <w:t>Québec</w:t>
            </w:r>
          </w:p>
          <w:p w:rsidR="005F1317" w:rsidRPr="005F1317" w:rsidRDefault="005F1317" w:rsidP="009E58D9">
            <w:pPr>
              <w:tabs>
                <w:tab w:val="left" w:pos="-1440"/>
                <w:tab w:val="left" w:pos="-720"/>
              </w:tabs>
              <w:rPr>
                <w:sz w:val="20"/>
                <w:szCs w:val="20"/>
                <w:lang w:val="fr-CA"/>
              </w:rPr>
            </w:pPr>
          </w:p>
          <w:p w:rsidR="00692795" w:rsidRPr="005F1317" w:rsidRDefault="00692795" w:rsidP="009E58D9">
            <w:pPr>
              <w:rPr>
                <w:sz w:val="20"/>
                <w:szCs w:val="20"/>
                <w:lang w:val="fr-CA"/>
              </w:rPr>
            </w:pPr>
            <w:r w:rsidRPr="005F1317">
              <w:rPr>
                <w:sz w:val="20"/>
                <w:szCs w:val="20"/>
                <w:lang w:val="fr-CA"/>
              </w:rPr>
              <w:t>DATE</w:t>
            </w:r>
            <w:r w:rsidR="005F1317">
              <w:rPr>
                <w:sz w:val="20"/>
                <w:szCs w:val="20"/>
                <w:lang w:val="fr-CA"/>
              </w:rPr>
              <w:t xml:space="preserve"> DE PRODUCTION </w:t>
            </w:r>
            <w:r w:rsidRPr="005F1317">
              <w:rPr>
                <w:sz w:val="20"/>
                <w:szCs w:val="20"/>
                <w:lang w:val="fr-CA"/>
              </w:rPr>
              <w:t>: 2</w:t>
            </w:r>
            <w:r w:rsidR="005F1317">
              <w:rPr>
                <w:sz w:val="20"/>
                <w:szCs w:val="20"/>
                <w:lang w:val="fr-CA"/>
              </w:rPr>
              <w:t>3</w:t>
            </w:r>
            <w:r w:rsidRPr="005F1317">
              <w:rPr>
                <w:sz w:val="20"/>
                <w:szCs w:val="20"/>
                <w:lang w:val="fr-CA"/>
              </w:rPr>
              <w:t>.12.2011</w:t>
            </w:r>
          </w:p>
          <w:p w:rsidR="00692795" w:rsidRDefault="00BF59B3" w:rsidP="009E58D9">
            <w:pPr>
              <w:rPr>
                <w:sz w:val="20"/>
                <w:szCs w:val="20"/>
                <w:lang w:val="fr-CA"/>
              </w:rPr>
            </w:pPr>
            <w:r w:rsidRPr="00BF59B3">
              <w:rPr>
                <w:sz w:val="20"/>
                <w:szCs w:val="20"/>
                <w:lang w:val="fr-CA"/>
              </w:rPr>
              <w:pict>
                <v:rect id="_x0000_i1027" style="width:108pt;height:1pt" o:hrpct="0" o:hralign="center" o:hrstd="t" o:hrnoshade="t" o:hr="t" fillcolor="black [3213]" stroked="f"/>
              </w:pict>
            </w:r>
          </w:p>
          <w:p w:rsidR="0006294F" w:rsidRDefault="0006294F" w:rsidP="009E58D9">
            <w:pPr>
              <w:rPr>
                <w:sz w:val="20"/>
                <w:szCs w:val="20"/>
                <w:lang w:val="fr-CA"/>
              </w:rPr>
            </w:pPr>
          </w:p>
          <w:p w:rsidR="0006294F" w:rsidRPr="005F1317" w:rsidRDefault="0006294F" w:rsidP="009E58D9">
            <w:pPr>
              <w:rPr>
                <w:sz w:val="20"/>
                <w:szCs w:val="20"/>
                <w:lang w:val="fr-CA"/>
              </w:rPr>
            </w:pPr>
            <w:r w:rsidRPr="0006294F">
              <w:rPr>
                <w:b/>
                <w:sz w:val="20"/>
                <w:szCs w:val="20"/>
                <w:lang w:val="fr-CA"/>
              </w:rPr>
              <w:t>Les immeubles Jacques Robitaille inc.</w:t>
            </w:r>
          </w:p>
        </w:tc>
        <w:tc>
          <w:tcPr>
            <w:tcW w:w="1181" w:type="dxa"/>
            <w:shd w:val="clear" w:color="auto" w:fill="auto"/>
          </w:tcPr>
          <w:p w:rsidR="00692795" w:rsidRPr="005F1317" w:rsidRDefault="00692795" w:rsidP="00242AEE">
            <w:pPr>
              <w:jc w:val="center"/>
              <w:rPr>
                <w:sz w:val="20"/>
                <w:szCs w:val="20"/>
                <w:lang w:val="fr-CA"/>
              </w:rPr>
            </w:pPr>
          </w:p>
          <w:p w:rsidR="00692795" w:rsidRPr="005F1317" w:rsidRDefault="00692795" w:rsidP="00242AEE">
            <w:pPr>
              <w:jc w:val="center"/>
              <w:rPr>
                <w:sz w:val="20"/>
                <w:szCs w:val="20"/>
                <w:lang w:val="fr-CA"/>
              </w:rPr>
            </w:pPr>
          </w:p>
          <w:p w:rsidR="00692795" w:rsidRPr="005F1317" w:rsidRDefault="00692795" w:rsidP="00242AEE">
            <w:pPr>
              <w:jc w:val="center"/>
              <w:rPr>
                <w:sz w:val="20"/>
                <w:szCs w:val="20"/>
                <w:lang w:val="fr-CA"/>
              </w:rPr>
            </w:pPr>
          </w:p>
          <w:p w:rsidR="00692795" w:rsidRPr="005F1317" w:rsidRDefault="00692795" w:rsidP="00242AEE">
            <w:pPr>
              <w:jc w:val="center"/>
              <w:rPr>
                <w:sz w:val="20"/>
                <w:szCs w:val="20"/>
                <w:lang w:val="fr-CA"/>
              </w:rPr>
            </w:pPr>
          </w:p>
          <w:p w:rsidR="00692795" w:rsidRPr="005F1317" w:rsidRDefault="00692795" w:rsidP="00242AEE">
            <w:pPr>
              <w:jc w:val="center"/>
              <w:rPr>
                <w:sz w:val="20"/>
                <w:szCs w:val="20"/>
                <w:lang w:val="fr-CA"/>
              </w:rPr>
            </w:pPr>
          </w:p>
          <w:p w:rsidR="00692795" w:rsidRPr="005F1317" w:rsidRDefault="00692795" w:rsidP="00242AEE">
            <w:pPr>
              <w:jc w:val="center"/>
              <w:rPr>
                <w:sz w:val="20"/>
                <w:szCs w:val="20"/>
                <w:lang w:val="fr-CA"/>
              </w:rPr>
            </w:pPr>
          </w:p>
          <w:p w:rsidR="00692795" w:rsidRPr="005F1317" w:rsidRDefault="00692795" w:rsidP="00242AEE">
            <w:pPr>
              <w:jc w:val="center"/>
              <w:rPr>
                <w:sz w:val="20"/>
                <w:szCs w:val="20"/>
                <w:lang w:val="fr-CA"/>
              </w:rPr>
            </w:pPr>
          </w:p>
          <w:p w:rsidR="00692795" w:rsidRPr="005F1317" w:rsidRDefault="00692795" w:rsidP="00242AEE">
            <w:pPr>
              <w:jc w:val="center"/>
              <w:rPr>
                <w:sz w:val="20"/>
                <w:szCs w:val="20"/>
                <w:lang w:val="fr-CA"/>
              </w:rPr>
            </w:pPr>
          </w:p>
          <w:p w:rsidR="00692795" w:rsidRPr="005F1317" w:rsidRDefault="00692795" w:rsidP="00242AEE">
            <w:pPr>
              <w:jc w:val="center"/>
              <w:rPr>
                <w:sz w:val="20"/>
                <w:szCs w:val="20"/>
                <w:lang w:val="fr-CA"/>
              </w:rPr>
            </w:pPr>
          </w:p>
          <w:p w:rsidR="00692795" w:rsidRPr="005F1317" w:rsidRDefault="00692795" w:rsidP="00242AEE">
            <w:pPr>
              <w:jc w:val="center"/>
              <w:rPr>
                <w:sz w:val="20"/>
                <w:szCs w:val="20"/>
                <w:lang w:val="fr-CA"/>
              </w:rPr>
            </w:pPr>
          </w:p>
          <w:p w:rsidR="00692795" w:rsidRPr="005F1317" w:rsidRDefault="00692795" w:rsidP="00242AEE">
            <w:pPr>
              <w:jc w:val="center"/>
              <w:rPr>
                <w:sz w:val="20"/>
                <w:szCs w:val="20"/>
                <w:lang w:val="fr-CA"/>
              </w:rPr>
            </w:pPr>
          </w:p>
          <w:p w:rsidR="00692795" w:rsidRDefault="00692795" w:rsidP="00242AEE">
            <w:pPr>
              <w:jc w:val="center"/>
              <w:rPr>
                <w:sz w:val="20"/>
                <w:szCs w:val="20"/>
                <w:lang w:val="fr-CA"/>
              </w:rPr>
            </w:pPr>
          </w:p>
          <w:p w:rsidR="005F1317" w:rsidRDefault="005F1317" w:rsidP="00242AEE">
            <w:pPr>
              <w:jc w:val="center"/>
              <w:rPr>
                <w:sz w:val="20"/>
                <w:szCs w:val="20"/>
                <w:lang w:val="fr-CA"/>
              </w:rPr>
            </w:pPr>
          </w:p>
          <w:p w:rsidR="005F1317" w:rsidRDefault="005F1317" w:rsidP="00242AEE">
            <w:pPr>
              <w:jc w:val="center"/>
              <w:rPr>
                <w:sz w:val="20"/>
                <w:szCs w:val="20"/>
                <w:lang w:val="fr-CA"/>
              </w:rPr>
            </w:pPr>
          </w:p>
          <w:p w:rsidR="005F1317" w:rsidRDefault="005F1317" w:rsidP="00242AEE">
            <w:pPr>
              <w:jc w:val="center"/>
              <w:rPr>
                <w:sz w:val="20"/>
                <w:szCs w:val="20"/>
                <w:lang w:val="fr-CA"/>
              </w:rPr>
            </w:pPr>
          </w:p>
          <w:p w:rsidR="005F1317" w:rsidRDefault="005F1317" w:rsidP="00242AEE">
            <w:pPr>
              <w:jc w:val="center"/>
              <w:rPr>
                <w:sz w:val="20"/>
                <w:szCs w:val="20"/>
                <w:lang w:val="fr-CA"/>
              </w:rPr>
            </w:pPr>
          </w:p>
          <w:p w:rsidR="005F1317" w:rsidRDefault="005F1317" w:rsidP="00242AEE">
            <w:pPr>
              <w:jc w:val="center"/>
              <w:rPr>
                <w:sz w:val="20"/>
                <w:szCs w:val="20"/>
                <w:lang w:val="fr-CA"/>
              </w:rPr>
            </w:pPr>
          </w:p>
          <w:p w:rsidR="005F1317" w:rsidRDefault="005F1317" w:rsidP="00242AEE">
            <w:pPr>
              <w:jc w:val="center"/>
              <w:rPr>
                <w:sz w:val="20"/>
                <w:szCs w:val="20"/>
                <w:lang w:val="fr-CA"/>
              </w:rPr>
            </w:pPr>
          </w:p>
          <w:p w:rsidR="005F1317" w:rsidRDefault="005F1317" w:rsidP="00242AEE">
            <w:pPr>
              <w:jc w:val="center"/>
              <w:rPr>
                <w:sz w:val="20"/>
                <w:szCs w:val="20"/>
                <w:lang w:val="fr-CA"/>
              </w:rPr>
            </w:pPr>
          </w:p>
          <w:p w:rsidR="005F1317" w:rsidRDefault="005F1317" w:rsidP="00242AEE">
            <w:pPr>
              <w:jc w:val="center"/>
              <w:rPr>
                <w:sz w:val="20"/>
                <w:szCs w:val="20"/>
                <w:lang w:val="fr-CA"/>
              </w:rPr>
            </w:pPr>
          </w:p>
          <w:p w:rsidR="005F1317" w:rsidRDefault="005F1317" w:rsidP="00242AEE">
            <w:pPr>
              <w:jc w:val="center"/>
              <w:rPr>
                <w:sz w:val="20"/>
                <w:szCs w:val="20"/>
                <w:lang w:val="fr-CA"/>
              </w:rPr>
            </w:pPr>
          </w:p>
          <w:p w:rsidR="005F1317" w:rsidRDefault="005F1317" w:rsidP="00242AEE">
            <w:pPr>
              <w:jc w:val="center"/>
              <w:rPr>
                <w:sz w:val="20"/>
                <w:szCs w:val="20"/>
                <w:lang w:val="fr-CA"/>
              </w:rPr>
            </w:pPr>
          </w:p>
          <w:p w:rsidR="005F1317" w:rsidRDefault="005F1317" w:rsidP="00242AEE">
            <w:pPr>
              <w:jc w:val="center"/>
              <w:rPr>
                <w:sz w:val="20"/>
                <w:szCs w:val="20"/>
                <w:lang w:val="fr-CA"/>
              </w:rPr>
            </w:pPr>
          </w:p>
          <w:p w:rsidR="005F1317" w:rsidRPr="005F1317" w:rsidRDefault="005F1317" w:rsidP="00242AEE">
            <w:pPr>
              <w:jc w:val="center"/>
              <w:rPr>
                <w:sz w:val="20"/>
                <w:szCs w:val="20"/>
                <w:lang w:val="fr-CA"/>
              </w:rPr>
            </w:pPr>
          </w:p>
          <w:p w:rsidR="00692795" w:rsidRPr="005F1317" w:rsidRDefault="00692795" w:rsidP="00242AEE">
            <w:pPr>
              <w:jc w:val="center"/>
              <w:rPr>
                <w:sz w:val="20"/>
                <w:szCs w:val="20"/>
                <w:lang w:val="fr-CA"/>
              </w:rPr>
            </w:pPr>
          </w:p>
        </w:tc>
        <w:tc>
          <w:tcPr>
            <w:tcW w:w="4320" w:type="dxa"/>
            <w:shd w:val="clear" w:color="auto" w:fill="auto"/>
          </w:tcPr>
          <w:p w:rsidR="00692795" w:rsidRPr="005F1317" w:rsidRDefault="005F1317" w:rsidP="009E58D9">
            <w:pPr>
              <w:keepNext/>
              <w:keepLines/>
              <w:tabs>
                <w:tab w:val="left" w:pos="-1440"/>
                <w:tab w:val="left" w:pos="-720"/>
              </w:tabs>
              <w:rPr>
                <w:b/>
                <w:sz w:val="20"/>
                <w:szCs w:val="20"/>
              </w:rPr>
            </w:pPr>
            <w:r w:rsidRPr="005F1317">
              <w:rPr>
                <w:b/>
                <w:sz w:val="20"/>
                <w:szCs w:val="20"/>
              </w:rPr>
              <w:t>Royal &amp; Sunalliance Insurance Company of Canada</w:t>
            </w:r>
          </w:p>
          <w:p w:rsidR="00692795" w:rsidRPr="005F1317" w:rsidRDefault="00692795" w:rsidP="009E58D9">
            <w:pPr>
              <w:keepNext/>
              <w:keepLines/>
              <w:tabs>
                <w:tab w:val="left" w:pos="-1440"/>
                <w:tab w:val="left" w:pos="-720"/>
              </w:tabs>
              <w:rPr>
                <w:sz w:val="20"/>
                <w:szCs w:val="20"/>
              </w:rPr>
            </w:pPr>
            <w:r w:rsidRPr="005F1317">
              <w:rPr>
                <w:sz w:val="20"/>
                <w:szCs w:val="20"/>
              </w:rPr>
              <w:tab/>
            </w:r>
            <w:r w:rsidR="005F1317">
              <w:rPr>
                <w:sz w:val="20"/>
                <w:szCs w:val="20"/>
              </w:rPr>
              <w:t>Eric R. Williams</w:t>
            </w:r>
          </w:p>
          <w:p w:rsidR="00692795" w:rsidRPr="005F1317" w:rsidRDefault="00692795" w:rsidP="009E58D9">
            <w:pPr>
              <w:keepNext/>
              <w:keepLines/>
              <w:tabs>
                <w:tab w:val="left" w:pos="-1440"/>
                <w:tab w:val="left" w:pos="-720"/>
              </w:tabs>
              <w:rPr>
                <w:sz w:val="20"/>
                <w:szCs w:val="20"/>
              </w:rPr>
            </w:pPr>
            <w:r w:rsidRPr="005F1317">
              <w:rPr>
                <w:sz w:val="20"/>
                <w:szCs w:val="20"/>
              </w:rPr>
              <w:tab/>
            </w:r>
            <w:r w:rsidR="005F1317">
              <w:rPr>
                <w:sz w:val="20"/>
                <w:szCs w:val="20"/>
              </w:rPr>
              <w:t>Williams McEnery</w:t>
            </w:r>
          </w:p>
          <w:p w:rsidR="00692795" w:rsidRPr="005F1317" w:rsidRDefault="00692795" w:rsidP="009E58D9">
            <w:pPr>
              <w:keepNext/>
              <w:keepLines/>
              <w:tabs>
                <w:tab w:val="left" w:pos="-1440"/>
                <w:tab w:val="left" w:pos="-720"/>
              </w:tabs>
              <w:rPr>
                <w:sz w:val="20"/>
                <w:szCs w:val="20"/>
              </w:rPr>
            </w:pPr>
          </w:p>
          <w:p w:rsidR="00692795" w:rsidRPr="005F1317" w:rsidRDefault="00692795" w:rsidP="009E58D9">
            <w:pPr>
              <w:keepNext/>
              <w:keepLines/>
              <w:tabs>
                <w:tab w:val="left" w:pos="-1440"/>
                <w:tab w:val="left" w:pos="-720"/>
              </w:tabs>
              <w:rPr>
                <w:sz w:val="20"/>
                <w:szCs w:val="20"/>
              </w:rPr>
            </w:pPr>
            <w:r w:rsidRPr="005F1317">
              <w:rPr>
                <w:sz w:val="20"/>
                <w:szCs w:val="20"/>
              </w:rPr>
              <w:tab/>
              <w:t>v. (3</w:t>
            </w:r>
            <w:r w:rsidR="005F1317" w:rsidRPr="005F1317">
              <w:rPr>
                <w:sz w:val="20"/>
                <w:szCs w:val="20"/>
              </w:rPr>
              <w:t>4</w:t>
            </w:r>
            <w:r w:rsidRPr="005F1317">
              <w:rPr>
                <w:sz w:val="20"/>
                <w:szCs w:val="20"/>
              </w:rPr>
              <w:t>5</w:t>
            </w:r>
            <w:r w:rsidR="005F1317" w:rsidRPr="005F1317">
              <w:rPr>
                <w:sz w:val="20"/>
                <w:szCs w:val="20"/>
              </w:rPr>
              <w:t>94</w:t>
            </w:r>
            <w:r w:rsidRPr="005F1317">
              <w:rPr>
                <w:sz w:val="20"/>
                <w:szCs w:val="20"/>
              </w:rPr>
              <w:t>)</w:t>
            </w:r>
          </w:p>
          <w:p w:rsidR="00692795" w:rsidRPr="005F1317" w:rsidRDefault="00692795" w:rsidP="009E58D9">
            <w:pPr>
              <w:keepNext/>
              <w:keepLines/>
              <w:tabs>
                <w:tab w:val="left" w:pos="-1440"/>
                <w:tab w:val="left" w:pos="-720"/>
              </w:tabs>
              <w:rPr>
                <w:sz w:val="20"/>
                <w:szCs w:val="20"/>
              </w:rPr>
            </w:pPr>
          </w:p>
          <w:p w:rsidR="00692795" w:rsidRPr="00B962B5" w:rsidRDefault="005F1317" w:rsidP="009E58D9">
            <w:pPr>
              <w:keepNext/>
              <w:keepLines/>
              <w:tabs>
                <w:tab w:val="left" w:pos="-1440"/>
                <w:tab w:val="left" w:pos="-720"/>
              </w:tabs>
              <w:rPr>
                <w:b/>
                <w:sz w:val="20"/>
                <w:szCs w:val="20"/>
              </w:rPr>
            </w:pPr>
            <w:r>
              <w:rPr>
                <w:b/>
                <w:sz w:val="20"/>
                <w:szCs w:val="20"/>
              </w:rPr>
              <w:t xml:space="preserve">Estate of Michael Burke et al. </w:t>
            </w:r>
            <w:r w:rsidR="00692795" w:rsidRPr="00B962B5">
              <w:rPr>
                <w:b/>
                <w:sz w:val="20"/>
                <w:szCs w:val="20"/>
              </w:rPr>
              <w:t>(</w:t>
            </w:r>
            <w:r w:rsidRPr="00B962B5">
              <w:rPr>
                <w:b/>
                <w:sz w:val="20"/>
                <w:szCs w:val="20"/>
              </w:rPr>
              <w:t>N</w:t>
            </w:r>
            <w:r w:rsidR="00B962B5" w:rsidRPr="00B962B5">
              <w:rPr>
                <w:b/>
                <w:sz w:val="20"/>
                <w:szCs w:val="20"/>
              </w:rPr>
              <w:t>.B</w:t>
            </w:r>
            <w:r w:rsidR="00692795" w:rsidRPr="00B962B5">
              <w:rPr>
                <w:b/>
                <w:sz w:val="20"/>
                <w:szCs w:val="20"/>
              </w:rPr>
              <w:t>.)</w:t>
            </w:r>
          </w:p>
          <w:p w:rsidR="00692795" w:rsidRPr="00B962B5" w:rsidRDefault="00692795" w:rsidP="009E58D9">
            <w:pPr>
              <w:keepNext/>
              <w:keepLines/>
              <w:tabs>
                <w:tab w:val="left" w:pos="-1440"/>
                <w:tab w:val="left" w:pos="-720"/>
              </w:tabs>
              <w:rPr>
                <w:sz w:val="20"/>
                <w:szCs w:val="20"/>
              </w:rPr>
            </w:pPr>
            <w:r w:rsidRPr="00B962B5">
              <w:rPr>
                <w:sz w:val="20"/>
                <w:szCs w:val="20"/>
              </w:rPr>
              <w:tab/>
            </w:r>
            <w:r w:rsidR="00B962B5">
              <w:rPr>
                <w:sz w:val="20"/>
                <w:szCs w:val="20"/>
              </w:rPr>
              <w:t>Scott</w:t>
            </w:r>
            <w:r w:rsidR="00362AA7">
              <w:rPr>
                <w:sz w:val="20"/>
                <w:szCs w:val="20"/>
              </w:rPr>
              <w:t xml:space="preserve"> G.</w:t>
            </w:r>
            <w:r w:rsidR="00B962B5">
              <w:rPr>
                <w:sz w:val="20"/>
                <w:szCs w:val="20"/>
              </w:rPr>
              <w:t xml:space="preserve"> Ellsworth, Q.C.</w:t>
            </w:r>
          </w:p>
          <w:p w:rsidR="00692795" w:rsidRPr="00B962B5" w:rsidRDefault="00692795" w:rsidP="009E58D9">
            <w:pPr>
              <w:keepNext/>
              <w:keepLines/>
              <w:tabs>
                <w:tab w:val="left" w:pos="-1440"/>
                <w:tab w:val="left" w:pos="-720"/>
              </w:tabs>
              <w:rPr>
                <w:sz w:val="20"/>
                <w:szCs w:val="20"/>
              </w:rPr>
            </w:pPr>
            <w:r w:rsidRPr="00B962B5">
              <w:rPr>
                <w:sz w:val="20"/>
                <w:szCs w:val="20"/>
              </w:rPr>
              <w:tab/>
            </w:r>
            <w:r w:rsidR="00B962B5">
              <w:rPr>
                <w:sz w:val="20"/>
                <w:szCs w:val="20"/>
              </w:rPr>
              <w:t>Ellsworth Johnson Phillips</w:t>
            </w:r>
          </w:p>
          <w:p w:rsidR="00692795" w:rsidRPr="00B962B5" w:rsidRDefault="00692795" w:rsidP="009E58D9">
            <w:pPr>
              <w:keepNext/>
              <w:keepLines/>
              <w:tabs>
                <w:tab w:val="left" w:pos="-1440"/>
                <w:tab w:val="left" w:pos="-720"/>
              </w:tabs>
              <w:rPr>
                <w:sz w:val="20"/>
                <w:szCs w:val="20"/>
              </w:rPr>
            </w:pPr>
          </w:p>
          <w:p w:rsidR="00692795" w:rsidRPr="00B962B5" w:rsidRDefault="00692795" w:rsidP="009E58D9">
            <w:pPr>
              <w:rPr>
                <w:sz w:val="20"/>
                <w:szCs w:val="20"/>
              </w:rPr>
            </w:pPr>
            <w:r w:rsidRPr="00B962B5">
              <w:rPr>
                <w:sz w:val="20"/>
                <w:szCs w:val="20"/>
              </w:rPr>
              <w:t>FILING DATE: 2</w:t>
            </w:r>
            <w:r w:rsidR="00B962B5">
              <w:rPr>
                <w:sz w:val="20"/>
                <w:szCs w:val="20"/>
              </w:rPr>
              <w:t>3</w:t>
            </w:r>
            <w:r w:rsidRPr="00B962B5">
              <w:rPr>
                <w:sz w:val="20"/>
                <w:szCs w:val="20"/>
              </w:rPr>
              <w:t>.12.2011</w:t>
            </w:r>
            <w:r w:rsidR="00BF59B3" w:rsidRPr="00BF59B3">
              <w:rPr>
                <w:sz w:val="20"/>
                <w:szCs w:val="20"/>
                <w:lang w:val="fr-CA"/>
              </w:rPr>
              <w:pict>
                <v:rect id="_x0000_i1028" style="width:108pt;height:1pt" o:hrpct="0" o:hralign="center" o:hrstd="t" o:hrnoshade="t" o:hr="t" fillcolor="black [3213]" stroked="f"/>
              </w:pict>
            </w:r>
          </w:p>
          <w:p w:rsidR="005F1317" w:rsidRPr="00B962B5" w:rsidRDefault="005F1317" w:rsidP="009E58D9">
            <w:pPr>
              <w:rPr>
                <w:sz w:val="20"/>
                <w:szCs w:val="20"/>
              </w:rPr>
            </w:pPr>
          </w:p>
          <w:p w:rsidR="005F1317" w:rsidRPr="00B962B5" w:rsidRDefault="00B962B5" w:rsidP="005F1317">
            <w:pPr>
              <w:keepNext/>
              <w:keepLines/>
              <w:tabs>
                <w:tab w:val="left" w:pos="-1440"/>
                <w:tab w:val="left" w:pos="-720"/>
              </w:tabs>
              <w:rPr>
                <w:b/>
                <w:sz w:val="20"/>
                <w:szCs w:val="20"/>
                <w:lang w:val="fr-CA"/>
              </w:rPr>
            </w:pPr>
            <w:r w:rsidRPr="00B962B5">
              <w:rPr>
                <w:b/>
                <w:sz w:val="20"/>
                <w:szCs w:val="20"/>
                <w:lang w:val="fr-CA"/>
              </w:rPr>
              <w:t>Irma Nunez De La Torre Romero</w:t>
            </w:r>
          </w:p>
          <w:p w:rsidR="005F1317" w:rsidRPr="00B962B5" w:rsidRDefault="005F1317" w:rsidP="005F1317">
            <w:pPr>
              <w:keepNext/>
              <w:keepLines/>
              <w:tabs>
                <w:tab w:val="left" w:pos="-1440"/>
                <w:tab w:val="left" w:pos="-720"/>
              </w:tabs>
              <w:rPr>
                <w:sz w:val="20"/>
                <w:szCs w:val="20"/>
                <w:lang w:val="fr-CA"/>
              </w:rPr>
            </w:pPr>
            <w:r w:rsidRPr="00B962B5">
              <w:rPr>
                <w:sz w:val="20"/>
                <w:szCs w:val="20"/>
                <w:lang w:val="fr-CA"/>
              </w:rPr>
              <w:tab/>
            </w:r>
            <w:r w:rsidR="00B962B5">
              <w:rPr>
                <w:sz w:val="20"/>
                <w:szCs w:val="20"/>
                <w:lang w:val="fr-CA"/>
              </w:rPr>
              <w:t>Alan M. Stein</w:t>
            </w:r>
          </w:p>
          <w:p w:rsidR="005F1317" w:rsidRPr="00B962B5" w:rsidRDefault="005F1317" w:rsidP="005F1317">
            <w:pPr>
              <w:keepNext/>
              <w:keepLines/>
              <w:tabs>
                <w:tab w:val="left" w:pos="-1440"/>
                <w:tab w:val="left" w:pos="-720"/>
              </w:tabs>
              <w:rPr>
                <w:sz w:val="20"/>
                <w:szCs w:val="20"/>
                <w:lang w:val="fr-CA"/>
              </w:rPr>
            </w:pPr>
            <w:r w:rsidRPr="00B962B5">
              <w:rPr>
                <w:sz w:val="20"/>
                <w:szCs w:val="20"/>
                <w:lang w:val="fr-CA"/>
              </w:rPr>
              <w:tab/>
            </w:r>
            <w:r w:rsidR="00B962B5">
              <w:rPr>
                <w:sz w:val="20"/>
                <w:szCs w:val="20"/>
                <w:lang w:val="fr-CA"/>
              </w:rPr>
              <w:t>Stein &amp; Stein</w:t>
            </w:r>
          </w:p>
          <w:p w:rsidR="005F1317" w:rsidRPr="00B962B5" w:rsidRDefault="005F1317" w:rsidP="005F1317">
            <w:pPr>
              <w:keepNext/>
              <w:keepLines/>
              <w:tabs>
                <w:tab w:val="left" w:pos="-1440"/>
                <w:tab w:val="left" w:pos="-720"/>
              </w:tabs>
              <w:rPr>
                <w:sz w:val="20"/>
                <w:szCs w:val="20"/>
                <w:lang w:val="fr-CA"/>
              </w:rPr>
            </w:pPr>
          </w:p>
          <w:p w:rsidR="005F1317" w:rsidRPr="00B962B5" w:rsidRDefault="005F1317" w:rsidP="005F1317">
            <w:pPr>
              <w:keepNext/>
              <w:keepLines/>
              <w:tabs>
                <w:tab w:val="left" w:pos="-1440"/>
                <w:tab w:val="left" w:pos="-720"/>
              </w:tabs>
              <w:rPr>
                <w:sz w:val="20"/>
                <w:szCs w:val="20"/>
                <w:lang w:val="fr-CA"/>
              </w:rPr>
            </w:pPr>
            <w:r w:rsidRPr="00B962B5">
              <w:rPr>
                <w:sz w:val="20"/>
                <w:szCs w:val="20"/>
                <w:lang w:val="fr-CA"/>
              </w:rPr>
              <w:tab/>
              <w:t>v. (3</w:t>
            </w:r>
            <w:r w:rsidR="00B962B5" w:rsidRPr="00B962B5">
              <w:rPr>
                <w:sz w:val="20"/>
                <w:szCs w:val="20"/>
                <w:lang w:val="fr-CA"/>
              </w:rPr>
              <w:t>4</w:t>
            </w:r>
            <w:r w:rsidRPr="00B962B5">
              <w:rPr>
                <w:sz w:val="20"/>
                <w:szCs w:val="20"/>
                <w:lang w:val="fr-CA"/>
              </w:rPr>
              <w:t>5</w:t>
            </w:r>
            <w:r w:rsidR="00B962B5" w:rsidRPr="00B962B5">
              <w:rPr>
                <w:sz w:val="20"/>
                <w:szCs w:val="20"/>
                <w:lang w:val="fr-CA"/>
              </w:rPr>
              <w:t>95</w:t>
            </w:r>
            <w:r w:rsidRPr="00B962B5">
              <w:rPr>
                <w:sz w:val="20"/>
                <w:szCs w:val="20"/>
                <w:lang w:val="fr-CA"/>
              </w:rPr>
              <w:t>)</w:t>
            </w:r>
          </w:p>
          <w:p w:rsidR="005F1317" w:rsidRPr="00B962B5" w:rsidRDefault="005F1317" w:rsidP="005F1317">
            <w:pPr>
              <w:keepNext/>
              <w:keepLines/>
              <w:tabs>
                <w:tab w:val="left" w:pos="-1440"/>
                <w:tab w:val="left" w:pos="-720"/>
              </w:tabs>
              <w:rPr>
                <w:sz w:val="20"/>
                <w:szCs w:val="20"/>
                <w:lang w:val="fr-CA"/>
              </w:rPr>
            </w:pPr>
          </w:p>
          <w:p w:rsidR="005F1317" w:rsidRPr="00B962B5" w:rsidRDefault="00B962B5" w:rsidP="005F1317">
            <w:pPr>
              <w:keepNext/>
              <w:keepLines/>
              <w:tabs>
                <w:tab w:val="left" w:pos="-1440"/>
                <w:tab w:val="left" w:pos="-720"/>
              </w:tabs>
              <w:rPr>
                <w:b/>
                <w:sz w:val="20"/>
                <w:szCs w:val="20"/>
                <w:lang w:val="fr-CA"/>
              </w:rPr>
            </w:pPr>
            <w:r w:rsidRPr="00B962B5">
              <w:rPr>
                <w:b/>
                <w:sz w:val="20"/>
                <w:szCs w:val="20"/>
                <w:lang w:val="fr-CA"/>
              </w:rPr>
              <w:t xml:space="preserve">Ethan Lichtblau </w:t>
            </w:r>
            <w:r w:rsidR="005F1317" w:rsidRPr="00B962B5">
              <w:rPr>
                <w:b/>
                <w:sz w:val="20"/>
                <w:szCs w:val="20"/>
                <w:lang w:val="fr-CA"/>
              </w:rPr>
              <w:t>(</w:t>
            </w:r>
            <w:r w:rsidRPr="00B962B5">
              <w:rPr>
                <w:b/>
                <w:sz w:val="20"/>
                <w:szCs w:val="20"/>
                <w:lang w:val="fr-CA"/>
              </w:rPr>
              <w:t>Que.</w:t>
            </w:r>
            <w:r w:rsidR="005F1317" w:rsidRPr="00B962B5">
              <w:rPr>
                <w:b/>
                <w:sz w:val="20"/>
                <w:szCs w:val="20"/>
                <w:lang w:val="fr-CA"/>
              </w:rPr>
              <w:t>)</w:t>
            </w:r>
          </w:p>
          <w:p w:rsidR="005F1317" w:rsidRPr="00523F41" w:rsidRDefault="005F1317" w:rsidP="005F1317">
            <w:pPr>
              <w:keepNext/>
              <w:keepLines/>
              <w:tabs>
                <w:tab w:val="left" w:pos="-1440"/>
                <w:tab w:val="left" w:pos="-720"/>
              </w:tabs>
              <w:rPr>
                <w:sz w:val="20"/>
                <w:szCs w:val="20"/>
              </w:rPr>
            </w:pPr>
            <w:r w:rsidRPr="00B962B5">
              <w:rPr>
                <w:sz w:val="20"/>
                <w:szCs w:val="20"/>
                <w:lang w:val="fr-CA"/>
              </w:rPr>
              <w:tab/>
            </w:r>
            <w:r w:rsidR="0006294F" w:rsidRPr="00523F41">
              <w:rPr>
                <w:sz w:val="20"/>
                <w:szCs w:val="20"/>
              </w:rPr>
              <w:t>Stéphane Tremblay</w:t>
            </w:r>
          </w:p>
          <w:p w:rsidR="005F1317" w:rsidRPr="00523F41" w:rsidRDefault="005F1317" w:rsidP="005F1317">
            <w:pPr>
              <w:keepNext/>
              <w:keepLines/>
              <w:tabs>
                <w:tab w:val="left" w:pos="-1440"/>
                <w:tab w:val="left" w:pos="-720"/>
              </w:tabs>
              <w:rPr>
                <w:sz w:val="20"/>
                <w:szCs w:val="20"/>
              </w:rPr>
            </w:pPr>
            <w:r w:rsidRPr="00523F41">
              <w:rPr>
                <w:sz w:val="20"/>
                <w:szCs w:val="20"/>
              </w:rPr>
              <w:tab/>
            </w:r>
            <w:r w:rsidR="0006294F" w:rsidRPr="00523F41">
              <w:rPr>
                <w:sz w:val="20"/>
                <w:szCs w:val="20"/>
              </w:rPr>
              <w:t>McCarthy Tetrault LLP</w:t>
            </w:r>
          </w:p>
          <w:p w:rsidR="005F1317" w:rsidRPr="00523F41" w:rsidRDefault="005F1317" w:rsidP="005F1317">
            <w:pPr>
              <w:keepNext/>
              <w:keepLines/>
              <w:tabs>
                <w:tab w:val="left" w:pos="-1440"/>
                <w:tab w:val="left" w:pos="-720"/>
              </w:tabs>
              <w:rPr>
                <w:sz w:val="20"/>
                <w:szCs w:val="20"/>
              </w:rPr>
            </w:pPr>
          </w:p>
          <w:p w:rsidR="005F1317" w:rsidRPr="00B962B5" w:rsidRDefault="005F1317" w:rsidP="005F1317">
            <w:pPr>
              <w:rPr>
                <w:sz w:val="20"/>
                <w:szCs w:val="20"/>
              </w:rPr>
            </w:pPr>
            <w:r w:rsidRPr="00A935AA">
              <w:rPr>
                <w:sz w:val="20"/>
                <w:szCs w:val="20"/>
              </w:rPr>
              <w:t>FILING DATE: 28.</w:t>
            </w:r>
            <w:r>
              <w:rPr>
                <w:sz w:val="20"/>
                <w:szCs w:val="20"/>
              </w:rPr>
              <w:t>12</w:t>
            </w:r>
            <w:r w:rsidRPr="00A935AA">
              <w:rPr>
                <w:sz w:val="20"/>
                <w:szCs w:val="20"/>
              </w:rPr>
              <w:t>.201</w:t>
            </w:r>
            <w:r>
              <w:rPr>
                <w:sz w:val="20"/>
                <w:szCs w:val="20"/>
              </w:rPr>
              <w:t>1</w:t>
            </w:r>
            <w:r w:rsidR="00BF59B3" w:rsidRPr="00BF59B3">
              <w:rPr>
                <w:sz w:val="20"/>
                <w:szCs w:val="20"/>
                <w:lang w:val="fr-CA"/>
              </w:rPr>
              <w:pict>
                <v:rect id="_x0000_i1029" style="width:108pt;height:1pt" o:hrpct="0" o:hralign="center" o:hrstd="t" o:hrnoshade="t" o:hr="t" fillcolor="black [3213]" stroked="f"/>
              </w:pict>
            </w:r>
          </w:p>
        </w:tc>
      </w:tr>
      <w:tr w:rsidR="00692795" w:rsidRPr="0006294F" w:rsidTr="003B3977">
        <w:tc>
          <w:tcPr>
            <w:tcW w:w="4320" w:type="dxa"/>
            <w:shd w:val="clear" w:color="auto" w:fill="auto"/>
          </w:tcPr>
          <w:p w:rsidR="00692795" w:rsidRPr="0006294F" w:rsidRDefault="00692795" w:rsidP="009E58D9">
            <w:pPr>
              <w:tabs>
                <w:tab w:val="left" w:pos="-1440"/>
                <w:tab w:val="left" w:pos="-720"/>
              </w:tabs>
              <w:rPr>
                <w:sz w:val="20"/>
                <w:szCs w:val="20"/>
                <w:lang w:val="fr-CA"/>
              </w:rPr>
            </w:pPr>
            <w:r w:rsidRPr="00B962B5">
              <w:rPr>
                <w:sz w:val="20"/>
                <w:szCs w:val="20"/>
              </w:rPr>
              <w:tab/>
            </w:r>
            <w:r w:rsidR="0006294F" w:rsidRPr="0006294F">
              <w:rPr>
                <w:sz w:val="20"/>
                <w:szCs w:val="20"/>
                <w:lang w:val="fr-CA"/>
              </w:rPr>
              <w:t>Serge Létourneau</w:t>
            </w:r>
          </w:p>
          <w:p w:rsidR="00692795" w:rsidRPr="0006294F" w:rsidRDefault="00692795" w:rsidP="009E58D9">
            <w:pPr>
              <w:tabs>
                <w:tab w:val="left" w:pos="-1440"/>
                <w:tab w:val="left" w:pos="-720"/>
              </w:tabs>
              <w:rPr>
                <w:sz w:val="20"/>
                <w:szCs w:val="20"/>
                <w:lang w:val="fr-CA"/>
              </w:rPr>
            </w:pPr>
            <w:r w:rsidRPr="0006294F">
              <w:rPr>
                <w:sz w:val="20"/>
                <w:szCs w:val="20"/>
                <w:lang w:val="fr-CA"/>
              </w:rPr>
              <w:tab/>
            </w:r>
            <w:r w:rsidR="0006294F" w:rsidRPr="0006294F">
              <w:rPr>
                <w:sz w:val="20"/>
                <w:szCs w:val="20"/>
                <w:lang w:val="fr-CA"/>
              </w:rPr>
              <w:t>Létourneau &amp; Gagné</w:t>
            </w:r>
          </w:p>
          <w:p w:rsidR="00692795" w:rsidRPr="0006294F" w:rsidRDefault="00692795" w:rsidP="009E58D9">
            <w:pPr>
              <w:tabs>
                <w:tab w:val="left" w:pos="-1440"/>
                <w:tab w:val="left" w:pos="-720"/>
              </w:tabs>
              <w:rPr>
                <w:sz w:val="20"/>
                <w:szCs w:val="20"/>
                <w:lang w:val="fr-CA"/>
              </w:rPr>
            </w:pPr>
          </w:p>
          <w:p w:rsidR="00692795" w:rsidRPr="0006294F" w:rsidRDefault="00692795" w:rsidP="009E58D9">
            <w:pPr>
              <w:tabs>
                <w:tab w:val="left" w:pos="-1440"/>
                <w:tab w:val="left" w:pos="-720"/>
              </w:tabs>
              <w:rPr>
                <w:sz w:val="20"/>
                <w:szCs w:val="20"/>
                <w:lang w:val="fr-CA"/>
              </w:rPr>
            </w:pPr>
            <w:r w:rsidRPr="0006294F">
              <w:rPr>
                <w:sz w:val="20"/>
                <w:szCs w:val="20"/>
                <w:lang w:val="fr-CA"/>
              </w:rPr>
              <w:tab/>
            </w:r>
            <w:r w:rsidR="0006294F" w:rsidRPr="0006294F">
              <w:rPr>
                <w:sz w:val="20"/>
                <w:szCs w:val="20"/>
                <w:lang w:val="fr-CA"/>
              </w:rPr>
              <w:t>c</w:t>
            </w:r>
            <w:r w:rsidRPr="0006294F">
              <w:rPr>
                <w:sz w:val="20"/>
                <w:szCs w:val="20"/>
                <w:lang w:val="fr-CA"/>
              </w:rPr>
              <w:t>. (3</w:t>
            </w:r>
            <w:r w:rsidR="0006294F">
              <w:rPr>
                <w:sz w:val="20"/>
                <w:szCs w:val="20"/>
                <w:lang w:val="fr-CA"/>
              </w:rPr>
              <w:t>4</w:t>
            </w:r>
            <w:r w:rsidRPr="0006294F">
              <w:rPr>
                <w:sz w:val="20"/>
                <w:szCs w:val="20"/>
                <w:lang w:val="fr-CA"/>
              </w:rPr>
              <w:t>5</w:t>
            </w:r>
            <w:r w:rsidR="0006294F">
              <w:rPr>
                <w:sz w:val="20"/>
                <w:szCs w:val="20"/>
                <w:lang w:val="fr-CA"/>
              </w:rPr>
              <w:t>96</w:t>
            </w:r>
            <w:r w:rsidRPr="0006294F">
              <w:rPr>
                <w:sz w:val="20"/>
                <w:szCs w:val="20"/>
                <w:lang w:val="fr-CA"/>
              </w:rPr>
              <w:t>)</w:t>
            </w:r>
          </w:p>
          <w:p w:rsidR="00692795" w:rsidRPr="0006294F" w:rsidRDefault="00692795" w:rsidP="009E58D9">
            <w:pPr>
              <w:tabs>
                <w:tab w:val="left" w:pos="-1440"/>
                <w:tab w:val="left" w:pos="-720"/>
              </w:tabs>
              <w:rPr>
                <w:sz w:val="20"/>
                <w:szCs w:val="20"/>
                <w:lang w:val="fr-CA"/>
              </w:rPr>
            </w:pPr>
          </w:p>
          <w:p w:rsidR="00692795" w:rsidRPr="0006294F" w:rsidRDefault="0006294F" w:rsidP="009E58D9">
            <w:pPr>
              <w:tabs>
                <w:tab w:val="left" w:pos="-1440"/>
                <w:tab w:val="left" w:pos="-720"/>
              </w:tabs>
              <w:rPr>
                <w:b/>
                <w:sz w:val="20"/>
                <w:szCs w:val="20"/>
                <w:lang w:val="fr-CA"/>
              </w:rPr>
            </w:pPr>
            <w:r w:rsidRPr="0006294F">
              <w:rPr>
                <w:b/>
                <w:sz w:val="20"/>
                <w:szCs w:val="20"/>
                <w:lang w:val="fr-CA"/>
              </w:rPr>
              <w:t>Financière Banque Nationale, Lévesque Beaubien Geoffrion inc.</w:t>
            </w:r>
            <w:r>
              <w:rPr>
                <w:b/>
                <w:sz w:val="20"/>
                <w:szCs w:val="20"/>
                <w:lang w:val="fr-CA"/>
              </w:rPr>
              <w:t xml:space="preserve"> et autre </w:t>
            </w:r>
            <w:r w:rsidR="00692795" w:rsidRPr="0006294F">
              <w:rPr>
                <w:b/>
                <w:sz w:val="20"/>
                <w:szCs w:val="20"/>
                <w:lang w:val="fr-CA"/>
              </w:rPr>
              <w:t>(</w:t>
            </w:r>
            <w:r w:rsidRPr="0006294F">
              <w:rPr>
                <w:b/>
                <w:sz w:val="20"/>
                <w:szCs w:val="20"/>
                <w:lang w:val="fr-CA"/>
              </w:rPr>
              <w:t>Qc</w:t>
            </w:r>
            <w:r w:rsidR="00692795" w:rsidRPr="0006294F">
              <w:rPr>
                <w:b/>
                <w:sz w:val="20"/>
                <w:szCs w:val="20"/>
                <w:lang w:val="fr-CA"/>
              </w:rPr>
              <w:t>)</w:t>
            </w:r>
          </w:p>
          <w:p w:rsidR="00692795" w:rsidRPr="0006294F" w:rsidRDefault="00692795" w:rsidP="009E58D9">
            <w:pPr>
              <w:tabs>
                <w:tab w:val="left" w:pos="-1440"/>
                <w:tab w:val="left" w:pos="-720"/>
              </w:tabs>
              <w:rPr>
                <w:sz w:val="20"/>
                <w:szCs w:val="20"/>
                <w:lang w:val="fr-CA"/>
              </w:rPr>
            </w:pPr>
            <w:r w:rsidRPr="0006294F">
              <w:rPr>
                <w:sz w:val="20"/>
                <w:szCs w:val="20"/>
                <w:lang w:val="fr-CA"/>
              </w:rPr>
              <w:tab/>
            </w:r>
            <w:r w:rsidR="0006294F">
              <w:rPr>
                <w:sz w:val="20"/>
                <w:szCs w:val="20"/>
                <w:lang w:val="fr-CA"/>
              </w:rPr>
              <w:t>Jacques Demers</w:t>
            </w:r>
          </w:p>
          <w:p w:rsidR="00692795" w:rsidRPr="0006294F" w:rsidRDefault="00692795" w:rsidP="009E58D9">
            <w:pPr>
              <w:tabs>
                <w:tab w:val="left" w:pos="-1440"/>
                <w:tab w:val="left" w:pos="-720"/>
              </w:tabs>
              <w:rPr>
                <w:sz w:val="20"/>
                <w:szCs w:val="20"/>
                <w:lang w:val="fr-CA"/>
              </w:rPr>
            </w:pPr>
            <w:r w:rsidRPr="0006294F">
              <w:rPr>
                <w:sz w:val="20"/>
                <w:szCs w:val="20"/>
                <w:lang w:val="fr-CA"/>
              </w:rPr>
              <w:tab/>
            </w:r>
            <w:r w:rsidR="0006294F">
              <w:rPr>
                <w:sz w:val="20"/>
                <w:szCs w:val="20"/>
                <w:lang w:val="fr-CA"/>
              </w:rPr>
              <w:t>O’Brien</w:t>
            </w:r>
          </w:p>
          <w:p w:rsidR="00692795" w:rsidRPr="0006294F" w:rsidRDefault="00692795" w:rsidP="009E58D9">
            <w:pPr>
              <w:tabs>
                <w:tab w:val="left" w:pos="-1440"/>
                <w:tab w:val="left" w:pos="-720"/>
              </w:tabs>
              <w:rPr>
                <w:sz w:val="20"/>
                <w:szCs w:val="20"/>
                <w:lang w:val="fr-CA"/>
              </w:rPr>
            </w:pPr>
          </w:p>
          <w:p w:rsidR="00692795" w:rsidRPr="0006294F" w:rsidRDefault="00692795" w:rsidP="009E58D9">
            <w:pPr>
              <w:rPr>
                <w:sz w:val="20"/>
                <w:szCs w:val="20"/>
                <w:lang w:val="fr-CA"/>
              </w:rPr>
            </w:pPr>
            <w:r w:rsidRPr="0006294F">
              <w:rPr>
                <w:sz w:val="20"/>
                <w:szCs w:val="20"/>
                <w:lang w:val="fr-CA"/>
              </w:rPr>
              <w:t>DATE</w:t>
            </w:r>
            <w:r w:rsidR="0006294F">
              <w:rPr>
                <w:sz w:val="20"/>
                <w:szCs w:val="20"/>
                <w:lang w:val="fr-CA"/>
              </w:rPr>
              <w:t xml:space="preserve"> DE PRODUCTION </w:t>
            </w:r>
            <w:r w:rsidRPr="0006294F">
              <w:rPr>
                <w:sz w:val="20"/>
                <w:szCs w:val="20"/>
                <w:lang w:val="fr-CA"/>
              </w:rPr>
              <w:t>: 2</w:t>
            </w:r>
            <w:r w:rsidR="0006294F">
              <w:rPr>
                <w:sz w:val="20"/>
                <w:szCs w:val="20"/>
                <w:lang w:val="fr-CA"/>
              </w:rPr>
              <w:t>9</w:t>
            </w:r>
            <w:r w:rsidRPr="0006294F">
              <w:rPr>
                <w:sz w:val="20"/>
                <w:szCs w:val="20"/>
                <w:lang w:val="fr-CA"/>
              </w:rPr>
              <w:t>.12.2011</w:t>
            </w:r>
          </w:p>
          <w:p w:rsidR="00692795" w:rsidRPr="0006294F" w:rsidRDefault="00BF59B3" w:rsidP="009E58D9">
            <w:pPr>
              <w:rPr>
                <w:sz w:val="20"/>
                <w:szCs w:val="20"/>
                <w:lang w:val="fr-CA"/>
              </w:rPr>
            </w:pPr>
            <w:r w:rsidRPr="00BF59B3">
              <w:rPr>
                <w:sz w:val="20"/>
                <w:szCs w:val="20"/>
                <w:lang w:val="fr-CA"/>
              </w:rPr>
              <w:pict>
                <v:rect id="_x0000_i1030" style="width:108pt;height:1pt" o:hrpct="0" o:hralign="center" o:hrstd="t" o:hrnoshade="t" o:hr="t" fillcolor="black [3213]" stroked="f"/>
              </w:pict>
            </w:r>
          </w:p>
        </w:tc>
        <w:tc>
          <w:tcPr>
            <w:tcW w:w="1181" w:type="dxa"/>
            <w:shd w:val="clear" w:color="auto" w:fill="auto"/>
          </w:tcPr>
          <w:p w:rsidR="00692795" w:rsidRPr="0006294F" w:rsidRDefault="00692795" w:rsidP="00242AEE">
            <w:pPr>
              <w:jc w:val="center"/>
              <w:rPr>
                <w:sz w:val="20"/>
                <w:szCs w:val="20"/>
                <w:lang w:val="fr-CA"/>
              </w:rPr>
            </w:pPr>
          </w:p>
          <w:p w:rsidR="00692795" w:rsidRPr="0006294F" w:rsidRDefault="00692795" w:rsidP="00242AEE">
            <w:pPr>
              <w:jc w:val="center"/>
              <w:rPr>
                <w:sz w:val="20"/>
                <w:szCs w:val="20"/>
                <w:lang w:val="fr-CA"/>
              </w:rPr>
            </w:pPr>
          </w:p>
          <w:p w:rsidR="00692795" w:rsidRPr="0006294F" w:rsidRDefault="00692795" w:rsidP="00242AEE">
            <w:pPr>
              <w:jc w:val="center"/>
              <w:rPr>
                <w:sz w:val="20"/>
                <w:szCs w:val="20"/>
                <w:lang w:val="fr-CA"/>
              </w:rPr>
            </w:pPr>
          </w:p>
          <w:p w:rsidR="00692795" w:rsidRPr="0006294F" w:rsidRDefault="00692795" w:rsidP="00242AEE">
            <w:pPr>
              <w:jc w:val="center"/>
              <w:rPr>
                <w:sz w:val="20"/>
                <w:szCs w:val="20"/>
                <w:lang w:val="fr-CA"/>
              </w:rPr>
            </w:pPr>
          </w:p>
          <w:p w:rsidR="00692795" w:rsidRPr="0006294F" w:rsidRDefault="00692795" w:rsidP="00242AEE">
            <w:pPr>
              <w:jc w:val="center"/>
              <w:rPr>
                <w:sz w:val="20"/>
                <w:szCs w:val="20"/>
                <w:lang w:val="fr-CA"/>
              </w:rPr>
            </w:pPr>
          </w:p>
          <w:p w:rsidR="00692795" w:rsidRPr="0006294F" w:rsidRDefault="00692795" w:rsidP="00242AEE">
            <w:pPr>
              <w:jc w:val="center"/>
              <w:rPr>
                <w:sz w:val="20"/>
                <w:szCs w:val="20"/>
                <w:lang w:val="fr-CA"/>
              </w:rPr>
            </w:pPr>
          </w:p>
          <w:p w:rsidR="00692795" w:rsidRPr="0006294F" w:rsidRDefault="00692795" w:rsidP="00242AEE">
            <w:pPr>
              <w:jc w:val="center"/>
              <w:rPr>
                <w:sz w:val="20"/>
                <w:szCs w:val="20"/>
                <w:lang w:val="fr-CA"/>
              </w:rPr>
            </w:pPr>
          </w:p>
          <w:p w:rsidR="00692795" w:rsidRPr="0006294F" w:rsidRDefault="00692795" w:rsidP="00242AEE">
            <w:pPr>
              <w:jc w:val="center"/>
              <w:rPr>
                <w:sz w:val="20"/>
                <w:szCs w:val="20"/>
                <w:lang w:val="fr-CA"/>
              </w:rPr>
            </w:pPr>
          </w:p>
          <w:p w:rsidR="00692795" w:rsidRPr="0006294F" w:rsidRDefault="00692795" w:rsidP="00242AEE">
            <w:pPr>
              <w:jc w:val="center"/>
              <w:rPr>
                <w:sz w:val="20"/>
                <w:szCs w:val="20"/>
                <w:lang w:val="fr-CA"/>
              </w:rPr>
            </w:pPr>
          </w:p>
          <w:p w:rsidR="00692795" w:rsidRPr="0006294F" w:rsidRDefault="00692795" w:rsidP="00242AEE">
            <w:pPr>
              <w:jc w:val="center"/>
              <w:rPr>
                <w:sz w:val="20"/>
                <w:szCs w:val="20"/>
                <w:lang w:val="fr-CA"/>
              </w:rPr>
            </w:pPr>
          </w:p>
          <w:p w:rsidR="00692795" w:rsidRPr="0006294F" w:rsidRDefault="00692795" w:rsidP="00242AEE">
            <w:pPr>
              <w:jc w:val="center"/>
              <w:rPr>
                <w:sz w:val="20"/>
                <w:szCs w:val="20"/>
                <w:lang w:val="fr-CA"/>
              </w:rPr>
            </w:pPr>
          </w:p>
          <w:p w:rsidR="00692795" w:rsidRPr="0006294F" w:rsidRDefault="00692795" w:rsidP="00242AEE">
            <w:pPr>
              <w:jc w:val="center"/>
              <w:rPr>
                <w:sz w:val="20"/>
                <w:szCs w:val="20"/>
                <w:lang w:val="fr-CA"/>
              </w:rPr>
            </w:pPr>
          </w:p>
        </w:tc>
        <w:tc>
          <w:tcPr>
            <w:tcW w:w="4320" w:type="dxa"/>
            <w:shd w:val="clear" w:color="auto" w:fill="auto"/>
          </w:tcPr>
          <w:p w:rsidR="00692795" w:rsidRPr="0006294F" w:rsidRDefault="00692795" w:rsidP="009E58D9">
            <w:pPr>
              <w:rPr>
                <w:sz w:val="20"/>
                <w:szCs w:val="20"/>
                <w:lang w:val="fr-CA"/>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692795">
          <w:headerReference w:type="default" r:id="rId11"/>
          <w:footerReference w:type="default" r:id="rId12"/>
          <w:headerReference w:type="first" r:id="rId13"/>
          <w:footerReference w:type="first" r:id="rId14"/>
          <w:pgSz w:w="12240" w:h="15840"/>
          <w:pgMar w:top="720" w:right="965" w:bottom="1080" w:left="1656" w:header="706" w:footer="706" w:gutter="0"/>
          <w:pgNumType w:start="48"/>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A6632B"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F8505F" w:rsidP="004B7F60">
      <w:pPr>
        <w:widowControl w:val="0"/>
        <w:rPr>
          <w:b/>
          <w:sz w:val="20"/>
          <w:szCs w:val="20"/>
        </w:rPr>
      </w:pPr>
      <w:r>
        <w:rPr>
          <w:b/>
          <w:sz w:val="20"/>
          <w:szCs w:val="20"/>
        </w:rPr>
        <w:t>JANUA</w:t>
      </w:r>
      <w:r w:rsidR="004B7F60">
        <w:rPr>
          <w:b/>
          <w:sz w:val="20"/>
          <w:szCs w:val="20"/>
        </w:rPr>
        <w:t>R</w:t>
      </w:r>
      <w:r>
        <w:rPr>
          <w:b/>
          <w:sz w:val="20"/>
          <w:szCs w:val="20"/>
        </w:rPr>
        <w:t>Y</w:t>
      </w:r>
      <w:r w:rsidR="004B7F60" w:rsidRPr="00C50A5C">
        <w:rPr>
          <w:b/>
          <w:sz w:val="20"/>
          <w:szCs w:val="20"/>
        </w:rPr>
        <w:t xml:space="preserve"> </w:t>
      </w:r>
      <w:r>
        <w:rPr>
          <w:b/>
          <w:sz w:val="20"/>
          <w:szCs w:val="20"/>
        </w:rPr>
        <w:t>16</w:t>
      </w:r>
      <w:r w:rsidR="004B7F60" w:rsidRPr="00C50A5C">
        <w:rPr>
          <w:b/>
          <w:sz w:val="20"/>
          <w:szCs w:val="20"/>
        </w:rPr>
        <w:t>, 201</w:t>
      </w:r>
      <w:r>
        <w:rPr>
          <w:b/>
          <w:sz w:val="20"/>
          <w:szCs w:val="20"/>
        </w:rPr>
        <w:t>2</w:t>
      </w:r>
      <w:r w:rsidR="004B7F60" w:rsidRPr="00C50A5C">
        <w:rPr>
          <w:b/>
          <w:sz w:val="20"/>
          <w:szCs w:val="20"/>
        </w:rPr>
        <w:t xml:space="preserve"> / LE </w:t>
      </w:r>
      <w:r>
        <w:rPr>
          <w:b/>
          <w:sz w:val="20"/>
          <w:szCs w:val="20"/>
        </w:rPr>
        <w:t>16 JA</w:t>
      </w:r>
      <w:r w:rsidR="004B7F60">
        <w:rPr>
          <w:b/>
          <w:sz w:val="20"/>
          <w:szCs w:val="20"/>
        </w:rPr>
        <w:t>NV</w:t>
      </w:r>
      <w:r>
        <w:rPr>
          <w:b/>
          <w:sz w:val="20"/>
          <w:szCs w:val="20"/>
        </w:rPr>
        <w:t>I</w:t>
      </w:r>
      <w:r w:rsidR="004B7F60">
        <w:rPr>
          <w:b/>
          <w:sz w:val="20"/>
          <w:szCs w:val="20"/>
        </w:rPr>
        <w:t>ER</w:t>
      </w:r>
      <w:r w:rsidR="004B7F60" w:rsidRPr="00C50A5C">
        <w:rPr>
          <w:b/>
          <w:sz w:val="20"/>
          <w:szCs w:val="20"/>
        </w:rPr>
        <w:t xml:space="preserve"> 201</w:t>
      </w:r>
      <w:r>
        <w:rPr>
          <w:b/>
          <w:sz w:val="20"/>
          <w:szCs w:val="20"/>
        </w:rPr>
        <w:t>2</w:t>
      </w:r>
    </w:p>
    <w:p w:rsidR="004B7F60" w:rsidRDefault="004B7F60" w:rsidP="004B7F60">
      <w:pPr>
        <w:widowControl w:val="0"/>
        <w:rPr>
          <w:sz w:val="20"/>
          <w:szCs w:val="20"/>
        </w:rPr>
      </w:pPr>
    </w:p>
    <w:p w:rsidR="00895F3F" w:rsidRPr="00C50A5C" w:rsidRDefault="00895F3F" w:rsidP="00895F3F">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895F3F" w:rsidRPr="00C50A5C" w:rsidRDefault="00895F3F" w:rsidP="00895F3F">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895F3F" w:rsidRDefault="00895F3F" w:rsidP="00895F3F">
      <w:pPr>
        <w:widowControl w:val="0"/>
        <w:rPr>
          <w:sz w:val="20"/>
          <w:szCs w:val="20"/>
          <w:lang w:val="fr-CA"/>
        </w:rPr>
      </w:pPr>
    </w:p>
    <w:p w:rsidR="00895F3F" w:rsidRPr="005122B2" w:rsidRDefault="006149AA" w:rsidP="00895F3F">
      <w:pPr>
        <w:pStyle w:val="ListParagraph"/>
        <w:numPr>
          <w:ilvl w:val="0"/>
          <w:numId w:val="2"/>
        </w:numPr>
        <w:ind w:hanging="720"/>
        <w:rPr>
          <w:sz w:val="20"/>
          <w:szCs w:val="20"/>
        </w:rPr>
      </w:pPr>
      <w:r w:rsidRPr="006149AA">
        <w:rPr>
          <w:i/>
          <w:sz w:val="20"/>
          <w:szCs w:val="20"/>
        </w:rPr>
        <w:t>Jeffrey Lipsitz et al. v. College of Physicians and Surgeons of Ontario et al.</w:t>
      </w:r>
      <w:r w:rsidRPr="006149AA">
        <w:rPr>
          <w:sz w:val="20"/>
          <w:szCs w:val="20"/>
        </w:rPr>
        <w:t xml:space="preserve"> (Ont.) (Civil) (By Leave)</w:t>
      </w:r>
      <w:r w:rsidRPr="005122B2">
        <w:rPr>
          <w:sz w:val="20"/>
          <w:szCs w:val="20"/>
        </w:rPr>
        <w:t xml:space="preserve"> </w:t>
      </w:r>
      <w:r w:rsidR="00895F3F" w:rsidRPr="005122B2">
        <w:rPr>
          <w:sz w:val="20"/>
          <w:szCs w:val="20"/>
        </w:rPr>
        <w:t>(34</w:t>
      </w:r>
      <w:r>
        <w:rPr>
          <w:sz w:val="20"/>
          <w:szCs w:val="20"/>
        </w:rPr>
        <w:t>4</w:t>
      </w:r>
      <w:r w:rsidR="00895F3F" w:rsidRPr="005122B2">
        <w:rPr>
          <w:sz w:val="20"/>
          <w:szCs w:val="20"/>
        </w:rPr>
        <w:t>3</w:t>
      </w:r>
      <w:r>
        <w:rPr>
          <w:sz w:val="20"/>
          <w:szCs w:val="20"/>
        </w:rPr>
        <w:t>9</w:t>
      </w:r>
      <w:r w:rsidR="00895F3F" w:rsidRPr="005122B2">
        <w:rPr>
          <w:sz w:val="20"/>
          <w:szCs w:val="20"/>
        </w:rPr>
        <w:t>)</w:t>
      </w:r>
    </w:p>
    <w:p w:rsidR="00895F3F" w:rsidRPr="005122B2" w:rsidRDefault="00895F3F" w:rsidP="00895F3F">
      <w:pPr>
        <w:widowControl w:val="0"/>
        <w:ind w:left="720" w:hanging="720"/>
        <w:rPr>
          <w:sz w:val="20"/>
          <w:szCs w:val="20"/>
        </w:rPr>
      </w:pPr>
    </w:p>
    <w:p w:rsidR="00895F3F" w:rsidRPr="00C814E7" w:rsidRDefault="006149AA" w:rsidP="00895F3F">
      <w:pPr>
        <w:pStyle w:val="SCCAppellantInfoAppellantInfo"/>
        <w:numPr>
          <w:ilvl w:val="0"/>
          <w:numId w:val="2"/>
        </w:numPr>
        <w:ind w:hanging="720"/>
        <w:rPr>
          <w:sz w:val="20"/>
          <w:szCs w:val="20"/>
        </w:rPr>
      </w:pPr>
      <w:r w:rsidRPr="006149AA">
        <w:rPr>
          <w:i/>
          <w:sz w:val="20"/>
          <w:szCs w:val="20"/>
        </w:rPr>
        <w:t>James Whelan v. Woodbine Entertainment Group</w:t>
      </w:r>
      <w:r w:rsidRPr="006149AA">
        <w:rPr>
          <w:sz w:val="20"/>
          <w:szCs w:val="20"/>
        </w:rPr>
        <w:t xml:space="preserve"> (Ont.) (Civil) (By Leave)</w:t>
      </w:r>
      <w:r w:rsidRPr="00C814E7">
        <w:rPr>
          <w:sz w:val="20"/>
          <w:szCs w:val="20"/>
        </w:rPr>
        <w:t xml:space="preserve"> </w:t>
      </w:r>
      <w:r w:rsidR="00895F3F" w:rsidRPr="00C814E7">
        <w:rPr>
          <w:sz w:val="20"/>
          <w:szCs w:val="20"/>
        </w:rPr>
        <w:t>(343</w:t>
      </w:r>
      <w:r>
        <w:rPr>
          <w:sz w:val="20"/>
          <w:szCs w:val="20"/>
        </w:rPr>
        <w:t>27</w:t>
      </w:r>
      <w:r w:rsidR="00895F3F" w:rsidRPr="00C814E7">
        <w:rPr>
          <w:sz w:val="20"/>
          <w:szCs w:val="20"/>
        </w:rPr>
        <w:t>)</w:t>
      </w:r>
    </w:p>
    <w:p w:rsidR="00895F3F" w:rsidRDefault="00895F3F" w:rsidP="00895F3F">
      <w:pPr>
        <w:widowControl w:val="0"/>
        <w:ind w:left="720" w:hanging="720"/>
        <w:rPr>
          <w:sz w:val="20"/>
          <w:szCs w:val="20"/>
        </w:rPr>
      </w:pPr>
    </w:p>
    <w:p w:rsidR="006149AA" w:rsidRDefault="006149AA" w:rsidP="00895F3F">
      <w:pPr>
        <w:widowControl w:val="0"/>
        <w:ind w:left="720" w:hanging="720"/>
        <w:rPr>
          <w:sz w:val="20"/>
          <w:szCs w:val="20"/>
        </w:rPr>
      </w:pPr>
    </w:p>
    <w:p w:rsidR="006149AA" w:rsidRPr="00B31C78" w:rsidRDefault="006149AA" w:rsidP="006149AA">
      <w:pPr>
        <w:widowControl w:val="0"/>
        <w:jc w:val="center"/>
        <w:rPr>
          <w:b/>
          <w:sz w:val="20"/>
          <w:szCs w:val="20"/>
        </w:rPr>
      </w:pPr>
      <w:r w:rsidRPr="00B31C78">
        <w:rPr>
          <w:b/>
          <w:sz w:val="20"/>
          <w:szCs w:val="20"/>
        </w:rPr>
        <w:t>CORAM: LeBel, Abella and Cromwell JJ.</w:t>
      </w:r>
    </w:p>
    <w:p w:rsidR="006149AA" w:rsidRPr="00B31C78" w:rsidRDefault="006149AA" w:rsidP="006149AA">
      <w:pPr>
        <w:widowControl w:val="0"/>
        <w:jc w:val="center"/>
        <w:rPr>
          <w:b/>
          <w:sz w:val="20"/>
          <w:szCs w:val="20"/>
          <w:lang w:val="fr-CA"/>
        </w:rPr>
      </w:pPr>
      <w:r w:rsidRPr="00B31C78">
        <w:rPr>
          <w:b/>
          <w:sz w:val="20"/>
          <w:szCs w:val="20"/>
          <w:lang w:val="fr-CA"/>
        </w:rPr>
        <w:t>Les juges LeBel, Abella et Cromwell</w:t>
      </w:r>
    </w:p>
    <w:p w:rsidR="006149AA" w:rsidRPr="006149AA" w:rsidRDefault="006149AA" w:rsidP="00895F3F">
      <w:pPr>
        <w:widowControl w:val="0"/>
        <w:ind w:left="720" w:hanging="720"/>
        <w:rPr>
          <w:sz w:val="20"/>
          <w:szCs w:val="20"/>
          <w:lang w:val="fr-CA"/>
        </w:rPr>
      </w:pPr>
    </w:p>
    <w:p w:rsidR="00895F3F" w:rsidRPr="005122B2" w:rsidRDefault="006149AA" w:rsidP="00895F3F">
      <w:pPr>
        <w:pStyle w:val="SCCAppellantInfoAppellantInfo"/>
        <w:numPr>
          <w:ilvl w:val="0"/>
          <w:numId w:val="2"/>
        </w:numPr>
        <w:ind w:hanging="720"/>
        <w:rPr>
          <w:sz w:val="20"/>
          <w:szCs w:val="20"/>
        </w:rPr>
      </w:pPr>
      <w:r w:rsidRPr="006149AA">
        <w:rPr>
          <w:i/>
          <w:sz w:val="20"/>
          <w:szCs w:val="20"/>
        </w:rPr>
        <w:t>Kirk Klymchuk v. Her Majesty the Queen</w:t>
      </w:r>
      <w:r w:rsidRPr="006149AA">
        <w:rPr>
          <w:sz w:val="20"/>
          <w:szCs w:val="20"/>
        </w:rPr>
        <w:t xml:space="preserve"> (Ont.) (Crim</w:t>
      </w:r>
      <w:r>
        <w:rPr>
          <w:sz w:val="20"/>
          <w:szCs w:val="20"/>
        </w:rPr>
        <w:t>.</w:t>
      </w:r>
      <w:r w:rsidRPr="006149AA">
        <w:rPr>
          <w:sz w:val="20"/>
          <w:szCs w:val="20"/>
        </w:rPr>
        <w:t>) (By Leave)</w:t>
      </w:r>
      <w:r w:rsidRPr="005122B2">
        <w:rPr>
          <w:sz w:val="20"/>
          <w:szCs w:val="20"/>
        </w:rPr>
        <w:t xml:space="preserve"> </w:t>
      </w:r>
      <w:r w:rsidR="00895F3F" w:rsidRPr="005122B2">
        <w:rPr>
          <w:sz w:val="20"/>
          <w:szCs w:val="20"/>
        </w:rPr>
        <w:t>(34</w:t>
      </w:r>
      <w:r>
        <w:rPr>
          <w:sz w:val="20"/>
          <w:szCs w:val="20"/>
        </w:rPr>
        <w:t>38</w:t>
      </w:r>
      <w:r w:rsidR="00895F3F" w:rsidRPr="005122B2">
        <w:rPr>
          <w:sz w:val="20"/>
          <w:szCs w:val="20"/>
        </w:rPr>
        <w:t>1)</w:t>
      </w:r>
    </w:p>
    <w:p w:rsidR="00895F3F" w:rsidRDefault="00895F3F" w:rsidP="00895F3F">
      <w:pPr>
        <w:widowControl w:val="0"/>
        <w:jc w:val="both"/>
        <w:rPr>
          <w:sz w:val="20"/>
          <w:szCs w:val="20"/>
          <w:lang w:val="en-US"/>
        </w:rPr>
      </w:pPr>
    </w:p>
    <w:p w:rsidR="006149AA" w:rsidRDefault="006149AA" w:rsidP="00895F3F">
      <w:pPr>
        <w:widowControl w:val="0"/>
        <w:jc w:val="both"/>
        <w:rPr>
          <w:sz w:val="20"/>
          <w:szCs w:val="20"/>
          <w:lang w:val="en-US"/>
        </w:rPr>
      </w:pPr>
    </w:p>
    <w:p w:rsidR="006149AA" w:rsidRPr="00C50A5C" w:rsidRDefault="006149AA" w:rsidP="006149AA">
      <w:pPr>
        <w:widowControl w:val="0"/>
        <w:jc w:val="center"/>
        <w:rPr>
          <w:b/>
          <w:sz w:val="20"/>
          <w:szCs w:val="20"/>
        </w:rPr>
      </w:pPr>
      <w:r w:rsidRPr="00C50A5C">
        <w:rPr>
          <w:b/>
          <w:sz w:val="20"/>
          <w:szCs w:val="20"/>
        </w:rPr>
        <w:t xml:space="preserve">CORAM: </w:t>
      </w:r>
      <w:r>
        <w:rPr>
          <w:b/>
          <w:sz w:val="20"/>
          <w:szCs w:val="20"/>
        </w:rPr>
        <w:t>Deschamps</w:t>
      </w:r>
      <w:r w:rsidRPr="00C50A5C">
        <w:rPr>
          <w:b/>
          <w:sz w:val="20"/>
          <w:szCs w:val="20"/>
        </w:rPr>
        <w:t xml:space="preserve">, </w:t>
      </w:r>
      <w:r>
        <w:rPr>
          <w:b/>
          <w:sz w:val="20"/>
          <w:szCs w:val="20"/>
        </w:rPr>
        <w:t>Fish</w:t>
      </w:r>
      <w:r w:rsidRPr="00C50A5C">
        <w:rPr>
          <w:b/>
          <w:sz w:val="20"/>
          <w:szCs w:val="20"/>
        </w:rPr>
        <w:t xml:space="preserve"> and </w:t>
      </w:r>
      <w:r>
        <w:rPr>
          <w:b/>
          <w:sz w:val="20"/>
          <w:szCs w:val="20"/>
        </w:rPr>
        <w:t>Karakatsanis</w:t>
      </w:r>
      <w:r w:rsidRPr="00C50A5C">
        <w:rPr>
          <w:b/>
          <w:sz w:val="20"/>
          <w:szCs w:val="20"/>
        </w:rPr>
        <w:t xml:space="preserve"> JJ.</w:t>
      </w:r>
    </w:p>
    <w:p w:rsidR="006149AA" w:rsidRPr="00C50A5C" w:rsidRDefault="006149AA" w:rsidP="006149AA">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r>
        <w:rPr>
          <w:b/>
          <w:sz w:val="20"/>
          <w:szCs w:val="20"/>
          <w:lang w:val="fr-CA"/>
        </w:rPr>
        <w:t>Karakatsanis</w:t>
      </w:r>
    </w:p>
    <w:p w:rsidR="006149AA" w:rsidRPr="006149AA" w:rsidRDefault="006149AA" w:rsidP="00895F3F">
      <w:pPr>
        <w:widowControl w:val="0"/>
        <w:jc w:val="both"/>
        <w:rPr>
          <w:sz w:val="20"/>
          <w:szCs w:val="20"/>
          <w:lang w:val="fr-CA"/>
        </w:rPr>
      </w:pPr>
    </w:p>
    <w:p w:rsidR="00895F3F" w:rsidRPr="006149AA" w:rsidRDefault="006149AA" w:rsidP="00895F3F">
      <w:pPr>
        <w:pStyle w:val="ListParagraph"/>
        <w:numPr>
          <w:ilvl w:val="0"/>
          <w:numId w:val="2"/>
        </w:numPr>
        <w:ind w:hanging="720"/>
        <w:rPr>
          <w:sz w:val="20"/>
          <w:szCs w:val="20"/>
          <w:lang w:val="fr-CA"/>
        </w:rPr>
      </w:pPr>
      <w:r w:rsidRPr="006149AA">
        <w:rPr>
          <w:i/>
          <w:sz w:val="20"/>
          <w:szCs w:val="20"/>
          <w:lang w:val="fr-CA"/>
        </w:rPr>
        <w:t>Cathie Gauthier c. Sa Majesté la Reine</w:t>
      </w:r>
      <w:r w:rsidRPr="006149AA">
        <w:rPr>
          <w:sz w:val="20"/>
          <w:szCs w:val="20"/>
          <w:lang w:val="fr-CA"/>
        </w:rPr>
        <w:t xml:space="preserve"> (Qc) (Crim</w:t>
      </w:r>
      <w:r>
        <w:rPr>
          <w:sz w:val="20"/>
          <w:szCs w:val="20"/>
          <w:lang w:val="fr-CA"/>
        </w:rPr>
        <w:t>.</w:t>
      </w:r>
      <w:r w:rsidRPr="006149AA">
        <w:rPr>
          <w:sz w:val="20"/>
          <w:szCs w:val="20"/>
          <w:lang w:val="fr-CA"/>
        </w:rPr>
        <w:t>) (Autorisation)</w:t>
      </w:r>
      <w:r>
        <w:rPr>
          <w:sz w:val="20"/>
          <w:szCs w:val="20"/>
          <w:lang w:val="fr-CA"/>
        </w:rPr>
        <w:t xml:space="preserve"> </w:t>
      </w:r>
      <w:r w:rsidR="00895F3F" w:rsidRPr="006149AA">
        <w:rPr>
          <w:sz w:val="20"/>
          <w:szCs w:val="20"/>
          <w:lang w:val="fr-CA"/>
        </w:rPr>
        <w:t>(344</w:t>
      </w:r>
      <w:r w:rsidRPr="006149AA">
        <w:rPr>
          <w:sz w:val="20"/>
          <w:szCs w:val="20"/>
          <w:lang w:val="fr-CA"/>
        </w:rPr>
        <w:t>44</w:t>
      </w:r>
      <w:r w:rsidR="00895F3F" w:rsidRPr="006149AA">
        <w:rPr>
          <w:sz w:val="20"/>
          <w:szCs w:val="20"/>
          <w:lang w:val="fr-CA"/>
        </w:rPr>
        <w:t>)</w:t>
      </w:r>
    </w:p>
    <w:p w:rsidR="00895F3F" w:rsidRPr="003149D7" w:rsidRDefault="00895F3F" w:rsidP="00895F3F">
      <w:pPr>
        <w:widowControl w:val="0"/>
        <w:rPr>
          <w:sz w:val="20"/>
          <w:szCs w:val="20"/>
          <w:lang w:val="fr-CA"/>
        </w:rPr>
      </w:pPr>
    </w:p>
    <w:p w:rsidR="002E2327" w:rsidRPr="00C50A5C" w:rsidRDefault="00BF59B3" w:rsidP="002E2327">
      <w:pPr>
        <w:widowControl w:val="0"/>
        <w:rPr>
          <w:sz w:val="20"/>
          <w:szCs w:val="20"/>
        </w:rPr>
      </w:pPr>
      <w:r w:rsidRPr="00BF59B3">
        <w:rPr>
          <w:sz w:val="20"/>
          <w:szCs w:val="20"/>
        </w:rPr>
        <w:pict>
          <v:rect id="_x0000_i1033"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A6632B"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BF1FA7" w:rsidP="008D292F">
      <w:pPr>
        <w:rPr>
          <w:b/>
          <w:sz w:val="20"/>
          <w:szCs w:val="20"/>
        </w:rPr>
      </w:pPr>
      <w:r>
        <w:rPr>
          <w:b/>
          <w:sz w:val="20"/>
          <w:szCs w:val="20"/>
        </w:rPr>
        <w:t>J</w:t>
      </w:r>
      <w:r w:rsidR="008D292F" w:rsidRPr="00C50A5C">
        <w:rPr>
          <w:b/>
          <w:sz w:val="20"/>
          <w:szCs w:val="20"/>
        </w:rPr>
        <w:t>A</w:t>
      </w:r>
      <w:r>
        <w:rPr>
          <w:b/>
          <w:sz w:val="20"/>
          <w:szCs w:val="20"/>
        </w:rPr>
        <w:t>NUA</w:t>
      </w:r>
      <w:r w:rsidR="008D292F" w:rsidRPr="00C50A5C">
        <w:rPr>
          <w:b/>
          <w:sz w:val="20"/>
          <w:szCs w:val="20"/>
        </w:rPr>
        <w:t>R</w:t>
      </w:r>
      <w:r>
        <w:rPr>
          <w:b/>
          <w:sz w:val="20"/>
          <w:szCs w:val="20"/>
        </w:rPr>
        <w:t>Y</w:t>
      </w:r>
      <w:r w:rsidR="008D292F" w:rsidRPr="00C50A5C">
        <w:rPr>
          <w:b/>
          <w:sz w:val="20"/>
          <w:szCs w:val="20"/>
        </w:rPr>
        <w:t xml:space="preserve"> </w:t>
      </w:r>
      <w:r>
        <w:rPr>
          <w:b/>
          <w:sz w:val="20"/>
          <w:szCs w:val="20"/>
        </w:rPr>
        <w:t>1</w:t>
      </w:r>
      <w:r w:rsidR="008D292F" w:rsidRPr="00C50A5C">
        <w:rPr>
          <w:b/>
          <w:sz w:val="20"/>
          <w:szCs w:val="20"/>
        </w:rPr>
        <w:t>9, 201</w:t>
      </w:r>
      <w:r>
        <w:rPr>
          <w:b/>
          <w:sz w:val="20"/>
          <w:szCs w:val="20"/>
        </w:rPr>
        <w:t>2</w:t>
      </w:r>
      <w:r w:rsidR="008D292F" w:rsidRPr="00C50A5C">
        <w:rPr>
          <w:b/>
          <w:sz w:val="20"/>
          <w:szCs w:val="20"/>
        </w:rPr>
        <w:t xml:space="preserve"> / LE </w:t>
      </w:r>
      <w:r>
        <w:rPr>
          <w:b/>
          <w:sz w:val="20"/>
          <w:szCs w:val="20"/>
        </w:rPr>
        <w:t>1</w:t>
      </w:r>
      <w:r w:rsidR="008D292F" w:rsidRPr="00C50A5C">
        <w:rPr>
          <w:b/>
          <w:sz w:val="20"/>
          <w:szCs w:val="20"/>
        </w:rPr>
        <w:t xml:space="preserve">9 </w:t>
      </w:r>
      <w:r>
        <w:rPr>
          <w:b/>
          <w:sz w:val="20"/>
          <w:szCs w:val="20"/>
        </w:rPr>
        <w:t>J</w:t>
      </w:r>
      <w:r w:rsidR="008D292F" w:rsidRPr="00C50A5C">
        <w:rPr>
          <w:b/>
          <w:sz w:val="20"/>
          <w:szCs w:val="20"/>
        </w:rPr>
        <w:t>A</w:t>
      </w:r>
      <w:r>
        <w:rPr>
          <w:b/>
          <w:sz w:val="20"/>
          <w:szCs w:val="20"/>
        </w:rPr>
        <w:t>N</w:t>
      </w:r>
      <w:r w:rsidR="008D292F" w:rsidRPr="00C50A5C">
        <w:rPr>
          <w:b/>
          <w:sz w:val="20"/>
          <w:szCs w:val="20"/>
        </w:rPr>
        <w:t>V</w:t>
      </w:r>
      <w:r>
        <w:rPr>
          <w:b/>
          <w:sz w:val="20"/>
          <w:szCs w:val="20"/>
        </w:rPr>
        <w:t>IE</w:t>
      </w:r>
      <w:r w:rsidR="008D292F" w:rsidRPr="00C50A5C">
        <w:rPr>
          <w:b/>
          <w:sz w:val="20"/>
          <w:szCs w:val="20"/>
        </w:rPr>
        <w:t>R 201</w:t>
      </w:r>
      <w:r>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23F41" w:rsidRPr="00523F41" w:rsidTr="00523F41">
        <w:trPr>
          <w:cantSplit/>
        </w:trPr>
        <w:tc>
          <w:tcPr>
            <w:tcW w:w="1458" w:type="dxa"/>
          </w:tcPr>
          <w:p w:rsidR="00523F41" w:rsidRPr="00523F41" w:rsidRDefault="00523F41" w:rsidP="00523F41">
            <w:pPr>
              <w:rPr>
                <w:sz w:val="20"/>
                <w:szCs w:val="20"/>
              </w:rPr>
            </w:pPr>
            <w:r w:rsidRPr="00523F41">
              <w:rPr>
                <w:rStyle w:val="SCCFileNumberChar"/>
                <w:sz w:val="20"/>
                <w:szCs w:val="20"/>
              </w:rPr>
              <w:t>34</w:t>
            </w:r>
            <w:r>
              <w:rPr>
                <w:rStyle w:val="SCCFileNumberChar"/>
                <w:sz w:val="20"/>
                <w:szCs w:val="20"/>
              </w:rPr>
              <w:t>189</w:t>
            </w:r>
          </w:p>
          <w:p w:rsidR="00523F41" w:rsidRPr="00523F41" w:rsidRDefault="00523F41" w:rsidP="00523F41">
            <w:pPr>
              <w:rPr>
                <w:b/>
                <w:sz w:val="20"/>
                <w:szCs w:val="20"/>
                <w:lang w:val="fr-CA"/>
              </w:rPr>
            </w:pPr>
          </w:p>
        </w:tc>
        <w:tc>
          <w:tcPr>
            <w:tcW w:w="8118" w:type="dxa"/>
          </w:tcPr>
          <w:p w:rsidR="00523F41" w:rsidRPr="00523F41" w:rsidRDefault="00523F41" w:rsidP="00523F41">
            <w:pPr>
              <w:jc w:val="both"/>
              <w:rPr>
                <w:rFonts w:eastAsia="Calibri"/>
                <w:sz w:val="20"/>
              </w:rPr>
            </w:pPr>
            <w:r w:rsidRPr="00523F41">
              <w:rPr>
                <w:rFonts w:eastAsia="Calibri"/>
                <w:b/>
                <w:sz w:val="20"/>
                <w:u w:val="single"/>
              </w:rPr>
              <w:t>Annapolis County District School Board</w:t>
            </w:r>
            <w:r>
              <w:rPr>
                <w:rFonts w:eastAsia="Calibri"/>
                <w:b/>
                <w:sz w:val="20"/>
                <w:u w:val="single"/>
              </w:rPr>
              <w:t xml:space="preserve"> and</w:t>
            </w:r>
            <w:r w:rsidRPr="00523F41">
              <w:rPr>
                <w:rFonts w:eastAsia="Calibri"/>
                <w:b/>
                <w:sz w:val="20"/>
                <w:u w:val="single"/>
              </w:rPr>
              <w:t xml:space="preserve"> Douglas Ernest Feener v. Johnathan Lee Marshall, represented by his Guardian, Vaughan Caldwell</w:t>
            </w:r>
            <w:r>
              <w:rPr>
                <w:rFonts w:eastAsia="Calibri"/>
                <w:b/>
                <w:sz w:val="20"/>
                <w:u w:val="single"/>
              </w:rPr>
              <w:t xml:space="preserve"> </w:t>
            </w:r>
            <w:r w:rsidRPr="007931F0">
              <w:rPr>
                <w:rFonts w:eastAsia="Calibri"/>
                <w:sz w:val="20"/>
              </w:rPr>
              <w:t>(N.S.) (Civil) (By Leave)</w:t>
            </w:r>
          </w:p>
          <w:p w:rsidR="00523F41" w:rsidRPr="00523F41" w:rsidRDefault="00523F41" w:rsidP="00523F41">
            <w:pPr>
              <w:jc w:val="both"/>
              <w:rPr>
                <w:sz w:val="20"/>
                <w:szCs w:val="20"/>
              </w:rPr>
            </w:pPr>
          </w:p>
        </w:tc>
      </w:tr>
      <w:tr w:rsidR="00523F41" w:rsidRPr="00523F41" w:rsidTr="00523F41">
        <w:trPr>
          <w:cantSplit/>
        </w:trPr>
        <w:tc>
          <w:tcPr>
            <w:tcW w:w="1458" w:type="dxa"/>
          </w:tcPr>
          <w:p w:rsidR="00523F41" w:rsidRPr="00523F41" w:rsidRDefault="00523F41" w:rsidP="00523F41">
            <w:pPr>
              <w:rPr>
                <w:sz w:val="20"/>
                <w:szCs w:val="20"/>
              </w:rPr>
            </w:pPr>
            <w:r w:rsidRPr="00523F41">
              <w:rPr>
                <w:sz w:val="20"/>
                <w:szCs w:val="20"/>
              </w:rPr>
              <w:t>Coram :</w:t>
            </w:r>
          </w:p>
        </w:tc>
        <w:tc>
          <w:tcPr>
            <w:tcW w:w="8118" w:type="dxa"/>
          </w:tcPr>
          <w:p w:rsidR="00523F41" w:rsidRPr="00523F41" w:rsidRDefault="00523F41" w:rsidP="00523F41">
            <w:pPr>
              <w:rPr>
                <w:sz w:val="20"/>
                <w:szCs w:val="20"/>
                <w:u w:val="single"/>
              </w:rPr>
            </w:pPr>
            <w:r w:rsidRPr="00523F41">
              <w:rPr>
                <w:sz w:val="20"/>
                <w:szCs w:val="20"/>
                <w:u w:val="single"/>
              </w:rPr>
              <w:t>LeBel, Fish and Cromwell JJ.</w:t>
            </w:r>
          </w:p>
          <w:p w:rsidR="00523F41" w:rsidRPr="00523F41" w:rsidRDefault="00523F41" w:rsidP="00523F41">
            <w:pPr>
              <w:rPr>
                <w:sz w:val="20"/>
                <w:szCs w:val="20"/>
                <w:u w:val="single"/>
              </w:rPr>
            </w:pPr>
          </w:p>
        </w:tc>
      </w:tr>
      <w:tr w:rsidR="00523F41" w:rsidRPr="00A6632B" w:rsidTr="00523F41">
        <w:trPr>
          <w:cantSplit/>
        </w:trPr>
        <w:tc>
          <w:tcPr>
            <w:tcW w:w="9576" w:type="dxa"/>
            <w:gridSpan w:val="2"/>
          </w:tcPr>
          <w:p w:rsidR="00523F41" w:rsidRDefault="00523F41" w:rsidP="00523F41">
            <w:pPr>
              <w:pStyle w:val="SCCShortJudgment"/>
              <w:rPr>
                <w:szCs w:val="20"/>
              </w:rPr>
            </w:pPr>
            <w:r w:rsidRPr="00E93CAA">
              <w:rPr>
                <w:szCs w:val="20"/>
              </w:rPr>
              <w:t>The motion for an extension of time to serve and file the application for leave to cross-appeal is granted. The application for leave to cross-appeal from the judgment of the Nova Scotia Court of Appeal, Number CA323155, 2011 NSCA 13, dated February 4, 2011, is granted with costs in the cause.</w:t>
            </w:r>
          </w:p>
          <w:p w:rsidR="00523F41" w:rsidRDefault="00523F41" w:rsidP="00523F41">
            <w:pPr>
              <w:pStyle w:val="SCCShortJudgment"/>
              <w:ind w:firstLine="0"/>
              <w:rPr>
                <w:szCs w:val="20"/>
              </w:rPr>
            </w:pPr>
          </w:p>
          <w:p w:rsidR="00523F41" w:rsidRPr="00523F41" w:rsidRDefault="00523F41" w:rsidP="00523F41">
            <w:pPr>
              <w:pStyle w:val="SCCShortJudgment"/>
              <w:rPr>
                <w:szCs w:val="20"/>
                <w:lang w:val="fr-CA"/>
              </w:rPr>
            </w:pPr>
            <w:r w:rsidRPr="00E93CAA">
              <w:rPr>
                <w:szCs w:val="20"/>
                <w:lang w:val="fr-CA"/>
              </w:rPr>
              <w:t>La requête en prorogation du délai de signification et de dépôt de la demande d’autorisation d’appel incident est accordée. La demande d’autorisation d’appel incident de l’arrêt de la Cour d’appel de la Nouvelle-Écosse, numéro CA323155, 2011 NSCA 13, daté du 4 février 2011, est accueillie avec dépens suivant l’issue de la cause.</w:t>
            </w:r>
          </w:p>
        </w:tc>
      </w:tr>
    </w:tbl>
    <w:p w:rsidR="00BF1FA7" w:rsidRPr="00523F41" w:rsidRDefault="00BF1FA7" w:rsidP="008D292F">
      <w:pPr>
        <w:rPr>
          <w:sz w:val="20"/>
          <w:szCs w:val="20"/>
          <w:lang w:val="fr-CA"/>
        </w:rPr>
      </w:pPr>
    </w:p>
    <w:p w:rsidR="00BF1FA7" w:rsidRPr="001B157C" w:rsidRDefault="00BF1FA7" w:rsidP="00BF1FA7">
      <w:pPr>
        <w:rPr>
          <w:sz w:val="20"/>
          <w:szCs w:val="20"/>
          <w:u w:val="single"/>
        </w:rPr>
      </w:pPr>
      <w:r w:rsidRPr="001B157C">
        <w:rPr>
          <w:sz w:val="20"/>
          <w:szCs w:val="20"/>
          <w:u w:val="single"/>
        </w:rPr>
        <w:t>CASE SUMMARY</w:t>
      </w:r>
    </w:p>
    <w:p w:rsidR="00BF1FA7" w:rsidRDefault="00BF1FA7" w:rsidP="008D292F">
      <w:pPr>
        <w:rPr>
          <w:sz w:val="20"/>
          <w:szCs w:val="20"/>
        </w:rPr>
      </w:pPr>
    </w:p>
    <w:tbl>
      <w:tblPr>
        <w:tblW w:w="5000" w:type="pct"/>
        <w:tblLayout w:type="fixed"/>
        <w:tblCellMar>
          <w:left w:w="0" w:type="dxa"/>
          <w:bottom w:w="99" w:type="dxa"/>
          <w:right w:w="0" w:type="dxa"/>
        </w:tblCellMar>
        <w:tblLook w:val="04A0"/>
      </w:tblPr>
      <w:tblGrid>
        <w:gridCol w:w="4623"/>
        <w:gridCol w:w="464"/>
        <w:gridCol w:w="4532"/>
      </w:tblGrid>
      <w:tr w:rsidR="000102CE" w:rsidRPr="007931F0" w:rsidTr="00796AC2">
        <w:tc>
          <w:tcPr>
            <w:tcW w:w="5000" w:type="pct"/>
            <w:gridSpan w:val="3"/>
          </w:tcPr>
          <w:p w:rsidR="000102CE" w:rsidRPr="007931F0" w:rsidRDefault="000102CE" w:rsidP="00796AC2">
            <w:pPr>
              <w:jc w:val="both"/>
              <w:rPr>
                <w:rFonts w:eastAsia="Calibri"/>
                <w:sz w:val="20"/>
              </w:rPr>
            </w:pPr>
            <w:r w:rsidRPr="007931F0">
              <w:rPr>
                <w:rFonts w:eastAsia="Calibri"/>
                <w:sz w:val="20"/>
              </w:rPr>
              <w:t xml:space="preserve">Appeals – Judgments and Orders – Jury Trial – Charge to the jury – New trial ordered due to misdirection by trial judge – Torts – Motor Vehicles - Negligence – Standard of care – No contributory negligence by minor – Bus driver hitting child who ran across highway – Whether driver was negligent – Whether appellate court erred in declining to make a finding of liability against the School Board and Mr. Feener rather than order a new trial – Whether the School Board and Mr. Feener should be held liable due to Mr. Feener’s admissions at trial and the reverse onus provisions of the </w:t>
            </w:r>
            <w:r w:rsidRPr="007931F0">
              <w:rPr>
                <w:rFonts w:eastAsia="Calibri"/>
                <w:i/>
                <w:sz w:val="20"/>
              </w:rPr>
              <w:t>Motor Vehicle Act</w:t>
            </w:r>
            <w:r w:rsidRPr="007931F0">
              <w:rPr>
                <w:rFonts w:eastAsia="Calibri"/>
                <w:sz w:val="20"/>
              </w:rPr>
              <w:t>, R.S.N.S. 1989, c. 293 (the “</w:t>
            </w:r>
            <w:r w:rsidRPr="007931F0">
              <w:rPr>
                <w:rFonts w:eastAsia="Calibri"/>
                <w:i/>
                <w:sz w:val="20"/>
              </w:rPr>
              <w:t>Act</w:t>
            </w:r>
            <w:r w:rsidRPr="007931F0">
              <w:rPr>
                <w:rFonts w:eastAsia="Calibri"/>
                <w:sz w:val="20"/>
              </w:rPr>
              <w:t>”).</w:t>
            </w:r>
          </w:p>
        </w:tc>
      </w:tr>
      <w:tr w:rsidR="000102CE" w:rsidRPr="007931F0" w:rsidTr="00796AC2">
        <w:tc>
          <w:tcPr>
            <w:tcW w:w="5000" w:type="pct"/>
            <w:gridSpan w:val="3"/>
          </w:tcPr>
          <w:p w:rsidR="000102CE" w:rsidRPr="007931F0" w:rsidRDefault="000102CE" w:rsidP="00796AC2">
            <w:pPr>
              <w:jc w:val="both"/>
              <w:rPr>
                <w:rFonts w:eastAsia="Calibri"/>
                <w:sz w:val="20"/>
              </w:rPr>
            </w:pPr>
          </w:p>
        </w:tc>
      </w:tr>
      <w:tr w:rsidR="000102CE" w:rsidRPr="007931F0" w:rsidTr="00796AC2">
        <w:tc>
          <w:tcPr>
            <w:tcW w:w="5000" w:type="pct"/>
            <w:gridSpan w:val="3"/>
          </w:tcPr>
          <w:p w:rsidR="000102CE" w:rsidRPr="007931F0" w:rsidRDefault="000102CE" w:rsidP="00796AC2">
            <w:pPr>
              <w:jc w:val="both"/>
              <w:rPr>
                <w:rFonts w:eastAsia="Calibri"/>
                <w:sz w:val="20"/>
              </w:rPr>
            </w:pPr>
            <w:r w:rsidRPr="007931F0">
              <w:rPr>
                <w:rFonts w:eastAsia="Calibri"/>
                <w:sz w:val="20"/>
              </w:rPr>
              <w:t>Four year old Johnathan Marshall was playing with his two older brothers outside their home located along a highway when he was struck by a bus driven by the applicant Mr. Feener. Mr. Feener was driving his empty school bus on his way to pick up high school children. As the bus approached the home, Johnathan ran onto the highway and into its path. Mr. Feener braked immediately upon seeing the boy but Johnathan was struck, suffering serious injuries. Upon attaining the age of 19, Johnathan, through his litigation guardian, commenced an action against Mr. Feener and his employer, the applicant School Board. The applicants commenced third party claims against Johnathan’s parents, and the claim against his mother remains outstanding.</w:t>
            </w:r>
          </w:p>
          <w:p w:rsidR="000102CE" w:rsidRPr="007931F0" w:rsidRDefault="000102CE" w:rsidP="00796AC2">
            <w:pPr>
              <w:jc w:val="both"/>
              <w:rPr>
                <w:rFonts w:eastAsia="Calibri"/>
                <w:sz w:val="20"/>
              </w:rPr>
            </w:pPr>
          </w:p>
          <w:p w:rsidR="000102CE" w:rsidRPr="007931F0" w:rsidRDefault="000102CE" w:rsidP="00796AC2">
            <w:pPr>
              <w:jc w:val="both"/>
              <w:rPr>
                <w:rFonts w:eastAsia="Calibri"/>
                <w:sz w:val="20"/>
              </w:rPr>
            </w:pPr>
            <w:r w:rsidRPr="007931F0">
              <w:rPr>
                <w:rFonts w:eastAsia="Calibri"/>
                <w:sz w:val="20"/>
              </w:rPr>
              <w:t xml:space="preserve">A jury found that there was no negligence on the part of Mr. Feener that caused or contributed to the damages suffered by Johnathan.  The Supreme Court of Nova Scotia, Trial Division dismissed Johnathan’s action. The respondent appealed, alleging various errors by the trial judge in his charge to the jury.  The Nova Scotia Court of Appeal allowed the appeal, finding certain references by the trial judge relating to the pedestrian and vehicle rights of way set out in s. 125 of the </w:t>
            </w:r>
            <w:r w:rsidRPr="007931F0">
              <w:rPr>
                <w:rFonts w:eastAsia="Calibri"/>
                <w:i/>
                <w:sz w:val="20"/>
              </w:rPr>
              <w:t>Act</w:t>
            </w:r>
            <w:r w:rsidRPr="007931F0">
              <w:rPr>
                <w:rFonts w:eastAsia="Calibri"/>
                <w:sz w:val="20"/>
              </w:rPr>
              <w:t xml:space="preserve"> to be a misdirection constituting a reversible error of law. The appellate court ordered a new trial. The parties have applied for leave to appeal and to cross-appeal. </w:t>
            </w:r>
          </w:p>
          <w:p w:rsidR="000102CE" w:rsidRPr="007931F0" w:rsidRDefault="000102CE" w:rsidP="00796AC2">
            <w:pPr>
              <w:jc w:val="both"/>
              <w:rPr>
                <w:rFonts w:eastAsia="Calibri"/>
                <w:sz w:val="20"/>
              </w:rPr>
            </w:pPr>
          </w:p>
        </w:tc>
      </w:tr>
      <w:tr w:rsidR="000102CE" w:rsidRPr="007931F0" w:rsidTr="00796AC2">
        <w:tc>
          <w:tcPr>
            <w:tcW w:w="2403" w:type="pct"/>
          </w:tcPr>
          <w:p w:rsidR="000102CE" w:rsidRPr="007931F0" w:rsidRDefault="000102CE" w:rsidP="00796AC2">
            <w:pPr>
              <w:jc w:val="both"/>
              <w:rPr>
                <w:rFonts w:eastAsia="Calibri"/>
                <w:sz w:val="20"/>
              </w:rPr>
            </w:pPr>
            <w:r w:rsidRPr="007931F0">
              <w:rPr>
                <w:rFonts w:eastAsia="Calibri"/>
                <w:sz w:val="20"/>
              </w:rPr>
              <w:t>December 16, 2009</w:t>
            </w:r>
          </w:p>
          <w:p w:rsidR="000102CE" w:rsidRPr="007931F0" w:rsidRDefault="000102CE" w:rsidP="00796AC2">
            <w:pPr>
              <w:jc w:val="both"/>
              <w:rPr>
                <w:rFonts w:eastAsia="Calibri"/>
                <w:sz w:val="20"/>
              </w:rPr>
            </w:pPr>
            <w:r w:rsidRPr="007931F0">
              <w:rPr>
                <w:rFonts w:eastAsia="Calibri"/>
                <w:sz w:val="20"/>
              </w:rPr>
              <w:t>Supreme Court of Nova Scotia, Trial Division</w:t>
            </w:r>
          </w:p>
          <w:p w:rsidR="000102CE" w:rsidRPr="007931F0" w:rsidRDefault="000102CE" w:rsidP="00796AC2">
            <w:pPr>
              <w:jc w:val="both"/>
              <w:rPr>
                <w:rFonts w:eastAsia="Calibri"/>
                <w:sz w:val="20"/>
              </w:rPr>
            </w:pPr>
            <w:r w:rsidRPr="007931F0">
              <w:rPr>
                <w:rFonts w:eastAsia="Calibri"/>
                <w:sz w:val="20"/>
              </w:rPr>
              <w:t>(Pickup J., trial with jury)</w:t>
            </w:r>
          </w:p>
          <w:p w:rsidR="000102CE" w:rsidRPr="007931F0" w:rsidRDefault="000102CE" w:rsidP="00796AC2">
            <w:pPr>
              <w:jc w:val="both"/>
              <w:rPr>
                <w:rFonts w:eastAsia="Calibri"/>
                <w:sz w:val="20"/>
              </w:rPr>
            </w:pPr>
          </w:p>
        </w:tc>
        <w:tc>
          <w:tcPr>
            <w:tcW w:w="241" w:type="pct"/>
          </w:tcPr>
          <w:p w:rsidR="000102CE" w:rsidRPr="007931F0" w:rsidRDefault="000102CE" w:rsidP="00796AC2">
            <w:pPr>
              <w:jc w:val="both"/>
              <w:rPr>
                <w:rFonts w:eastAsia="Calibri"/>
                <w:sz w:val="20"/>
              </w:rPr>
            </w:pPr>
          </w:p>
        </w:tc>
        <w:tc>
          <w:tcPr>
            <w:tcW w:w="2356" w:type="pct"/>
          </w:tcPr>
          <w:p w:rsidR="000102CE" w:rsidRPr="007931F0" w:rsidRDefault="000102CE" w:rsidP="00796AC2">
            <w:pPr>
              <w:jc w:val="both"/>
              <w:rPr>
                <w:rFonts w:eastAsia="Calibri"/>
                <w:sz w:val="20"/>
              </w:rPr>
            </w:pPr>
            <w:r w:rsidRPr="007931F0">
              <w:rPr>
                <w:rFonts w:eastAsia="Calibri"/>
                <w:sz w:val="20"/>
              </w:rPr>
              <w:t>Jury finding no negligence on part of applicant Feener that caused or contributed to damages suffered by respondent; Respondent’s action dismissed</w:t>
            </w:r>
          </w:p>
          <w:p w:rsidR="000102CE" w:rsidRPr="007931F0" w:rsidRDefault="000102CE" w:rsidP="00796AC2">
            <w:pPr>
              <w:jc w:val="both"/>
              <w:rPr>
                <w:rFonts w:eastAsia="Calibri"/>
                <w:sz w:val="20"/>
              </w:rPr>
            </w:pPr>
          </w:p>
        </w:tc>
      </w:tr>
      <w:tr w:rsidR="000102CE" w:rsidRPr="007931F0" w:rsidTr="00523F41">
        <w:trPr>
          <w:cantSplit/>
        </w:trPr>
        <w:tc>
          <w:tcPr>
            <w:tcW w:w="2403" w:type="pct"/>
          </w:tcPr>
          <w:p w:rsidR="000102CE" w:rsidRPr="007931F0" w:rsidRDefault="000102CE" w:rsidP="00796AC2">
            <w:pPr>
              <w:jc w:val="both"/>
              <w:rPr>
                <w:rFonts w:eastAsia="Calibri"/>
                <w:sz w:val="20"/>
              </w:rPr>
            </w:pPr>
            <w:r w:rsidRPr="007931F0">
              <w:rPr>
                <w:rFonts w:eastAsia="Calibri"/>
                <w:sz w:val="20"/>
              </w:rPr>
              <w:t>February 4, 2011</w:t>
            </w:r>
          </w:p>
          <w:p w:rsidR="000102CE" w:rsidRPr="007931F0" w:rsidRDefault="000102CE" w:rsidP="00796AC2">
            <w:pPr>
              <w:jc w:val="both"/>
              <w:rPr>
                <w:rFonts w:eastAsia="Calibri"/>
                <w:sz w:val="20"/>
              </w:rPr>
            </w:pPr>
            <w:r w:rsidRPr="007931F0">
              <w:rPr>
                <w:rFonts w:eastAsia="Calibri"/>
                <w:sz w:val="20"/>
              </w:rPr>
              <w:t>Nova Scotia Court of Appeal</w:t>
            </w:r>
          </w:p>
          <w:p w:rsidR="000102CE" w:rsidRPr="007931F0" w:rsidRDefault="000102CE" w:rsidP="00796AC2">
            <w:pPr>
              <w:jc w:val="both"/>
              <w:rPr>
                <w:rFonts w:eastAsia="Calibri"/>
                <w:sz w:val="20"/>
              </w:rPr>
            </w:pPr>
            <w:r w:rsidRPr="007931F0">
              <w:rPr>
                <w:rFonts w:eastAsia="Calibri"/>
                <w:sz w:val="20"/>
              </w:rPr>
              <w:t>(MacDonald C.J.N.S., Saunders and, Beveridge JJ.A.)</w:t>
            </w:r>
          </w:p>
          <w:p w:rsidR="000102CE" w:rsidRPr="007931F0" w:rsidRDefault="000102CE" w:rsidP="00796AC2">
            <w:pPr>
              <w:jc w:val="both"/>
              <w:rPr>
                <w:rFonts w:eastAsia="Calibri"/>
                <w:sz w:val="20"/>
              </w:rPr>
            </w:pPr>
          </w:p>
        </w:tc>
        <w:tc>
          <w:tcPr>
            <w:tcW w:w="241" w:type="pct"/>
          </w:tcPr>
          <w:p w:rsidR="000102CE" w:rsidRPr="007931F0" w:rsidRDefault="000102CE" w:rsidP="00796AC2">
            <w:pPr>
              <w:jc w:val="both"/>
              <w:rPr>
                <w:rFonts w:eastAsia="Calibri"/>
                <w:sz w:val="20"/>
              </w:rPr>
            </w:pPr>
          </w:p>
        </w:tc>
        <w:tc>
          <w:tcPr>
            <w:tcW w:w="2356" w:type="pct"/>
          </w:tcPr>
          <w:p w:rsidR="000102CE" w:rsidRPr="007931F0" w:rsidRDefault="000102CE" w:rsidP="00796AC2">
            <w:pPr>
              <w:jc w:val="both"/>
              <w:rPr>
                <w:rFonts w:eastAsia="Calibri"/>
                <w:sz w:val="20"/>
              </w:rPr>
            </w:pPr>
            <w:r w:rsidRPr="007931F0">
              <w:rPr>
                <w:rFonts w:eastAsia="Calibri"/>
                <w:sz w:val="20"/>
              </w:rPr>
              <w:t>Appeal allowed and a new trial ordered</w:t>
            </w:r>
          </w:p>
          <w:p w:rsidR="000102CE" w:rsidRPr="007931F0" w:rsidRDefault="000102CE" w:rsidP="00796AC2">
            <w:pPr>
              <w:jc w:val="both"/>
              <w:rPr>
                <w:rFonts w:eastAsia="Calibri"/>
                <w:sz w:val="20"/>
              </w:rPr>
            </w:pPr>
          </w:p>
        </w:tc>
      </w:tr>
      <w:tr w:rsidR="000102CE" w:rsidRPr="007931F0" w:rsidTr="00523F41">
        <w:trPr>
          <w:cantSplit/>
        </w:trPr>
        <w:tc>
          <w:tcPr>
            <w:tcW w:w="2403" w:type="pct"/>
          </w:tcPr>
          <w:p w:rsidR="000102CE" w:rsidRPr="007931F0" w:rsidRDefault="000102CE" w:rsidP="00796AC2">
            <w:pPr>
              <w:jc w:val="both"/>
              <w:rPr>
                <w:rFonts w:eastAsia="Calibri"/>
                <w:sz w:val="20"/>
              </w:rPr>
            </w:pPr>
            <w:r w:rsidRPr="007931F0">
              <w:rPr>
                <w:rFonts w:eastAsia="Calibri"/>
                <w:sz w:val="20"/>
              </w:rPr>
              <w:lastRenderedPageBreak/>
              <w:t>April 5, 2011</w:t>
            </w:r>
          </w:p>
          <w:p w:rsidR="000102CE" w:rsidRPr="007931F0" w:rsidRDefault="000102CE" w:rsidP="00796AC2">
            <w:pPr>
              <w:jc w:val="both"/>
              <w:rPr>
                <w:rFonts w:eastAsia="Calibri"/>
                <w:sz w:val="20"/>
              </w:rPr>
            </w:pPr>
            <w:r w:rsidRPr="007931F0">
              <w:rPr>
                <w:rFonts w:eastAsia="Calibri"/>
                <w:sz w:val="20"/>
              </w:rPr>
              <w:t>Supreme Court of Canada</w:t>
            </w:r>
          </w:p>
          <w:p w:rsidR="000102CE" w:rsidRPr="007931F0" w:rsidRDefault="000102CE" w:rsidP="00796AC2">
            <w:pPr>
              <w:jc w:val="both"/>
              <w:rPr>
                <w:rFonts w:eastAsia="Calibri"/>
                <w:sz w:val="20"/>
              </w:rPr>
            </w:pPr>
          </w:p>
        </w:tc>
        <w:tc>
          <w:tcPr>
            <w:tcW w:w="241" w:type="pct"/>
          </w:tcPr>
          <w:p w:rsidR="000102CE" w:rsidRPr="007931F0" w:rsidRDefault="000102CE" w:rsidP="00796AC2">
            <w:pPr>
              <w:jc w:val="both"/>
              <w:rPr>
                <w:rFonts w:eastAsia="Calibri"/>
                <w:sz w:val="20"/>
              </w:rPr>
            </w:pPr>
          </w:p>
        </w:tc>
        <w:tc>
          <w:tcPr>
            <w:tcW w:w="2356" w:type="pct"/>
          </w:tcPr>
          <w:p w:rsidR="000102CE" w:rsidRPr="007931F0" w:rsidRDefault="000102CE" w:rsidP="00796AC2">
            <w:pPr>
              <w:jc w:val="both"/>
              <w:rPr>
                <w:rFonts w:eastAsia="Calibri"/>
                <w:sz w:val="20"/>
              </w:rPr>
            </w:pPr>
            <w:r w:rsidRPr="007931F0">
              <w:rPr>
                <w:rFonts w:eastAsia="Calibri"/>
                <w:sz w:val="20"/>
              </w:rPr>
              <w:t>Application for leave to appeal filed</w:t>
            </w:r>
          </w:p>
          <w:p w:rsidR="000102CE" w:rsidRPr="007931F0" w:rsidRDefault="000102CE" w:rsidP="00796AC2">
            <w:pPr>
              <w:jc w:val="both"/>
              <w:rPr>
                <w:rFonts w:eastAsia="Calibri"/>
                <w:sz w:val="20"/>
              </w:rPr>
            </w:pPr>
          </w:p>
        </w:tc>
      </w:tr>
      <w:tr w:rsidR="000102CE" w:rsidRPr="007931F0" w:rsidTr="00523F41">
        <w:trPr>
          <w:cantSplit/>
        </w:trPr>
        <w:tc>
          <w:tcPr>
            <w:tcW w:w="2403" w:type="pct"/>
          </w:tcPr>
          <w:p w:rsidR="000102CE" w:rsidRPr="007931F0" w:rsidRDefault="000102CE" w:rsidP="00796AC2">
            <w:pPr>
              <w:jc w:val="both"/>
              <w:rPr>
                <w:rFonts w:eastAsia="Calibri"/>
                <w:sz w:val="20"/>
              </w:rPr>
            </w:pPr>
            <w:r w:rsidRPr="007931F0">
              <w:rPr>
                <w:rFonts w:eastAsia="Calibri"/>
                <w:sz w:val="20"/>
              </w:rPr>
              <w:t>October 13, 2011</w:t>
            </w:r>
          </w:p>
          <w:p w:rsidR="000102CE" w:rsidRPr="007931F0" w:rsidRDefault="000102CE" w:rsidP="00796AC2">
            <w:pPr>
              <w:jc w:val="both"/>
              <w:rPr>
                <w:rFonts w:eastAsia="Calibri"/>
                <w:sz w:val="20"/>
              </w:rPr>
            </w:pPr>
            <w:r w:rsidRPr="007931F0">
              <w:rPr>
                <w:rFonts w:eastAsia="Calibri"/>
                <w:sz w:val="20"/>
              </w:rPr>
              <w:t>Supreme Court of Canada</w:t>
            </w:r>
          </w:p>
          <w:p w:rsidR="000102CE" w:rsidRPr="007931F0" w:rsidRDefault="000102CE" w:rsidP="00796AC2">
            <w:pPr>
              <w:jc w:val="both"/>
              <w:rPr>
                <w:rFonts w:eastAsia="Calibri"/>
                <w:sz w:val="20"/>
              </w:rPr>
            </w:pPr>
          </w:p>
        </w:tc>
        <w:tc>
          <w:tcPr>
            <w:tcW w:w="241" w:type="pct"/>
          </w:tcPr>
          <w:p w:rsidR="000102CE" w:rsidRPr="007931F0" w:rsidRDefault="000102CE" w:rsidP="00796AC2">
            <w:pPr>
              <w:jc w:val="both"/>
              <w:rPr>
                <w:rFonts w:eastAsia="Calibri"/>
                <w:sz w:val="20"/>
              </w:rPr>
            </w:pPr>
          </w:p>
        </w:tc>
        <w:tc>
          <w:tcPr>
            <w:tcW w:w="2356" w:type="pct"/>
          </w:tcPr>
          <w:p w:rsidR="000102CE" w:rsidRPr="007931F0" w:rsidRDefault="000102CE" w:rsidP="00796AC2">
            <w:pPr>
              <w:jc w:val="both"/>
              <w:rPr>
                <w:rFonts w:eastAsia="Calibri"/>
                <w:sz w:val="20"/>
              </w:rPr>
            </w:pPr>
            <w:r w:rsidRPr="007931F0">
              <w:rPr>
                <w:rFonts w:eastAsia="Calibri"/>
                <w:sz w:val="20"/>
              </w:rPr>
              <w:t>Leave to appeal granted</w:t>
            </w:r>
          </w:p>
          <w:p w:rsidR="000102CE" w:rsidRPr="007931F0" w:rsidRDefault="000102CE" w:rsidP="00796AC2">
            <w:pPr>
              <w:jc w:val="both"/>
              <w:rPr>
                <w:rFonts w:eastAsia="Calibri"/>
                <w:sz w:val="20"/>
              </w:rPr>
            </w:pPr>
          </w:p>
        </w:tc>
      </w:tr>
      <w:tr w:rsidR="000102CE" w:rsidRPr="007931F0" w:rsidTr="00523F41">
        <w:trPr>
          <w:cantSplit/>
        </w:trPr>
        <w:tc>
          <w:tcPr>
            <w:tcW w:w="2403" w:type="pct"/>
          </w:tcPr>
          <w:p w:rsidR="000102CE" w:rsidRPr="007931F0" w:rsidRDefault="000102CE" w:rsidP="00796AC2">
            <w:pPr>
              <w:jc w:val="both"/>
              <w:rPr>
                <w:rFonts w:eastAsia="Calibri"/>
                <w:sz w:val="20"/>
              </w:rPr>
            </w:pPr>
            <w:r w:rsidRPr="007931F0">
              <w:rPr>
                <w:rFonts w:eastAsia="Calibri"/>
                <w:sz w:val="20"/>
              </w:rPr>
              <w:t>November 4, 2011</w:t>
            </w:r>
          </w:p>
          <w:p w:rsidR="000102CE" w:rsidRPr="007931F0" w:rsidRDefault="000102CE" w:rsidP="00796AC2">
            <w:pPr>
              <w:jc w:val="both"/>
              <w:rPr>
                <w:rFonts w:eastAsia="Calibri"/>
                <w:sz w:val="20"/>
              </w:rPr>
            </w:pPr>
            <w:r w:rsidRPr="007931F0">
              <w:rPr>
                <w:rFonts w:eastAsia="Calibri"/>
                <w:sz w:val="20"/>
              </w:rPr>
              <w:t>Supreme Court of Canada</w:t>
            </w:r>
          </w:p>
        </w:tc>
        <w:tc>
          <w:tcPr>
            <w:tcW w:w="241" w:type="pct"/>
          </w:tcPr>
          <w:p w:rsidR="000102CE" w:rsidRPr="007931F0" w:rsidRDefault="000102CE" w:rsidP="00796AC2">
            <w:pPr>
              <w:jc w:val="both"/>
              <w:rPr>
                <w:rFonts w:eastAsia="Calibri"/>
                <w:sz w:val="20"/>
              </w:rPr>
            </w:pPr>
          </w:p>
        </w:tc>
        <w:tc>
          <w:tcPr>
            <w:tcW w:w="2356" w:type="pct"/>
          </w:tcPr>
          <w:p w:rsidR="000102CE" w:rsidRPr="007931F0" w:rsidRDefault="000102CE" w:rsidP="00796AC2">
            <w:pPr>
              <w:jc w:val="both"/>
              <w:rPr>
                <w:rFonts w:eastAsia="Calibri"/>
                <w:sz w:val="20"/>
              </w:rPr>
            </w:pPr>
            <w:r w:rsidRPr="007931F0">
              <w:rPr>
                <w:rFonts w:eastAsia="Calibri"/>
                <w:sz w:val="20"/>
              </w:rPr>
              <w:t>Respondent’s motion for extension of time and application for leave to cross-appeal  filed</w:t>
            </w:r>
          </w:p>
        </w:tc>
      </w:tr>
    </w:tbl>
    <w:p w:rsidR="00BF1FA7" w:rsidRDefault="00BF1FA7" w:rsidP="008D292F">
      <w:pPr>
        <w:rPr>
          <w:sz w:val="20"/>
          <w:szCs w:val="20"/>
        </w:rPr>
      </w:pPr>
    </w:p>
    <w:p w:rsidR="00BF1FA7" w:rsidRDefault="00BF59B3" w:rsidP="008D292F">
      <w:pPr>
        <w:rPr>
          <w:sz w:val="20"/>
          <w:szCs w:val="20"/>
        </w:rPr>
      </w:pPr>
      <w:r w:rsidRPr="00BF59B3">
        <w:rPr>
          <w:sz w:val="20"/>
          <w:szCs w:val="20"/>
          <w:lang w:val="fr-CA"/>
        </w:rPr>
        <w:pict>
          <v:rect id="_x0000_i1036" style="width:2in;height:1pt" o:hrpct="0" o:hralign="center" o:hrstd="t" o:hrnoshade="t" o:hr="t" fillcolor="black [3213]" stroked="f"/>
        </w:pict>
      </w:r>
    </w:p>
    <w:p w:rsidR="00BF1FA7" w:rsidRDefault="00BF1FA7" w:rsidP="008D292F">
      <w:pPr>
        <w:rPr>
          <w:sz w:val="20"/>
          <w:szCs w:val="20"/>
        </w:rPr>
      </w:pPr>
    </w:p>
    <w:p w:rsidR="00BF1FA7" w:rsidRPr="001B157C" w:rsidRDefault="00BF1FA7" w:rsidP="00BF1FA7">
      <w:pPr>
        <w:rPr>
          <w:sz w:val="20"/>
          <w:szCs w:val="20"/>
          <w:u w:val="single"/>
          <w:lang w:val="fr-CA"/>
        </w:rPr>
      </w:pPr>
      <w:r w:rsidRPr="001B157C">
        <w:rPr>
          <w:sz w:val="20"/>
          <w:szCs w:val="20"/>
          <w:u w:val="single"/>
          <w:lang w:val="fr-CA"/>
        </w:rPr>
        <w:t>RÉSUMÉ DE L’AFFAIRE</w:t>
      </w:r>
    </w:p>
    <w:p w:rsidR="00BF1FA7" w:rsidRDefault="00BF1FA7" w:rsidP="008D292F">
      <w:pPr>
        <w:rPr>
          <w:sz w:val="20"/>
          <w:szCs w:val="20"/>
        </w:rPr>
      </w:pPr>
    </w:p>
    <w:tbl>
      <w:tblPr>
        <w:tblW w:w="5000" w:type="pct"/>
        <w:tblLayout w:type="fixed"/>
        <w:tblCellMar>
          <w:left w:w="0" w:type="dxa"/>
          <w:bottom w:w="99" w:type="dxa"/>
          <w:right w:w="0" w:type="dxa"/>
        </w:tblCellMar>
        <w:tblLook w:val="04A0"/>
      </w:tblPr>
      <w:tblGrid>
        <w:gridCol w:w="4623"/>
        <w:gridCol w:w="464"/>
        <w:gridCol w:w="4532"/>
      </w:tblGrid>
      <w:tr w:rsidR="000102CE" w:rsidRPr="00A6632B" w:rsidTr="00796AC2">
        <w:tc>
          <w:tcPr>
            <w:tcW w:w="5000" w:type="pct"/>
            <w:gridSpan w:val="3"/>
          </w:tcPr>
          <w:p w:rsidR="000102CE" w:rsidRPr="007931F0" w:rsidRDefault="000102CE" w:rsidP="00796AC2">
            <w:pPr>
              <w:jc w:val="both"/>
              <w:rPr>
                <w:rFonts w:eastAsia="Calibri"/>
                <w:sz w:val="20"/>
                <w:lang w:val="fr-CA"/>
              </w:rPr>
            </w:pPr>
            <w:r w:rsidRPr="007931F0">
              <w:rPr>
                <w:rFonts w:eastAsia="Calibri"/>
                <w:sz w:val="20"/>
                <w:lang w:val="fr-CA"/>
              </w:rPr>
              <w:t>Appels – Jugements et ordonnances – Procès par jury – Exposé au jury – Tenue d’un nouveau procès ordonnée en raison de directives erronées données par le juge de première instance – Responsabilité civile délictuelle – Véhicules automobiles - Négligence – Norme de diligence – Aucune négligence contributive de la part du mineur – Conducteur d’autobus frappe un enfant qui traversait l’autoroute en courant – Le conducteur de l’autobus a</w:t>
            </w:r>
            <w:r w:rsidRPr="007931F0">
              <w:rPr>
                <w:rFonts w:eastAsia="Calibri"/>
                <w:sz w:val="20"/>
                <w:lang w:val="fr-CA"/>
              </w:rPr>
              <w:noBreakHyphen/>
              <w:t>t</w:t>
            </w:r>
            <w:r w:rsidRPr="007931F0">
              <w:rPr>
                <w:rFonts w:eastAsia="Calibri"/>
                <w:sz w:val="20"/>
                <w:lang w:val="fr-CA"/>
              </w:rPr>
              <w:noBreakHyphen/>
              <w:t>il été négligent? – Le tribunal d’appel a</w:t>
            </w:r>
            <w:r w:rsidRPr="007931F0">
              <w:rPr>
                <w:rFonts w:eastAsia="Calibri"/>
                <w:sz w:val="20"/>
                <w:lang w:val="fr-CA"/>
              </w:rPr>
              <w:noBreakHyphen/>
              <w:t>t</w:t>
            </w:r>
            <w:r w:rsidRPr="007931F0">
              <w:rPr>
                <w:rFonts w:eastAsia="Calibri"/>
                <w:sz w:val="20"/>
                <w:lang w:val="fr-CA"/>
              </w:rPr>
              <w:noBreakHyphen/>
              <w:t>il commis une erreur en refusant de tirer une conclusion de responsabilité à l’encontre de la commission scolaire et de M. Freener plutôt que d’ordonner la tenue d’un nouveau procès? – La responsabilité de la commission scolaire et de M. Feener devrait</w:t>
            </w:r>
            <w:r w:rsidRPr="007931F0">
              <w:rPr>
                <w:rFonts w:eastAsia="Calibri"/>
                <w:sz w:val="20"/>
                <w:lang w:val="fr-CA"/>
              </w:rPr>
              <w:noBreakHyphen/>
              <w:t xml:space="preserve">elle être retenue en raison des aveux faits par M. Feener au procès et des dispositions portant inversion du fardeau de la preuve figurant dans la </w:t>
            </w:r>
            <w:r w:rsidRPr="007931F0">
              <w:rPr>
                <w:rFonts w:eastAsia="Calibri"/>
                <w:i/>
                <w:sz w:val="20"/>
                <w:lang w:val="fr-CA"/>
              </w:rPr>
              <w:t>Motor Vehicle Act</w:t>
            </w:r>
            <w:r w:rsidRPr="007931F0">
              <w:rPr>
                <w:rFonts w:eastAsia="Calibri"/>
                <w:sz w:val="20"/>
                <w:lang w:val="fr-CA"/>
              </w:rPr>
              <w:t>, R.S.N.S. 1989, ch. 293 (la « </w:t>
            </w:r>
            <w:r w:rsidRPr="007931F0">
              <w:rPr>
                <w:rFonts w:eastAsia="Calibri"/>
                <w:i/>
                <w:sz w:val="20"/>
                <w:lang w:val="fr-CA"/>
              </w:rPr>
              <w:t>Loi</w:t>
            </w:r>
            <w:r w:rsidRPr="007931F0">
              <w:rPr>
                <w:rFonts w:eastAsia="Calibri"/>
                <w:sz w:val="20"/>
                <w:lang w:val="fr-CA"/>
              </w:rPr>
              <w:t> »).</w:t>
            </w:r>
          </w:p>
        </w:tc>
      </w:tr>
      <w:tr w:rsidR="000102CE" w:rsidRPr="00A6632B" w:rsidTr="00796AC2">
        <w:tc>
          <w:tcPr>
            <w:tcW w:w="5000" w:type="pct"/>
            <w:gridSpan w:val="3"/>
          </w:tcPr>
          <w:p w:rsidR="000102CE" w:rsidRPr="007931F0" w:rsidRDefault="000102CE" w:rsidP="00796AC2">
            <w:pPr>
              <w:jc w:val="both"/>
              <w:rPr>
                <w:rFonts w:eastAsia="Calibri"/>
                <w:sz w:val="20"/>
                <w:lang w:val="fr-CA"/>
              </w:rPr>
            </w:pPr>
          </w:p>
        </w:tc>
      </w:tr>
      <w:tr w:rsidR="000102CE" w:rsidRPr="00A6632B" w:rsidTr="00796AC2">
        <w:tc>
          <w:tcPr>
            <w:tcW w:w="5000" w:type="pct"/>
            <w:gridSpan w:val="3"/>
          </w:tcPr>
          <w:p w:rsidR="000102CE" w:rsidRPr="007931F0" w:rsidRDefault="000102CE" w:rsidP="00796AC2">
            <w:pPr>
              <w:jc w:val="both"/>
              <w:rPr>
                <w:rFonts w:eastAsia="Calibri"/>
                <w:sz w:val="20"/>
                <w:lang w:val="fr-CA"/>
              </w:rPr>
            </w:pPr>
            <w:r w:rsidRPr="007931F0">
              <w:rPr>
                <w:rFonts w:eastAsia="Calibri"/>
                <w:sz w:val="20"/>
                <w:lang w:val="fr-CA"/>
              </w:rPr>
              <w:t>Johnathan Marshall, âgé de quatre ans, jouait avec ses deux frères aînés à l’extérieur de leur demeure située au bord d’une autoroute et il a été heurté par un autobus conduit par le demandeur, M. Feener.  M. Feener circulait dans son autobus scolaire, lequel était vide, alors qu’il se rendait chercher des étudiants de niveau secondaire.  Alors que l’autobus approchait de la maison des enfants, Johnathan s’est rendu en courant sur l’autoroute et s’est trouvé dans la trajectoire de l’autobus.  M. Feener a freiné dès qu’il a vu Johnathan, mais il l’a quand même heurté, lui infligeant des blessures graves.  Lorsqu’il a eu 19 ans, Johnathan, représenté par son tuteur à l’instance, a intenté une action contre M. Feener et son employeur, la commission scolaire demanderesse.  Les demandeurs ont intenté une procédure de mise en cause contre les parents de Johnathan et l’action contre la mère de ce dernier n’a pas encore été tranchée.</w:t>
            </w:r>
          </w:p>
          <w:p w:rsidR="000102CE" w:rsidRPr="007931F0" w:rsidRDefault="000102CE" w:rsidP="00796AC2">
            <w:pPr>
              <w:jc w:val="both"/>
              <w:rPr>
                <w:rFonts w:eastAsia="Calibri"/>
                <w:sz w:val="20"/>
                <w:lang w:val="fr-CA"/>
              </w:rPr>
            </w:pPr>
          </w:p>
          <w:p w:rsidR="000102CE" w:rsidRPr="007931F0" w:rsidRDefault="000102CE" w:rsidP="00796AC2">
            <w:pPr>
              <w:jc w:val="both"/>
              <w:rPr>
                <w:rFonts w:eastAsia="Calibri"/>
                <w:sz w:val="20"/>
                <w:lang w:val="fr-CA"/>
              </w:rPr>
            </w:pPr>
            <w:r w:rsidRPr="007931F0">
              <w:rPr>
                <w:rFonts w:eastAsia="Calibri"/>
                <w:sz w:val="20"/>
                <w:lang w:val="fr-CA"/>
              </w:rPr>
              <w:t>Un jury a conclu que M. Feener n’a commis aucune négligence causant les dommages subis par Johnathan ou contribuant à ceux-ci.  La Cour suprême de la Nouvelle</w:t>
            </w:r>
            <w:r w:rsidRPr="007931F0">
              <w:rPr>
                <w:rFonts w:eastAsia="Calibri"/>
                <w:sz w:val="20"/>
                <w:lang w:val="fr-CA"/>
              </w:rPr>
              <w:noBreakHyphen/>
              <w:t>Écosse, section de première instance, a rejeté l’action de Johnathan.  Celui</w:t>
            </w:r>
            <w:r w:rsidRPr="007931F0">
              <w:rPr>
                <w:rFonts w:eastAsia="Calibri"/>
                <w:sz w:val="20"/>
                <w:lang w:val="fr-CA"/>
              </w:rPr>
              <w:noBreakHyphen/>
              <w:t>ci a interjeté appel, prétendant que le juge de première instance avait commis diverses erreurs dans son exposé au jury.  La cour d’appel de la Nouvelle</w:t>
            </w:r>
            <w:r w:rsidRPr="007931F0">
              <w:rPr>
                <w:rFonts w:eastAsia="Calibri"/>
                <w:sz w:val="20"/>
                <w:lang w:val="fr-CA"/>
              </w:rPr>
              <w:noBreakHyphen/>
              <w:t xml:space="preserve">Écosse a accueilli l’appel en concluant que certains renvois faits par le juge de première instance aux droits de passage des piétons et des véhicules énoncés à l’art. 125 de la </w:t>
            </w:r>
            <w:r w:rsidRPr="007931F0">
              <w:rPr>
                <w:rFonts w:eastAsia="Calibri"/>
                <w:i/>
                <w:sz w:val="20"/>
                <w:lang w:val="fr-CA"/>
              </w:rPr>
              <w:t>Loi</w:t>
            </w:r>
            <w:r w:rsidRPr="007931F0">
              <w:rPr>
                <w:rFonts w:eastAsia="Calibri"/>
                <w:sz w:val="20"/>
                <w:lang w:val="fr-CA"/>
              </w:rPr>
              <w:t xml:space="preserve"> étaient des directives erronées et constituaient une erreur de droit donnant lieu à révision.  Le tribunal d’appel a ordonné la tenue d’un nouveau procès.  Les parties ont demandé l’autorisation d’interjeter appel et appel incident. </w:t>
            </w:r>
          </w:p>
          <w:p w:rsidR="000102CE" w:rsidRPr="007931F0" w:rsidRDefault="000102CE" w:rsidP="00796AC2">
            <w:pPr>
              <w:jc w:val="both"/>
              <w:rPr>
                <w:rFonts w:eastAsia="Calibri"/>
                <w:sz w:val="20"/>
                <w:lang w:val="fr-CA"/>
              </w:rPr>
            </w:pPr>
          </w:p>
        </w:tc>
      </w:tr>
      <w:tr w:rsidR="000102CE" w:rsidRPr="00A6632B" w:rsidTr="00796AC2">
        <w:tc>
          <w:tcPr>
            <w:tcW w:w="2403" w:type="pct"/>
          </w:tcPr>
          <w:p w:rsidR="000102CE" w:rsidRPr="007931F0" w:rsidRDefault="000102CE" w:rsidP="00796AC2">
            <w:pPr>
              <w:jc w:val="both"/>
              <w:rPr>
                <w:rFonts w:eastAsia="Calibri"/>
                <w:sz w:val="20"/>
                <w:lang w:val="fr-CA"/>
              </w:rPr>
            </w:pPr>
            <w:r w:rsidRPr="007931F0">
              <w:rPr>
                <w:rFonts w:eastAsia="Calibri"/>
                <w:sz w:val="20"/>
                <w:lang w:val="fr-CA"/>
              </w:rPr>
              <w:t>16 décembre 2009</w:t>
            </w:r>
          </w:p>
          <w:p w:rsidR="000102CE" w:rsidRPr="007931F0" w:rsidRDefault="000102CE" w:rsidP="00796AC2">
            <w:pPr>
              <w:jc w:val="both"/>
              <w:rPr>
                <w:rFonts w:eastAsia="Calibri"/>
                <w:sz w:val="20"/>
                <w:lang w:val="fr-CA"/>
              </w:rPr>
            </w:pPr>
            <w:r w:rsidRPr="007931F0">
              <w:rPr>
                <w:rFonts w:eastAsia="Calibri"/>
                <w:sz w:val="20"/>
                <w:lang w:val="fr-CA"/>
              </w:rPr>
              <w:t>Cour suprême de la Nouvelle</w:t>
            </w:r>
            <w:r w:rsidRPr="007931F0">
              <w:rPr>
                <w:rFonts w:eastAsia="Calibri"/>
                <w:sz w:val="20"/>
                <w:lang w:val="fr-CA"/>
              </w:rPr>
              <w:noBreakHyphen/>
              <w:t>Écosse, section de première instance</w:t>
            </w:r>
          </w:p>
          <w:p w:rsidR="000102CE" w:rsidRPr="007931F0" w:rsidRDefault="000102CE" w:rsidP="00796AC2">
            <w:pPr>
              <w:jc w:val="both"/>
              <w:rPr>
                <w:rFonts w:eastAsia="Calibri"/>
                <w:sz w:val="20"/>
                <w:lang w:val="fr-CA"/>
              </w:rPr>
            </w:pPr>
            <w:r w:rsidRPr="007931F0">
              <w:rPr>
                <w:rFonts w:eastAsia="Calibri"/>
                <w:sz w:val="20"/>
                <w:lang w:val="fr-CA"/>
              </w:rPr>
              <w:t>(Juge Pickup, procès avec jury)</w:t>
            </w:r>
          </w:p>
          <w:p w:rsidR="000102CE" w:rsidRPr="007931F0" w:rsidRDefault="000102CE" w:rsidP="00796AC2">
            <w:pPr>
              <w:jc w:val="both"/>
              <w:rPr>
                <w:rFonts w:eastAsia="Calibri"/>
                <w:sz w:val="20"/>
                <w:lang w:val="fr-CA"/>
              </w:rPr>
            </w:pPr>
          </w:p>
        </w:tc>
        <w:tc>
          <w:tcPr>
            <w:tcW w:w="241" w:type="pct"/>
          </w:tcPr>
          <w:p w:rsidR="000102CE" w:rsidRPr="007931F0" w:rsidRDefault="000102CE" w:rsidP="00796AC2">
            <w:pPr>
              <w:jc w:val="both"/>
              <w:rPr>
                <w:rFonts w:eastAsia="Calibri"/>
                <w:sz w:val="20"/>
                <w:lang w:val="fr-CA"/>
              </w:rPr>
            </w:pPr>
          </w:p>
        </w:tc>
        <w:tc>
          <w:tcPr>
            <w:tcW w:w="2356" w:type="pct"/>
          </w:tcPr>
          <w:p w:rsidR="000102CE" w:rsidRPr="007931F0" w:rsidRDefault="000102CE" w:rsidP="00796AC2">
            <w:pPr>
              <w:jc w:val="both"/>
              <w:rPr>
                <w:rFonts w:eastAsia="Calibri"/>
                <w:sz w:val="20"/>
                <w:lang w:val="fr-CA"/>
              </w:rPr>
            </w:pPr>
            <w:r w:rsidRPr="007931F0">
              <w:rPr>
                <w:rFonts w:eastAsia="Calibri"/>
                <w:sz w:val="20"/>
                <w:lang w:val="fr-CA"/>
              </w:rPr>
              <w:t>Jury a conclu que M. Feener n’a commis aucune négligence causant les dommages subis par le défendeur ou contribuant à ceux-ci; action du défendeur rejetée</w:t>
            </w:r>
          </w:p>
        </w:tc>
      </w:tr>
      <w:tr w:rsidR="000102CE" w:rsidRPr="00A6632B" w:rsidTr="00523F41">
        <w:trPr>
          <w:cantSplit/>
        </w:trPr>
        <w:tc>
          <w:tcPr>
            <w:tcW w:w="2403" w:type="pct"/>
          </w:tcPr>
          <w:p w:rsidR="000102CE" w:rsidRPr="007931F0" w:rsidRDefault="000102CE" w:rsidP="00796AC2">
            <w:pPr>
              <w:jc w:val="both"/>
              <w:rPr>
                <w:rFonts w:eastAsia="Calibri"/>
                <w:sz w:val="20"/>
                <w:lang w:val="fr-CA"/>
              </w:rPr>
            </w:pPr>
            <w:r w:rsidRPr="007931F0">
              <w:rPr>
                <w:rFonts w:eastAsia="Calibri"/>
                <w:sz w:val="20"/>
                <w:lang w:val="fr-CA"/>
              </w:rPr>
              <w:t>4 février 2011</w:t>
            </w:r>
          </w:p>
          <w:p w:rsidR="000102CE" w:rsidRPr="007931F0" w:rsidRDefault="000102CE" w:rsidP="00796AC2">
            <w:pPr>
              <w:jc w:val="both"/>
              <w:rPr>
                <w:rFonts w:eastAsia="Calibri"/>
                <w:sz w:val="20"/>
                <w:lang w:val="fr-CA"/>
              </w:rPr>
            </w:pPr>
            <w:r w:rsidRPr="007931F0">
              <w:rPr>
                <w:rFonts w:eastAsia="Calibri"/>
                <w:sz w:val="20"/>
                <w:lang w:val="fr-CA"/>
              </w:rPr>
              <w:t>Cour d’appel de la Nouvelle</w:t>
            </w:r>
            <w:r w:rsidRPr="007931F0">
              <w:rPr>
                <w:rFonts w:eastAsia="Calibri"/>
                <w:sz w:val="20"/>
                <w:lang w:val="fr-CA"/>
              </w:rPr>
              <w:noBreakHyphen/>
              <w:t>Écosse</w:t>
            </w:r>
          </w:p>
          <w:p w:rsidR="000102CE" w:rsidRPr="007931F0" w:rsidRDefault="000102CE" w:rsidP="00796AC2">
            <w:pPr>
              <w:jc w:val="both"/>
              <w:rPr>
                <w:rFonts w:eastAsia="Calibri"/>
                <w:sz w:val="20"/>
                <w:lang w:val="fr-CA"/>
              </w:rPr>
            </w:pPr>
            <w:r w:rsidRPr="007931F0">
              <w:rPr>
                <w:rFonts w:eastAsia="Calibri"/>
                <w:sz w:val="20"/>
                <w:lang w:val="fr-CA"/>
              </w:rPr>
              <w:t>(Juges MacDonald, Saunders et Beveridge)</w:t>
            </w:r>
          </w:p>
          <w:p w:rsidR="000102CE" w:rsidRPr="007931F0" w:rsidRDefault="000102CE" w:rsidP="00796AC2">
            <w:pPr>
              <w:jc w:val="both"/>
              <w:rPr>
                <w:rFonts w:eastAsia="Calibri"/>
                <w:sz w:val="20"/>
                <w:lang w:val="fr-CA"/>
              </w:rPr>
            </w:pPr>
          </w:p>
        </w:tc>
        <w:tc>
          <w:tcPr>
            <w:tcW w:w="241" w:type="pct"/>
          </w:tcPr>
          <w:p w:rsidR="000102CE" w:rsidRPr="007931F0" w:rsidRDefault="000102CE" w:rsidP="00796AC2">
            <w:pPr>
              <w:jc w:val="both"/>
              <w:rPr>
                <w:rFonts w:eastAsia="Calibri"/>
                <w:sz w:val="20"/>
                <w:lang w:val="fr-CA"/>
              </w:rPr>
            </w:pPr>
          </w:p>
        </w:tc>
        <w:tc>
          <w:tcPr>
            <w:tcW w:w="2356" w:type="pct"/>
          </w:tcPr>
          <w:p w:rsidR="000102CE" w:rsidRPr="007931F0" w:rsidRDefault="000102CE" w:rsidP="00796AC2">
            <w:pPr>
              <w:jc w:val="both"/>
              <w:rPr>
                <w:rFonts w:eastAsia="Calibri"/>
                <w:sz w:val="20"/>
                <w:lang w:val="fr-CA"/>
              </w:rPr>
            </w:pPr>
            <w:r w:rsidRPr="007931F0">
              <w:rPr>
                <w:rFonts w:eastAsia="Calibri"/>
                <w:sz w:val="20"/>
                <w:lang w:val="fr-CA"/>
              </w:rPr>
              <w:t>Appel accueilli et tenue d’un nouveau procès ordonné</w:t>
            </w:r>
          </w:p>
          <w:p w:rsidR="000102CE" w:rsidRPr="007931F0" w:rsidRDefault="000102CE" w:rsidP="00796AC2">
            <w:pPr>
              <w:jc w:val="both"/>
              <w:rPr>
                <w:rFonts w:eastAsia="Calibri"/>
                <w:sz w:val="20"/>
                <w:lang w:val="fr-CA"/>
              </w:rPr>
            </w:pPr>
          </w:p>
        </w:tc>
      </w:tr>
      <w:tr w:rsidR="000102CE" w:rsidRPr="007931F0" w:rsidTr="00523F41">
        <w:trPr>
          <w:cantSplit/>
        </w:trPr>
        <w:tc>
          <w:tcPr>
            <w:tcW w:w="2403" w:type="pct"/>
          </w:tcPr>
          <w:p w:rsidR="000102CE" w:rsidRPr="007931F0" w:rsidRDefault="000102CE" w:rsidP="00796AC2">
            <w:pPr>
              <w:jc w:val="both"/>
              <w:rPr>
                <w:rFonts w:eastAsia="Calibri"/>
                <w:sz w:val="20"/>
                <w:lang w:val="fr-CA"/>
              </w:rPr>
            </w:pPr>
            <w:r w:rsidRPr="007931F0">
              <w:rPr>
                <w:rFonts w:eastAsia="Calibri"/>
                <w:sz w:val="20"/>
                <w:lang w:val="fr-CA"/>
              </w:rPr>
              <w:lastRenderedPageBreak/>
              <w:t>5 avril 2011</w:t>
            </w:r>
          </w:p>
          <w:p w:rsidR="000102CE" w:rsidRPr="007931F0" w:rsidRDefault="000102CE" w:rsidP="00796AC2">
            <w:pPr>
              <w:jc w:val="both"/>
              <w:rPr>
                <w:rFonts w:eastAsia="Calibri"/>
                <w:sz w:val="20"/>
                <w:lang w:val="fr-CA"/>
              </w:rPr>
            </w:pPr>
            <w:r w:rsidRPr="007931F0">
              <w:rPr>
                <w:rFonts w:eastAsia="Calibri"/>
                <w:sz w:val="20"/>
                <w:lang w:val="fr-CA"/>
              </w:rPr>
              <w:t>Cour suprême du Canada</w:t>
            </w:r>
          </w:p>
          <w:p w:rsidR="000102CE" w:rsidRPr="007931F0" w:rsidRDefault="000102CE" w:rsidP="00796AC2">
            <w:pPr>
              <w:jc w:val="both"/>
              <w:rPr>
                <w:rFonts w:eastAsia="Calibri"/>
                <w:sz w:val="20"/>
                <w:lang w:val="fr-CA"/>
              </w:rPr>
            </w:pPr>
          </w:p>
        </w:tc>
        <w:tc>
          <w:tcPr>
            <w:tcW w:w="241" w:type="pct"/>
          </w:tcPr>
          <w:p w:rsidR="000102CE" w:rsidRPr="007931F0" w:rsidRDefault="000102CE" w:rsidP="00796AC2">
            <w:pPr>
              <w:jc w:val="both"/>
              <w:rPr>
                <w:rFonts w:eastAsia="Calibri"/>
                <w:sz w:val="20"/>
                <w:lang w:val="fr-CA"/>
              </w:rPr>
            </w:pPr>
          </w:p>
        </w:tc>
        <w:tc>
          <w:tcPr>
            <w:tcW w:w="2356" w:type="pct"/>
          </w:tcPr>
          <w:p w:rsidR="000102CE" w:rsidRPr="007931F0" w:rsidRDefault="000102CE" w:rsidP="00796AC2">
            <w:pPr>
              <w:jc w:val="both"/>
              <w:rPr>
                <w:rFonts w:eastAsia="Calibri"/>
                <w:sz w:val="20"/>
                <w:lang w:val="fr-CA"/>
              </w:rPr>
            </w:pPr>
            <w:r w:rsidRPr="007931F0">
              <w:rPr>
                <w:rFonts w:eastAsia="Calibri"/>
                <w:sz w:val="20"/>
                <w:lang w:val="fr-CA"/>
              </w:rPr>
              <w:t>Demande d’autorisation d’appel, déposée</w:t>
            </w:r>
          </w:p>
          <w:p w:rsidR="000102CE" w:rsidRPr="007931F0" w:rsidRDefault="000102CE" w:rsidP="00796AC2">
            <w:pPr>
              <w:jc w:val="both"/>
              <w:rPr>
                <w:rFonts w:eastAsia="Calibri"/>
                <w:sz w:val="20"/>
                <w:lang w:val="fr-CA"/>
              </w:rPr>
            </w:pPr>
          </w:p>
        </w:tc>
      </w:tr>
      <w:tr w:rsidR="000102CE" w:rsidRPr="007931F0" w:rsidTr="00523F41">
        <w:trPr>
          <w:cantSplit/>
        </w:trPr>
        <w:tc>
          <w:tcPr>
            <w:tcW w:w="2403" w:type="pct"/>
          </w:tcPr>
          <w:p w:rsidR="000102CE" w:rsidRPr="007931F0" w:rsidRDefault="000102CE" w:rsidP="00796AC2">
            <w:pPr>
              <w:jc w:val="both"/>
              <w:rPr>
                <w:rFonts w:eastAsia="Calibri"/>
                <w:sz w:val="20"/>
                <w:lang w:val="fr-CA"/>
              </w:rPr>
            </w:pPr>
            <w:r w:rsidRPr="007931F0">
              <w:rPr>
                <w:rFonts w:eastAsia="Calibri"/>
                <w:sz w:val="20"/>
                <w:lang w:val="fr-CA"/>
              </w:rPr>
              <w:t>13 octobre 2011</w:t>
            </w:r>
          </w:p>
          <w:p w:rsidR="000102CE" w:rsidRPr="007931F0" w:rsidRDefault="000102CE" w:rsidP="00796AC2">
            <w:pPr>
              <w:jc w:val="both"/>
              <w:rPr>
                <w:rFonts w:eastAsia="Calibri"/>
                <w:sz w:val="20"/>
                <w:lang w:val="fr-CA"/>
              </w:rPr>
            </w:pPr>
            <w:r w:rsidRPr="007931F0">
              <w:rPr>
                <w:rFonts w:eastAsia="Calibri"/>
                <w:sz w:val="20"/>
                <w:lang w:val="fr-CA"/>
              </w:rPr>
              <w:t>Cour suprême du Canada</w:t>
            </w:r>
          </w:p>
          <w:p w:rsidR="000102CE" w:rsidRPr="007931F0" w:rsidRDefault="000102CE" w:rsidP="00796AC2">
            <w:pPr>
              <w:jc w:val="both"/>
              <w:rPr>
                <w:rFonts w:eastAsia="Calibri"/>
                <w:sz w:val="20"/>
                <w:lang w:val="fr-CA"/>
              </w:rPr>
            </w:pPr>
          </w:p>
        </w:tc>
        <w:tc>
          <w:tcPr>
            <w:tcW w:w="241" w:type="pct"/>
          </w:tcPr>
          <w:p w:rsidR="000102CE" w:rsidRPr="007931F0" w:rsidRDefault="000102CE" w:rsidP="00796AC2">
            <w:pPr>
              <w:jc w:val="both"/>
              <w:rPr>
                <w:rFonts w:eastAsia="Calibri"/>
                <w:sz w:val="20"/>
                <w:lang w:val="fr-CA"/>
              </w:rPr>
            </w:pPr>
          </w:p>
        </w:tc>
        <w:tc>
          <w:tcPr>
            <w:tcW w:w="2356" w:type="pct"/>
          </w:tcPr>
          <w:p w:rsidR="000102CE" w:rsidRPr="007931F0" w:rsidRDefault="000102CE" w:rsidP="00796AC2">
            <w:pPr>
              <w:jc w:val="both"/>
              <w:rPr>
                <w:rFonts w:eastAsia="Calibri"/>
                <w:sz w:val="20"/>
                <w:lang w:val="fr-CA"/>
              </w:rPr>
            </w:pPr>
            <w:r w:rsidRPr="007931F0">
              <w:rPr>
                <w:rFonts w:eastAsia="Calibri"/>
                <w:sz w:val="20"/>
                <w:lang w:val="fr-CA"/>
              </w:rPr>
              <w:t>Autorisation d’appel accordée</w:t>
            </w:r>
          </w:p>
          <w:p w:rsidR="000102CE" w:rsidRPr="007931F0" w:rsidRDefault="000102CE" w:rsidP="00796AC2">
            <w:pPr>
              <w:jc w:val="both"/>
              <w:rPr>
                <w:rFonts w:eastAsia="Calibri"/>
                <w:sz w:val="20"/>
                <w:lang w:val="fr-CA"/>
              </w:rPr>
            </w:pPr>
          </w:p>
        </w:tc>
      </w:tr>
      <w:tr w:rsidR="000102CE" w:rsidRPr="00A6632B" w:rsidTr="00523F41">
        <w:trPr>
          <w:cantSplit/>
        </w:trPr>
        <w:tc>
          <w:tcPr>
            <w:tcW w:w="2403" w:type="pct"/>
          </w:tcPr>
          <w:p w:rsidR="000102CE" w:rsidRPr="007931F0" w:rsidRDefault="000102CE" w:rsidP="00796AC2">
            <w:pPr>
              <w:jc w:val="both"/>
              <w:rPr>
                <w:rFonts w:eastAsia="Calibri"/>
                <w:sz w:val="20"/>
                <w:lang w:val="fr-CA"/>
              </w:rPr>
            </w:pPr>
            <w:r w:rsidRPr="007931F0">
              <w:rPr>
                <w:rFonts w:eastAsia="Calibri"/>
                <w:sz w:val="20"/>
                <w:lang w:val="fr-CA"/>
              </w:rPr>
              <w:t>4 novembre 2011</w:t>
            </w:r>
          </w:p>
          <w:p w:rsidR="000102CE" w:rsidRPr="007931F0" w:rsidRDefault="000102CE" w:rsidP="00796AC2">
            <w:pPr>
              <w:jc w:val="both"/>
              <w:rPr>
                <w:rFonts w:eastAsia="Calibri"/>
                <w:sz w:val="20"/>
                <w:lang w:val="fr-CA"/>
              </w:rPr>
            </w:pPr>
            <w:r w:rsidRPr="007931F0">
              <w:rPr>
                <w:rFonts w:eastAsia="Calibri"/>
                <w:sz w:val="20"/>
                <w:lang w:val="fr-CA"/>
              </w:rPr>
              <w:t>Cour suprême du Canada</w:t>
            </w:r>
          </w:p>
        </w:tc>
        <w:tc>
          <w:tcPr>
            <w:tcW w:w="241" w:type="pct"/>
          </w:tcPr>
          <w:p w:rsidR="000102CE" w:rsidRPr="007931F0" w:rsidRDefault="000102CE" w:rsidP="00796AC2">
            <w:pPr>
              <w:jc w:val="both"/>
              <w:rPr>
                <w:rFonts w:eastAsia="Calibri"/>
                <w:sz w:val="20"/>
                <w:lang w:val="fr-CA"/>
              </w:rPr>
            </w:pPr>
          </w:p>
          <w:p w:rsidR="000102CE" w:rsidRPr="007931F0" w:rsidRDefault="000102CE" w:rsidP="00796AC2">
            <w:pPr>
              <w:jc w:val="both"/>
              <w:rPr>
                <w:rFonts w:eastAsia="Calibri"/>
                <w:sz w:val="20"/>
                <w:lang w:val="fr-CA"/>
              </w:rPr>
            </w:pPr>
          </w:p>
        </w:tc>
        <w:tc>
          <w:tcPr>
            <w:tcW w:w="2356" w:type="pct"/>
          </w:tcPr>
          <w:p w:rsidR="000102CE" w:rsidRPr="007931F0" w:rsidRDefault="000102CE" w:rsidP="00796AC2">
            <w:pPr>
              <w:jc w:val="both"/>
              <w:rPr>
                <w:rFonts w:eastAsia="Calibri"/>
                <w:sz w:val="20"/>
                <w:lang w:val="fr-CA"/>
              </w:rPr>
            </w:pPr>
            <w:r w:rsidRPr="007931F0">
              <w:rPr>
                <w:rFonts w:eastAsia="Calibri"/>
                <w:sz w:val="20"/>
                <w:lang w:val="fr-CA"/>
              </w:rPr>
              <w:t>Requête en prorogation du délai prévu pour interjeter un appel incident et demande d’autorisation d’appel incident, déposées par le défendeur</w:t>
            </w:r>
          </w:p>
        </w:tc>
      </w:tr>
    </w:tbl>
    <w:p w:rsidR="00BF1FA7" w:rsidRPr="000102CE" w:rsidRDefault="00BF1FA7" w:rsidP="008D292F">
      <w:pPr>
        <w:rPr>
          <w:sz w:val="20"/>
          <w:szCs w:val="20"/>
          <w:lang w:val="fr-CA"/>
        </w:rPr>
      </w:pPr>
    </w:p>
    <w:p w:rsidR="00BF1FA7" w:rsidRDefault="00BF59B3" w:rsidP="008D292F">
      <w:pPr>
        <w:rPr>
          <w:sz w:val="20"/>
          <w:szCs w:val="20"/>
        </w:rPr>
      </w:pPr>
      <w:r w:rsidRPr="00BF59B3">
        <w:rPr>
          <w:sz w:val="20"/>
          <w:szCs w:val="20"/>
          <w:lang w:val="fr-CA"/>
        </w:rPr>
        <w:pict>
          <v:rect id="_x0000_i1037" style="width:2in;height:1pt" o:hrpct="0" o:hralign="center" o:hrstd="t" o:hrnoshade="t" o:hr="t" fillcolor="black [3213]" stroked="f"/>
        </w:pict>
      </w:r>
    </w:p>
    <w:p w:rsidR="00BF1FA7" w:rsidRDefault="00BF1FA7"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23F41" w:rsidRPr="00523F41" w:rsidTr="00523F41">
        <w:trPr>
          <w:cantSplit/>
        </w:trPr>
        <w:tc>
          <w:tcPr>
            <w:tcW w:w="1458" w:type="dxa"/>
          </w:tcPr>
          <w:p w:rsidR="00523F41" w:rsidRPr="00523F41" w:rsidRDefault="00523F41" w:rsidP="00523F41">
            <w:pPr>
              <w:rPr>
                <w:sz w:val="20"/>
                <w:szCs w:val="20"/>
              </w:rPr>
            </w:pPr>
            <w:r w:rsidRPr="00523F41">
              <w:rPr>
                <w:rStyle w:val="SCCFileNumberChar"/>
                <w:sz w:val="20"/>
                <w:szCs w:val="20"/>
              </w:rPr>
              <w:t>34205</w:t>
            </w:r>
          </w:p>
          <w:p w:rsidR="00523F41" w:rsidRPr="00523F41" w:rsidRDefault="00523F41" w:rsidP="00523F41">
            <w:pPr>
              <w:rPr>
                <w:b/>
                <w:sz w:val="20"/>
                <w:szCs w:val="20"/>
                <w:lang w:val="fr-CA"/>
              </w:rPr>
            </w:pPr>
          </w:p>
        </w:tc>
        <w:tc>
          <w:tcPr>
            <w:tcW w:w="8118" w:type="dxa"/>
          </w:tcPr>
          <w:p w:rsidR="00523F41" w:rsidRPr="00523F41" w:rsidRDefault="00523F41" w:rsidP="00523F41">
            <w:pPr>
              <w:jc w:val="both"/>
              <w:rPr>
                <w:sz w:val="20"/>
                <w:szCs w:val="20"/>
              </w:rPr>
            </w:pPr>
            <w:r w:rsidRPr="00523F41">
              <w:rPr>
                <w:rStyle w:val="SCCLsocChar"/>
                <w:sz w:val="20"/>
                <w:szCs w:val="20"/>
                <w:lang w:val="en-CA"/>
              </w:rPr>
              <w:t>Construction Labour Relations - An Alberta Association v. Driver Iron Inc.</w:t>
            </w:r>
            <w:r w:rsidR="00A05B9F">
              <w:rPr>
                <w:rStyle w:val="SCCLsocChar"/>
                <w:sz w:val="20"/>
                <w:szCs w:val="20"/>
                <w:lang w:val="en-CA"/>
              </w:rPr>
              <w:t xml:space="preserve"> and</w:t>
            </w:r>
            <w:r w:rsidRPr="00523F41">
              <w:rPr>
                <w:rStyle w:val="SCCLsocChar"/>
                <w:sz w:val="20"/>
                <w:szCs w:val="20"/>
                <w:lang w:val="en-CA"/>
              </w:rPr>
              <w:t xml:space="preserve"> International Association of Bridge, Structural, Ornamental and Reinforcing Ironworkers, Local Union No. 720</w:t>
            </w:r>
            <w:r w:rsidRPr="00523F41">
              <w:rPr>
                <w:sz w:val="20"/>
                <w:szCs w:val="20"/>
              </w:rPr>
              <w:t xml:space="preserve"> (Alta.) (Civil) (By Leave)</w:t>
            </w:r>
          </w:p>
          <w:p w:rsidR="00523F41" w:rsidRPr="00523F41" w:rsidRDefault="00523F41" w:rsidP="00523F41">
            <w:pPr>
              <w:rPr>
                <w:sz w:val="20"/>
                <w:szCs w:val="20"/>
              </w:rPr>
            </w:pPr>
          </w:p>
        </w:tc>
      </w:tr>
      <w:tr w:rsidR="00523F41" w:rsidRPr="00523F41" w:rsidTr="00523F41">
        <w:trPr>
          <w:cantSplit/>
        </w:trPr>
        <w:tc>
          <w:tcPr>
            <w:tcW w:w="1458" w:type="dxa"/>
          </w:tcPr>
          <w:p w:rsidR="00523F41" w:rsidRPr="00523F41" w:rsidRDefault="00523F41" w:rsidP="00523F41">
            <w:pPr>
              <w:rPr>
                <w:sz w:val="20"/>
                <w:szCs w:val="20"/>
              </w:rPr>
            </w:pPr>
            <w:r w:rsidRPr="00523F41">
              <w:rPr>
                <w:sz w:val="20"/>
                <w:szCs w:val="20"/>
              </w:rPr>
              <w:t>Coram :</w:t>
            </w:r>
          </w:p>
        </w:tc>
        <w:tc>
          <w:tcPr>
            <w:tcW w:w="8118" w:type="dxa"/>
          </w:tcPr>
          <w:p w:rsidR="00523F41" w:rsidRPr="00523F41" w:rsidRDefault="00523F41" w:rsidP="00523F41">
            <w:pPr>
              <w:rPr>
                <w:sz w:val="20"/>
                <w:szCs w:val="20"/>
              </w:rPr>
            </w:pPr>
            <w:r w:rsidRPr="00523F41">
              <w:rPr>
                <w:rStyle w:val="SCCCoramChar"/>
                <w:sz w:val="20"/>
                <w:szCs w:val="20"/>
                <w:lang w:val="en-CA"/>
              </w:rPr>
              <w:t>Binnie, Abella and Rothstein JJ.</w:t>
            </w:r>
          </w:p>
          <w:p w:rsidR="00523F41" w:rsidRPr="00523F41" w:rsidRDefault="00523F41" w:rsidP="00523F41">
            <w:pPr>
              <w:rPr>
                <w:sz w:val="20"/>
                <w:szCs w:val="20"/>
                <w:u w:val="single"/>
              </w:rPr>
            </w:pPr>
          </w:p>
        </w:tc>
      </w:tr>
      <w:tr w:rsidR="00523F41" w:rsidRPr="00A6632B" w:rsidTr="00523F41">
        <w:trPr>
          <w:cantSplit/>
        </w:trPr>
        <w:tc>
          <w:tcPr>
            <w:tcW w:w="9576" w:type="dxa"/>
            <w:gridSpan w:val="2"/>
          </w:tcPr>
          <w:p w:rsidR="00523F41" w:rsidRPr="00523F41" w:rsidRDefault="00523F41" w:rsidP="00523F41">
            <w:pPr>
              <w:pStyle w:val="SCCShortJudgment"/>
              <w:rPr>
                <w:szCs w:val="20"/>
              </w:rPr>
            </w:pPr>
            <w:r w:rsidRPr="00523F41">
              <w:rPr>
                <w:szCs w:val="20"/>
              </w:rPr>
              <w:t>The application for leave to appeal from the judgment of the Court of Appeal of Alberta (Edmonton), Number 0903-0328-AC, 2011 ABCA 55, dated February 16, 2011, is granted with costs in the cause.</w:t>
            </w:r>
          </w:p>
          <w:p w:rsidR="00523F41" w:rsidRPr="00523F41" w:rsidRDefault="00523F41" w:rsidP="00523F41">
            <w:pPr>
              <w:pStyle w:val="SCCShortJudgment"/>
              <w:ind w:firstLine="0"/>
              <w:rPr>
                <w:szCs w:val="20"/>
              </w:rPr>
            </w:pPr>
          </w:p>
          <w:p w:rsidR="00523F41" w:rsidRPr="00523F41" w:rsidRDefault="00523F41" w:rsidP="00523F41">
            <w:pPr>
              <w:pStyle w:val="SCCShortJudgment"/>
              <w:rPr>
                <w:szCs w:val="20"/>
                <w:lang w:val="fr-CA"/>
              </w:rPr>
            </w:pPr>
            <w:r w:rsidRPr="00523F41">
              <w:rPr>
                <w:szCs w:val="20"/>
                <w:lang w:val="fr-CA"/>
              </w:rPr>
              <w:t>La demande d’autorisation d’appel de l’arrêt de la Cour d’appel de l’Alberta (Edmonton), numéro 0903-0328-AC, 2011 ABCA 55, daté du 16 février 2011, est accueillie avec dépens suivant l’issue de la cause.</w:t>
            </w:r>
          </w:p>
        </w:tc>
      </w:tr>
    </w:tbl>
    <w:p w:rsidR="00BF1FA7" w:rsidRPr="00523F41" w:rsidRDefault="00BF1FA7" w:rsidP="008D292F">
      <w:pPr>
        <w:rPr>
          <w:sz w:val="20"/>
          <w:szCs w:val="20"/>
          <w:lang w:val="fr-CA"/>
        </w:rPr>
      </w:pPr>
    </w:p>
    <w:p w:rsidR="00BF1FA7" w:rsidRPr="001B157C" w:rsidRDefault="00BF1FA7" w:rsidP="00BF1FA7">
      <w:pPr>
        <w:rPr>
          <w:sz w:val="20"/>
          <w:szCs w:val="20"/>
          <w:u w:val="single"/>
        </w:rPr>
      </w:pPr>
      <w:r w:rsidRPr="001B157C">
        <w:rPr>
          <w:sz w:val="20"/>
          <w:szCs w:val="20"/>
          <w:u w:val="single"/>
        </w:rPr>
        <w:t>CASE SUMMARY</w:t>
      </w:r>
    </w:p>
    <w:p w:rsidR="00BF1FA7" w:rsidRDefault="00BF1FA7" w:rsidP="00BF1FA7">
      <w:pPr>
        <w:rPr>
          <w:sz w:val="20"/>
          <w:szCs w:val="20"/>
        </w:rPr>
      </w:pPr>
    </w:p>
    <w:tbl>
      <w:tblPr>
        <w:tblW w:w="5000" w:type="pct"/>
        <w:tblLayout w:type="fixed"/>
        <w:tblCellMar>
          <w:left w:w="0" w:type="dxa"/>
          <w:bottom w:w="99" w:type="dxa"/>
          <w:right w:w="0" w:type="dxa"/>
        </w:tblCellMar>
        <w:tblLook w:val="04A0"/>
      </w:tblPr>
      <w:tblGrid>
        <w:gridCol w:w="4536"/>
        <w:gridCol w:w="454"/>
        <w:gridCol w:w="4629"/>
      </w:tblGrid>
      <w:tr w:rsidR="00796AC2" w:rsidRPr="007931F0" w:rsidTr="00796AC2">
        <w:tc>
          <w:tcPr>
            <w:tcW w:w="5000" w:type="pct"/>
            <w:gridSpan w:val="3"/>
          </w:tcPr>
          <w:p w:rsidR="00796AC2" w:rsidRPr="007931F0" w:rsidRDefault="00796AC2" w:rsidP="00796AC2">
            <w:pPr>
              <w:spacing w:after="58"/>
              <w:jc w:val="both"/>
              <w:rPr>
                <w:rFonts w:eastAsia="Calibri"/>
                <w:sz w:val="20"/>
              </w:rPr>
            </w:pPr>
            <w:r w:rsidRPr="007931F0">
              <w:rPr>
                <w:rFonts w:eastAsia="Calibri"/>
                <w:sz w:val="20"/>
              </w:rPr>
              <w:t>Labour relations — Standard of review — Sufficiency of reasons — Reasonableness — Whether an administrative tribunal must state on the face of its decision the manner in which it has addressed each argument made by all parties in a fulsome, evaluative and in</w:t>
            </w:r>
            <w:r w:rsidRPr="007931F0">
              <w:rPr>
                <w:rFonts w:eastAsia="Calibri"/>
                <w:sz w:val="20"/>
              </w:rPr>
              <w:noBreakHyphen/>
              <w:t xml:space="preserve">depth manner — Whether the obligation of an administrative tribunal to give reasons is a matter of procedural fairness or a matter for the reasonableness analysis as set out in </w:t>
            </w:r>
            <w:r w:rsidRPr="007931F0">
              <w:rPr>
                <w:i/>
                <w:color w:val="3A3A3A"/>
                <w:sz w:val="20"/>
              </w:rPr>
              <w:t xml:space="preserve">Dunsmuir </w:t>
            </w:r>
            <w:r w:rsidRPr="007931F0">
              <w:rPr>
                <w:i/>
                <w:iCs/>
                <w:color w:val="3A3A3A"/>
                <w:sz w:val="20"/>
              </w:rPr>
              <w:t>v</w:t>
            </w:r>
            <w:r w:rsidRPr="007931F0">
              <w:rPr>
                <w:i/>
                <w:color w:val="3A3A3A"/>
                <w:sz w:val="20"/>
              </w:rPr>
              <w:t>. New Brunswick</w:t>
            </w:r>
            <w:r w:rsidRPr="007931F0">
              <w:rPr>
                <w:color w:val="3A3A3A"/>
                <w:sz w:val="20"/>
              </w:rPr>
              <w:t>, [2008] 1 S.C.R. 190, 2008 SCC 9</w:t>
            </w:r>
          </w:p>
        </w:tc>
      </w:tr>
      <w:tr w:rsidR="00796AC2" w:rsidRPr="007931F0" w:rsidTr="00796AC2">
        <w:tc>
          <w:tcPr>
            <w:tcW w:w="5000" w:type="pct"/>
            <w:gridSpan w:val="3"/>
          </w:tcPr>
          <w:p w:rsidR="00796AC2" w:rsidRPr="007931F0" w:rsidRDefault="00796AC2" w:rsidP="00796AC2">
            <w:pPr>
              <w:jc w:val="both"/>
              <w:rPr>
                <w:rFonts w:eastAsia="Calibri"/>
                <w:sz w:val="20"/>
              </w:rPr>
            </w:pPr>
          </w:p>
        </w:tc>
      </w:tr>
      <w:tr w:rsidR="00796AC2" w:rsidRPr="007931F0" w:rsidTr="00796AC2">
        <w:tc>
          <w:tcPr>
            <w:tcW w:w="5000" w:type="pct"/>
            <w:gridSpan w:val="3"/>
          </w:tcPr>
          <w:p w:rsidR="00796AC2" w:rsidRPr="007931F0" w:rsidRDefault="00796AC2" w:rsidP="00796AC2">
            <w:pPr>
              <w:jc w:val="both"/>
              <w:rPr>
                <w:rFonts w:eastAsia="Calibri"/>
                <w:sz w:val="20"/>
              </w:rPr>
            </w:pPr>
            <w:r w:rsidRPr="007931F0">
              <w:rPr>
                <w:rFonts w:eastAsia="Calibri"/>
                <w:sz w:val="20"/>
              </w:rPr>
              <w:t>The applicant, Construction Labour Relations Association (“CLRA”) is an umbrella organization that includes and represents two registered employers’ organizations in Alberta — the Reinforcing Trade Division (“REO”) and the Structural Trade Division (“SEO”).  The Respondent, Driver Iron Inc. carries on business in the general construction sector of the construction industry in Alberta and is engaged in and performs reinforcing and structural ironworking.  The respondent, International Association of Bridge, Structural, Ornamental and Reinforcing Ironworkers, Local Union No. 720 (“Local 720”) is a craft union that represents workers engaged in both structural and reinforcing ironwork in Alberta.  Local 720 was a party to continuing Registration Collective Agreements with the two employers’ organizations represented by the CLRA.  Driver Iron was awarded work on an oil sands project.  It was non</w:t>
            </w:r>
            <w:r w:rsidRPr="007931F0">
              <w:rPr>
                <w:rFonts w:eastAsia="Calibri"/>
                <w:sz w:val="20"/>
              </w:rPr>
              <w:noBreakHyphen/>
              <w:t>union but advised Local 720 it would make its best efforts to utilize its members to do the ironwork on the project.  Driver Iron would not be unionized and would not agree to the terms of the Registration Collective Agreements.  Local 720 and Driver Iron agreed to the terms of a time</w:t>
            </w:r>
            <w:r w:rsidRPr="007931F0">
              <w:rPr>
                <w:rFonts w:eastAsia="Calibri"/>
                <w:sz w:val="20"/>
              </w:rPr>
              <w:noBreakHyphen/>
              <w:t xml:space="preserve">limited collective agreement.  Driver Iron also agreed that the agreement would fall under s. 176(1)(b) of the </w:t>
            </w:r>
            <w:r w:rsidRPr="007931F0">
              <w:rPr>
                <w:rFonts w:eastAsia="Calibri"/>
                <w:i/>
                <w:sz w:val="20"/>
              </w:rPr>
              <w:t>Labour Relations Code</w:t>
            </w:r>
            <w:r w:rsidRPr="007931F0">
              <w:rPr>
                <w:rFonts w:eastAsia="Calibri"/>
                <w:sz w:val="20"/>
              </w:rPr>
              <w:t xml:space="preserve"> and would not make it an employer under s. 176(1)(a).  The agreement was not renewed once it expired.  Driver Iron and Local 720 then entered into a new agreement to govern their relationship and agreed that it would not be governed by the </w:t>
            </w:r>
            <w:r w:rsidRPr="007931F0">
              <w:rPr>
                <w:rFonts w:eastAsia="Calibri"/>
                <w:i/>
                <w:sz w:val="20"/>
              </w:rPr>
              <w:t>Code</w:t>
            </w:r>
            <w:r w:rsidRPr="007931F0">
              <w:rPr>
                <w:rFonts w:eastAsia="Calibri"/>
                <w:sz w:val="20"/>
              </w:rPr>
              <w:t xml:space="preserve"> and would not be enforced by either party as a collective agreement under the </w:t>
            </w:r>
            <w:r w:rsidRPr="007931F0">
              <w:rPr>
                <w:rFonts w:eastAsia="Calibri"/>
                <w:i/>
                <w:sz w:val="20"/>
              </w:rPr>
              <w:t>Code</w:t>
            </w:r>
            <w:r w:rsidRPr="007931F0">
              <w:rPr>
                <w:rFonts w:eastAsia="Calibri"/>
                <w:sz w:val="20"/>
              </w:rPr>
              <w:t xml:space="preserve">.  The CLRA complained to the Alberta Labour Relations Board (“the Board”) about the agreement and alleged that the agreement violated several provisions of the </w:t>
            </w:r>
            <w:r w:rsidRPr="007931F0">
              <w:rPr>
                <w:rFonts w:eastAsia="Calibri"/>
                <w:i/>
                <w:sz w:val="20"/>
              </w:rPr>
              <w:t>Code</w:t>
            </w:r>
            <w:r w:rsidRPr="007931F0">
              <w:rPr>
                <w:rFonts w:eastAsia="Calibri"/>
                <w:sz w:val="20"/>
              </w:rPr>
              <w:t xml:space="preserve">.  The CLRA claimed that Local 720 and Driver Iron were not permitted to directly negotiate terms and conditions of employment for Driver Iron’s employees.  Only the CLRA could negotiate on behalf of Driver Iron.  Driver Iron was also bound by the terms </w:t>
            </w:r>
            <w:r w:rsidRPr="007931F0">
              <w:rPr>
                <w:rFonts w:eastAsia="Calibri"/>
                <w:sz w:val="20"/>
              </w:rPr>
              <w:lastRenderedPageBreak/>
              <w:t xml:space="preserve">of the Registration Collective Agreements. Driver Iron and Local 720 maintained they could enter into an agreement that governed terms and conditions of employment which were outside the ambit of the </w:t>
            </w:r>
            <w:r w:rsidRPr="007931F0">
              <w:rPr>
                <w:rFonts w:eastAsia="Calibri"/>
                <w:i/>
                <w:sz w:val="20"/>
              </w:rPr>
              <w:t>Code</w:t>
            </w:r>
            <w:r w:rsidRPr="007931F0">
              <w:rPr>
                <w:rFonts w:eastAsia="Calibri"/>
                <w:sz w:val="20"/>
              </w:rPr>
              <w:t xml:space="preserve">.  </w:t>
            </w:r>
          </w:p>
          <w:p w:rsidR="00796AC2" w:rsidRPr="007931F0" w:rsidRDefault="00796AC2" w:rsidP="00796AC2">
            <w:pPr>
              <w:jc w:val="both"/>
              <w:rPr>
                <w:rFonts w:eastAsia="Calibri"/>
                <w:sz w:val="20"/>
              </w:rPr>
            </w:pPr>
          </w:p>
          <w:p w:rsidR="00796AC2" w:rsidRPr="007931F0" w:rsidRDefault="00796AC2" w:rsidP="00796AC2">
            <w:pPr>
              <w:jc w:val="both"/>
              <w:rPr>
                <w:rFonts w:eastAsia="Calibri"/>
                <w:sz w:val="20"/>
              </w:rPr>
            </w:pPr>
            <w:r w:rsidRPr="007931F0">
              <w:rPr>
                <w:rFonts w:eastAsia="Calibri"/>
                <w:sz w:val="20"/>
              </w:rPr>
              <w:t xml:space="preserve">The Board declared that Driver Iron was an employer under s. 176(1)(b) of the </w:t>
            </w:r>
            <w:r w:rsidRPr="007931F0">
              <w:rPr>
                <w:rFonts w:eastAsia="Calibri"/>
                <w:i/>
                <w:sz w:val="20"/>
              </w:rPr>
              <w:t>Code</w:t>
            </w:r>
            <w:r w:rsidRPr="007931F0">
              <w:rPr>
                <w:rFonts w:eastAsia="Calibri"/>
                <w:sz w:val="20"/>
              </w:rPr>
              <w:t xml:space="preserve">.  Pursuant to s. 178 of the </w:t>
            </w:r>
            <w:r w:rsidRPr="007931F0">
              <w:rPr>
                <w:rFonts w:eastAsia="Calibri"/>
                <w:i/>
                <w:sz w:val="20"/>
              </w:rPr>
              <w:t>Code</w:t>
            </w:r>
            <w:r w:rsidRPr="007931F0">
              <w:rPr>
                <w:rFonts w:eastAsia="Calibri"/>
                <w:sz w:val="20"/>
              </w:rPr>
              <w:t>, it was subject to the terms of the Registration Collective Agreements between the CLRA and Local 720.  The application for judicial review was dismissed.  It was found that the plain wording of ss. 176(1)(b) and 178 supported the Board’s interpretation that the CLRA was the exclusive bargaining authority on behalf of Driver Iron and that Driver Iron was bound by the Registration Collective Agreements for the duration of its agreement with Local 720.  On appeal, the appeal was allowed and the matter returned to the Board for a rehearing.</w:t>
            </w:r>
          </w:p>
          <w:p w:rsidR="00796AC2" w:rsidRPr="007931F0" w:rsidRDefault="00796AC2" w:rsidP="00796AC2">
            <w:pPr>
              <w:jc w:val="both"/>
              <w:rPr>
                <w:rFonts w:eastAsia="Calibri"/>
                <w:sz w:val="20"/>
              </w:rPr>
            </w:pPr>
          </w:p>
        </w:tc>
      </w:tr>
      <w:tr w:rsidR="00796AC2" w:rsidRPr="007931F0" w:rsidTr="00796AC2">
        <w:tc>
          <w:tcPr>
            <w:tcW w:w="2358" w:type="pct"/>
          </w:tcPr>
          <w:p w:rsidR="00796AC2" w:rsidRPr="007931F0" w:rsidRDefault="00796AC2" w:rsidP="00796AC2">
            <w:pPr>
              <w:jc w:val="both"/>
              <w:rPr>
                <w:rFonts w:eastAsia="Calibri"/>
                <w:sz w:val="20"/>
              </w:rPr>
            </w:pPr>
            <w:r w:rsidRPr="007931F0">
              <w:rPr>
                <w:rFonts w:eastAsia="Calibri"/>
                <w:sz w:val="20"/>
              </w:rPr>
              <w:lastRenderedPageBreak/>
              <w:t>January 8, 2009</w:t>
            </w:r>
          </w:p>
          <w:p w:rsidR="00796AC2" w:rsidRPr="007931F0" w:rsidRDefault="00796AC2" w:rsidP="00796AC2">
            <w:pPr>
              <w:jc w:val="both"/>
              <w:rPr>
                <w:rFonts w:eastAsia="Calibri"/>
                <w:sz w:val="20"/>
              </w:rPr>
            </w:pPr>
            <w:r w:rsidRPr="007931F0">
              <w:rPr>
                <w:rFonts w:eastAsia="Calibri"/>
                <w:sz w:val="20"/>
              </w:rPr>
              <w:t>Alberta Labour Relations Board</w:t>
            </w:r>
          </w:p>
          <w:p w:rsidR="00796AC2" w:rsidRPr="007931F0" w:rsidRDefault="00796AC2" w:rsidP="00796AC2">
            <w:pPr>
              <w:jc w:val="both"/>
              <w:rPr>
                <w:rFonts w:eastAsia="Calibri"/>
                <w:sz w:val="20"/>
              </w:rPr>
            </w:pPr>
            <w:r w:rsidRPr="007931F0">
              <w:rPr>
                <w:rFonts w:eastAsia="Calibri"/>
                <w:sz w:val="20"/>
              </w:rPr>
              <w:t>(Asbell, Chair; Kanee, Vice</w:t>
            </w:r>
            <w:r w:rsidRPr="007931F0">
              <w:rPr>
                <w:rFonts w:eastAsia="Calibri"/>
                <w:sz w:val="20"/>
              </w:rPr>
              <w:noBreakHyphen/>
              <w:t>Chair; Cooper and Flannery, Members)</w:t>
            </w:r>
          </w:p>
          <w:p w:rsidR="00796AC2" w:rsidRPr="007931F0" w:rsidRDefault="00796AC2" w:rsidP="00796AC2">
            <w:pPr>
              <w:jc w:val="both"/>
              <w:rPr>
                <w:rFonts w:eastAsia="Calibri"/>
                <w:sz w:val="20"/>
              </w:rPr>
            </w:pPr>
          </w:p>
        </w:tc>
        <w:tc>
          <w:tcPr>
            <w:tcW w:w="236" w:type="pct"/>
          </w:tcPr>
          <w:p w:rsidR="00796AC2" w:rsidRPr="007931F0" w:rsidRDefault="00796AC2" w:rsidP="00796AC2">
            <w:pPr>
              <w:jc w:val="both"/>
              <w:rPr>
                <w:rFonts w:eastAsia="Calibri"/>
                <w:sz w:val="20"/>
              </w:rPr>
            </w:pPr>
          </w:p>
        </w:tc>
        <w:tc>
          <w:tcPr>
            <w:tcW w:w="2406" w:type="pct"/>
          </w:tcPr>
          <w:p w:rsidR="00796AC2" w:rsidRPr="007931F0" w:rsidRDefault="00796AC2" w:rsidP="00796AC2">
            <w:pPr>
              <w:jc w:val="both"/>
              <w:rPr>
                <w:rFonts w:eastAsia="Calibri"/>
                <w:sz w:val="20"/>
              </w:rPr>
            </w:pPr>
            <w:r w:rsidRPr="007931F0">
              <w:rPr>
                <w:rFonts w:eastAsia="Calibri"/>
                <w:sz w:val="20"/>
              </w:rPr>
              <w:t xml:space="preserve">Driver Iron declared to be an employer under s. 176(1)(b) of the </w:t>
            </w:r>
            <w:r w:rsidRPr="007931F0">
              <w:rPr>
                <w:rFonts w:eastAsia="Calibri"/>
                <w:i/>
                <w:sz w:val="20"/>
              </w:rPr>
              <w:t>Labour Relations Code</w:t>
            </w:r>
          </w:p>
        </w:tc>
      </w:tr>
      <w:tr w:rsidR="00796AC2" w:rsidRPr="007931F0" w:rsidTr="00796AC2">
        <w:tc>
          <w:tcPr>
            <w:tcW w:w="2358" w:type="pct"/>
          </w:tcPr>
          <w:p w:rsidR="00796AC2" w:rsidRPr="007931F0" w:rsidRDefault="00796AC2" w:rsidP="00796AC2">
            <w:pPr>
              <w:jc w:val="both"/>
              <w:rPr>
                <w:rFonts w:eastAsia="Calibri"/>
                <w:sz w:val="20"/>
              </w:rPr>
            </w:pPr>
            <w:r w:rsidRPr="007931F0">
              <w:rPr>
                <w:rFonts w:eastAsia="Calibri"/>
                <w:sz w:val="20"/>
              </w:rPr>
              <w:t>October 20, 2009</w:t>
            </w:r>
          </w:p>
          <w:p w:rsidR="00796AC2" w:rsidRPr="007931F0" w:rsidRDefault="00796AC2" w:rsidP="00796AC2">
            <w:pPr>
              <w:jc w:val="both"/>
              <w:rPr>
                <w:rFonts w:eastAsia="Calibri"/>
                <w:sz w:val="20"/>
              </w:rPr>
            </w:pPr>
            <w:r w:rsidRPr="007931F0">
              <w:rPr>
                <w:rFonts w:eastAsia="Calibri"/>
                <w:sz w:val="20"/>
              </w:rPr>
              <w:t>Court of Queen’s Bench of Alberta</w:t>
            </w:r>
          </w:p>
          <w:p w:rsidR="00796AC2" w:rsidRPr="007931F0" w:rsidRDefault="00796AC2" w:rsidP="00796AC2">
            <w:pPr>
              <w:jc w:val="both"/>
              <w:rPr>
                <w:rFonts w:eastAsia="Calibri"/>
                <w:sz w:val="20"/>
              </w:rPr>
            </w:pPr>
            <w:r w:rsidRPr="007931F0">
              <w:rPr>
                <w:rFonts w:eastAsia="Calibri"/>
                <w:sz w:val="20"/>
              </w:rPr>
              <w:t>(Gill J.)</w:t>
            </w:r>
          </w:p>
          <w:p w:rsidR="00796AC2" w:rsidRPr="007931F0" w:rsidRDefault="00796AC2" w:rsidP="00796AC2">
            <w:pPr>
              <w:jc w:val="both"/>
              <w:rPr>
                <w:rFonts w:eastAsia="Calibri"/>
                <w:sz w:val="20"/>
              </w:rPr>
            </w:pPr>
            <w:r w:rsidRPr="007931F0">
              <w:rPr>
                <w:rFonts w:eastAsia="Calibri"/>
                <w:sz w:val="20"/>
              </w:rPr>
              <w:t>2009 ABQB 604</w:t>
            </w:r>
          </w:p>
          <w:p w:rsidR="00796AC2" w:rsidRPr="007931F0" w:rsidRDefault="00796AC2" w:rsidP="00796AC2">
            <w:pPr>
              <w:jc w:val="both"/>
              <w:rPr>
                <w:rFonts w:eastAsia="Calibri"/>
                <w:sz w:val="20"/>
              </w:rPr>
            </w:pPr>
          </w:p>
        </w:tc>
        <w:tc>
          <w:tcPr>
            <w:tcW w:w="236" w:type="pct"/>
          </w:tcPr>
          <w:p w:rsidR="00796AC2" w:rsidRPr="007931F0" w:rsidRDefault="00796AC2" w:rsidP="00796AC2">
            <w:pPr>
              <w:jc w:val="both"/>
              <w:rPr>
                <w:rFonts w:eastAsia="Calibri"/>
                <w:sz w:val="20"/>
              </w:rPr>
            </w:pPr>
          </w:p>
        </w:tc>
        <w:tc>
          <w:tcPr>
            <w:tcW w:w="2406" w:type="pct"/>
          </w:tcPr>
          <w:p w:rsidR="00796AC2" w:rsidRPr="007931F0" w:rsidRDefault="00796AC2" w:rsidP="00796AC2">
            <w:pPr>
              <w:jc w:val="both"/>
              <w:rPr>
                <w:rFonts w:eastAsia="Calibri"/>
                <w:sz w:val="20"/>
              </w:rPr>
            </w:pPr>
            <w:r w:rsidRPr="007931F0">
              <w:rPr>
                <w:rFonts w:eastAsia="Calibri"/>
                <w:sz w:val="20"/>
              </w:rPr>
              <w:t>Application for judicial review dismissed</w:t>
            </w:r>
          </w:p>
          <w:p w:rsidR="00796AC2" w:rsidRPr="007931F0" w:rsidRDefault="00796AC2" w:rsidP="00796AC2">
            <w:pPr>
              <w:jc w:val="both"/>
              <w:rPr>
                <w:rFonts w:eastAsia="Calibri"/>
                <w:sz w:val="20"/>
              </w:rPr>
            </w:pPr>
          </w:p>
        </w:tc>
      </w:tr>
      <w:tr w:rsidR="00796AC2" w:rsidRPr="007931F0" w:rsidTr="00796AC2">
        <w:tc>
          <w:tcPr>
            <w:tcW w:w="2358" w:type="pct"/>
          </w:tcPr>
          <w:p w:rsidR="00796AC2" w:rsidRPr="007931F0" w:rsidRDefault="00796AC2" w:rsidP="00796AC2">
            <w:pPr>
              <w:jc w:val="both"/>
              <w:rPr>
                <w:rFonts w:eastAsia="Calibri"/>
                <w:sz w:val="20"/>
              </w:rPr>
            </w:pPr>
            <w:r w:rsidRPr="007931F0">
              <w:rPr>
                <w:rFonts w:eastAsia="Calibri"/>
                <w:sz w:val="20"/>
              </w:rPr>
              <w:t>February 16, 2011</w:t>
            </w:r>
          </w:p>
          <w:p w:rsidR="00796AC2" w:rsidRPr="007931F0" w:rsidRDefault="00796AC2" w:rsidP="00796AC2">
            <w:pPr>
              <w:jc w:val="both"/>
              <w:rPr>
                <w:rFonts w:eastAsia="Calibri"/>
                <w:sz w:val="20"/>
              </w:rPr>
            </w:pPr>
            <w:r w:rsidRPr="007931F0">
              <w:rPr>
                <w:rFonts w:eastAsia="Calibri"/>
                <w:sz w:val="20"/>
              </w:rPr>
              <w:t>Court of Appeal of Alberta (Edmonton)</w:t>
            </w:r>
          </w:p>
          <w:p w:rsidR="00796AC2" w:rsidRPr="007931F0" w:rsidRDefault="00796AC2" w:rsidP="00796AC2">
            <w:pPr>
              <w:jc w:val="both"/>
              <w:rPr>
                <w:rFonts w:eastAsia="Calibri"/>
                <w:sz w:val="20"/>
              </w:rPr>
            </w:pPr>
            <w:r w:rsidRPr="007931F0">
              <w:rPr>
                <w:rFonts w:eastAsia="Calibri"/>
                <w:sz w:val="20"/>
              </w:rPr>
              <w:t>(Hunt, Berger and Costigan JJ.A.)</w:t>
            </w:r>
          </w:p>
          <w:p w:rsidR="00796AC2" w:rsidRPr="007931F0" w:rsidRDefault="00796AC2" w:rsidP="00796AC2">
            <w:pPr>
              <w:jc w:val="both"/>
              <w:rPr>
                <w:rFonts w:eastAsia="Calibri"/>
                <w:sz w:val="20"/>
              </w:rPr>
            </w:pPr>
            <w:r w:rsidRPr="007931F0">
              <w:rPr>
                <w:rFonts w:eastAsia="Calibri"/>
                <w:sz w:val="20"/>
              </w:rPr>
              <w:t>2011 ABCA 55; 0903</w:t>
            </w:r>
            <w:r w:rsidRPr="007931F0">
              <w:rPr>
                <w:rFonts w:eastAsia="Calibri"/>
                <w:sz w:val="20"/>
              </w:rPr>
              <w:noBreakHyphen/>
              <w:t>0328</w:t>
            </w:r>
            <w:r w:rsidRPr="007931F0">
              <w:rPr>
                <w:rFonts w:eastAsia="Calibri"/>
                <w:sz w:val="20"/>
              </w:rPr>
              <w:noBreakHyphen/>
              <w:t>AC</w:t>
            </w:r>
          </w:p>
          <w:p w:rsidR="00796AC2" w:rsidRPr="007931F0" w:rsidRDefault="00796AC2" w:rsidP="00796AC2">
            <w:pPr>
              <w:jc w:val="both"/>
              <w:rPr>
                <w:rFonts w:eastAsia="Calibri"/>
                <w:sz w:val="20"/>
              </w:rPr>
            </w:pPr>
          </w:p>
        </w:tc>
        <w:tc>
          <w:tcPr>
            <w:tcW w:w="236" w:type="pct"/>
          </w:tcPr>
          <w:p w:rsidR="00796AC2" w:rsidRPr="007931F0" w:rsidRDefault="00796AC2" w:rsidP="00796AC2">
            <w:pPr>
              <w:jc w:val="both"/>
              <w:rPr>
                <w:rFonts w:eastAsia="Calibri"/>
                <w:sz w:val="20"/>
              </w:rPr>
            </w:pPr>
          </w:p>
        </w:tc>
        <w:tc>
          <w:tcPr>
            <w:tcW w:w="2406" w:type="pct"/>
          </w:tcPr>
          <w:p w:rsidR="00796AC2" w:rsidRPr="007931F0" w:rsidRDefault="00796AC2" w:rsidP="00796AC2">
            <w:pPr>
              <w:jc w:val="both"/>
              <w:rPr>
                <w:rFonts w:eastAsia="Calibri"/>
                <w:sz w:val="20"/>
              </w:rPr>
            </w:pPr>
            <w:r w:rsidRPr="007931F0">
              <w:rPr>
                <w:rFonts w:eastAsia="Calibri"/>
                <w:sz w:val="20"/>
              </w:rPr>
              <w:t>Appeal allowed; matter returned to the Board for a rehearing</w:t>
            </w:r>
          </w:p>
          <w:p w:rsidR="00796AC2" w:rsidRPr="007931F0" w:rsidRDefault="00796AC2" w:rsidP="00796AC2">
            <w:pPr>
              <w:jc w:val="both"/>
              <w:rPr>
                <w:rFonts w:eastAsia="Calibri"/>
                <w:sz w:val="20"/>
              </w:rPr>
            </w:pPr>
          </w:p>
        </w:tc>
      </w:tr>
      <w:tr w:rsidR="00796AC2" w:rsidRPr="007931F0" w:rsidTr="00796AC2">
        <w:tc>
          <w:tcPr>
            <w:tcW w:w="2358" w:type="pct"/>
          </w:tcPr>
          <w:p w:rsidR="00796AC2" w:rsidRPr="007931F0" w:rsidRDefault="00796AC2" w:rsidP="00796AC2">
            <w:pPr>
              <w:jc w:val="both"/>
              <w:rPr>
                <w:rFonts w:eastAsia="Calibri"/>
                <w:sz w:val="20"/>
              </w:rPr>
            </w:pPr>
            <w:r w:rsidRPr="007931F0">
              <w:rPr>
                <w:rFonts w:eastAsia="Calibri"/>
                <w:sz w:val="20"/>
              </w:rPr>
              <w:t>April 18, 2011</w:t>
            </w:r>
          </w:p>
          <w:p w:rsidR="00796AC2" w:rsidRPr="007931F0" w:rsidRDefault="00796AC2" w:rsidP="00796AC2">
            <w:pPr>
              <w:jc w:val="both"/>
              <w:rPr>
                <w:rFonts w:eastAsia="Calibri"/>
                <w:sz w:val="20"/>
              </w:rPr>
            </w:pPr>
            <w:r w:rsidRPr="007931F0">
              <w:rPr>
                <w:rFonts w:eastAsia="Calibri"/>
                <w:sz w:val="20"/>
              </w:rPr>
              <w:t>Supreme Court of Canada</w:t>
            </w:r>
          </w:p>
        </w:tc>
        <w:tc>
          <w:tcPr>
            <w:tcW w:w="236" w:type="pct"/>
          </w:tcPr>
          <w:p w:rsidR="00796AC2" w:rsidRPr="007931F0" w:rsidRDefault="00796AC2" w:rsidP="00796AC2">
            <w:pPr>
              <w:jc w:val="both"/>
              <w:rPr>
                <w:rFonts w:eastAsia="Calibri"/>
                <w:sz w:val="20"/>
              </w:rPr>
            </w:pPr>
          </w:p>
        </w:tc>
        <w:tc>
          <w:tcPr>
            <w:tcW w:w="2406" w:type="pct"/>
          </w:tcPr>
          <w:p w:rsidR="00796AC2" w:rsidRPr="007931F0" w:rsidRDefault="00796AC2" w:rsidP="00796AC2">
            <w:pPr>
              <w:jc w:val="both"/>
              <w:rPr>
                <w:rFonts w:eastAsia="Calibri"/>
                <w:sz w:val="20"/>
              </w:rPr>
            </w:pPr>
            <w:r w:rsidRPr="007931F0">
              <w:rPr>
                <w:rFonts w:eastAsia="Calibri"/>
                <w:sz w:val="20"/>
              </w:rPr>
              <w:t>Application for leave to appeal filed</w:t>
            </w:r>
          </w:p>
          <w:p w:rsidR="00796AC2" w:rsidRPr="007931F0" w:rsidRDefault="00796AC2" w:rsidP="00796AC2">
            <w:pPr>
              <w:jc w:val="both"/>
              <w:rPr>
                <w:rFonts w:eastAsia="Calibri"/>
                <w:sz w:val="20"/>
              </w:rPr>
            </w:pPr>
          </w:p>
        </w:tc>
      </w:tr>
    </w:tbl>
    <w:p w:rsidR="00BF1FA7" w:rsidRDefault="00BF1FA7" w:rsidP="00BF1FA7">
      <w:pPr>
        <w:rPr>
          <w:sz w:val="20"/>
          <w:szCs w:val="20"/>
        </w:rPr>
      </w:pPr>
    </w:p>
    <w:p w:rsidR="00BF1FA7" w:rsidRDefault="00BF59B3" w:rsidP="00BF1FA7">
      <w:pPr>
        <w:rPr>
          <w:sz w:val="20"/>
          <w:szCs w:val="20"/>
        </w:rPr>
      </w:pPr>
      <w:r w:rsidRPr="00BF59B3">
        <w:rPr>
          <w:sz w:val="20"/>
          <w:szCs w:val="20"/>
          <w:lang w:val="fr-CA"/>
        </w:rPr>
        <w:pict>
          <v:rect id="_x0000_i1038" style="width:2in;height:1pt" o:hrpct="0" o:hralign="center" o:hrstd="t" o:hrnoshade="t" o:hr="t" fillcolor="black [3213]" stroked="f"/>
        </w:pict>
      </w:r>
    </w:p>
    <w:p w:rsidR="00BF1FA7" w:rsidRDefault="00BF1FA7" w:rsidP="00BF1FA7">
      <w:pPr>
        <w:rPr>
          <w:sz w:val="20"/>
          <w:szCs w:val="20"/>
        </w:rPr>
      </w:pPr>
    </w:p>
    <w:p w:rsidR="00BF1FA7" w:rsidRPr="001B157C" w:rsidRDefault="00BF1FA7" w:rsidP="00BF1FA7">
      <w:pPr>
        <w:rPr>
          <w:sz w:val="20"/>
          <w:szCs w:val="20"/>
          <w:u w:val="single"/>
          <w:lang w:val="fr-CA"/>
        </w:rPr>
      </w:pPr>
      <w:r w:rsidRPr="001B157C">
        <w:rPr>
          <w:sz w:val="20"/>
          <w:szCs w:val="20"/>
          <w:u w:val="single"/>
          <w:lang w:val="fr-CA"/>
        </w:rPr>
        <w:t>RÉSUMÉ DE L’AFFAIRE</w:t>
      </w:r>
    </w:p>
    <w:p w:rsidR="00BF1FA7" w:rsidRDefault="00BF1FA7" w:rsidP="00BF1FA7">
      <w:pPr>
        <w:rPr>
          <w:sz w:val="20"/>
          <w:szCs w:val="20"/>
        </w:rPr>
      </w:pPr>
    </w:p>
    <w:tbl>
      <w:tblPr>
        <w:tblW w:w="5000" w:type="pct"/>
        <w:tblLayout w:type="fixed"/>
        <w:tblCellMar>
          <w:left w:w="0" w:type="dxa"/>
          <w:right w:w="0" w:type="dxa"/>
        </w:tblCellMar>
        <w:tblLook w:val="00A0"/>
      </w:tblPr>
      <w:tblGrid>
        <w:gridCol w:w="4536"/>
        <w:gridCol w:w="454"/>
        <w:gridCol w:w="4629"/>
      </w:tblGrid>
      <w:tr w:rsidR="00796AC2" w:rsidRPr="00A6632B" w:rsidTr="00796AC2">
        <w:tc>
          <w:tcPr>
            <w:tcW w:w="5000" w:type="pct"/>
            <w:gridSpan w:val="3"/>
          </w:tcPr>
          <w:p w:rsidR="00796AC2" w:rsidRPr="007931F0" w:rsidRDefault="00796AC2" w:rsidP="00796AC2">
            <w:pPr>
              <w:spacing w:after="58"/>
              <w:jc w:val="both"/>
              <w:rPr>
                <w:rFonts w:eastAsia="Calibri"/>
                <w:sz w:val="20"/>
                <w:lang w:val="fr-CA"/>
              </w:rPr>
            </w:pPr>
            <w:r w:rsidRPr="007931F0">
              <w:rPr>
                <w:rFonts w:eastAsia="Calibri"/>
                <w:sz w:val="20"/>
                <w:lang w:val="fr-CA"/>
              </w:rPr>
              <w:t>Relations de travail — Norme de contrôle — Suffisance des motifs — Raisonnabilité — Un tribunal administratif doit</w:t>
            </w:r>
            <w:r w:rsidRPr="007931F0">
              <w:rPr>
                <w:rFonts w:eastAsia="Calibri"/>
                <w:sz w:val="20"/>
                <w:lang w:val="fr-CA"/>
              </w:rPr>
              <w:noBreakHyphen/>
              <w:t>il énoncer dans le texte de sa décision la manière dont il a traité chaque argument avancé par toutes les parties de façon poussée, évaluative et approfondie? — L’obligation qu’a un tribunal administratif de fournir des motifs est</w:t>
            </w:r>
            <w:r w:rsidRPr="007931F0">
              <w:rPr>
                <w:rFonts w:eastAsia="Calibri"/>
                <w:sz w:val="20"/>
                <w:lang w:val="fr-CA"/>
              </w:rPr>
              <w:noBreakHyphen/>
              <w:t xml:space="preserve">elle une question d’équité procédurale ou une question qui doit faire l’objet d’une analyse de la raisonnabilité comme il est énoncé dans l’arrêt </w:t>
            </w:r>
            <w:r w:rsidRPr="007931F0">
              <w:rPr>
                <w:rFonts w:eastAsia="Calibri"/>
                <w:i/>
                <w:color w:val="3A3A3A"/>
                <w:sz w:val="20"/>
                <w:lang w:val="fr-CA"/>
              </w:rPr>
              <w:t xml:space="preserve">Dunsmuir </w:t>
            </w:r>
            <w:r w:rsidRPr="007931F0">
              <w:rPr>
                <w:rFonts w:eastAsia="Calibri"/>
                <w:i/>
                <w:iCs/>
                <w:color w:val="3A3A3A"/>
                <w:sz w:val="20"/>
                <w:lang w:val="fr-CA"/>
              </w:rPr>
              <w:t>c</w:t>
            </w:r>
            <w:r w:rsidRPr="007931F0">
              <w:rPr>
                <w:rFonts w:eastAsia="Calibri"/>
                <w:i/>
                <w:color w:val="3A3A3A"/>
                <w:sz w:val="20"/>
                <w:lang w:val="fr-CA"/>
              </w:rPr>
              <w:t>. Nouveau</w:t>
            </w:r>
            <w:r w:rsidRPr="007931F0">
              <w:rPr>
                <w:rFonts w:eastAsia="Calibri"/>
                <w:i/>
                <w:color w:val="3A3A3A"/>
                <w:sz w:val="20"/>
                <w:lang w:val="fr-CA"/>
              </w:rPr>
              <w:noBreakHyphen/>
              <w:t xml:space="preserve"> Brunswick</w:t>
            </w:r>
            <w:r w:rsidRPr="007931F0">
              <w:rPr>
                <w:rFonts w:eastAsia="Calibri"/>
                <w:color w:val="3A3A3A"/>
                <w:sz w:val="20"/>
                <w:lang w:val="fr-CA"/>
              </w:rPr>
              <w:t>, [2008] 1 R.C.S. 190, 2008 CSC 9?</w:t>
            </w:r>
          </w:p>
        </w:tc>
      </w:tr>
      <w:tr w:rsidR="00796AC2" w:rsidRPr="00A6632B" w:rsidTr="00796AC2">
        <w:tc>
          <w:tcPr>
            <w:tcW w:w="5000" w:type="pct"/>
            <w:gridSpan w:val="3"/>
          </w:tcPr>
          <w:p w:rsidR="00796AC2" w:rsidRPr="007931F0" w:rsidRDefault="00796AC2" w:rsidP="00796AC2">
            <w:pPr>
              <w:jc w:val="both"/>
              <w:rPr>
                <w:rFonts w:eastAsia="Calibri"/>
                <w:sz w:val="20"/>
                <w:lang w:val="fr-CA"/>
              </w:rPr>
            </w:pPr>
          </w:p>
        </w:tc>
      </w:tr>
      <w:tr w:rsidR="00796AC2" w:rsidRPr="00A6632B" w:rsidTr="00796AC2">
        <w:tc>
          <w:tcPr>
            <w:tcW w:w="5000" w:type="pct"/>
            <w:gridSpan w:val="3"/>
          </w:tcPr>
          <w:p w:rsidR="00796AC2" w:rsidRPr="007931F0" w:rsidRDefault="00796AC2" w:rsidP="00796AC2">
            <w:pPr>
              <w:jc w:val="both"/>
              <w:rPr>
                <w:rFonts w:eastAsia="Calibri"/>
                <w:sz w:val="20"/>
                <w:lang w:val="fr-CA"/>
              </w:rPr>
            </w:pPr>
            <w:r w:rsidRPr="007931F0">
              <w:rPr>
                <w:rFonts w:eastAsia="Calibri"/>
                <w:sz w:val="20"/>
                <w:lang w:val="fr-CA"/>
              </w:rPr>
              <w:t>La demanderesse, Construction Labour Relations Association (« CLRA ») est un organisme ombrelle qui comprend et représente deux organisations patronales enregistrées en Alberta — la Reinforcing Trade Division (« REO ») et la Structural Trade Division (« SEO »).  L’intimée, Driver Iron Inc. exploite une entreprise dans le secteur de la construction générale de l’industrie de la construction en Alberta et exercice des activités de ferronnerie structurale et d’armature. L’intimée, l’</w:t>
            </w:r>
            <w:r w:rsidRPr="007931F0">
              <w:rPr>
                <w:rFonts w:eastAsia="Calibri"/>
                <w:bCs/>
                <w:sz w:val="20"/>
                <w:lang w:val="fr-CA"/>
              </w:rPr>
              <w:t>Association internationale des travailleurs en ponts, en fer structural, ornemental et d’armature, section locale 720</w:t>
            </w:r>
            <w:r w:rsidRPr="007931F0">
              <w:rPr>
                <w:rFonts w:eastAsia="Calibri"/>
                <w:b/>
                <w:bCs/>
                <w:sz w:val="20"/>
                <w:lang w:val="fr-CA"/>
              </w:rPr>
              <w:t xml:space="preserve"> </w:t>
            </w:r>
            <w:r w:rsidRPr="007931F0">
              <w:rPr>
                <w:rFonts w:eastAsia="Calibri"/>
                <w:sz w:val="20"/>
                <w:lang w:val="fr-CA"/>
              </w:rPr>
              <w:t>(la « section locale 720 ») est un syndicat de métier qui représente les travailleurs en fer structural et d’armature en Alberta.  La section locale était partie à des conventions collectives continues conclues avec les deux organisations patronales enregistrées représentées par la CLRA.  Driver Iron s’est vu adjuger un marché relatif à un projet de sables bitumineux.  Le personnel de l’entreprise était non syndiqué, mais celle</w:t>
            </w:r>
            <w:r w:rsidRPr="007931F0">
              <w:rPr>
                <w:rFonts w:eastAsia="Calibri"/>
                <w:sz w:val="20"/>
                <w:lang w:val="fr-CA"/>
              </w:rPr>
              <w:noBreakHyphen/>
              <w:t xml:space="preserve">ci a informé la section locale 720 qu’elle allait autant que possible faire appel aux membres du syndicat pour exécuter les travaux de ferronnerie dans le cadre du projet.  Driver Iron refusait de se syndiquer ou d’accepter les conditions des conventions collectives conclues avec les organisations patronales enregistrées.  La section locale 720 et Driver Iron ont convenu de dispositions d’une convention collective à durée déterminée.  Driver Iron a également consenti à ce que la convention soit régie par l’al. 176(1)b) du </w:t>
            </w:r>
            <w:r w:rsidRPr="007931F0">
              <w:rPr>
                <w:rFonts w:eastAsia="Calibri"/>
                <w:i/>
                <w:sz w:val="20"/>
                <w:lang w:val="fr-CA"/>
              </w:rPr>
              <w:t>Labour Relations Code</w:t>
            </w:r>
            <w:r w:rsidRPr="007931F0">
              <w:rPr>
                <w:rFonts w:eastAsia="Calibri"/>
                <w:sz w:val="20"/>
                <w:lang w:val="fr-CA"/>
              </w:rPr>
              <w:t xml:space="preserve">, si bien qu’elle ne serait pas considérée comme un employeur </w:t>
            </w:r>
            <w:r w:rsidRPr="007931F0">
              <w:rPr>
                <w:rFonts w:eastAsia="Calibri"/>
                <w:sz w:val="20"/>
                <w:lang w:val="fr-CA"/>
              </w:rPr>
              <w:lastRenderedPageBreak/>
              <w:t>aux termes de l’al. 176(1)a).  La convention n’a pas été renouvelée à son échéance. Driver Iron et la section locale 720 ont ensuite conclu une nouvelle convention pour régir leurs relations et elles ont stipulé que celle</w:t>
            </w:r>
            <w:r w:rsidRPr="007931F0">
              <w:rPr>
                <w:rFonts w:eastAsia="Calibri"/>
                <w:sz w:val="20"/>
                <w:lang w:val="fr-CA"/>
              </w:rPr>
              <w:noBreakHyphen/>
              <w:t xml:space="preserve">ci ne serait pas régie par le </w:t>
            </w:r>
            <w:r w:rsidRPr="007931F0">
              <w:rPr>
                <w:rFonts w:eastAsia="Calibri"/>
                <w:i/>
                <w:sz w:val="20"/>
                <w:lang w:val="fr-CA"/>
              </w:rPr>
              <w:t>Code</w:t>
            </w:r>
            <w:r w:rsidRPr="007931F0">
              <w:rPr>
                <w:rFonts w:eastAsia="Calibri"/>
                <w:sz w:val="20"/>
                <w:lang w:val="fr-CA"/>
              </w:rPr>
              <w:t xml:space="preserve"> qu’elle ne serait pas exécutée par les parties en tant que convention collective aux termes du </w:t>
            </w:r>
            <w:r w:rsidRPr="007931F0">
              <w:rPr>
                <w:rFonts w:eastAsia="Calibri"/>
                <w:i/>
                <w:sz w:val="20"/>
                <w:lang w:val="fr-CA"/>
              </w:rPr>
              <w:t>Code</w:t>
            </w:r>
            <w:r w:rsidRPr="007931F0">
              <w:rPr>
                <w:rFonts w:eastAsia="Calibri"/>
                <w:sz w:val="20"/>
                <w:lang w:val="fr-CA"/>
              </w:rPr>
              <w:t>.  La CLRA a porté plainte à l’Alberta Labour Relations Board (« le Conseil ») à propos de la convention et a allégué que celle</w:t>
            </w:r>
            <w:r w:rsidRPr="007931F0">
              <w:rPr>
                <w:rFonts w:eastAsia="Calibri"/>
                <w:sz w:val="20"/>
                <w:lang w:val="fr-CA"/>
              </w:rPr>
              <w:noBreakHyphen/>
              <w:t xml:space="preserve">ci violait plusieurs dispositions du </w:t>
            </w:r>
            <w:r w:rsidRPr="007931F0">
              <w:rPr>
                <w:rFonts w:eastAsia="Calibri"/>
                <w:i/>
                <w:sz w:val="20"/>
                <w:lang w:val="fr-CA"/>
              </w:rPr>
              <w:t>Code</w:t>
            </w:r>
            <w:r w:rsidRPr="007931F0">
              <w:rPr>
                <w:rFonts w:eastAsia="Calibri"/>
                <w:sz w:val="20"/>
                <w:lang w:val="fr-CA"/>
              </w:rPr>
              <w:t xml:space="preserve">.  La CLRA a allégué que la section locale 720 et Driver Iron n’étaient pas autorisées à négocier directement les conditions générales d’emploi des employés de Driver Iron.  Seule la CLRA pouvait négocier au nom de Driver Iron.  Driver Iron était également liée par les dispositions des conventions collectives conclues avec les organisations patronales enregistrées.  Driver Iron et la section locale 720 ont soutenu qu’elles pouvaient conclure une convention qui régissait les conditions générales d’emploi qui n’était pas assujetties au </w:t>
            </w:r>
            <w:r w:rsidRPr="007931F0">
              <w:rPr>
                <w:rFonts w:eastAsia="Calibri"/>
                <w:i/>
                <w:sz w:val="20"/>
                <w:lang w:val="fr-CA"/>
              </w:rPr>
              <w:t>Code</w:t>
            </w:r>
            <w:r w:rsidRPr="007931F0">
              <w:rPr>
                <w:rFonts w:eastAsia="Calibri"/>
                <w:sz w:val="20"/>
                <w:lang w:val="fr-CA"/>
              </w:rPr>
              <w:t xml:space="preserve">.  </w:t>
            </w:r>
          </w:p>
          <w:p w:rsidR="00796AC2" w:rsidRPr="007931F0" w:rsidRDefault="00796AC2" w:rsidP="00796AC2">
            <w:pPr>
              <w:jc w:val="both"/>
              <w:rPr>
                <w:rFonts w:eastAsia="Calibri"/>
                <w:sz w:val="20"/>
                <w:lang w:val="fr-CA"/>
              </w:rPr>
            </w:pPr>
          </w:p>
          <w:p w:rsidR="00796AC2" w:rsidRPr="007931F0" w:rsidRDefault="00796AC2" w:rsidP="00796AC2">
            <w:pPr>
              <w:jc w:val="both"/>
              <w:rPr>
                <w:rFonts w:eastAsia="Calibri"/>
                <w:sz w:val="20"/>
                <w:lang w:val="fr-CA"/>
              </w:rPr>
            </w:pPr>
            <w:r w:rsidRPr="007931F0">
              <w:rPr>
                <w:rFonts w:eastAsia="Calibri"/>
                <w:sz w:val="20"/>
                <w:lang w:val="fr-CA"/>
              </w:rPr>
              <w:t xml:space="preserve">Le Conseil a déclaré que Driver Iron était un employeur aux termes de l’al. 176(1)b) du </w:t>
            </w:r>
            <w:r w:rsidRPr="007931F0">
              <w:rPr>
                <w:rFonts w:eastAsia="Calibri"/>
                <w:i/>
                <w:sz w:val="20"/>
                <w:lang w:val="fr-CA"/>
              </w:rPr>
              <w:t>Code</w:t>
            </w:r>
            <w:r w:rsidRPr="007931F0">
              <w:rPr>
                <w:rFonts w:eastAsia="Calibri"/>
                <w:sz w:val="20"/>
                <w:lang w:val="fr-CA"/>
              </w:rPr>
              <w:t xml:space="preserve">.  En vertu de l’art. 178 du </w:t>
            </w:r>
            <w:r w:rsidRPr="007931F0">
              <w:rPr>
                <w:rFonts w:eastAsia="Calibri"/>
                <w:i/>
                <w:sz w:val="20"/>
                <w:lang w:val="fr-CA"/>
              </w:rPr>
              <w:t>Code</w:t>
            </w:r>
            <w:r w:rsidRPr="007931F0">
              <w:rPr>
                <w:rFonts w:eastAsia="Calibri"/>
                <w:sz w:val="20"/>
                <w:lang w:val="fr-CA"/>
              </w:rPr>
              <w:t>, elle était assujettie aux dispositions des conventions collectives conclues entre la CLRA et la section locale 720.  La demande de contrôle judiciaire a été rejetée. La cour a conclu que le sens courant des art. 176(1)b) et 178 appuyait l’interprétation du Conseil selon laquelle la CLRA était l’autorité exclusive de négociation au nom de Driver Iron et que Driver Iron était liée par des conventions collectives conclues avec les organisations patronales enregistrées pour la durée de son entente avec la section locale 720.  L’appel a été accueilli et l’affaire a été renvoyée au Conseil pour être entendue de nouveau.</w:t>
            </w:r>
          </w:p>
          <w:p w:rsidR="00796AC2" w:rsidRPr="007931F0" w:rsidRDefault="00796AC2" w:rsidP="00796AC2">
            <w:pPr>
              <w:jc w:val="both"/>
              <w:rPr>
                <w:rFonts w:eastAsia="Calibri"/>
                <w:sz w:val="20"/>
                <w:lang w:val="fr-CA"/>
              </w:rPr>
            </w:pPr>
          </w:p>
        </w:tc>
      </w:tr>
      <w:tr w:rsidR="00796AC2" w:rsidRPr="00A6632B" w:rsidTr="00796AC2">
        <w:tc>
          <w:tcPr>
            <w:tcW w:w="2358" w:type="pct"/>
          </w:tcPr>
          <w:p w:rsidR="00796AC2" w:rsidRPr="007931F0" w:rsidRDefault="00796AC2" w:rsidP="00796AC2">
            <w:pPr>
              <w:jc w:val="both"/>
              <w:rPr>
                <w:rFonts w:eastAsia="Calibri"/>
                <w:sz w:val="20"/>
                <w:lang w:val="fr-CA"/>
              </w:rPr>
            </w:pPr>
            <w:r w:rsidRPr="007931F0">
              <w:rPr>
                <w:rFonts w:eastAsia="Calibri"/>
                <w:sz w:val="20"/>
                <w:lang w:val="fr-CA"/>
              </w:rPr>
              <w:lastRenderedPageBreak/>
              <w:t>8 janvier 2009</w:t>
            </w:r>
          </w:p>
          <w:p w:rsidR="00796AC2" w:rsidRPr="007931F0" w:rsidRDefault="00796AC2" w:rsidP="00796AC2">
            <w:pPr>
              <w:jc w:val="both"/>
              <w:rPr>
                <w:rFonts w:eastAsia="Calibri"/>
                <w:sz w:val="20"/>
                <w:lang w:val="fr-CA"/>
              </w:rPr>
            </w:pPr>
            <w:r w:rsidRPr="007931F0">
              <w:rPr>
                <w:rFonts w:eastAsia="Calibri"/>
                <w:sz w:val="20"/>
                <w:lang w:val="fr-CA"/>
              </w:rPr>
              <w:t>Alberta Labour Relations Board</w:t>
            </w:r>
          </w:p>
          <w:p w:rsidR="00796AC2" w:rsidRPr="007931F0" w:rsidRDefault="00796AC2" w:rsidP="00796AC2">
            <w:pPr>
              <w:jc w:val="both"/>
              <w:rPr>
                <w:rFonts w:eastAsia="Calibri"/>
                <w:sz w:val="20"/>
                <w:lang w:val="fr-CA"/>
              </w:rPr>
            </w:pPr>
            <w:r w:rsidRPr="007931F0">
              <w:rPr>
                <w:rFonts w:eastAsia="Calibri"/>
                <w:sz w:val="20"/>
                <w:lang w:val="fr-CA"/>
              </w:rPr>
              <w:t>(Président Asbell, vice</w:t>
            </w:r>
            <w:r w:rsidRPr="007931F0">
              <w:rPr>
                <w:rFonts w:eastAsia="Calibri"/>
                <w:sz w:val="20"/>
                <w:lang w:val="fr-CA"/>
              </w:rPr>
              <w:noBreakHyphen/>
              <w:t>président Kanee et membres Cooper et Flannery)</w:t>
            </w:r>
          </w:p>
          <w:p w:rsidR="00796AC2" w:rsidRPr="007931F0" w:rsidRDefault="00796AC2" w:rsidP="00796AC2">
            <w:pPr>
              <w:jc w:val="both"/>
              <w:rPr>
                <w:rFonts w:eastAsia="Calibri"/>
                <w:sz w:val="20"/>
                <w:lang w:val="fr-CA"/>
              </w:rPr>
            </w:pPr>
          </w:p>
        </w:tc>
        <w:tc>
          <w:tcPr>
            <w:tcW w:w="236" w:type="pct"/>
          </w:tcPr>
          <w:p w:rsidR="00796AC2" w:rsidRPr="007931F0" w:rsidRDefault="00796AC2" w:rsidP="00796AC2">
            <w:pPr>
              <w:jc w:val="both"/>
              <w:rPr>
                <w:rFonts w:eastAsia="Calibri"/>
                <w:sz w:val="20"/>
                <w:lang w:val="fr-CA"/>
              </w:rPr>
            </w:pPr>
          </w:p>
        </w:tc>
        <w:tc>
          <w:tcPr>
            <w:tcW w:w="2406" w:type="pct"/>
          </w:tcPr>
          <w:p w:rsidR="00796AC2" w:rsidRPr="007931F0" w:rsidRDefault="00796AC2" w:rsidP="00796AC2">
            <w:pPr>
              <w:jc w:val="both"/>
              <w:rPr>
                <w:rFonts w:eastAsia="Calibri"/>
                <w:sz w:val="20"/>
                <w:lang w:val="fr-CA"/>
              </w:rPr>
            </w:pPr>
            <w:r w:rsidRPr="007931F0">
              <w:rPr>
                <w:rFonts w:eastAsia="Calibri"/>
                <w:sz w:val="20"/>
                <w:lang w:val="fr-CA"/>
              </w:rPr>
              <w:t xml:space="preserve">Driver Iron déclarée employeur au sens de l’al. 176(1)b) du </w:t>
            </w:r>
            <w:r w:rsidRPr="007931F0">
              <w:rPr>
                <w:rFonts w:eastAsia="Calibri"/>
                <w:i/>
                <w:sz w:val="20"/>
                <w:lang w:val="fr-CA"/>
              </w:rPr>
              <w:t>Labour Relations Code</w:t>
            </w:r>
          </w:p>
        </w:tc>
      </w:tr>
      <w:tr w:rsidR="00796AC2" w:rsidRPr="007931F0" w:rsidTr="00796AC2">
        <w:tc>
          <w:tcPr>
            <w:tcW w:w="2358" w:type="pct"/>
          </w:tcPr>
          <w:p w:rsidR="00796AC2" w:rsidRPr="007931F0" w:rsidRDefault="00796AC2" w:rsidP="00796AC2">
            <w:pPr>
              <w:jc w:val="both"/>
              <w:rPr>
                <w:rFonts w:eastAsia="Calibri"/>
                <w:sz w:val="20"/>
                <w:lang w:val="fr-CA"/>
              </w:rPr>
            </w:pPr>
            <w:r w:rsidRPr="007931F0">
              <w:rPr>
                <w:rFonts w:eastAsia="Calibri"/>
                <w:sz w:val="20"/>
                <w:lang w:val="fr-CA"/>
              </w:rPr>
              <w:t>20 octobre 2009</w:t>
            </w:r>
          </w:p>
          <w:p w:rsidR="00796AC2" w:rsidRPr="007931F0" w:rsidRDefault="00796AC2" w:rsidP="00796AC2">
            <w:pPr>
              <w:jc w:val="both"/>
              <w:rPr>
                <w:rFonts w:eastAsia="Calibri"/>
                <w:sz w:val="20"/>
                <w:lang w:val="fr-CA"/>
              </w:rPr>
            </w:pPr>
            <w:r w:rsidRPr="007931F0">
              <w:rPr>
                <w:rFonts w:eastAsia="Calibri"/>
                <w:sz w:val="20"/>
                <w:lang w:val="fr-CA"/>
              </w:rPr>
              <w:t xml:space="preserve">Cour du Banc de la Reine de l’Alberta </w:t>
            </w:r>
          </w:p>
          <w:p w:rsidR="00796AC2" w:rsidRPr="007931F0" w:rsidRDefault="00796AC2" w:rsidP="00796AC2">
            <w:pPr>
              <w:jc w:val="both"/>
              <w:rPr>
                <w:rFonts w:eastAsia="Calibri"/>
                <w:sz w:val="20"/>
                <w:lang w:val="fr-CA"/>
              </w:rPr>
            </w:pPr>
            <w:r w:rsidRPr="007931F0">
              <w:rPr>
                <w:rFonts w:eastAsia="Calibri"/>
                <w:sz w:val="20"/>
                <w:lang w:val="fr-CA"/>
              </w:rPr>
              <w:t>(Juge Gill)</w:t>
            </w:r>
          </w:p>
          <w:p w:rsidR="00796AC2" w:rsidRPr="007931F0" w:rsidRDefault="00796AC2" w:rsidP="00796AC2">
            <w:pPr>
              <w:jc w:val="both"/>
              <w:rPr>
                <w:rFonts w:eastAsia="Calibri"/>
                <w:sz w:val="20"/>
                <w:lang w:val="fr-CA"/>
              </w:rPr>
            </w:pPr>
            <w:r w:rsidRPr="007931F0">
              <w:rPr>
                <w:rFonts w:eastAsia="Calibri"/>
                <w:sz w:val="20"/>
                <w:lang w:val="fr-CA"/>
              </w:rPr>
              <w:t>2009 ABQB 604</w:t>
            </w:r>
          </w:p>
          <w:p w:rsidR="00796AC2" w:rsidRPr="007931F0" w:rsidRDefault="00796AC2" w:rsidP="00796AC2">
            <w:pPr>
              <w:jc w:val="both"/>
              <w:rPr>
                <w:rFonts w:eastAsia="Calibri"/>
                <w:sz w:val="20"/>
                <w:lang w:val="fr-CA"/>
              </w:rPr>
            </w:pPr>
          </w:p>
        </w:tc>
        <w:tc>
          <w:tcPr>
            <w:tcW w:w="236" w:type="pct"/>
          </w:tcPr>
          <w:p w:rsidR="00796AC2" w:rsidRPr="007931F0" w:rsidRDefault="00796AC2" w:rsidP="00796AC2">
            <w:pPr>
              <w:jc w:val="both"/>
              <w:rPr>
                <w:rFonts w:eastAsia="Calibri"/>
                <w:sz w:val="20"/>
                <w:lang w:val="fr-CA"/>
              </w:rPr>
            </w:pPr>
          </w:p>
        </w:tc>
        <w:tc>
          <w:tcPr>
            <w:tcW w:w="2406" w:type="pct"/>
          </w:tcPr>
          <w:p w:rsidR="00796AC2" w:rsidRPr="007931F0" w:rsidRDefault="00796AC2" w:rsidP="00796AC2">
            <w:pPr>
              <w:jc w:val="both"/>
              <w:rPr>
                <w:rFonts w:eastAsia="Calibri"/>
                <w:sz w:val="20"/>
                <w:lang w:val="fr-CA"/>
              </w:rPr>
            </w:pPr>
            <w:r w:rsidRPr="007931F0">
              <w:rPr>
                <w:rFonts w:eastAsia="Calibri"/>
                <w:sz w:val="20"/>
                <w:lang w:val="fr-CA"/>
              </w:rPr>
              <w:t>Demande de contrôle judiciaire, rejetée</w:t>
            </w:r>
          </w:p>
          <w:p w:rsidR="00796AC2" w:rsidRPr="007931F0" w:rsidRDefault="00796AC2" w:rsidP="00796AC2">
            <w:pPr>
              <w:jc w:val="both"/>
              <w:rPr>
                <w:rFonts w:eastAsia="Calibri"/>
                <w:sz w:val="20"/>
                <w:lang w:val="fr-CA"/>
              </w:rPr>
            </w:pPr>
          </w:p>
        </w:tc>
      </w:tr>
      <w:tr w:rsidR="00796AC2" w:rsidRPr="00A6632B" w:rsidTr="00796AC2">
        <w:tc>
          <w:tcPr>
            <w:tcW w:w="2358" w:type="pct"/>
          </w:tcPr>
          <w:p w:rsidR="00796AC2" w:rsidRPr="007931F0" w:rsidRDefault="00796AC2" w:rsidP="00796AC2">
            <w:pPr>
              <w:jc w:val="both"/>
              <w:rPr>
                <w:rFonts w:eastAsia="Calibri"/>
                <w:sz w:val="20"/>
                <w:lang w:val="fr-CA"/>
              </w:rPr>
            </w:pPr>
            <w:r w:rsidRPr="007931F0">
              <w:rPr>
                <w:rFonts w:eastAsia="Calibri"/>
                <w:sz w:val="20"/>
                <w:lang w:val="fr-CA"/>
              </w:rPr>
              <w:t>16 février 2011</w:t>
            </w:r>
          </w:p>
          <w:p w:rsidR="00796AC2" w:rsidRPr="007931F0" w:rsidRDefault="00796AC2" w:rsidP="00796AC2">
            <w:pPr>
              <w:jc w:val="both"/>
              <w:rPr>
                <w:rFonts w:eastAsia="Calibri"/>
                <w:sz w:val="20"/>
                <w:lang w:val="fr-CA"/>
              </w:rPr>
            </w:pPr>
            <w:r w:rsidRPr="007931F0">
              <w:rPr>
                <w:rFonts w:eastAsia="Calibri"/>
                <w:sz w:val="20"/>
                <w:lang w:val="fr-CA"/>
              </w:rPr>
              <w:t>Cour d’appel de l’Alberta (Edmonton)</w:t>
            </w:r>
          </w:p>
          <w:p w:rsidR="00796AC2" w:rsidRPr="007931F0" w:rsidRDefault="00796AC2" w:rsidP="00796AC2">
            <w:pPr>
              <w:jc w:val="both"/>
              <w:rPr>
                <w:rFonts w:eastAsia="Calibri"/>
                <w:sz w:val="20"/>
                <w:lang w:val="fr-CA"/>
              </w:rPr>
            </w:pPr>
            <w:r w:rsidRPr="007931F0">
              <w:rPr>
                <w:rFonts w:eastAsia="Calibri"/>
                <w:sz w:val="20"/>
                <w:lang w:val="fr-CA"/>
              </w:rPr>
              <w:t>(Juges Hunt, Berger et Costigan)</w:t>
            </w:r>
          </w:p>
          <w:p w:rsidR="00796AC2" w:rsidRPr="007931F0" w:rsidRDefault="00796AC2" w:rsidP="00796AC2">
            <w:pPr>
              <w:jc w:val="both"/>
              <w:rPr>
                <w:rFonts w:eastAsia="Calibri"/>
                <w:sz w:val="20"/>
                <w:lang w:val="fr-CA"/>
              </w:rPr>
            </w:pPr>
            <w:r w:rsidRPr="007931F0">
              <w:rPr>
                <w:rFonts w:eastAsia="Calibri"/>
                <w:sz w:val="20"/>
                <w:lang w:val="fr-CA"/>
              </w:rPr>
              <w:t>2011 ABCA 55; 0903</w:t>
            </w:r>
            <w:r w:rsidRPr="007931F0">
              <w:rPr>
                <w:rFonts w:eastAsia="Calibri"/>
                <w:sz w:val="20"/>
                <w:lang w:val="fr-CA"/>
              </w:rPr>
              <w:noBreakHyphen/>
              <w:t>0328</w:t>
            </w:r>
            <w:r w:rsidRPr="007931F0">
              <w:rPr>
                <w:rFonts w:eastAsia="Calibri"/>
                <w:sz w:val="20"/>
                <w:lang w:val="fr-CA"/>
              </w:rPr>
              <w:noBreakHyphen/>
              <w:t>AC</w:t>
            </w:r>
          </w:p>
          <w:p w:rsidR="00796AC2" w:rsidRPr="007931F0" w:rsidRDefault="00796AC2" w:rsidP="00796AC2">
            <w:pPr>
              <w:jc w:val="both"/>
              <w:rPr>
                <w:rFonts w:eastAsia="Calibri"/>
                <w:sz w:val="20"/>
                <w:lang w:val="fr-CA"/>
              </w:rPr>
            </w:pPr>
          </w:p>
        </w:tc>
        <w:tc>
          <w:tcPr>
            <w:tcW w:w="236" w:type="pct"/>
          </w:tcPr>
          <w:p w:rsidR="00796AC2" w:rsidRPr="007931F0" w:rsidRDefault="00796AC2" w:rsidP="00796AC2">
            <w:pPr>
              <w:jc w:val="both"/>
              <w:rPr>
                <w:rFonts w:eastAsia="Calibri"/>
                <w:sz w:val="20"/>
                <w:lang w:val="fr-CA"/>
              </w:rPr>
            </w:pPr>
          </w:p>
        </w:tc>
        <w:tc>
          <w:tcPr>
            <w:tcW w:w="2406" w:type="pct"/>
          </w:tcPr>
          <w:p w:rsidR="00796AC2" w:rsidRPr="007931F0" w:rsidRDefault="00796AC2" w:rsidP="00796AC2">
            <w:pPr>
              <w:jc w:val="both"/>
              <w:rPr>
                <w:rFonts w:eastAsia="Calibri"/>
                <w:sz w:val="20"/>
                <w:lang w:val="fr-CA"/>
              </w:rPr>
            </w:pPr>
            <w:r w:rsidRPr="007931F0">
              <w:rPr>
                <w:rFonts w:eastAsia="Calibri"/>
                <w:sz w:val="20"/>
                <w:lang w:val="fr-CA"/>
              </w:rPr>
              <w:t>Appel accueilli; affaire renvoyée au Conseil pour être entendue de nouveau</w:t>
            </w:r>
          </w:p>
          <w:p w:rsidR="00796AC2" w:rsidRPr="007931F0" w:rsidRDefault="00796AC2" w:rsidP="00796AC2">
            <w:pPr>
              <w:jc w:val="both"/>
              <w:rPr>
                <w:rFonts w:eastAsia="Calibri"/>
                <w:sz w:val="20"/>
                <w:lang w:val="fr-CA"/>
              </w:rPr>
            </w:pPr>
          </w:p>
        </w:tc>
      </w:tr>
      <w:tr w:rsidR="00796AC2" w:rsidRPr="007931F0" w:rsidTr="00796AC2">
        <w:tc>
          <w:tcPr>
            <w:tcW w:w="2358" w:type="pct"/>
          </w:tcPr>
          <w:p w:rsidR="00796AC2" w:rsidRPr="007931F0" w:rsidRDefault="00796AC2" w:rsidP="00796AC2">
            <w:pPr>
              <w:jc w:val="both"/>
              <w:rPr>
                <w:rFonts w:eastAsia="Calibri"/>
                <w:sz w:val="20"/>
                <w:lang w:val="fr-CA"/>
              </w:rPr>
            </w:pPr>
            <w:r w:rsidRPr="007931F0">
              <w:rPr>
                <w:rFonts w:eastAsia="Calibri"/>
                <w:sz w:val="20"/>
                <w:lang w:val="fr-CA"/>
              </w:rPr>
              <w:t>18 avril 2011</w:t>
            </w:r>
          </w:p>
          <w:p w:rsidR="00796AC2" w:rsidRPr="007931F0" w:rsidRDefault="00796AC2" w:rsidP="00796AC2">
            <w:pPr>
              <w:jc w:val="both"/>
              <w:rPr>
                <w:rFonts w:eastAsia="Calibri"/>
                <w:sz w:val="20"/>
                <w:lang w:val="fr-CA"/>
              </w:rPr>
            </w:pPr>
            <w:r w:rsidRPr="007931F0">
              <w:rPr>
                <w:rFonts w:eastAsia="Calibri"/>
                <w:sz w:val="20"/>
                <w:lang w:val="fr-CA"/>
              </w:rPr>
              <w:t>Cour suprême du Canada</w:t>
            </w:r>
          </w:p>
        </w:tc>
        <w:tc>
          <w:tcPr>
            <w:tcW w:w="236" w:type="pct"/>
          </w:tcPr>
          <w:p w:rsidR="00796AC2" w:rsidRPr="007931F0" w:rsidRDefault="00796AC2" w:rsidP="00796AC2">
            <w:pPr>
              <w:jc w:val="both"/>
              <w:rPr>
                <w:rFonts w:eastAsia="Calibri"/>
                <w:sz w:val="20"/>
                <w:lang w:val="fr-CA"/>
              </w:rPr>
            </w:pPr>
          </w:p>
        </w:tc>
        <w:tc>
          <w:tcPr>
            <w:tcW w:w="2406" w:type="pct"/>
          </w:tcPr>
          <w:p w:rsidR="00796AC2" w:rsidRPr="007931F0" w:rsidRDefault="00796AC2" w:rsidP="00796AC2">
            <w:pPr>
              <w:jc w:val="both"/>
              <w:rPr>
                <w:rFonts w:eastAsia="Calibri"/>
                <w:sz w:val="20"/>
                <w:lang w:val="fr-CA"/>
              </w:rPr>
            </w:pPr>
            <w:r w:rsidRPr="007931F0">
              <w:rPr>
                <w:rFonts w:eastAsia="Calibri"/>
                <w:sz w:val="20"/>
                <w:lang w:val="fr-CA"/>
              </w:rPr>
              <w:t>Demande d’autorisation d’appel, déposée</w:t>
            </w:r>
          </w:p>
          <w:p w:rsidR="00796AC2" w:rsidRPr="007931F0" w:rsidRDefault="00796AC2" w:rsidP="00796AC2">
            <w:pPr>
              <w:jc w:val="both"/>
              <w:rPr>
                <w:rFonts w:eastAsia="Calibri"/>
                <w:sz w:val="20"/>
                <w:lang w:val="fr-CA"/>
              </w:rPr>
            </w:pPr>
          </w:p>
        </w:tc>
      </w:tr>
    </w:tbl>
    <w:p w:rsidR="00BF1FA7" w:rsidRDefault="00BF1FA7" w:rsidP="00BF1FA7">
      <w:pPr>
        <w:rPr>
          <w:sz w:val="20"/>
          <w:szCs w:val="20"/>
        </w:rPr>
      </w:pPr>
    </w:p>
    <w:p w:rsidR="00BF1FA7" w:rsidRDefault="00BF59B3" w:rsidP="00BF1FA7">
      <w:pPr>
        <w:rPr>
          <w:sz w:val="20"/>
          <w:szCs w:val="20"/>
        </w:rPr>
      </w:pPr>
      <w:r w:rsidRPr="00BF59B3">
        <w:rPr>
          <w:sz w:val="20"/>
          <w:szCs w:val="20"/>
          <w:lang w:val="fr-CA"/>
        </w:rPr>
        <w:pict>
          <v:rect id="_x0000_i1039" style="width:2in;height:1pt" o:hrpct="0" o:hralign="center" o:hrstd="t" o:hrnoshade="t" o:hr="t" fillcolor="black [3213]" stroked="f"/>
        </w:pict>
      </w:r>
    </w:p>
    <w:p w:rsidR="00BF1FA7" w:rsidRDefault="00BF1FA7" w:rsidP="00BF1FA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C618B" w:rsidRPr="00F863F6" w:rsidTr="00F95CC5">
        <w:tc>
          <w:tcPr>
            <w:tcW w:w="1458" w:type="dxa"/>
          </w:tcPr>
          <w:p w:rsidR="004C618B" w:rsidRPr="00F863F6" w:rsidRDefault="004C618B" w:rsidP="007F36A7">
            <w:pPr>
              <w:rPr>
                <w:sz w:val="20"/>
                <w:szCs w:val="20"/>
              </w:rPr>
            </w:pPr>
            <w:r w:rsidRPr="00F863F6">
              <w:rPr>
                <w:rStyle w:val="SCCFileNumberChar"/>
                <w:sz w:val="20"/>
                <w:szCs w:val="20"/>
              </w:rPr>
              <w:t>34308</w:t>
            </w:r>
          </w:p>
          <w:p w:rsidR="004C618B" w:rsidRPr="00F863F6" w:rsidRDefault="004C618B" w:rsidP="007F36A7">
            <w:pPr>
              <w:rPr>
                <w:b/>
                <w:sz w:val="20"/>
                <w:szCs w:val="20"/>
                <w:lang w:val="fr-CA"/>
              </w:rPr>
            </w:pPr>
          </w:p>
        </w:tc>
        <w:tc>
          <w:tcPr>
            <w:tcW w:w="8118" w:type="dxa"/>
          </w:tcPr>
          <w:p w:rsidR="004C618B" w:rsidRPr="00F863F6" w:rsidRDefault="004C618B" w:rsidP="007F36A7">
            <w:pPr>
              <w:jc w:val="both"/>
              <w:rPr>
                <w:sz w:val="20"/>
                <w:szCs w:val="20"/>
              </w:rPr>
            </w:pPr>
            <w:r w:rsidRPr="00F863F6">
              <w:rPr>
                <w:rStyle w:val="SCCLsocChar"/>
                <w:sz w:val="20"/>
                <w:szCs w:val="20"/>
                <w:lang w:val="en-CA"/>
              </w:rPr>
              <w:t>United Steelworkers v. Morneau Sobeco Limited Partnership</w:t>
            </w:r>
            <w:r w:rsidR="00F95CC5">
              <w:rPr>
                <w:rStyle w:val="SCCLsocChar"/>
                <w:sz w:val="20"/>
                <w:szCs w:val="20"/>
                <w:lang w:val="en-CA"/>
              </w:rPr>
              <w:t xml:space="preserve"> and</w:t>
            </w:r>
            <w:r w:rsidRPr="00F863F6">
              <w:rPr>
                <w:rStyle w:val="SCCLsocChar"/>
                <w:sz w:val="20"/>
                <w:szCs w:val="20"/>
                <w:lang w:val="en-CA"/>
              </w:rPr>
              <w:t xml:space="preserve"> Superintendent of Financial Services</w:t>
            </w:r>
            <w:r w:rsidRPr="00F863F6">
              <w:rPr>
                <w:sz w:val="20"/>
                <w:szCs w:val="20"/>
              </w:rPr>
              <w:t xml:space="preserve"> (Ont.) (Civil) (By Leave)</w:t>
            </w:r>
          </w:p>
          <w:p w:rsidR="004C618B" w:rsidRPr="00F863F6" w:rsidRDefault="004C618B" w:rsidP="007F36A7">
            <w:pPr>
              <w:rPr>
                <w:sz w:val="20"/>
                <w:szCs w:val="20"/>
              </w:rPr>
            </w:pPr>
          </w:p>
        </w:tc>
      </w:tr>
      <w:tr w:rsidR="004C618B" w:rsidRPr="00F863F6" w:rsidTr="00F95CC5">
        <w:tc>
          <w:tcPr>
            <w:tcW w:w="1458" w:type="dxa"/>
          </w:tcPr>
          <w:p w:rsidR="004C618B" w:rsidRPr="00F863F6" w:rsidRDefault="004C618B" w:rsidP="007F36A7">
            <w:pPr>
              <w:rPr>
                <w:sz w:val="20"/>
                <w:szCs w:val="20"/>
              </w:rPr>
            </w:pPr>
            <w:r w:rsidRPr="00F863F6">
              <w:rPr>
                <w:sz w:val="20"/>
                <w:szCs w:val="20"/>
              </w:rPr>
              <w:t>Coram :</w:t>
            </w:r>
          </w:p>
        </w:tc>
        <w:tc>
          <w:tcPr>
            <w:tcW w:w="8118" w:type="dxa"/>
          </w:tcPr>
          <w:p w:rsidR="004C618B" w:rsidRPr="00F863F6" w:rsidRDefault="004C618B" w:rsidP="007F36A7">
            <w:pPr>
              <w:rPr>
                <w:sz w:val="20"/>
                <w:szCs w:val="20"/>
              </w:rPr>
            </w:pPr>
            <w:r w:rsidRPr="00F863F6">
              <w:rPr>
                <w:rStyle w:val="SCCCoramChar"/>
                <w:sz w:val="20"/>
                <w:szCs w:val="20"/>
                <w:lang w:val="en-CA"/>
              </w:rPr>
              <w:t>LeBel, Fish and Cromwell JJ.</w:t>
            </w:r>
          </w:p>
          <w:p w:rsidR="004C618B" w:rsidRPr="00F863F6" w:rsidRDefault="004C618B" w:rsidP="007F36A7">
            <w:pPr>
              <w:rPr>
                <w:sz w:val="20"/>
                <w:szCs w:val="20"/>
                <w:u w:val="single"/>
              </w:rPr>
            </w:pPr>
          </w:p>
        </w:tc>
      </w:tr>
      <w:tr w:rsidR="004C618B" w:rsidRPr="00A6632B" w:rsidTr="00F95CC5">
        <w:tc>
          <w:tcPr>
            <w:tcW w:w="9576" w:type="dxa"/>
            <w:gridSpan w:val="2"/>
          </w:tcPr>
          <w:p w:rsidR="004C618B" w:rsidRPr="00F863F6" w:rsidRDefault="004C618B" w:rsidP="007F36A7">
            <w:pPr>
              <w:pStyle w:val="SCCShortJudgment"/>
              <w:rPr>
                <w:szCs w:val="20"/>
              </w:rPr>
            </w:pPr>
            <w:r w:rsidRPr="00F863F6">
              <w:rPr>
                <w:szCs w:val="20"/>
              </w:rPr>
              <w:t>The application for leave to appeal from the judgment of the Court of Appeal for Ontario, Numbers C52187 and C52346, 2011 ONCA 578, dated September 7, 2011, is granted with costs in the cause.</w:t>
            </w:r>
          </w:p>
          <w:p w:rsidR="004C618B" w:rsidRPr="00F863F6" w:rsidRDefault="004C618B" w:rsidP="007F36A7">
            <w:pPr>
              <w:pStyle w:val="SCCShortJudgment"/>
              <w:ind w:firstLine="0"/>
              <w:rPr>
                <w:szCs w:val="20"/>
              </w:rPr>
            </w:pPr>
          </w:p>
          <w:p w:rsidR="004C618B" w:rsidRPr="00F863F6" w:rsidRDefault="004C618B" w:rsidP="007F36A7">
            <w:pPr>
              <w:pStyle w:val="SCCShortJudgment"/>
              <w:rPr>
                <w:szCs w:val="20"/>
                <w:lang w:val="fr-CA"/>
              </w:rPr>
            </w:pPr>
            <w:r w:rsidRPr="00F863F6">
              <w:rPr>
                <w:szCs w:val="20"/>
                <w:lang w:val="fr-CA"/>
              </w:rPr>
              <w:t>La demande d’autorisation d’appel de l’arrêt de la Cour d’appel de l’Ontario, numéros C52187 et C52346, 2011 ONCA 578, daté du 7 septembre 2011, est accueillie avec dépens suivant l’issue de la cause.</w:t>
            </w:r>
          </w:p>
        </w:tc>
      </w:tr>
    </w:tbl>
    <w:p w:rsidR="00BF1FA7" w:rsidRPr="004C618B" w:rsidRDefault="00BF1FA7" w:rsidP="00BF1FA7">
      <w:pPr>
        <w:rPr>
          <w:sz w:val="20"/>
          <w:szCs w:val="20"/>
          <w:lang w:val="fr-CA"/>
        </w:rPr>
      </w:pPr>
    </w:p>
    <w:p w:rsidR="00F95CC5" w:rsidRPr="008D50E0" w:rsidRDefault="00F95CC5">
      <w:pPr>
        <w:rPr>
          <w:sz w:val="20"/>
          <w:szCs w:val="20"/>
          <w:u w:val="single"/>
          <w:lang w:val="fr-CA"/>
        </w:rPr>
      </w:pPr>
      <w:r w:rsidRPr="008D50E0">
        <w:rPr>
          <w:sz w:val="20"/>
          <w:szCs w:val="20"/>
          <w:u w:val="single"/>
          <w:lang w:val="fr-CA"/>
        </w:rPr>
        <w:br w:type="page"/>
      </w:r>
    </w:p>
    <w:p w:rsidR="00BF1FA7" w:rsidRPr="001B157C" w:rsidRDefault="00BF1FA7" w:rsidP="00BF1FA7">
      <w:pPr>
        <w:rPr>
          <w:sz w:val="20"/>
          <w:szCs w:val="20"/>
          <w:u w:val="single"/>
        </w:rPr>
      </w:pPr>
      <w:r w:rsidRPr="001B157C">
        <w:rPr>
          <w:sz w:val="20"/>
          <w:szCs w:val="20"/>
          <w:u w:val="single"/>
        </w:rPr>
        <w:lastRenderedPageBreak/>
        <w:t>CASE SUMMARY</w:t>
      </w:r>
    </w:p>
    <w:p w:rsidR="00BF1FA7" w:rsidRDefault="00BF1FA7" w:rsidP="00BF1FA7">
      <w:pPr>
        <w:rPr>
          <w:sz w:val="20"/>
          <w:szCs w:val="20"/>
        </w:rPr>
      </w:pPr>
    </w:p>
    <w:tbl>
      <w:tblPr>
        <w:tblW w:w="5000" w:type="pct"/>
        <w:tblLayout w:type="fixed"/>
        <w:tblCellMar>
          <w:left w:w="0" w:type="dxa"/>
          <w:bottom w:w="99" w:type="dxa"/>
          <w:right w:w="0" w:type="dxa"/>
        </w:tblCellMar>
        <w:tblLook w:val="04A0"/>
      </w:tblPr>
      <w:tblGrid>
        <w:gridCol w:w="4623"/>
        <w:gridCol w:w="464"/>
        <w:gridCol w:w="4532"/>
      </w:tblGrid>
      <w:tr w:rsidR="00796AC2" w:rsidRPr="007931F0" w:rsidTr="00796AC2">
        <w:tc>
          <w:tcPr>
            <w:tcW w:w="5000" w:type="pct"/>
            <w:gridSpan w:val="3"/>
          </w:tcPr>
          <w:p w:rsidR="00796AC2" w:rsidRPr="007931F0" w:rsidRDefault="00796AC2" w:rsidP="00796AC2">
            <w:pPr>
              <w:jc w:val="both"/>
              <w:rPr>
                <w:rFonts w:eastAsia="Calibri"/>
                <w:sz w:val="20"/>
              </w:rPr>
            </w:pPr>
            <w:r w:rsidRPr="007931F0">
              <w:rPr>
                <w:rFonts w:eastAsia="Calibri"/>
                <w:sz w:val="20"/>
              </w:rPr>
              <w:t>Civil procedure - Costs - Whether the Court of Appeal erred in holding that the bargaining agent for unionized pension plan members does not have the right to obtain payment of costs from a pension trust fund on behalf of its unionized members/plan beneficiaries - Whether the Court of Appeal erred in: i) requiring consent from pension plan beneficiaries and ii)  considering the funding status of a pension plan, in both cases as prerequisites to ordering payment of costs from a pension trust fund when the proceeding is non-adversarial between pension plan beneficiaries, has been initiated to enforce the due administration of the trust and is for the benefit of all pension plan beneficiaries.</w:t>
            </w:r>
          </w:p>
        </w:tc>
      </w:tr>
      <w:tr w:rsidR="00796AC2" w:rsidRPr="007931F0" w:rsidTr="00796AC2">
        <w:tc>
          <w:tcPr>
            <w:tcW w:w="5000" w:type="pct"/>
            <w:gridSpan w:val="3"/>
          </w:tcPr>
          <w:p w:rsidR="00796AC2" w:rsidRPr="007931F0" w:rsidRDefault="00796AC2" w:rsidP="00796AC2">
            <w:pPr>
              <w:jc w:val="both"/>
              <w:rPr>
                <w:rFonts w:eastAsia="Calibri"/>
                <w:sz w:val="20"/>
              </w:rPr>
            </w:pPr>
          </w:p>
        </w:tc>
      </w:tr>
      <w:tr w:rsidR="00796AC2" w:rsidRPr="007931F0" w:rsidTr="00796AC2">
        <w:tc>
          <w:tcPr>
            <w:tcW w:w="5000" w:type="pct"/>
            <w:gridSpan w:val="3"/>
          </w:tcPr>
          <w:p w:rsidR="00796AC2" w:rsidRPr="007931F0" w:rsidRDefault="00796AC2" w:rsidP="00796AC2">
            <w:pPr>
              <w:jc w:val="both"/>
              <w:rPr>
                <w:rFonts w:eastAsia="Calibri"/>
                <w:sz w:val="20"/>
              </w:rPr>
            </w:pPr>
            <w:r w:rsidRPr="007931F0">
              <w:rPr>
                <w:rFonts w:eastAsia="Calibri"/>
                <w:sz w:val="20"/>
              </w:rPr>
              <w:t xml:space="preserve">Indalex Limited, and related companies (collectively “Indalex”) obtained protection under the </w:t>
            </w:r>
            <w:r w:rsidRPr="007931F0">
              <w:rPr>
                <w:rFonts w:eastAsia="Calibri"/>
                <w:i/>
                <w:sz w:val="20"/>
              </w:rPr>
              <w:t>Companies’ Creditors Arrangement Act</w:t>
            </w:r>
            <w:r w:rsidRPr="007931F0">
              <w:rPr>
                <w:rFonts w:eastAsia="Calibri"/>
                <w:sz w:val="20"/>
              </w:rPr>
              <w:t>, R.S.C. 1985, c. C-36 (“</w:t>
            </w:r>
            <w:r w:rsidRPr="007931F0">
              <w:rPr>
                <w:rFonts w:eastAsia="Calibri"/>
                <w:i/>
                <w:sz w:val="20"/>
              </w:rPr>
              <w:t>CCAA</w:t>
            </w:r>
            <w:r w:rsidRPr="007931F0">
              <w:rPr>
                <w:rFonts w:eastAsia="Calibri"/>
                <w:sz w:val="20"/>
              </w:rPr>
              <w:t xml:space="preserve">”). At the time, its two pension plans were underfunded and one was being wound up. The court approved the sale of Indalex’s assets on a going–concern basis and the repayment of a super-priority charge to debtor-in-possession lenders.  United Steelworkers (“USW”), as the bargaining agent for 7 of the 169 members of one pension plan, and the representatives of the pension plan for former executives of Indalex (the “Retirees”) challenged the distribution of the sale proceeds. They brought motions for a declaration that there were deemed trusts in favour of pension beneficiaries to the extent of the fund deficiencies and for orders for the release and payment of those amounts. Indalex brought a motion to lift the </w:t>
            </w:r>
            <w:r w:rsidRPr="007931F0">
              <w:rPr>
                <w:rFonts w:eastAsia="Calibri"/>
                <w:i/>
                <w:sz w:val="20"/>
              </w:rPr>
              <w:t>CCAA</w:t>
            </w:r>
            <w:r w:rsidRPr="007931F0">
              <w:rPr>
                <w:rFonts w:eastAsia="Calibri"/>
                <w:sz w:val="20"/>
              </w:rPr>
              <w:t xml:space="preserve"> stay and assign itself into bankruptcy.</w:t>
            </w:r>
          </w:p>
          <w:p w:rsidR="00796AC2" w:rsidRPr="007931F0" w:rsidRDefault="00796AC2" w:rsidP="00796AC2">
            <w:pPr>
              <w:jc w:val="both"/>
              <w:rPr>
                <w:rFonts w:eastAsia="Calibri"/>
                <w:sz w:val="20"/>
              </w:rPr>
            </w:pPr>
          </w:p>
          <w:p w:rsidR="00796AC2" w:rsidRPr="007931F0" w:rsidRDefault="00796AC2" w:rsidP="00796AC2">
            <w:pPr>
              <w:jc w:val="both"/>
              <w:rPr>
                <w:rFonts w:eastAsia="Calibri"/>
                <w:sz w:val="20"/>
              </w:rPr>
            </w:pPr>
            <w:r w:rsidRPr="007931F0">
              <w:rPr>
                <w:rFonts w:eastAsia="Calibri"/>
                <w:sz w:val="20"/>
              </w:rPr>
              <w:t xml:space="preserve">The Ontario Superior Court of Justice dismissed motions by USW, the Retirees and Indalex. The Ontario Court of Appeal allowed the appeal. The Court declared that there was a deemed trust in favour of one pension plan as well as breaches of common law and statutory fiduciary duties which resulted in a constructive trust in favour of the other pension plan. The plans were declared to have priority and the deficiencies were ordered to be paid out of the reserve fund.  In a separate Costs Endorsement, the appellate court approved an agreement between the Retirees, Morneau Sobeco Limited Partnership (now Morneau Shepell Ltd.) as plan administrator, and the Ontario Superintendent of Financial Services and ordered, </w:t>
            </w:r>
            <w:r w:rsidRPr="007931F0">
              <w:rPr>
                <w:rFonts w:eastAsia="Calibri"/>
                <w:i/>
                <w:sz w:val="20"/>
              </w:rPr>
              <w:t>inter alia</w:t>
            </w:r>
            <w:r w:rsidRPr="007931F0">
              <w:rPr>
                <w:rFonts w:eastAsia="Calibri"/>
                <w:sz w:val="20"/>
              </w:rPr>
              <w:t>, that: i) the Retirees’ full indemnity legal fees and disbursements be paid from the pension fund attributable to each of the 14 Retirees’ accrued pension benefits (but not borne by the other three plan members who were not respondents); and i) the costs ordered in favour of the Retirees were to be paid into the fund and allocated among the 14 Retirees in relation to their pension entitlement. The Court of Appeal declined to make a similar order with respect to the costs incurred by USW, finding that the union was in a materially different position.  The Court noted that the non-union beneficiaries of that plan had not consented to the arrangement, that USW was not a beneficiary, and that the fund was underfunded. USW applies for leave to appeal that aspect of the Costs Endorsement.</w:t>
            </w:r>
          </w:p>
          <w:p w:rsidR="00796AC2" w:rsidRPr="007931F0" w:rsidRDefault="00796AC2" w:rsidP="00796AC2">
            <w:pPr>
              <w:jc w:val="both"/>
              <w:rPr>
                <w:rFonts w:eastAsia="Calibri"/>
                <w:sz w:val="20"/>
              </w:rPr>
            </w:pPr>
          </w:p>
        </w:tc>
      </w:tr>
      <w:tr w:rsidR="00796AC2" w:rsidRPr="007931F0" w:rsidTr="00796AC2">
        <w:tc>
          <w:tcPr>
            <w:tcW w:w="2403" w:type="pct"/>
          </w:tcPr>
          <w:p w:rsidR="00796AC2" w:rsidRPr="007931F0" w:rsidRDefault="00796AC2" w:rsidP="00796AC2">
            <w:pPr>
              <w:jc w:val="both"/>
              <w:rPr>
                <w:rFonts w:eastAsia="Calibri"/>
                <w:sz w:val="20"/>
              </w:rPr>
            </w:pPr>
            <w:r w:rsidRPr="007931F0">
              <w:rPr>
                <w:rFonts w:eastAsia="Calibri"/>
                <w:sz w:val="20"/>
              </w:rPr>
              <w:t>February 18, 2010</w:t>
            </w:r>
          </w:p>
          <w:p w:rsidR="00796AC2" w:rsidRPr="007931F0" w:rsidRDefault="00796AC2" w:rsidP="00796AC2">
            <w:pPr>
              <w:jc w:val="both"/>
              <w:rPr>
                <w:rFonts w:eastAsia="Calibri"/>
                <w:sz w:val="20"/>
              </w:rPr>
            </w:pPr>
            <w:r w:rsidRPr="007931F0">
              <w:rPr>
                <w:rFonts w:eastAsia="Calibri"/>
                <w:sz w:val="20"/>
              </w:rPr>
              <w:t>Ontario Superior Court of Justice</w:t>
            </w:r>
          </w:p>
          <w:p w:rsidR="00796AC2" w:rsidRPr="007931F0" w:rsidRDefault="00796AC2" w:rsidP="00796AC2">
            <w:pPr>
              <w:jc w:val="both"/>
              <w:rPr>
                <w:rFonts w:eastAsia="Calibri"/>
                <w:sz w:val="20"/>
              </w:rPr>
            </w:pPr>
            <w:r w:rsidRPr="007931F0">
              <w:rPr>
                <w:rFonts w:eastAsia="Calibri"/>
                <w:sz w:val="20"/>
              </w:rPr>
              <w:t>(Campbell J.)</w:t>
            </w:r>
          </w:p>
          <w:p w:rsidR="00796AC2" w:rsidRPr="007931F0" w:rsidRDefault="00796AC2" w:rsidP="00796AC2">
            <w:pPr>
              <w:jc w:val="both"/>
              <w:rPr>
                <w:rFonts w:eastAsia="Calibri"/>
                <w:sz w:val="20"/>
              </w:rPr>
            </w:pPr>
            <w:r w:rsidRPr="007931F0">
              <w:rPr>
                <w:rFonts w:eastAsia="Calibri"/>
                <w:sz w:val="20"/>
              </w:rPr>
              <w:t>2010 ONSC 1114</w:t>
            </w:r>
          </w:p>
          <w:p w:rsidR="00796AC2" w:rsidRPr="007931F0" w:rsidRDefault="00796AC2" w:rsidP="00796AC2">
            <w:pPr>
              <w:jc w:val="both"/>
              <w:rPr>
                <w:rFonts w:eastAsia="Calibri"/>
                <w:sz w:val="20"/>
              </w:rPr>
            </w:pPr>
          </w:p>
        </w:tc>
        <w:tc>
          <w:tcPr>
            <w:tcW w:w="241" w:type="pct"/>
          </w:tcPr>
          <w:p w:rsidR="00796AC2" w:rsidRPr="007931F0" w:rsidRDefault="00796AC2" w:rsidP="00796AC2">
            <w:pPr>
              <w:jc w:val="both"/>
              <w:rPr>
                <w:rFonts w:eastAsia="Calibri"/>
                <w:sz w:val="20"/>
              </w:rPr>
            </w:pPr>
          </w:p>
        </w:tc>
        <w:tc>
          <w:tcPr>
            <w:tcW w:w="2356" w:type="pct"/>
          </w:tcPr>
          <w:p w:rsidR="00796AC2" w:rsidRPr="007931F0" w:rsidRDefault="00796AC2" w:rsidP="00796AC2">
            <w:pPr>
              <w:jc w:val="both"/>
              <w:rPr>
                <w:rFonts w:eastAsia="Calibri"/>
                <w:sz w:val="20"/>
              </w:rPr>
            </w:pPr>
            <w:r w:rsidRPr="007931F0">
              <w:rPr>
                <w:rFonts w:eastAsia="Calibri"/>
                <w:sz w:val="20"/>
              </w:rPr>
              <w:t xml:space="preserve">Motions for declaration of deemed trust and Order of payment of amount of deficiencies out of reserve fund, dismissed; Motion for assignment into bankruptcy, dismissed </w:t>
            </w:r>
          </w:p>
        </w:tc>
      </w:tr>
      <w:tr w:rsidR="00796AC2" w:rsidRPr="007931F0" w:rsidTr="00796AC2">
        <w:tc>
          <w:tcPr>
            <w:tcW w:w="2403" w:type="pct"/>
          </w:tcPr>
          <w:p w:rsidR="00796AC2" w:rsidRPr="007931F0" w:rsidRDefault="00796AC2" w:rsidP="00796AC2">
            <w:pPr>
              <w:jc w:val="both"/>
              <w:rPr>
                <w:rFonts w:eastAsia="Calibri"/>
                <w:sz w:val="20"/>
              </w:rPr>
            </w:pPr>
            <w:r w:rsidRPr="007931F0">
              <w:rPr>
                <w:rFonts w:eastAsia="Calibri"/>
                <w:sz w:val="20"/>
              </w:rPr>
              <w:t>April 7, 2011</w:t>
            </w:r>
          </w:p>
          <w:p w:rsidR="00796AC2" w:rsidRPr="007931F0" w:rsidRDefault="00796AC2" w:rsidP="00796AC2">
            <w:pPr>
              <w:jc w:val="both"/>
              <w:rPr>
                <w:rFonts w:eastAsia="Calibri"/>
                <w:sz w:val="20"/>
              </w:rPr>
            </w:pPr>
            <w:r w:rsidRPr="007931F0">
              <w:rPr>
                <w:rFonts w:eastAsia="Calibri"/>
                <w:sz w:val="20"/>
              </w:rPr>
              <w:t>Court of Appeal for Ontario</w:t>
            </w:r>
          </w:p>
          <w:p w:rsidR="00796AC2" w:rsidRPr="007931F0" w:rsidRDefault="00796AC2" w:rsidP="00796AC2">
            <w:pPr>
              <w:jc w:val="both"/>
              <w:rPr>
                <w:rFonts w:eastAsia="Calibri"/>
                <w:sz w:val="20"/>
              </w:rPr>
            </w:pPr>
            <w:r w:rsidRPr="007931F0">
              <w:rPr>
                <w:rFonts w:eastAsia="Calibri"/>
                <w:sz w:val="20"/>
              </w:rPr>
              <w:t>(MacPherson, Gillese and Juriansz JJ.A.)</w:t>
            </w:r>
          </w:p>
          <w:p w:rsidR="00796AC2" w:rsidRPr="007931F0" w:rsidRDefault="00796AC2" w:rsidP="00796AC2">
            <w:pPr>
              <w:jc w:val="both"/>
              <w:rPr>
                <w:rFonts w:eastAsia="Calibri"/>
                <w:sz w:val="20"/>
              </w:rPr>
            </w:pPr>
            <w:r w:rsidRPr="007931F0">
              <w:rPr>
                <w:rFonts w:eastAsia="Calibri"/>
                <w:sz w:val="20"/>
              </w:rPr>
              <w:t>2011 ONCA 265; C52187 &amp;C52346</w:t>
            </w:r>
          </w:p>
          <w:p w:rsidR="00796AC2" w:rsidRPr="007931F0" w:rsidRDefault="00796AC2" w:rsidP="00796AC2">
            <w:pPr>
              <w:jc w:val="both"/>
              <w:rPr>
                <w:rFonts w:eastAsia="Calibri"/>
                <w:sz w:val="20"/>
              </w:rPr>
            </w:pPr>
          </w:p>
        </w:tc>
        <w:tc>
          <w:tcPr>
            <w:tcW w:w="241" w:type="pct"/>
          </w:tcPr>
          <w:p w:rsidR="00796AC2" w:rsidRPr="007931F0" w:rsidRDefault="00796AC2" w:rsidP="00796AC2">
            <w:pPr>
              <w:jc w:val="both"/>
              <w:rPr>
                <w:rFonts w:eastAsia="Calibri"/>
                <w:sz w:val="20"/>
              </w:rPr>
            </w:pPr>
          </w:p>
        </w:tc>
        <w:tc>
          <w:tcPr>
            <w:tcW w:w="2356" w:type="pct"/>
          </w:tcPr>
          <w:p w:rsidR="00796AC2" w:rsidRPr="007931F0" w:rsidRDefault="00796AC2" w:rsidP="00796AC2">
            <w:pPr>
              <w:jc w:val="both"/>
              <w:rPr>
                <w:rFonts w:eastAsia="Calibri"/>
                <w:sz w:val="20"/>
              </w:rPr>
            </w:pPr>
            <w:r w:rsidRPr="007931F0">
              <w:rPr>
                <w:rFonts w:eastAsia="Calibri"/>
                <w:sz w:val="20"/>
              </w:rPr>
              <w:t>Appeal allowed; Declarations of: deemed trust, constructive trust, breaches of common law and statutory fiduciary duties, and priority by plans; Order to pay deficiencies out of reserve fund</w:t>
            </w:r>
          </w:p>
        </w:tc>
      </w:tr>
      <w:tr w:rsidR="00796AC2" w:rsidRPr="007931F0" w:rsidTr="00796AC2">
        <w:tc>
          <w:tcPr>
            <w:tcW w:w="2403" w:type="pct"/>
          </w:tcPr>
          <w:p w:rsidR="00796AC2" w:rsidRPr="007931F0" w:rsidRDefault="00796AC2" w:rsidP="00796AC2">
            <w:pPr>
              <w:jc w:val="both"/>
              <w:rPr>
                <w:rFonts w:eastAsia="Calibri"/>
                <w:sz w:val="20"/>
              </w:rPr>
            </w:pPr>
            <w:r w:rsidRPr="007931F0">
              <w:rPr>
                <w:rFonts w:eastAsia="Calibri"/>
                <w:sz w:val="20"/>
              </w:rPr>
              <w:t>September 7, 2011</w:t>
            </w:r>
          </w:p>
          <w:p w:rsidR="00796AC2" w:rsidRPr="007931F0" w:rsidRDefault="00796AC2" w:rsidP="00796AC2">
            <w:pPr>
              <w:jc w:val="both"/>
              <w:rPr>
                <w:rFonts w:eastAsia="Calibri"/>
                <w:sz w:val="20"/>
              </w:rPr>
            </w:pPr>
            <w:r w:rsidRPr="007931F0">
              <w:rPr>
                <w:rFonts w:eastAsia="Calibri"/>
                <w:sz w:val="20"/>
              </w:rPr>
              <w:t>Court of Appeal for Ontario</w:t>
            </w:r>
          </w:p>
          <w:p w:rsidR="00796AC2" w:rsidRPr="007931F0" w:rsidRDefault="00796AC2" w:rsidP="00796AC2">
            <w:pPr>
              <w:jc w:val="both"/>
              <w:rPr>
                <w:rFonts w:eastAsia="Calibri"/>
                <w:sz w:val="20"/>
              </w:rPr>
            </w:pPr>
            <w:r w:rsidRPr="007931F0">
              <w:rPr>
                <w:rFonts w:eastAsia="Calibri"/>
                <w:sz w:val="20"/>
              </w:rPr>
              <w:t>(MacPherson, Gillese and Juriansz JJ.A.)</w:t>
            </w:r>
          </w:p>
          <w:p w:rsidR="00796AC2" w:rsidRPr="007931F0" w:rsidRDefault="00796AC2" w:rsidP="00796AC2">
            <w:pPr>
              <w:jc w:val="both"/>
              <w:rPr>
                <w:rFonts w:eastAsia="Calibri"/>
                <w:sz w:val="20"/>
              </w:rPr>
            </w:pPr>
            <w:r w:rsidRPr="007931F0">
              <w:rPr>
                <w:rFonts w:eastAsia="Calibri"/>
                <w:sz w:val="20"/>
              </w:rPr>
              <w:t>2011 ONCA 578; C52187 &amp;C52346</w:t>
            </w:r>
          </w:p>
          <w:p w:rsidR="00796AC2" w:rsidRPr="007931F0" w:rsidRDefault="00796AC2" w:rsidP="00796AC2">
            <w:pPr>
              <w:jc w:val="both"/>
              <w:rPr>
                <w:rFonts w:eastAsia="Calibri"/>
                <w:sz w:val="20"/>
              </w:rPr>
            </w:pPr>
          </w:p>
        </w:tc>
        <w:tc>
          <w:tcPr>
            <w:tcW w:w="241" w:type="pct"/>
          </w:tcPr>
          <w:p w:rsidR="00796AC2" w:rsidRPr="007931F0" w:rsidRDefault="00796AC2" w:rsidP="00796AC2">
            <w:pPr>
              <w:jc w:val="both"/>
              <w:rPr>
                <w:rFonts w:eastAsia="Calibri"/>
                <w:sz w:val="20"/>
              </w:rPr>
            </w:pPr>
          </w:p>
        </w:tc>
        <w:tc>
          <w:tcPr>
            <w:tcW w:w="2356" w:type="pct"/>
          </w:tcPr>
          <w:p w:rsidR="00796AC2" w:rsidRPr="007931F0" w:rsidRDefault="00796AC2" w:rsidP="00796AC2">
            <w:pPr>
              <w:jc w:val="both"/>
              <w:rPr>
                <w:rFonts w:eastAsia="Calibri"/>
                <w:sz w:val="20"/>
              </w:rPr>
            </w:pPr>
            <w:r w:rsidRPr="007931F0">
              <w:rPr>
                <w:rFonts w:eastAsia="Calibri"/>
                <w:sz w:val="20"/>
              </w:rPr>
              <w:t>Costs Endorsement ordering , inter alia, full indemnity of legal fees and disbursements of the Retirees from their pension fund attributable to each; request for similar order denied to USW</w:t>
            </w:r>
          </w:p>
        </w:tc>
      </w:tr>
      <w:tr w:rsidR="00796AC2" w:rsidRPr="007931F0" w:rsidTr="00796AC2">
        <w:tc>
          <w:tcPr>
            <w:tcW w:w="2403" w:type="pct"/>
          </w:tcPr>
          <w:p w:rsidR="00796AC2" w:rsidRPr="007931F0" w:rsidRDefault="00796AC2" w:rsidP="00796AC2">
            <w:pPr>
              <w:jc w:val="both"/>
              <w:rPr>
                <w:rFonts w:eastAsia="Calibri"/>
                <w:sz w:val="20"/>
              </w:rPr>
            </w:pPr>
            <w:r w:rsidRPr="007931F0">
              <w:rPr>
                <w:rFonts w:eastAsia="Calibri"/>
                <w:sz w:val="20"/>
              </w:rPr>
              <w:t>June 6, 2011</w:t>
            </w:r>
          </w:p>
          <w:p w:rsidR="00796AC2" w:rsidRPr="007931F0" w:rsidRDefault="00796AC2" w:rsidP="00796AC2">
            <w:pPr>
              <w:jc w:val="both"/>
              <w:rPr>
                <w:rFonts w:eastAsia="Calibri"/>
                <w:sz w:val="20"/>
              </w:rPr>
            </w:pPr>
            <w:r w:rsidRPr="007931F0">
              <w:rPr>
                <w:rFonts w:eastAsia="Calibri"/>
                <w:sz w:val="20"/>
              </w:rPr>
              <w:t>Supreme Court of Canada</w:t>
            </w:r>
          </w:p>
          <w:p w:rsidR="00796AC2" w:rsidRPr="007931F0" w:rsidRDefault="00796AC2" w:rsidP="00796AC2">
            <w:pPr>
              <w:jc w:val="both"/>
              <w:rPr>
                <w:rFonts w:eastAsia="Calibri"/>
                <w:sz w:val="20"/>
              </w:rPr>
            </w:pPr>
          </w:p>
        </w:tc>
        <w:tc>
          <w:tcPr>
            <w:tcW w:w="241" w:type="pct"/>
          </w:tcPr>
          <w:p w:rsidR="00796AC2" w:rsidRPr="007931F0" w:rsidRDefault="00796AC2" w:rsidP="00796AC2">
            <w:pPr>
              <w:jc w:val="both"/>
              <w:rPr>
                <w:rFonts w:eastAsia="Calibri"/>
                <w:sz w:val="20"/>
              </w:rPr>
            </w:pPr>
          </w:p>
        </w:tc>
        <w:tc>
          <w:tcPr>
            <w:tcW w:w="2356" w:type="pct"/>
          </w:tcPr>
          <w:p w:rsidR="00796AC2" w:rsidRPr="007931F0" w:rsidRDefault="00796AC2" w:rsidP="00796AC2">
            <w:pPr>
              <w:jc w:val="both"/>
              <w:rPr>
                <w:rFonts w:eastAsia="Calibri"/>
                <w:sz w:val="20"/>
              </w:rPr>
            </w:pPr>
            <w:r w:rsidRPr="007931F0">
              <w:rPr>
                <w:rFonts w:eastAsia="Calibri"/>
                <w:sz w:val="20"/>
              </w:rPr>
              <w:t xml:space="preserve">Separate applications for leave to appeal April 7, 2011 decision filed by Sun Indalex Finance LLC, George L. Miller and FTI Consulting Canada ULC </w:t>
            </w:r>
          </w:p>
          <w:p w:rsidR="00796AC2" w:rsidRPr="007931F0" w:rsidRDefault="00796AC2" w:rsidP="00796AC2">
            <w:pPr>
              <w:jc w:val="both"/>
              <w:rPr>
                <w:rFonts w:eastAsia="Calibri"/>
                <w:sz w:val="20"/>
              </w:rPr>
            </w:pPr>
          </w:p>
        </w:tc>
      </w:tr>
      <w:tr w:rsidR="00796AC2" w:rsidRPr="007931F0" w:rsidTr="00796AC2">
        <w:tc>
          <w:tcPr>
            <w:tcW w:w="2403" w:type="pct"/>
          </w:tcPr>
          <w:p w:rsidR="00796AC2" w:rsidRPr="007931F0" w:rsidRDefault="00796AC2" w:rsidP="00796AC2">
            <w:pPr>
              <w:jc w:val="both"/>
              <w:rPr>
                <w:rFonts w:eastAsia="Calibri"/>
                <w:sz w:val="20"/>
              </w:rPr>
            </w:pPr>
            <w:r w:rsidRPr="007931F0">
              <w:rPr>
                <w:rFonts w:eastAsia="Calibri"/>
                <w:sz w:val="20"/>
              </w:rPr>
              <w:lastRenderedPageBreak/>
              <w:t>November 7, 2011</w:t>
            </w:r>
          </w:p>
          <w:p w:rsidR="00796AC2" w:rsidRPr="007931F0" w:rsidRDefault="00796AC2" w:rsidP="00796AC2">
            <w:pPr>
              <w:jc w:val="both"/>
              <w:rPr>
                <w:rFonts w:eastAsia="Calibri"/>
                <w:sz w:val="20"/>
              </w:rPr>
            </w:pPr>
            <w:r w:rsidRPr="007931F0">
              <w:rPr>
                <w:rFonts w:eastAsia="Calibri"/>
                <w:sz w:val="20"/>
              </w:rPr>
              <w:t>Supreme Court of Canada</w:t>
            </w:r>
          </w:p>
        </w:tc>
        <w:tc>
          <w:tcPr>
            <w:tcW w:w="241" w:type="pct"/>
          </w:tcPr>
          <w:p w:rsidR="00796AC2" w:rsidRPr="007931F0" w:rsidRDefault="00796AC2" w:rsidP="00796AC2">
            <w:pPr>
              <w:jc w:val="both"/>
              <w:rPr>
                <w:rFonts w:eastAsia="Calibri"/>
                <w:sz w:val="20"/>
              </w:rPr>
            </w:pPr>
          </w:p>
        </w:tc>
        <w:tc>
          <w:tcPr>
            <w:tcW w:w="2356" w:type="pct"/>
          </w:tcPr>
          <w:p w:rsidR="00796AC2" w:rsidRPr="007931F0" w:rsidRDefault="00796AC2" w:rsidP="00796AC2">
            <w:pPr>
              <w:jc w:val="both"/>
              <w:rPr>
                <w:rFonts w:eastAsia="Calibri"/>
                <w:sz w:val="20"/>
              </w:rPr>
            </w:pPr>
            <w:r w:rsidRPr="007931F0">
              <w:rPr>
                <w:rFonts w:eastAsia="Calibri"/>
                <w:sz w:val="20"/>
              </w:rPr>
              <w:t xml:space="preserve">Application for leave to appeal Sept. 7, 2011 Costs Endorsement filed by United Steelworkers </w:t>
            </w:r>
          </w:p>
        </w:tc>
      </w:tr>
    </w:tbl>
    <w:p w:rsidR="00BF1FA7" w:rsidRDefault="00BF1FA7" w:rsidP="00BF1FA7">
      <w:pPr>
        <w:rPr>
          <w:sz w:val="20"/>
          <w:szCs w:val="20"/>
        </w:rPr>
      </w:pPr>
    </w:p>
    <w:p w:rsidR="00BF1FA7" w:rsidRDefault="00BF59B3" w:rsidP="00BF1FA7">
      <w:pPr>
        <w:rPr>
          <w:sz w:val="20"/>
          <w:szCs w:val="20"/>
        </w:rPr>
      </w:pPr>
      <w:r w:rsidRPr="00BF59B3">
        <w:rPr>
          <w:sz w:val="20"/>
          <w:szCs w:val="20"/>
          <w:lang w:val="fr-CA"/>
        </w:rPr>
        <w:pict>
          <v:rect id="_x0000_i1040" style="width:2in;height:1pt" o:hrpct="0" o:hralign="center" o:hrstd="t" o:hrnoshade="t" o:hr="t" fillcolor="black [3213]" stroked="f"/>
        </w:pict>
      </w:r>
    </w:p>
    <w:p w:rsidR="00BF1FA7" w:rsidRDefault="00BF1FA7" w:rsidP="00BF1FA7">
      <w:pPr>
        <w:rPr>
          <w:sz w:val="20"/>
          <w:szCs w:val="20"/>
        </w:rPr>
      </w:pPr>
    </w:p>
    <w:p w:rsidR="00BF1FA7" w:rsidRPr="001B157C" w:rsidRDefault="00BF1FA7" w:rsidP="00BF1FA7">
      <w:pPr>
        <w:rPr>
          <w:sz w:val="20"/>
          <w:szCs w:val="20"/>
          <w:u w:val="single"/>
          <w:lang w:val="fr-CA"/>
        </w:rPr>
      </w:pPr>
      <w:r w:rsidRPr="001B157C">
        <w:rPr>
          <w:sz w:val="20"/>
          <w:szCs w:val="20"/>
          <w:u w:val="single"/>
          <w:lang w:val="fr-CA"/>
        </w:rPr>
        <w:t>RÉSUMÉ DE L’AFFAIRE</w:t>
      </w:r>
    </w:p>
    <w:p w:rsidR="00BF1FA7" w:rsidRDefault="00BF1FA7" w:rsidP="00BF1FA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96AC2" w:rsidRPr="00A6632B" w:rsidTr="00796AC2">
        <w:tc>
          <w:tcPr>
            <w:tcW w:w="5000" w:type="pct"/>
            <w:gridSpan w:val="3"/>
          </w:tcPr>
          <w:p w:rsidR="00796AC2" w:rsidRPr="007931F0" w:rsidRDefault="00796AC2" w:rsidP="00796AC2">
            <w:pPr>
              <w:jc w:val="both"/>
              <w:rPr>
                <w:rFonts w:eastAsia="Calibri"/>
                <w:sz w:val="20"/>
                <w:lang w:val="fr-CA"/>
              </w:rPr>
            </w:pPr>
            <w:r w:rsidRPr="007931F0">
              <w:rPr>
                <w:rFonts w:eastAsia="Calibri"/>
                <w:sz w:val="20"/>
                <w:lang w:val="fr-CA"/>
              </w:rPr>
              <w:t>Procédure civile - Dépens – La Cour d’appel a</w:t>
            </w:r>
            <w:r w:rsidRPr="007931F0">
              <w:rPr>
                <w:rFonts w:eastAsia="Calibri"/>
                <w:sz w:val="20"/>
                <w:lang w:val="fr-CA"/>
              </w:rPr>
              <w:noBreakHyphen/>
              <w:t>t</w:t>
            </w:r>
            <w:r w:rsidRPr="007931F0">
              <w:rPr>
                <w:rFonts w:eastAsia="Calibri"/>
                <w:sz w:val="20"/>
                <w:lang w:val="fr-CA"/>
              </w:rPr>
              <w:noBreakHyphen/>
              <w:t>elle eu tort de conclure que l’agent négociateur des participants syndiqués à un régime de retraite n’a pas le droit d’obtenir le paiement, d’un fonds de retraite détenu en fiducie, de dépens pour ses participants syndiqués au régime? – La Cour d’appel a</w:t>
            </w:r>
            <w:r w:rsidRPr="007931F0">
              <w:rPr>
                <w:rFonts w:eastAsia="Calibri"/>
                <w:sz w:val="20"/>
                <w:lang w:val="fr-CA"/>
              </w:rPr>
              <w:noBreakHyphen/>
              <w:t>t</w:t>
            </w:r>
            <w:r w:rsidRPr="007931F0">
              <w:rPr>
                <w:rFonts w:eastAsia="Calibri"/>
                <w:sz w:val="20"/>
                <w:lang w:val="fr-CA"/>
              </w:rPr>
              <w:noBreakHyphen/>
              <w:t>elle eu tort i) d’exiger le consentement des bénéficiaires d’un régime de retraite et ii) d’examiner la capitalisation du régime de retraite, comme conditions préalables à la délivrance d’une ordonnance de paiement des dépens à même un fonds de retraite détenu en fiducie, lorsque la procédure entre les bénéficiaires du régime de retraite est non contradictoire, a été entreprise afin d’assurer la bonne administration de la fiducie et est à l’avantage de l’ensemble des bénéficiaires du régime de retraite?</w:t>
            </w:r>
          </w:p>
        </w:tc>
      </w:tr>
      <w:tr w:rsidR="00796AC2" w:rsidRPr="00A6632B" w:rsidTr="00796AC2">
        <w:tc>
          <w:tcPr>
            <w:tcW w:w="5000" w:type="pct"/>
            <w:gridSpan w:val="3"/>
          </w:tcPr>
          <w:p w:rsidR="00796AC2" w:rsidRPr="007931F0" w:rsidRDefault="00796AC2" w:rsidP="00796AC2">
            <w:pPr>
              <w:jc w:val="both"/>
              <w:rPr>
                <w:rFonts w:eastAsia="Calibri"/>
                <w:sz w:val="20"/>
                <w:lang w:val="fr-CA"/>
              </w:rPr>
            </w:pPr>
          </w:p>
        </w:tc>
      </w:tr>
      <w:tr w:rsidR="00796AC2" w:rsidRPr="00A6632B" w:rsidTr="00796AC2">
        <w:tc>
          <w:tcPr>
            <w:tcW w:w="5000" w:type="pct"/>
            <w:gridSpan w:val="3"/>
          </w:tcPr>
          <w:p w:rsidR="00796AC2" w:rsidRPr="007931F0" w:rsidRDefault="00796AC2" w:rsidP="00796AC2">
            <w:pPr>
              <w:jc w:val="both"/>
              <w:rPr>
                <w:rFonts w:eastAsia="Calibri"/>
                <w:sz w:val="20"/>
                <w:lang w:val="fr-CA"/>
              </w:rPr>
            </w:pPr>
            <w:r w:rsidRPr="007931F0">
              <w:rPr>
                <w:rFonts w:eastAsia="Calibri"/>
                <w:sz w:val="20"/>
                <w:lang w:val="fr-CA"/>
              </w:rPr>
              <w:t xml:space="preserve">Indalex Limited, et des sociétés affiliées (collectivement appelées « Indalex »), ont obtenu la </w:t>
            </w:r>
            <w:r w:rsidRPr="007931F0">
              <w:rPr>
                <w:rFonts w:eastAsia="Calibri"/>
                <w:sz w:val="20"/>
                <w:lang w:val="fr-FR"/>
              </w:rPr>
              <w:t xml:space="preserve">protection sous le régime de la </w:t>
            </w:r>
            <w:r w:rsidRPr="007931F0">
              <w:rPr>
                <w:rFonts w:eastAsia="Calibri"/>
                <w:i/>
                <w:sz w:val="20"/>
                <w:lang w:val="fr-FR"/>
              </w:rPr>
              <w:t>Loi sur les arrangements avec les créanciers des compagnies</w:t>
            </w:r>
            <w:r w:rsidRPr="007931F0">
              <w:rPr>
                <w:rFonts w:eastAsia="Calibri"/>
                <w:sz w:val="20"/>
                <w:lang w:val="fr-CA"/>
              </w:rPr>
              <w:t>, L.R.C. 1985, ch. C-36 (la « </w:t>
            </w:r>
            <w:r w:rsidRPr="007931F0">
              <w:rPr>
                <w:rFonts w:eastAsia="Calibri"/>
                <w:i/>
                <w:sz w:val="20"/>
                <w:lang w:val="fr-CA"/>
              </w:rPr>
              <w:t>LACC</w:t>
            </w:r>
            <w:r w:rsidRPr="007931F0">
              <w:rPr>
                <w:rFonts w:eastAsia="Calibri"/>
                <w:sz w:val="20"/>
                <w:lang w:val="fr-CA"/>
              </w:rPr>
              <w:t xml:space="preserve"> »).  À l’époque, les deux régimes de retraite de cette société étaient sous-capitalisés et l’un d’eux était en cours de liquidation.  Le tribunal a approuvé la vente des actifs d’Indalex </w:t>
            </w:r>
            <w:r w:rsidRPr="007931F0">
              <w:rPr>
                <w:rFonts w:eastAsia="Calibri"/>
                <w:sz w:val="20"/>
                <w:lang w:val="fr-FR"/>
              </w:rPr>
              <w:t>dans une perspective de continuité de l'exploitation</w:t>
            </w:r>
            <w:r w:rsidRPr="007931F0">
              <w:rPr>
                <w:rFonts w:eastAsia="Calibri"/>
                <w:sz w:val="20"/>
                <w:lang w:val="fr-CA"/>
              </w:rPr>
              <w:t xml:space="preserve"> ainsi que le remboursement d’une charge superprioritaire aux prêteurs du débiteur-exploitant.  Les </w:t>
            </w:r>
            <w:r w:rsidRPr="007931F0">
              <w:rPr>
                <w:rFonts w:eastAsia="Calibri"/>
                <w:sz w:val="20"/>
                <w:lang w:val="fr-FR"/>
              </w:rPr>
              <w:t>Métallurgistes unis (les « MU »)</w:t>
            </w:r>
            <w:r w:rsidRPr="007931F0">
              <w:rPr>
                <w:rFonts w:eastAsia="Calibri"/>
                <w:sz w:val="20"/>
                <w:lang w:val="fr-CA"/>
              </w:rPr>
              <w:t xml:space="preserve">, à titre d’agent négociateur de 7 des 169 participants de l’un des régimes de retraite, et les représentants des anciens cadres d’Indalex (les « retraités ») </w:t>
            </w:r>
            <w:r w:rsidRPr="007931F0">
              <w:rPr>
                <w:rFonts w:eastAsia="Calibri"/>
                <w:sz w:val="20"/>
                <w:lang w:val="fr-FR"/>
              </w:rPr>
              <w:t>ont contesté la distribution du produit de la vente</w:t>
            </w:r>
            <w:r w:rsidRPr="007931F0">
              <w:rPr>
                <w:rFonts w:eastAsia="Calibri"/>
                <w:sz w:val="20"/>
                <w:lang w:val="fr-CA"/>
              </w:rPr>
              <w:t xml:space="preserve">.  </w:t>
            </w:r>
            <w:r w:rsidRPr="007931F0">
              <w:rPr>
                <w:rFonts w:eastAsia="Calibri"/>
                <w:sz w:val="20"/>
                <w:lang w:val="fr-FR"/>
              </w:rPr>
              <w:t xml:space="preserve">Ils ont présenté des motions en vue d’obtenir un jugement déclarant qu’il existait des fiducies présumées en faveur des bénéficiaires du régime de retraite dans la mesure de l’insuffisance de l’actif du régime et en vue d’obtenir des ordonnances de mainlevée et de paiement de ces montants.  </w:t>
            </w:r>
            <w:r w:rsidRPr="007931F0">
              <w:rPr>
                <w:rFonts w:eastAsia="Calibri"/>
                <w:sz w:val="20"/>
                <w:lang w:val="fr-CA"/>
              </w:rPr>
              <w:t xml:space="preserve">Indalex a présenté une motion pour lever le sursis prononcé en vertu de la </w:t>
            </w:r>
            <w:r w:rsidRPr="007931F0">
              <w:rPr>
                <w:rFonts w:eastAsia="Calibri"/>
                <w:i/>
                <w:iCs/>
                <w:sz w:val="20"/>
                <w:lang w:val="fr-CA"/>
              </w:rPr>
              <w:t>LACC</w:t>
            </w:r>
            <w:r w:rsidRPr="007931F0">
              <w:rPr>
                <w:rFonts w:eastAsia="Calibri"/>
                <w:sz w:val="20"/>
                <w:lang w:val="fr-CA"/>
              </w:rPr>
              <w:t xml:space="preserve"> et pour faire cession de faillite.</w:t>
            </w:r>
          </w:p>
          <w:p w:rsidR="00796AC2" w:rsidRPr="007931F0" w:rsidRDefault="00796AC2" w:rsidP="00796AC2">
            <w:pPr>
              <w:jc w:val="both"/>
              <w:rPr>
                <w:rFonts w:eastAsia="Calibri"/>
                <w:sz w:val="20"/>
                <w:lang w:val="fr-CA"/>
              </w:rPr>
            </w:pPr>
          </w:p>
          <w:p w:rsidR="00796AC2" w:rsidRPr="007931F0" w:rsidRDefault="00796AC2" w:rsidP="00796AC2">
            <w:pPr>
              <w:jc w:val="both"/>
              <w:rPr>
                <w:rFonts w:eastAsia="Calibri"/>
                <w:sz w:val="20"/>
                <w:lang w:val="fr-CA"/>
              </w:rPr>
            </w:pPr>
            <w:r w:rsidRPr="007931F0">
              <w:rPr>
                <w:rFonts w:eastAsia="Calibri"/>
                <w:sz w:val="20"/>
                <w:lang w:val="fr-FR"/>
              </w:rPr>
              <w:t>La Cour supérieure de justice de l’Ontario a rejeté les motions des MU, des retraités et d’</w:t>
            </w:r>
            <w:r w:rsidRPr="007931F0">
              <w:rPr>
                <w:rFonts w:eastAsia="Calibri"/>
                <w:sz w:val="20"/>
                <w:lang w:val="fr-CA"/>
              </w:rPr>
              <w:t xml:space="preserve">Indalex.  </w:t>
            </w:r>
            <w:r w:rsidRPr="007931F0">
              <w:rPr>
                <w:rFonts w:eastAsia="Calibri"/>
                <w:sz w:val="20"/>
                <w:lang w:val="fr-FR"/>
              </w:rPr>
              <w:t xml:space="preserve">La Cour d’appel de l’Ontario a accueilli l’appel. </w:t>
            </w:r>
            <w:r w:rsidRPr="007931F0">
              <w:rPr>
                <w:rFonts w:eastAsia="Calibri"/>
                <w:sz w:val="20"/>
                <w:lang w:val="fr-CA"/>
              </w:rPr>
              <w:t xml:space="preserve"> </w:t>
            </w:r>
            <w:r w:rsidRPr="007931F0">
              <w:rPr>
                <w:rFonts w:eastAsia="Calibri"/>
                <w:sz w:val="20"/>
                <w:lang w:val="fr-FR"/>
              </w:rPr>
              <w:t>La Cour a déclaré qu’il y avait une fiducie présumée en faveur d’un des régimes de retraite et qu’il y avait eu des violations d’obligations fiduciaires de common law et prévues par la loi qui ont donné lieu à une fiducie constructoire en faveur de l’autre régime de retraite</w:t>
            </w:r>
            <w:r w:rsidRPr="007931F0">
              <w:rPr>
                <w:rFonts w:eastAsia="Calibri"/>
                <w:sz w:val="20"/>
                <w:lang w:val="fr-CA"/>
              </w:rPr>
              <w:t xml:space="preserve">.  La Cour a déclaré que les régimes avaient priorité et que les insuffisances de l’actif devaient être comblées à partir du fonds de réserve.  Dans une approbation des dépens distincte, le tribunal d’appel a approuvé une entente entre les retraités, Morneau Sobeco Limited Partnership (maintenant Morneau Shepell Ltd.), l’administrateur du régime, et le </w:t>
            </w:r>
            <w:r w:rsidRPr="007931F0">
              <w:rPr>
                <w:rFonts w:eastAsia="Calibri"/>
                <w:sz w:val="20"/>
                <w:lang w:val="fr-FR"/>
              </w:rPr>
              <w:t>Surintendant des services financiers</w:t>
            </w:r>
            <w:r w:rsidRPr="007931F0">
              <w:rPr>
                <w:rFonts w:eastAsia="Calibri"/>
                <w:sz w:val="20"/>
                <w:lang w:val="fr-CA"/>
              </w:rPr>
              <w:t xml:space="preserve"> de l’Ontario et a notamment ordonné que : i) les honoraires d’avocat et les débours engagés par les retraités soient payés au complet à même la partie du fonds de retraite imputable aux prestations de retraite accumulées des 14 retraités (qui n’est pas supportée par les trois participants au régime qui n’étaient pas défendeurs); i) les dépens adjugés aux retraités seront versés au fonds et répartis entre les 14 retraités relativement à leur droit à pension.  La Cour d’appel a refusé de rendre une ordonnance semblable relativement aux dépens engagés par les MU car elle a conclu que le syndicat se trouvait dans une situation nettement différente.  La Cour a souligné que les bénéficiaires non syndiqués de ce régime n’avaient pas donné leur consentement quant à l’entente, que les MU n’étaient pas bénéficiaires et que le fonds était sous-capitalisé.  Les MU ont demandé l’autorisation d’interjeter appel relativement à ce volet de l’approbation des dépens.</w:t>
            </w:r>
          </w:p>
          <w:p w:rsidR="00796AC2" w:rsidRPr="007931F0" w:rsidRDefault="00796AC2" w:rsidP="00796AC2">
            <w:pPr>
              <w:jc w:val="both"/>
              <w:rPr>
                <w:rFonts w:eastAsia="Calibri"/>
                <w:sz w:val="20"/>
                <w:lang w:val="fr-CA"/>
              </w:rPr>
            </w:pPr>
          </w:p>
        </w:tc>
      </w:tr>
      <w:tr w:rsidR="00796AC2" w:rsidRPr="00A6632B" w:rsidTr="00796AC2">
        <w:tc>
          <w:tcPr>
            <w:tcW w:w="2427" w:type="pct"/>
          </w:tcPr>
          <w:p w:rsidR="00796AC2" w:rsidRPr="007931F0" w:rsidRDefault="00796AC2" w:rsidP="00796AC2">
            <w:pPr>
              <w:jc w:val="both"/>
              <w:rPr>
                <w:rFonts w:eastAsia="Calibri"/>
                <w:sz w:val="20"/>
                <w:lang w:val="fr-CA"/>
              </w:rPr>
            </w:pPr>
            <w:r w:rsidRPr="007931F0">
              <w:rPr>
                <w:rFonts w:eastAsia="Calibri"/>
                <w:sz w:val="20"/>
                <w:lang w:val="fr-CA"/>
              </w:rPr>
              <w:t>18 février 2010</w:t>
            </w:r>
          </w:p>
          <w:p w:rsidR="00796AC2" w:rsidRPr="007931F0" w:rsidRDefault="00796AC2" w:rsidP="00796AC2">
            <w:pPr>
              <w:jc w:val="both"/>
              <w:rPr>
                <w:rFonts w:eastAsia="Calibri"/>
                <w:sz w:val="20"/>
                <w:lang w:val="fr-CA"/>
              </w:rPr>
            </w:pPr>
            <w:r w:rsidRPr="007931F0">
              <w:rPr>
                <w:rFonts w:eastAsia="Calibri"/>
                <w:sz w:val="20"/>
                <w:lang w:val="fr-CA"/>
              </w:rPr>
              <w:t>Cour supérieure de justice de l’Ontario</w:t>
            </w:r>
          </w:p>
          <w:p w:rsidR="00796AC2" w:rsidRPr="007931F0" w:rsidRDefault="00796AC2" w:rsidP="00796AC2">
            <w:pPr>
              <w:jc w:val="both"/>
              <w:rPr>
                <w:rFonts w:eastAsia="Calibri"/>
                <w:sz w:val="20"/>
                <w:lang w:val="fr-CA"/>
              </w:rPr>
            </w:pPr>
            <w:r w:rsidRPr="007931F0">
              <w:rPr>
                <w:rFonts w:eastAsia="Calibri"/>
                <w:sz w:val="20"/>
                <w:lang w:val="fr-CA"/>
              </w:rPr>
              <w:t>(Juge Campbell)</w:t>
            </w:r>
          </w:p>
          <w:p w:rsidR="00796AC2" w:rsidRPr="007931F0" w:rsidRDefault="00796AC2" w:rsidP="00796AC2">
            <w:pPr>
              <w:jc w:val="both"/>
              <w:rPr>
                <w:rFonts w:eastAsia="Calibri"/>
                <w:sz w:val="20"/>
                <w:lang w:val="fr-CA"/>
              </w:rPr>
            </w:pPr>
            <w:r w:rsidRPr="007931F0">
              <w:rPr>
                <w:rFonts w:eastAsia="Calibri"/>
                <w:sz w:val="20"/>
                <w:lang w:val="fr-CA"/>
              </w:rPr>
              <w:t>2010 ONSC 1114</w:t>
            </w:r>
          </w:p>
          <w:p w:rsidR="00796AC2" w:rsidRPr="007931F0" w:rsidRDefault="00796AC2" w:rsidP="00796AC2">
            <w:pPr>
              <w:jc w:val="both"/>
              <w:rPr>
                <w:rFonts w:eastAsia="Calibri"/>
                <w:sz w:val="20"/>
                <w:lang w:val="fr-CA"/>
              </w:rPr>
            </w:pPr>
          </w:p>
        </w:tc>
        <w:tc>
          <w:tcPr>
            <w:tcW w:w="243" w:type="pct"/>
          </w:tcPr>
          <w:p w:rsidR="00796AC2" w:rsidRPr="007931F0" w:rsidRDefault="00796AC2" w:rsidP="00796AC2">
            <w:pPr>
              <w:jc w:val="both"/>
              <w:rPr>
                <w:rFonts w:eastAsia="Calibri"/>
                <w:sz w:val="20"/>
                <w:lang w:val="fr-CA"/>
              </w:rPr>
            </w:pPr>
          </w:p>
        </w:tc>
        <w:tc>
          <w:tcPr>
            <w:tcW w:w="2330" w:type="pct"/>
          </w:tcPr>
          <w:p w:rsidR="00796AC2" w:rsidRPr="007931F0" w:rsidRDefault="00796AC2" w:rsidP="00796AC2">
            <w:pPr>
              <w:jc w:val="both"/>
              <w:rPr>
                <w:rFonts w:eastAsia="Calibri"/>
                <w:sz w:val="20"/>
                <w:lang w:val="fr-CA"/>
              </w:rPr>
            </w:pPr>
            <w:r w:rsidRPr="007931F0">
              <w:rPr>
                <w:rFonts w:eastAsia="Calibri"/>
                <w:sz w:val="20"/>
                <w:lang w:val="fr-CA"/>
              </w:rPr>
              <w:t>Motions en vue d’obtenir un jugement déclarant l’existence d’une fiducie présumée et une ordonnance pour que les insuffisances de l’actif soient comblées à partir du fonds de réserve, rejetées; motion en suspension du sursis et en cession de faillite, rejetée</w:t>
            </w:r>
          </w:p>
          <w:p w:rsidR="00796AC2" w:rsidRPr="007931F0" w:rsidRDefault="00796AC2" w:rsidP="00796AC2">
            <w:pPr>
              <w:jc w:val="both"/>
              <w:rPr>
                <w:rFonts w:eastAsia="Calibri"/>
                <w:sz w:val="20"/>
                <w:lang w:val="fr-CA"/>
              </w:rPr>
            </w:pPr>
          </w:p>
        </w:tc>
      </w:tr>
      <w:tr w:rsidR="00796AC2" w:rsidRPr="00A6632B" w:rsidTr="00F95CC5">
        <w:trPr>
          <w:cantSplit/>
        </w:trPr>
        <w:tc>
          <w:tcPr>
            <w:tcW w:w="2427" w:type="pct"/>
          </w:tcPr>
          <w:p w:rsidR="00796AC2" w:rsidRPr="007931F0" w:rsidRDefault="00796AC2" w:rsidP="00796AC2">
            <w:pPr>
              <w:jc w:val="both"/>
              <w:rPr>
                <w:rFonts w:eastAsia="Calibri"/>
                <w:sz w:val="20"/>
                <w:lang w:val="fr-CA"/>
              </w:rPr>
            </w:pPr>
            <w:r w:rsidRPr="007931F0">
              <w:rPr>
                <w:rFonts w:eastAsia="Calibri"/>
                <w:sz w:val="20"/>
                <w:lang w:val="fr-CA"/>
              </w:rPr>
              <w:lastRenderedPageBreak/>
              <w:t>7 avril 2011</w:t>
            </w:r>
          </w:p>
          <w:p w:rsidR="00796AC2" w:rsidRPr="007931F0" w:rsidRDefault="00796AC2" w:rsidP="00796AC2">
            <w:pPr>
              <w:jc w:val="both"/>
              <w:rPr>
                <w:rFonts w:eastAsia="Calibri"/>
                <w:sz w:val="20"/>
                <w:lang w:val="fr-CA"/>
              </w:rPr>
            </w:pPr>
            <w:r w:rsidRPr="007931F0">
              <w:rPr>
                <w:rFonts w:eastAsia="Calibri"/>
                <w:sz w:val="20"/>
                <w:lang w:val="fr-CA"/>
              </w:rPr>
              <w:t>Cour d’appel de l’Ontario</w:t>
            </w:r>
          </w:p>
          <w:p w:rsidR="00796AC2" w:rsidRPr="007931F0" w:rsidRDefault="00796AC2" w:rsidP="00796AC2">
            <w:pPr>
              <w:jc w:val="both"/>
              <w:rPr>
                <w:rFonts w:eastAsia="Calibri"/>
                <w:sz w:val="20"/>
                <w:lang w:val="fr-CA"/>
              </w:rPr>
            </w:pPr>
            <w:r w:rsidRPr="007931F0">
              <w:rPr>
                <w:rFonts w:eastAsia="Calibri"/>
                <w:sz w:val="20"/>
                <w:lang w:val="fr-CA"/>
              </w:rPr>
              <w:t>(Juges MacPherson, Gillese et Juriansz)</w:t>
            </w:r>
          </w:p>
          <w:p w:rsidR="00796AC2" w:rsidRPr="007931F0" w:rsidRDefault="00796AC2" w:rsidP="00796AC2">
            <w:pPr>
              <w:jc w:val="both"/>
              <w:rPr>
                <w:rFonts w:eastAsia="Calibri"/>
                <w:sz w:val="20"/>
                <w:lang w:val="fr-CA"/>
              </w:rPr>
            </w:pPr>
            <w:r w:rsidRPr="007931F0">
              <w:rPr>
                <w:rFonts w:eastAsia="Calibri"/>
                <w:sz w:val="20"/>
                <w:lang w:val="fr-CA"/>
              </w:rPr>
              <w:t>2011 ONCA 265; C52187 et C52346</w:t>
            </w:r>
          </w:p>
        </w:tc>
        <w:tc>
          <w:tcPr>
            <w:tcW w:w="243" w:type="pct"/>
          </w:tcPr>
          <w:p w:rsidR="00796AC2" w:rsidRPr="007931F0" w:rsidRDefault="00796AC2" w:rsidP="00796AC2">
            <w:pPr>
              <w:jc w:val="both"/>
              <w:rPr>
                <w:rFonts w:eastAsia="Calibri"/>
                <w:sz w:val="20"/>
                <w:lang w:val="fr-CA"/>
              </w:rPr>
            </w:pPr>
          </w:p>
        </w:tc>
        <w:tc>
          <w:tcPr>
            <w:tcW w:w="2330" w:type="pct"/>
          </w:tcPr>
          <w:p w:rsidR="00796AC2" w:rsidRPr="007931F0" w:rsidRDefault="00796AC2" w:rsidP="00796AC2">
            <w:pPr>
              <w:jc w:val="both"/>
              <w:rPr>
                <w:rFonts w:eastAsia="Calibri"/>
                <w:sz w:val="20"/>
                <w:lang w:val="fr-CA"/>
              </w:rPr>
            </w:pPr>
            <w:r w:rsidRPr="007931F0">
              <w:rPr>
                <w:rFonts w:eastAsia="Calibri"/>
                <w:sz w:val="20"/>
                <w:lang w:val="fr-CA"/>
              </w:rPr>
              <w:t>Appel accueilli; jugement déclaratoire de fiducie présumée, de fiducie constructoire, de violations d’obligations fiduciaires de common law et en vertu de la loi, priorité des régimes; ordonnance pour que les insuffisances de l’actif soient comblées à même le fonds</w:t>
            </w:r>
          </w:p>
          <w:p w:rsidR="00796AC2" w:rsidRPr="007931F0" w:rsidRDefault="00796AC2" w:rsidP="00796AC2">
            <w:pPr>
              <w:jc w:val="both"/>
              <w:rPr>
                <w:rFonts w:eastAsia="Calibri"/>
                <w:sz w:val="20"/>
                <w:lang w:val="fr-CA"/>
              </w:rPr>
            </w:pPr>
          </w:p>
        </w:tc>
      </w:tr>
      <w:tr w:rsidR="00796AC2" w:rsidRPr="00A6632B" w:rsidTr="00F95CC5">
        <w:trPr>
          <w:cantSplit/>
        </w:trPr>
        <w:tc>
          <w:tcPr>
            <w:tcW w:w="2427" w:type="pct"/>
          </w:tcPr>
          <w:p w:rsidR="00796AC2" w:rsidRPr="007931F0" w:rsidRDefault="00796AC2" w:rsidP="00796AC2">
            <w:pPr>
              <w:jc w:val="both"/>
              <w:rPr>
                <w:rFonts w:eastAsia="Calibri"/>
                <w:sz w:val="20"/>
                <w:lang w:val="fr-CA"/>
              </w:rPr>
            </w:pPr>
            <w:r w:rsidRPr="007931F0">
              <w:rPr>
                <w:rFonts w:eastAsia="Calibri"/>
                <w:sz w:val="20"/>
                <w:lang w:val="fr-CA"/>
              </w:rPr>
              <w:t>7 septembre 2011</w:t>
            </w:r>
          </w:p>
          <w:p w:rsidR="00796AC2" w:rsidRPr="007931F0" w:rsidRDefault="00796AC2" w:rsidP="00796AC2">
            <w:pPr>
              <w:jc w:val="both"/>
              <w:rPr>
                <w:rFonts w:eastAsia="Calibri"/>
                <w:sz w:val="20"/>
                <w:lang w:val="fr-CA"/>
              </w:rPr>
            </w:pPr>
            <w:r w:rsidRPr="007931F0">
              <w:rPr>
                <w:rFonts w:eastAsia="Calibri"/>
                <w:sz w:val="20"/>
                <w:lang w:val="fr-CA"/>
              </w:rPr>
              <w:t>Cour d’appel de l’Ontario</w:t>
            </w:r>
          </w:p>
          <w:p w:rsidR="00796AC2" w:rsidRPr="007931F0" w:rsidRDefault="00796AC2" w:rsidP="00796AC2">
            <w:pPr>
              <w:jc w:val="both"/>
              <w:rPr>
                <w:rFonts w:eastAsia="Calibri"/>
                <w:sz w:val="20"/>
                <w:lang w:val="fr-CA"/>
              </w:rPr>
            </w:pPr>
            <w:r w:rsidRPr="007931F0">
              <w:rPr>
                <w:rFonts w:eastAsia="Calibri"/>
                <w:sz w:val="20"/>
                <w:lang w:val="fr-CA"/>
              </w:rPr>
              <w:t>(</w:t>
            </w:r>
            <w:r w:rsidRPr="007931F0">
              <w:rPr>
                <w:rFonts w:eastAsia="Calibri"/>
                <w:sz w:val="20"/>
                <w:lang w:val="fr-FR"/>
              </w:rPr>
              <w:t>Juges MacPherson</w:t>
            </w:r>
            <w:r w:rsidRPr="007931F0">
              <w:rPr>
                <w:rFonts w:eastAsia="Calibri"/>
                <w:sz w:val="20"/>
                <w:lang w:val="fr-CA"/>
              </w:rPr>
              <w:t>, Gillese et Juriansz)</w:t>
            </w:r>
          </w:p>
          <w:p w:rsidR="00796AC2" w:rsidRPr="007931F0" w:rsidRDefault="00796AC2" w:rsidP="00796AC2">
            <w:pPr>
              <w:jc w:val="both"/>
              <w:rPr>
                <w:rFonts w:eastAsia="Calibri"/>
                <w:sz w:val="20"/>
                <w:lang w:val="fr-CA"/>
              </w:rPr>
            </w:pPr>
            <w:r w:rsidRPr="007931F0">
              <w:rPr>
                <w:rFonts w:eastAsia="Calibri"/>
                <w:sz w:val="20"/>
                <w:lang w:val="fr-CA"/>
              </w:rPr>
              <w:t>2011 ONCA 578; C52187 et C52346</w:t>
            </w:r>
          </w:p>
        </w:tc>
        <w:tc>
          <w:tcPr>
            <w:tcW w:w="243" w:type="pct"/>
          </w:tcPr>
          <w:p w:rsidR="00796AC2" w:rsidRPr="007931F0" w:rsidRDefault="00796AC2" w:rsidP="00796AC2">
            <w:pPr>
              <w:jc w:val="both"/>
              <w:rPr>
                <w:rFonts w:eastAsia="Calibri"/>
                <w:sz w:val="20"/>
                <w:lang w:val="fr-CA"/>
              </w:rPr>
            </w:pPr>
          </w:p>
        </w:tc>
        <w:tc>
          <w:tcPr>
            <w:tcW w:w="2330" w:type="pct"/>
          </w:tcPr>
          <w:p w:rsidR="00796AC2" w:rsidRPr="007931F0" w:rsidRDefault="00796AC2" w:rsidP="00796AC2">
            <w:pPr>
              <w:jc w:val="both"/>
              <w:rPr>
                <w:rFonts w:eastAsia="Calibri"/>
                <w:sz w:val="20"/>
                <w:lang w:val="fr-CA"/>
              </w:rPr>
            </w:pPr>
            <w:r w:rsidRPr="007931F0">
              <w:rPr>
                <w:rFonts w:eastAsia="Calibri"/>
                <w:sz w:val="20"/>
                <w:lang w:val="fr-CA"/>
              </w:rPr>
              <w:t>L’approbation des dépens prévoit, notamment, le paiement intégral, à même la partie du fonds de retraite qui revient aux retraités, des honoraires d’avocat et des débours engagés par les retraités; demande d’ordonnance semblable présentée par les MU, rejetée</w:t>
            </w:r>
          </w:p>
          <w:p w:rsidR="00796AC2" w:rsidRPr="007931F0" w:rsidRDefault="00796AC2" w:rsidP="00796AC2">
            <w:pPr>
              <w:jc w:val="both"/>
              <w:rPr>
                <w:rFonts w:eastAsia="Calibri"/>
                <w:sz w:val="20"/>
                <w:lang w:val="fr-CA"/>
              </w:rPr>
            </w:pPr>
          </w:p>
        </w:tc>
      </w:tr>
      <w:tr w:rsidR="00796AC2" w:rsidRPr="00A6632B" w:rsidTr="00F95CC5">
        <w:trPr>
          <w:cantSplit/>
        </w:trPr>
        <w:tc>
          <w:tcPr>
            <w:tcW w:w="2427" w:type="pct"/>
          </w:tcPr>
          <w:p w:rsidR="00796AC2" w:rsidRPr="007931F0" w:rsidRDefault="00796AC2" w:rsidP="00796AC2">
            <w:pPr>
              <w:jc w:val="both"/>
              <w:rPr>
                <w:rFonts w:eastAsia="Calibri"/>
                <w:sz w:val="20"/>
                <w:lang w:val="fr-CA"/>
              </w:rPr>
            </w:pPr>
            <w:r w:rsidRPr="007931F0">
              <w:rPr>
                <w:rFonts w:eastAsia="Calibri"/>
                <w:sz w:val="20"/>
                <w:lang w:val="fr-CA"/>
              </w:rPr>
              <w:t>6 juin 2011</w:t>
            </w:r>
          </w:p>
          <w:p w:rsidR="00796AC2" w:rsidRPr="007931F0" w:rsidRDefault="00796AC2" w:rsidP="00796AC2">
            <w:pPr>
              <w:jc w:val="both"/>
              <w:rPr>
                <w:rFonts w:eastAsia="Calibri"/>
                <w:sz w:val="20"/>
                <w:lang w:val="fr-CA"/>
              </w:rPr>
            </w:pPr>
            <w:r w:rsidRPr="007931F0">
              <w:rPr>
                <w:rFonts w:eastAsia="Calibri"/>
                <w:sz w:val="20"/>
                <w:lang w:val="fr-CA"/>
              </w:rPr>
              <w:t>Cour suprême du Canada</w:t>
            </w:r>
          </w:p>
          <w:p w:rsidR="00796AC2" w:rsidRPr="007931F0" w:rsidRDefault="00796AC2" w:rsidP="00796AC2">
            <w:pPr>
              <w:jc w:val="both"/>
              <w:rPr>
                <w:rFonts w:eastAsia="Calibri"/>
                <w:sz w:val="20"/>
                <w:lang w:val="fr-CA"/>
              </w:rPr>
            </w:pPr>
          </w:p>
        </w:tc>
        <w:tc>
          <w:tcPr>
            <w:tcW w:w="243" w:type="pct"/>
          </w:tcPr>
          <w:p w:rsidR="00796AC2" w:rsidRPr="007931F0" w:rsidRDefault="00796AC2" w:rsidP="00796AC2">
            <w:pPr>
              <w:jc w:val="both"/>
              <w:rPr>
                <w:rFonts w:eastAsia="Calibri"/>
                <w:sz w:val="20"/>
                <w:lang w:val="fr-CA"/>
              </w:rPr>
            </w:pPr>
          </w:p>
        </w:tc>
        <w:tc>
          <w:tcPr>
            <w:tcW w:w="2330" w:type="pct"/>
          </w:tcPr>
          <w:p w:rsidR="00796AC2" w:rsidRPr="007931F0" w:rsidRDefault="00796AC2" w:rsidP="00796AC2">
            <w:pPr>
              <w:jc w:val="both"/>
              <w:rPr>
                <w:rFonts w:eastAsia="Calibri"/>
                <w:sz w:val="20"/>
                <w:lang w:val="fr-CA"/>
              </w:rPr>
            </w:pPr>
            <w:r w:rsidRPr="007931F0">
              <w:rPr>
                <w:rFonts w:eastAsia="Calibri"/>
                <w:color w:val="3A3A3A"/>
                <w:sz w:val="20"/>
                <w:lang w:val="fr-FR"/>
              </w:rPr>
              <w:t>Demandes distinctes d’autorisation d’appel déposées par Sun Indalex Finance LLC, George L. Miller et FTI Consulting Canada ULC</w:t>
            </w:r>
            <w:r w:rsidRPr="007931F0">
              <w:rPr>
                <w:rFonts w:eastAsia="Calibri"/>
                <w:sz w:val="20"/>
                <w:lang w:val="fr-CA"/>
              </w:rPr>
              <w:t xml:space="preserve"> </w:t>
            </w:r>
          </w:p>
          <w:p w:rsidR="00796AC2" w:rsidRPr="007931F0" w:rsidRDefault="00796AC2" w:rsidP="00796AC2">
            <w:pPr>
              <w:jc w:val="both"/>
              <w:rPr>
                <w:rFonts w:eastAsia="Calibri"/>
                <w:sz w:val="20"/>
                <w:lang w:val="fr-CA"/>
              </w:rPr>
            </w:pPr>
          </w:p>
        </w:tc>
      </w:tr>
      <w:tr w:rsidR="00796AC2" w:rsidRPr="00A6632B" w:rsidTr="00F95CC5">
        <w:trPr>
          <w:cantSplit/>
        </w:trPr>
        <w:tc>
          <w:tcPr>
            <w:tcW w:w="2427" w:type="pct"/>
          </w:tcPr>
          <w:p w:rsidR="00796AC2" w:rsidRPr="007931F0" w:rsidRDefault="00796AC2" w:rsidP="00796AC2">
            <w:pPr>
              <w:jc w:val="both"/>
              <w:rPr>
                <w:rFonts w:eastAsia="Calibri"/>
                <w:sz w:val="20"/>
                <w:lang w:val="fr-CA"/>
              </w:rPr>
            </w:pPr>
            <w:r w:rsidRPr="007931F0">
              <w:rPr>
                <w:rFonts w:eastAsia="Calibri"/>
                <w:sz w:val="20"/>
                <w:lang w:val="fr-CA"/>
              </w:rPr>
              <w:t>7 novembre 2011</w:t>
            </w:r>
          </w:p>
          <w:p w:rsidR="00796AC2" w:rsidRPr="007931F0" w:rsidRDefault="00796AC2" w:rsidP="00796AC2">
            <w:pPr>
              <w:jc w:val="both"/>
              <w:rPr>
                <w:rFonts w:eastAsia="Calibri"/>
                <w:sz w:val="20"/>
                <w:lang w:val="fr-CA"/>
              </w:rPr>
            </w:pPr>
            <w:r w:rsidRPr="007931F0">
              <w:rPr>
                <w:rFonts w:eastAsia="Calibri"/>
                <w:sz w:val="20"/>
                <w:lang w:val="fr-CA"/>
              </w:rPr>
              <w:t>Cour suprême du Canada</w:t>
            </w:r>
          </w:p>
          <w:p w:rsidR="00796AC2" w:rsidRPr="007931F0" w:rsidRDefault="00796AC2" w:rsidP="00796AC2">
            <w:pPr>
              <w:jc w:val="both"/>
              <w:rPr>
                <w:rFonts w:eastAsia="Calibri"/>
                <w:sz w:val="20"/>
                <w:lang w:val="fr-CA"/>
              </w:rPr>
            </w:pPr>
          </w:p>
        </w:tc>
        <w:tc>
          <w:tcPr>
            <w:tcW w:w="243" w:type="pct"/>
          </w:tcPr>
          <w:p w:rsidR="00796AC2" w:rsidRPr="007931F0" w:rsidRDefault="00796AC2" w:rsidP="00796AC2">
            <w:pPr>
              <w:jc w:val="both"/>
              <w:rPr>
                <w:rFonts w:eastAsia="Calibri"/>
                <w:sz w:val="20"/>
                <w:lang w:val="fr-CA"/>
              </w:rPr>
            </w:pPr>
          </w:p>
        </w:tc>
        <w:tc>
          <w:tcPr>
            <w:tcW w:w="2330" w:type="pct"/>
          </w:tcPr>
          <w:p w:rsidR="00796AC2" w:rsidRPr="007931F0" w:rsidRDefault="00796AC2" w:rsidP="00796AC2">
            <w:pPr>
              <w:jc w:val="both"/>
              <w:rPr>
                <w:rFonts w:eastAsia="Calibri"/>
                <w:sz w:val="20"/>
                <w:lang w:val="fr-CA"/>
              </w:rPr>
            </w:pPr>
            <w:r w:rsidRPr="007931F0">
              <w:rPr>
                <w:rFonts w:eastAsia="Calibri"/>
                <w:sz w:val="20"/>
                <w:lang w:val="fr-CA"/>
              </w:rPr>
              <w:t xml:space="preserve">Demande d’autorisation d’appel relativement à l’approbation des dépens du  7 sept. 2011 déposée par les MU </w:t>
            </w:r>
          </w:p>
        </w:tc>
      </w:tr>
    </w:tbl>
    <w:p w:rsidR="00BF1FA7" w:rsidRPr="00796AC2" w:rsidRDefault="00BF1FA7" w:rsidP="00BF1FA7">
      <w:pPr>
        <w:rPr>
          <w:sz w:val="20"/>
          <w:szCs w:val="20"/>
          <w:lang w:val="fr-CA"/>
        </w:rPr>
      </w:pPr>
    </w:p>
    <w:p w:rsidR="00BF1FA7" w:rsidRDefault="00BF59B3" w:rsidP="00BF1FA7">
      <w:pPr>
        <w:rPr>
          <w:sz w:val="20"/>
          <w:szCs w:val="20"/>
        </w:rPr>
      </w:pPr>
      <w:r w:rsidRPr="00BF59B3">
        <w:rPr>
          <w:sz w:val="20"/>
          <w:szCs w:val="20"/>
          <w:lang w:val="fr-CA"/>
        </w:rPr>
        <w:pict>
          <v:rect id="_x0000_i1041" style="width:2in;height:1pt" o:hrpct="0" o:hralign="center" o:hrstd="t" o:hrnoshade="t" o:hr="t" fillcolor="black [3213]" stroked="f"/>
        </w:pict>
      </w:r>
    </w:p>
    <w:p w:rsidR="00BF1FA7" w:rsidRDefault="00BF1FA7" w:rsidP="00BF1FA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C618B" w:rsidRPr="00F863F6" w:rsidTr="007F36A7">
        <w:trPr>
          <w:cantSplit/>
        </w:trPr>
        <w:tc>
          <w:tcPr>
            <w:tcW w:w="1458" w:type="dxa"/>
          </w:tcPr>
          <w:p w:rsidR="004C618B" w:rsidRPr="00F863F6" w:rsidRDefault="004C618B" w:rsidP="007F36A7">
            <w:pPr>
              <w:rPr>
                <w:sz w:val="20"/>
                <w:szCs w:val="20"/>
              </w:rPr>
            </w:pPr>
            <w:r w:rsidRPr="00F863F6">
              <w:rPr>
                <w:rStyle w:val="SCCFileNumberChar"/>
                <w:sz w:val="20"/>
                <w:szCs w:val="20"/>
              </w:rPr>
              <w:t>34319</w:t>
            </w:r>
          </w:p>
          <w:p w:rsidR="004C618B" w:rsidRPr="00F863F6" w:rsidRDefault="004C618B" w:rsidP="007F36A7">
            <w:pPr>
              <w:rPr>
                <w:b/>
                <w:sz w:val="20"/>
                <w:szCs w:val="20"/>
                <w:lang w:val="fr-CA"/>
              </w:rPr>
            </w:pPr>
          </w:p>
        </w:tc>
        <w:tc>
          <w:tcPr>
            <w:tcW w:w="8118" w:type="dxa"/>
          </w:tcPr>
          <w:p w:rsidR="004C618B" w:rsidRPr="00F863F6" w:rsidRDefault="004C618B" w:rsidP="007F36A7">
            <w:pPr>
              <w:rPr>
                <w:sz w:val="20"/>
                <w:szCs w:val="20"/>
              </w:rPr>
            </w:pPr>
            <w:r w:rsidRPr="00F863F6">
              <w:rPr>
                <w:rStyle w:val="SCCLsocChar"/>
                <w:sz w:val="20"/>
                <w:szCs w:val="20"/>
                <w:lang w:val="en-CA"/>
              </w:rPr>
              <w:t>Jason Shand v. Her Majesty the Queen</w:t>
            </w:r>
            <w:r w:rsidRPr="00F863F6">
              <w:rPr>
                <w:sz w:val="20"/>
                <w:szCs w:val="20"/>
              </w:rPr>
              <w:t xml:space="preserve"> (Ont.) (Criminal) (By Leave)</w:t>
            </w:r>
          </w:p>
          <w:p w:rsidR="004C618B" w:rsidRPr="00F863F6" w:rsidRDefault="004C618B" w:rsidP="007F36A7">
            <w:pPr>
              <w:rPr>
                <w:sz w:val="20"/>
                <w:szCs w:val="20"/>
              </w:rPr>
            </w:pPr>
          </w:p>
        </w:tc>
      </w:tr>
      <w:tr w:rsidR="004C618B" w:rsidRPr="00F863F6" w:rsidTr="007F36A7">
        <w:trPr>
          <w:cantSplit/>
        </w:trPr>
        <w:tc>
          <w:tcPr>
            <w:tcW w:w="1458" w:type="dxa"/>
          </w:tcPr>
          <w:p w:rsidR="004C618B" w:rsidRPr="00F863F6" w:rsidRDefault="004C618B" w:rsidP="007F36A7">
            <w:pPr>
              <w:rPr>
                <w:sz w:val="20"/>
                <w:szCs w:val="20"/>
              </w:rPr>
            </w:pPr>
            <w:r w:rsidRPr="00F863F6">
              <w:rPr>
                <w:sz w:val="20"/>
                <w:szCs w:val="20"/>
              </w:rPr>
              <w:t>Coram :</w:t>
            </w:r>
          </w:p>
        </w:tc>
        <w:tc>
          <w:tcPr>
            <w:tcW w:w="8118" w:type="dxa"/>
          </w:tcPr>
          <w:p w:rsidR="004C618B" w:rsidRPr="00F863F6" w:rsidRDefault="004C618B" w:rsidP="007F36A7">
            <w:pPr>
              <w:rPr>
                <w:sz w:val="20"/>
                <w:szCs w:val="20"/>
              </w:rPr>
            </w:pPr>
            <w:r w:rsidRPr="00F863F6">
              <w:rPr>
                <w:rStyle w:val="SCCCoramChar"/>
                <w:sz w:val="20"/>
                <w:szCs w:val="20"/>
                <w:lang w:val="en-CA"/>
              </w:rPr>
              <w:t>Deschamps, Fish and Karakatsanis JJ.</w:t>
            </w:r>
          </w:p>
          <w:p w:rsidR="004C618B" w:rsidRPr="00F863F6" w:rsidRDefault="004C618B" w:rsidP="007F36A7">
            <w:pPr>
              <w:rPr>
                <w:sz w:val="20"/>
                <w:szCs w:val="20"/>
                <w:u w:val="single"/>
              </w:rPr>
            </w:pPr>
          </w:p>
        </w:tc>
      </w:tr>
      <w:tr w:rsidR="004C618B" w:rsidRPr="00A6632B" w:rsidTr="007F36A7">
        <w:trPr>
          <w:cantSplit/>
        </w:trPr>
        <w:tc>
          <w:tcPr>
            <w:tcW w:w="9576" w:type="dxa"/>
            <w:gridSpan w:val="2"/>
          </w:tcPr>
          <w:p w:rsidR="004C618B" w:rsidRPr="00F863F6" w:rsidRDefault="004C618B" w:rsidP="007F36A7">
            <w:pPr>
              <w:pStyle w:val="SCCShortJudgment"/>
              <w:rPr>
                <w:szCs w:val="20"/>
              </w:rPr>
            </w:pPr>
            <w:r w:rsidRPr="00F863F6">
              <w:rPr>
                <w:szCs w:val="20"/>
              </w:rPr>
              <w:t>The motion for an extension of time to serve and file the application for leave to appeal is granted. The application for leave to appeal from the judgment of the Court of Appeal for Ontario, Number C47483, 2011 ONCA 5, dated January 7, 2011, is dismissed without costs.</w:t>
            </w:r>
          </w:p>
          <w:p w:rsidR="004C618B" w:rsidRPr="00F863F6" w:rsidRDefault="004C618B" w:rsidP="007F36A7">
            <w:pPr>
              <w:pStyle w:val="SCCShortJudgment"/>
              <w:ind w:firstLine="0"/>
              <w:rPr>
                <w:szCs w:val="20"/>
              </w:rPr>
            </w:pPr>
          </w:p>
          <w:p w:rsidR="004C618B" w:rsidRPr="00F863F6" w:rsidRDefault="004C618B" w:rsidP="007F36A7">
            <w:pPr>
              <w:pStyle w:val="SCCShortJudgment"/>
              <w:rPr>
                <w:szCs w:val="20"/>
                <w:lang w:val="fr-CA"/>
              </w:rPr>
            </w:pPr>
            <w:r w:rsidRPr="00F863F6">
              <w:rPr>
                <w:szCs w:val="20"/>
                <w:lang w:val="fr-CA"/>
              </w:rPr>
              <w:t>La requête en prorogation du délai de signification et de dépôt de la demande d’autorisation d’appel est accueillie. La demande d’autorisation d’appel de l’arrêt de la Cour d’appel de l’Ontario, numéro C47483, 2011 ONCA 5, daté du 7 janvier 2011, est rejetée sans dépens.</w:t>
            </w:r>
          </w:p>
        </w:tc>
      </w:tr>
    </w:tbl>
    <w:p w:rsidR="00BF1FA7" w:rsidRPr="004C618B" w:rsidRDefault="00BF1FA7" w:rsidP="00BF1FA7">
      <w:pPr>
        <w:rPr>
          <w:sz w:val="20"/>
          <w:szCs w:val="20"/>
          <w:lang w:val="fr-CA"/>
        </w:rPr>
      </w:pPr>
    </w:p>
    <w:p w:rsidR="00BF1FA7" w:rsidRPr="001B157C" w:rsidRDefault="00BF1FA7" w:rsidP="00BF1FA7">
      <w:pPr>
        <w:rPr>
          <w:sz w:val="20"/>
          <w:szCs w:val="20"/>
          <w:u w:val="single"/>
        </w:rPr>
      </w:pPr>
      <w:r w:rsidRPr="001B157C">
        <w:rPr>
          <w:sz w:val="20"/>
          <w:szCs w:val="20"/>
          <w:u w:val="single"/>
        </w:rPr>
        <w:t>CASE SUMMARY</w:t>
      </w:r>
    </w:p>
    <w:p w:rsidR="00BF1FA7" w:rsidRDefault="00BF1FA7" w:rsidP="00BF1FA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96AC2" w:rsidRPr="007931F0" w:rsidTr="00796AC2">
        <w:tc>
          <w:tcPr>
            <w:tcW w:w="5000" w:type="pct"/>
            <w:gridSpan w:val="3"/>
          </w:tcPr>
          <w:p w:rsidR="00796AC2" w:rsidRPr="007931F0" w:rsidRDefault="00796AC2" w:rsidP="00796AC2">
            <w:pPr>
              <w:jc w:val="both"/>
              <w:rPr>
                <w:rFonts w:eastAsia="Calibri"/>
                <w:sz w:val="20"/>
              </w:rPr>
            </w:pPr>
            <w:r w:rsidRPr="007931F0">
              <w:rPr>
                <w:rFonts w:eastAsia="Calibri"/>
                <w:i/>
                <w:sz w:val="20"/>
              </w:rPr>
              <w:t>Charter of Rights</w:t>
            </w:r>
            <w:r w:rsidRPr="007931F0">
              <w:rPr>
                <w:rFonts w:eastAsia="Calibri"/>
                <w:sz w:val="20"/>
              </w:rPr>
              <w:t xml:space="preserve"> - Criminal law - Offences - Murder - Whether s. 229(c) of the </w:t>
            </w:r>
            <w:r w:rsidRPr="007931F0">
              <w:rPr>
                <w:rFonts w:eastAsia="Calibri"/>
                <w:i/>
                <w:sz w:val="20"/>
              </w:rPr>
              <w:t>Criminal Code</w:t>
            </w:r>
            <w:r w:rsidRPr="007931F0">
              <w:rPr>
                <w:rFonts w:eastAsia="Calibri"/>
                <w:sz w:val="20"/>
              </w:rPr>
              <w:t xml:space="preserve"> is constitutional - Whether s. 229(c) demands the necessary </w:t>
            </w:r>
            <w:r w:rsidRPr="007931F0">
              <w:rPr>
                <w:rFonts w:eastAsia="Calibri"/>
                <w:i/>
                <w:sz w:val="20"/>
              </w:rPr>
              <w:t>mens rea</w:t>
            </w:r>
            <w:r w:rsidRPr="007931F0">
              <w:rPr>
                <w:rFonts w:eastAsia="Calibri"/>
                <w:sz w:val="20"/>
              </w:rPr>
              <w:t xml:space="preserve"> to found a conviction for murder - If s. 229(c) is constitutional, whether this Court’s 1913 decision in </w:t>
            </w:r>
            <w:r w:rsidRPr="007931F0">
              <w:rPr>
                <w:rFonts w:eastAsia="Calibri"/>
                <w:i/>
                <w:sz w:val="20"/>
              </w:rPr>
              <w:t>Graves</w:t>
            </w:r>
            <w:r w:rsidRPr="007931F0">
              <w:rPr>
                <w:rFonts w:eastAsia="Calibri"/>
                <w:sz w:val="20"/>
              </w:rPr>
              <w:t xml:space="preserve"> and its progeny in the mid-1970s, interpreting the scope of s. 229(c), should be overruled - </w:t>
            </w:r>
            <w:r w:rsidRPr="007931F0">
              <w:rPr>
                <w:rFonts w:eastAsia="Calibri"/>
                <w:i/>
                <w:sz w:val="20"/>
              </w:rPr>
              <w:t>Criminal Code</w:t>
            </w:r>
            <w:r w:rsidRPr="007931F0">
              <w:rPr>
                <w:rFonts w:eastAsia="Calibri"/>
                <w:sz w:val="20"/>
              </w:rPr>
              <w:t>, R.S.C. 1985, c. C-46, s. 229(c).</w:t>
            </w:r>
          </w:p>
        </w:tc>
      </w:tr>
      <w:tr w:rsidR="00796AC2" w:rsidRPr="007931F0" w:rsidTr="00796AC2">
        <w:tc>
          <w:tcPr>
            <w:tcW w:w="5000" w:type="pct"/>
            <w:gridSpan w:val="3"/>
          </w:tcPr>
          <w:p w:rsidR="00796AC2" w:rsidRPr="007931F0" w:rsidRDefault="00796AC2" w:rsidP="00796AC2">
            <w:pPr>
              <w:jc w:val="both"/>
              <w:rPr>
                <w:rFonts w:eastAsia="Calibri"/>
                <w:sz w:val="20"/>
              </w:rPr>
            </w:pPr>
          </w:p>
        </w:tc>
      </w:tr>
      <w:tr w:rsidR="00796AC2" w:rsidRPr="007931F0" w:rsidTr="00796AC2">
        <w:tc>
          <w:tcPr>
            <w:tcW w:w="5000" w:type="pct"/>
            <w:gridSpan w:val="3"/>
          </w:tcPr>
          <w:p w:rsidR="00796AC2" w:rsidRPr="007931F0" w:rsidRDefault="00796AC2" w:rsidP="00796AC2">
            <w:pPr>
              <w:jc w:val="both"/>
              <w:rPr>
                <w:rFonts w:eastAsia="Calibri"/>
                <w:sz w:val="20"/>
              </w:rPr>
            </w:pPr>
            <w:r w:rsidRPr="007931F0">
              <w:rPr>
                <w:rFonts w:eastAsia="Calibri"/>
                <w:sz w:val="20"/>
              </w:rPr>
              <w:t>The applicant and two others went to the home of a local drug dealer with the intention of stealing marijuana. They were let into the home and then pursued a woman who had a bag of marijuana to a basement room where two men were present. The applicant produced a gun which discharged and killed one of the men. The events leading up to the shot were contested. Some witnesses testified that the applicant fired the gun, others that the gun fired when the applicant hit someone on the head with it. The robbers fled the home with the marijuana.</w:t>
            </w:r>
          </w:p>
          <w:p w:rsidR="00796AC2" w:rsidRPr="007931F0" w:rsidRDefault="00796AC2" w:rsidP="00796AC2">
            <w:pPr>
              <w:jc w:val="both"/>
              <w:rPr>
                <w:rFonts w:eastAsia="Calibri"/>
                <w:sz w:val="20"/>
              </w:rPr>
            </w:pPr>
          </w:p>
          <w:p w:rsidR="00796AC2" w:rsidRPr="007931F0" w:rsidRDefault="00796AC2" w:rsidP="00796AC2">
            <w:pPr>
              <w:jc w:val="both"/>
              <w:rPr>
                <w:rFonts w:eastAsia="Calibri"/>
                <w:sz w:val="20"/>
              </w:rPr>
            </w:pPr>
            <w:r w:rsidRPr="007931F0">
              <w:rPr>
                <w:rFonts w:eastAsia="Calibri"/>
                <w:sz w:val="20"/>
              </w:rPr>
              <w:t xml:space="preserve">At the pre-charge conference, there was discussion as to how to charge the jury with respect to murder. There was no question that the evidence justified a charge on the basis of both s. 229(a)(i) (intention to cause death) and s. 229(a)(ii) </w:t>
            </w:r>
            <w:r w:rsidRPr="007931F0">
              <w:rPr>
                <w:rFonts w:eastAsia="Calibri"/>
                <w:sz w:val="20"/>
              </w:rPr>
              <w:lastRenderedPageBreak/>
              <w:t xml:space="preserve">(intention to cause bodily harm knowing that it is likely to cause death) of the </w:t>
            </w:r>
            <w:r w:rsidRPr="007931F0">
              <w:rPr>
                <w:rFonts w:eastAsia="Calibri"/>
                <w:i/>
                <w:sz w:val="20"/>
              </w:rPr>
              <w:t>Criminal Code</w:t>
            </w:r>
            <w:r w:rsidRPr="007931F0">
              <w:rPr>
                <w:rFonts w:eastAsia="Calibri"/>
                <w:sz w:val="20"/>
              </w:rPr>
              <w:t xml:space="preserve">, as these sections came into play if the applicant intentionally discharged his gun. The Crown also sought a charge on the basis of s. 229(c), which might apply to the applicant’s claim of accident. The trial judge charged the jury on s. 229(c). At trial, the applicant was found guilty of second degree murder, robbery with a firearm, breaking and entering and unlawful possession of a loaded prohibited firearm. The applicant appealed the verdict, contesting the constitutionality of s. 229(c). The Court of Appeal dismissed the appeal, holding that s. 229(c) was constitutional and that the issue as to whether the </w:t>
            </w:r>
            <w:r w:rsidRPr="007931F0">
              <w:rPr>
                <w:rFonts w:eastAsia="Calibri"/>
                <w:i/>
                <w:sz w:val="20"/>
              </w:rPr>
              <w:t>mens rea</w:t>
            </w:r>
            <w:r w:rsidRPr="007931F0">
              <w:rPr>
                <w:rFonts w:eastAsia="Calibri"/>
                <w:sz w:val="20"/>
              </w:rPr>
              <w:t xml:space="preserve"> for murder under s. 229(c) was constitutionally sufficient had been resolved in past jurisprudence of this Court. </w:t>
            </w:r>
          </w:p>
          <w:p w:rsidR="00796AC2" w:rsidRPr="007931F0" w:rsidRDefault="00796AC2" w:rsidP="00796AC2">
            <w:pPr>
              <w:jc w:val="both"/>
              <w:rPr>
                <w:rFonts w:eastAsia="Calibri"/>
                <w:sz w:val="20"/>
              </w:rPr>
            </w:pPr>
          </w:p>
        </w:tc>
      </w:tr>
      <w:tr w:rsidR="00796AC2" w:rsidRPr="007931F0" w:rsidTr="00796AC2">
        <w:tc>
          <w:tcPr>
            <w:tcW w:w="2427" w:type="pct"/>
          </w:tcPr>
          <w:p w:rsidR="00796AC2" w:rsidRPr="007931F0" w:rsidRDefault="00796AC2" w:rsidP="00796AC2">
            <w:pPr>
              <w:jc w:val="both"/>
              <w:rPr>
                <w:rFonts w:eastAsia="Calibri"/>
                <w:sz w:val="20"/>
              </w:rPr>
            </w:pPr>
            <w:r w:rsidRPr="007931F0">
              <w:rPr>
                <w:rFonts w:eastAsia="Calibri"/>
                <w:sz w:val="20"/>
              </w:rPr>
              <w:lastRenderedPageBreak/>
              <w:t>March 22, 2007</w:t>
            </w:r>
          </w:p>
          <w:p w:rsidR="00796AC2" w:rsidRPr="007931F0" w:rsidRDefault="00796AC2" w:rsidP="00796AC2">
            <w:pPr>
              <w:jc w:val="both"/>
              <w:rPr>
                <w:rFonts w:eastAsia="Calibri"/>
                <w:sz w:val="20"/>
              </w:rPr>
            </w:pPr>
            <w:r w:rsidRPr="007931F0">
              <w:rPr>
                <w:rFonts w:eastAsia="Calibri"/>
                <w:sz w:val="20"/>
              </w:rPr>
              <w:t>Ontario Superior Court of Justice</w:t>
            </w:r>
          </w:p>
          <w:p w:rsidR="00796AC2" w:rsidRPr="007931F0" w:rsidRDefault="00796AC2" w:rsidP="00796AC2">
            <w:pPr>
              <w:jc w:val="both"/>
              <w:rPr>
                <w:rFonts w:eastAsia="Calibri"/>
                <w:sz w:val="20"/>
              </w:rPr>
            </w:pPr>
            <w:r w:rsidRPr="007931F0">
              <w:rPr>
                <w:rFonts w:eastAsia="Calibri"/>
                <w:sz w:val="20"/>
              </w:rPr>
              <w:t>(Glass J.)</w:t>
            </w:r>
          </w:p>
          <w:p w:rsidR="00796AC2" w:rsidRPr="007931F0" w:rsidRDefault="00796AC2" w:rsidP="00796AC2">
            <w:pPr>
              <w:jc w:val="both"/>
              <w:rPr>
                <w:rFonts w:eastAsia="Calibri"/>
                <w:sz w:val="20"/>
              </w:rPr>
            </w:pPr>
          </w:p>
        </w:tc>
        <w:tc>
          <w:tcPr>
            <w:tcW w:w="243" w:type="pct"/>
          </w:tcPr>
          <w:p w:rsidR="00796AC2" w:rsidRPr="007931F0" w:rsidRDefault="00796AC2" w:rsidP="00796AC2">
            <w:pPr>
              <w:jc w:val="both"/>
              <w:rPr>
                <w:rFonts w:eastAsia="Calibri"/>
                <w:sz w:val="20"/>
              </w:rPr>
            </w:pPr>
          </w:p>
        </w:tc>
        <w:tc>
          <w:tcPr>
            <w:tcW w:w="2330" w:type="pct"/>
          </w:tcPr>
          <w:p w:rsidR="00796AC2" w:rsidRPr="007931F0" w:rsidRDefault="00796AC2" w:rsidP="00796AC2">
            <w:pPr>
              <w:jc w:val="both"/>
              <w:rPr>
                <w:rFonts w:eastAsia="Calibri"/>
                <w:sz w:val="20"/>
              </w:rPr>
            </w:pPr>
            <w:r w:rsidRPr="007931F0">
              <w:rPr>
                <w:rFonts w:eastAsia="Calibri"/>
                <w:sz w:val="20"/>
              </w:rPr>
              <w:t>Verdict: guilty of second degree murder, robbery with a firearm, breaking and entering and unlawful possession of a loaded prohibited firearm</w:t>
            </w:r>
          </w:p>
          <w:p w:rsidR="00796AC2" w:rsidRPr="007931F0" w:rsidRDefault="00796AC2" w:rsidP="00796AC2">
            <w:pPr>
              <w:jc w:val="both"/>
              <w:rPr>
                <w:rFonts w:eastAsia="Calibri"/>
                <w:sz w:val="20"/>
              </w:rPr>
            </w:pPr>
          </w:p>
        </w:tc>
      </w:tr>
      <w:tr w:rsidR="00796AC2" w:rsidRPr="007931F0" w:rsidTr="00796AC2">
        <w:tc>
          <w:tcPr>
            <w:tcW w:w="2427" w:type="pct"/>
          </w:tcPr>
          <w:p w:rsidR="00796AC2" w:rsidRPr="007931F0" w:rsidRDefault="00796AC2" w:rsidP="00796AC2">
            <w:pPr>
              <w:jc w:val="both"/>
              <w:rPr>
                <w:rFonts w:eastAsia="Calibri"/>
                <w:sz w:val="20"/>
              </w:rPr>
            </w:pPr>
            <w:r w:rsidRPr="007931F0">
              <w:rPr>
                <w:rFonts w:eastAsia="Calibri"/>
                <w:sz w:val="20"/>
              </w:rPr>
              <w:t>January 7, 2011</w:t>
            </w:r>
          </w:p>
          <w:p w:rsidR="00796AC2" w:rsidRPr="007931F0" w:rsidRDefault="00796AC2" w:rsidP="00796AC2">
            <w:pPr>
              <w:jc w:val="both"/>
              <w:rPr>
                <w:rFonts w:eastAsia="Calibri"/>
                <w:sz w:val="20"/>
              </w:rPr>
            </w:pPr>
            <w:r w:rsidRPr="007931F0">
              <w:rPr>
                <w:rFonts w:eastAsia="Calibri"/>
                <w:sz w:val="20"/>
              </w:rPr>
              <w:t>Court of Appeal for Ontario</w:t>
            </w:r>
          </w:p>
          <w:p w:rsidR="00796AC2" w:rsidRPr="007931F0" w:rsidRDefault="00796AC2" w:rsidP="00796AC2">
            <w:pPr>
              <w:jc w:val="both"/>
              <w:rPr>
                <w:rFonts w:eastAsia="Calibri"/>
                <w:sz w:val="20"/>
              </w:rPr>
            </w:pPr>
            <w:r w:rsidRPr="007931F0">
              <w:rPr>
                <w:rFonts w:eastAsia="Calibri"/>
                <w:sz w:val="20"/>
              </w:rPr>
              <w:t>(Feldman, Rouleau and Watt JJ.A.)</w:t>
            </w:r>
          </w:p>
          <w:p w:rsidR="00796AC2" w:rsidRPr="007931F0" w:rsidRDefault="00796AC2" w:rsidP="00796AC2">
            <w:pPr>
              <w:jc w:val="both"/>
              <w:rPr>
                <w:rFonts w:eastAsia="Calibri"/>
                <w:sz w:val="20"/>
              </w:rPr>
            </w:pPr>
            <w:r w:rsidRPr="007931F0">
              <w:rPr>
                <w:rFonts w:eastAsia="Calibri"/>
                <w:sz w:val="20"/>
              </w:rPr>
              <w:t>2011 ONCA 5</w:t>
            </w:r>
          </w:p>
          <w:p w:rsidR="00796AC2" w:rsidRPr="007931F0" w:rsidRDefault="00796AC2" w:rsidP="00796AC2">
            <w:pPr>
              <w:jc w:val="both"/>
              <w:rPr>
                <w:rFonts w:eastAsia="Calibri"/>
                <w:sz w:val="20"/>
              </w:rPr>
            </w:pPr>
          </w:p>
        </w:tc>
        <w:tc>
          <w:tcPr>
            <w:tcW w:w="243" w:type="pct"/>
          </w:tcPr>
          <w:p w:rsidR="00796AC2" w:rsidRPr="007931F0" w:rsidRDefault="00796AC2" w:rsidP="00796AC2">
            <w:pPr>
              <w:jc w:val="both"/>
              <w:rPr>
                <w:rFonts w:eastAsia="Calibri"/>
                <w:sz w:val="20"/>
              </w:rPr>
            </w:pPr>
          </w:p>
        </w:tc>
        <w:tc>
          <w:tcPr>
            <w:tcW w:w="2330" w:type="pct"/>
          </w:tcPr>
          <w:p w:rsidR="00796AC2" w:rsidRPr="007931F0" w:rsidRDefault="00796AC2" w:rsidP="00796AC2">
            <w:pPr>
              <w:jc w:val="both"/>
              <w:rPr>
                <w:rFonts w:eastAsia="Calibri"/>
                <w:sz w:val="20"/>
              </w:rPr>
            </w:pPr>
            <w:r w:rsidRPr="007931F0">
              <w:rPr>
                <w:rFonts w:eastAsia="Calibri"/>
                <w:sz w:val="20"/>
              </w:rPr>
              <w:t>Appeal dismissed</w:t>
            </w:r>
          </w:p>
          <w:p w:rsidR="00796AC2" w:rsidRPr="007931F0" w:rsidRDefault="00796AC2" w:rsidP="00796AC2">
            <w:pPr>
              <w:jc w:val="both"/>
              <w:rPr>
                <w:rFonts w:eastAsia="Calibri"/>
                <w:sz w:val="20"/>
              </w:rPr>
            </w:pPr>
          </w:p>
        </w:tc>
      </w:tr>
      <w:tr w:rsidR="00796AC2" w:rsidRPr="007931F0" w:rsidTr="00796AC2">
        <w:tc>
          <w:tcPr>
            <w:tcW w:w="2427" w:type="pct"/>
          </w:tcPr>
          <w:p w:rsidR="00796AC2" w:rsidRPr="007931F0" w:rsidRDefault="00796AC2" w:rsidP="00796AC2">
            <w:pPr>
              <w:jc w:val="both"/>
              <w:rPr>
                <w:rFonts w:eastAsia="Calibri"/>
                <w:sz w:val="20"/>
              </w:rPr>
            </w:pPr>
            <w:r w:rsidRPr="007931F0">
              <w:rPr>
                <w:rFonts w:eastAsia="Calibri"/>
                <w:sz w:val="20"/>
              </w:rPr>
              <w:t>June 16, 2011</w:t>
            </w:r>
          </w:p>
          <w:p w:rsidR="00796AC2" w:rsidRPr="007931F0" w:rsidRDefault="00796AC2" w:rsidP="00796AC2">
            <w:pPr>
              <w:jc w:val="both"/>
              <w:rPr>
                <w:rFonts w:eastAsia="Calibri"/>
                <w:sz w:val="20"/>
              </w:rPr>
            </w:pPr>
            <w:r w:rsidRPr="007931F0">
              <w:rPr>
                <w:rFonts w:eastAsia="Calibri"/>
                <w:sz w:val="20"/>
              </w:rPr>
              <w:t>Supreme Court of Canada</w:t>
            </w:r>
          </w:p>
        </w:tc>
        <w:tc>
          <w:tcPr>
            <w:tcW w:w="243" w:type="pct"/>
          </w:tcPr>
          <w:p w:rsidR="00796AC2" w:rsidRPr="007931F0" w:rsidRDefault="00796AC2" w:rsidP="00796AC2">
            <w:pPr>
              <w:jc w:val="both"/>
              <w:rPr>
                <w:rFonts w:eastAsia="Calibri"/>
                <w:sz w:val="20"/>
              </w:rPr>
            </w:pPr>
          </w:p>
        </w:tc>
        <w:tc>
          <w:tcPr>
            <w:tcW w:w="2330" w:type="pct"/>
          </w:tcPr>
          <w:p w:rsidR="00796AC2" w:rsidRPr="007931F0" w:rsidRDefault="00796AC2" w:rsidP="00796AC2">
            <w:pPr>
              <w:jc w:val="both"/>
              <w:rPr>
                <w:rFonts w:eastAsia="Calibri"/>
                <w:sz w:val="20"/>
              </w:rPr>
            </w:pPr>
            <w:r w:rsidRPr="007931F0">
              <w:rPr>
                <w:rFonts w:eastAsia="Calibri"/>
                <w:sz w:val="20"/>
              </w:rPr>
              <w:t>Motion for extension of time to serve and file the application for leave to appeal and application for leave to appeal filed</w:t>
            </w:r>
          </w:p>
        </w:tc>
      </w:tr>
    </w:tbl>
    <w:p w:rsidR="00BF1FA7" w:rsidRDefault="00BF1FA7" w:rsidP="00BF1FA7">
      <w:pPr>
        <w:rPr>
          <w:sz w:val="20"/>
          <w:szCs w:val="20"/>
        </w:rPr>
      </w:pPr>
    </w:p>
    <w:p w:rsidR="00BF1FA7" w:rsidRDefault="00BF59B3" w:rsidP="00BF1FA7">
      <w:pPr>
        <w:rPr>
          <w:sz w:val="20"/>
          <w:szCs w:val="20"/>
        </w:rPr>
      </w:pPr>
      <w:r w:rsidRPr="00BF59B3">
        <w:rPr>
          <w:sz w:val="20"/>
          <w:szCs w:val="20"/>
          <w:lang w:val="fr-CA"/>
        </w:rPr>
        <w:pict>
          <v:rect id="_x0000_i1042" style="width:2in;height:1pt" o:hrpct="0" o:hralign="center" o:hrstd="t" o:hrnoshade="t" o:hr="t" fillcolor="black [3213]" stroked="f"/>
        </w:pict>
      </w:r>
    </w:p>
    <w:p w:rsidR="00BF1FA7" w:rsidRDefault="00BF1FA7" w:rsidP="00BF1FA7">
      <w:pPr>
        <w:rPr>
          <w:sz w:val="20"/>
          <w:szCs w:val="20"/>
        </w:rPr>
      </w:pPr>
    </w:p>
    <w:p w:rsidR="00BF1FA7" w:rsidRPr="001B157C" w:rsidRDefault="00BF1FA7" w:rsidP="00BF1FA7">
      <w:pPr>
        <w:rPr>
          <w:sz w:val="20"/>
          <w:szCs w:val="20"/>
          <w:u w:val="single"/>
          <w:lang w:val="fr-CA"/>
        </w:rPr>
      </w:pPr>
      <w:r w:rsidRPr="001B157C">
        <w:rPr>
          <w:sz w:val="20"/>
          <w:szCs w:val="20"/>
          <w:u w:val="single"/>
          <w:lang w:val="fr-CA"/>
        </w:rPr>
        <w:t>RÉSUMÉ DE L’AFFAIRE</w:t>
      </w:r>
    </w:p>
    <w:p w:rsidR="00BF1FA7" w:rsidRDefault="00BF1FA7" w:rsidP="00BF1FA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F3BF5" w:rsidRPr="00E72E79" w:rsidTr="00D87D9F">
        <w:tc>
          <w:tcPr>
            <w:tcW w:w="5000" w:type="pct"/>
            <w:gridSpan w:val="3"/>
          </w:tcPr>
          <w:p w:rsidR="00FF3BF5" w:rsidRPr="007931F0" w:rsidRDefault="00FF3BF5" w:rsidP="00D87D9F">
            <w:pPr>
              <w:jc w:val="both"/>
              <w:rPr>
                <w:rFonts w:eastAsia="Calibri"/>
                <w:sz w:val="20"/>
                <w:lang w:val="fr-CA"/>
              </w:rPr>
            </w:pPr>
            <w:r w:rsidRPr="007931F0">
              <w:rPr>
                <w:rFonts w:eastAsia="Calibri"/>
                <w:i/>
                <w:sz w:val="20"/>
                <w:lang w:val="fr-CA"/>
              </w:rPr>
              <w:t>Charte des droits</w:t>
            </w:r>
            <w:r w:rsidRPr="007931F0">
              <w:rPr>
                <w:rFonts w:eastAsia="Calibri"/>
                <w:sz w:val="20"/>
                <w:lang w:val="fr-CA"/>
              </w:rPr>
              <w:t xml:space="preserve"> – Droit criminel - Infractions - Meurtre – L’al. 229</w:t>
            </w:r>
            <w:r w:rsidRPr="007931F0">
              <w:rPr>
                <w:rFonts w:eastAsia="Calibri"/>
                <w:i/>
                <w:sz w:val="20"/>
                <w:lang w:val="fr-CA"/>
              </w:rPr>
              <w:t>c</w:t>
            </w:r>
            <w:r w:rsidRPr="007931F0">
              <w:rPr>
                <w:rFonts w:eastAsia="Calibri"/>
                <w:sz w:val="20"/>
                <w:lang w:val="fr-CA"/>
              </w:rPr>
              <w:t xml:space="preserve">) du </w:t>
            </w:r>
            <w:r w:rsidRPr="007931F0">
              <w:rPr>
                <w:rFonts w:eastAsia="Calibri"/>
                <w:i/>
                <w:sz w:val="20"/>
                <w:lang w:val="fr-CA"/>
              </w:rPr>
              <w:t xml:space="preserve">Code criminel </w:t>
            </w:r>
            <w:r w:rsidRPr="007931F0">
              <w:rPr>
                <w:rFonts w:eastAsia="Calibri"/>
                <w:sz w:val="20"/>
                <w:lang w:val="fr-CA"/>
              </w:rPr>
              <w:t xml:space="preserve">est-il constitutionnel? – Impose-t-il la </w:t>
            </w:r>
            <w:r w:rsidRPr="007931F0">
              <w:rPr>
                <w:rFonts w:eastAsia="Calibri"/>
                <w:i/>
                <w:sz w:val="20"/>
                <w:lang w:val="fr-CA"/>
              </w:rPr>
              <w:t>mens rea</w:t>
            </w:r>
            <w:r w:rsidRPr="007931F0">
              <w:rPr>
                <w:rFonts w:eastAsia="Calibri"/>
                <w:sz w:val="20"/>
                <w:lang w:val="fr-CA"/>
              </w:rPr>
              <w:t xml:space="preserve"> nécessaire pour asseoir une condamnation pour meurtre? – S’il est constitutionnel, faut-il rompre avec la jurisprudence de notre Cour sur l’interprétation de la portée de cet alinéa, à savoir l’arrêt </w:t>
            </w:r>
            <w:r w:rsidRPr="007931F0">
              <w:rPr>
                <w:rFonts w:eastAsia="Calibri"/>
                <w:i/>
                <w:sz w:val="20"/>
                <w:lang w:val="fr-CA"/>
              </w:rPr>
              <w:t>Graves</w:t>
            </w:r>
            <w:r w:rsidRPr="007931F0">
              <w:rPr>
                <w:rFonts w:eastAsia="Calibri"/>
                <w:sz w:val="20"/>
                <w:lang w:val="fr-CA"/>
              </w:rPr>
              <w:t xml:space="preserve">, qui remonte à 1913, et les décisions rendues dans sa foulée au milieu des années 1970? – </w:t>
            </w:r>
            <w:r w:rsidRPr="007931F0">
              <w:rPr>
                <w:rFonts w:eastAsia="Calibri"/>
                <w:i/>
                <w:sz w:val="20"/>
                <w:lang w:val="fr-CA"/>
              </w:rPr>
              <w:t>Code criminel</w:t>
            </w:r>
            <w:r w:rsidRPr="007931F0">
              <w:rPr>
                <w:rFonts w:eastAsia="Calibri"/>
                <w:sz w:val="20"/>
                <w:lang w:val="fr-CA"/>
              </w:rPr>
              <w:t>, L.R.C. 1985, ch. C-46, al. 229</w:t>
            </w:r>
            <w:r w:rsidRPr="007931F0">
              <w:rPr>
                <w:rFonts w:eastAsia="Calibri"/>
                <w:i/>
                <w:sz w:val="20"/>
                <w:lang w:val="fr-CA"/>
              </w:rPr>
              <w:t>c</w:t>
            </w:r>
            <w:r w:rsidRPr="007931F0">
              <w:rPr>
                <w:rFonts w:eastAsia="Calibri"/>
                <w:sz w:val="20"/>
                <w:lang w:val="fr-CA"/>
              </w:rPr>
              <w:t>).</w:t>
            </w:r>
          </w:p>
        </w:tc>
      </w:tr>
      <w:tr w:rsidR="00FF3BF5" w:rsidRPr="00E72E79" w:rsidTr="00D87D9F">
        <w:tc>
          <w:tcPr>
            <w:tcW w:w="5000" w:type="pct"/>
            <w:gridSpan w:val="3"/>
          </w:tcPr>
          <w:p w:rsidR="00FF3BF5" w:rsidRPr="007931F0" w:rsidRDefault="00FF3BF5" w:rsidP="00D87D9F">
            <w:pPr>
              <w:jc w:val="both"/>
              <w:rPr>
                <w:rFonts w:eastAsia="Calibri"/>
                <w:sz w:val="20"/>
                <w:lang w:val="fr-CA"/>
              </w:rPr>
            </w:pPr>
          </w:p>
        </w:tc>
      </w:tr>
      <w:tr w:rsidR="00FF3BF5" w:rsidRPr="00A6632B" w:rsidTr="00D87D9F">
        <w:tc>
          <w:tcPr>
            <w:tcW w:w="5000" w:type="pct"/>
            <w:gridSpan w:val="3"/>
          </w:tcPr>
          <w:p w:rsidR="00FF3BF5" w:rsidRPr="007931F0" w:rsidRDefault="00FF3BF5" w:rsidP="00D87D9F">
            <w:pPr>
              <w:jc w:val="both"/>
              <w:rPr>
                <w:rFonts w:eastAsia="Calibri"/>
                <w:sz w:val="20"/>
                <w:lang w:val="fr-CA"/>
              </w:rPr>
            </w:pPr>
            <w:r w:rsidRPr="007931F0">
              <w:rPr>
                <w:rFonts w:eastAsia="Calibri"/>
                <w:sz w:val="20"/>
                <w:lang w:val="fr-CA"/>
              </w:rPr>
              <w:t>Le demandeur et deux autres personnes se sont rendus chez un trafiquant de stupéfiants local avec l’intention de voler de la marijuana. On leur a permis d’entrer, et ils se sont mis à pourchasser une femme qui avait un sac de marijuana, aboutissant dans un sous-sol où deux hommes se trouvaient. Le demandeur a sorti une arme, et il s’en est suivi un coup de feu qui a tué l’un d’eux. Les événements qui ont mené au coup de feu ont été contestés. Certains témoins ont déclaré que le demandeur avait fait feu intentionnellement, alors que d’autres ont dit que le coup était parti lorsque ce dernier s’était servi de l’arme pour asséner un coup sur la tête de quelqu’un. Les voleurs se sont enfuis avec la marijuana.</w:t>
            </w:r>
          </w:p>
          <w:p w:rsidR="00FF3BF5" w:rsidRPr="007931F0" w:rsidRDefault="00FF3BF5" w:rsidP="00D87D9F">
            <w:pPr>
              <w:jc w:val="both"/>
              <w:rPr>
                <w:rFonts w:eastAsia="Calibri"/>
                <w:sz w:val="20"/>
                <w:lang w:val="fr-CA"/>
              </w:rPr>
            </w:pPr>
          </w:p>
          <w:p w:rsidR="00FF3BF5" w:rsidRPr="007931F0" w:rsidRDefault="00FF3BF5" w:rsidP="00D87D9F">
            <w:pPr>
              <w:jc w:val="both"/>
              <w:rPr>
                <w:rFonts w:eastAsia="Calibri"/>
                <w:sz w:val="20"/>
                <w:lang w:val="fr-CA"/>
              </w:rPr>
            </w:pPr>
            <w:r w:rsidRPr="007931F0">
              <w:rPr>
                <w:rFonts w:eastAsia="Calibri"/>
                <w:sz w:val="20"/>
                <w:lang w:val="fr-CA"/>
              </w:rPr>
              <w:t>Lors de la discussion préalable aux instructions, il a été question des directives à donner au jury quant à l’accusation de meurtre. Il ne faisait aucun doute que la preuve justifiait une accusation fondée à la fois sur le sous-al. 229</w:t>
            </w:r>
            <w:r w:rsidRPr="007931F0">
              <w:rPr>
                <w:rFonts w:eastAsia="Calibri"/>
                <w:i/>
                <w:sz w:val="20"/>
                <w:lang w:val="fr-CA"/>
              </w:rPr>
              <w:t>a</w:t>
            </w:r>
            <w:r w:rsidRPr="007931F0">
              <w:rPr>
                <w:rFonts w:eastAsia="Calibri"/>
                <w:sz w:val="20"/>
                <w:lang w:val="fr-CA"/>
              </w:rPr>
              <w:t>)(i) (intention de causer la mort) et le sous-al. 229</w:t>
            </w:r>
            <w:r w:rsidRPr="007931F0">
              <w:rPr>
                <w:rFonts w:eastAsia="Calibri"/>
                <w:i/>
                <w:sz w:val="20"/>
                <w:lang w:val="fr-CA"/>
              </w:rPr>
              <w:t>a</w:t>
            </w:r>
            <w:r w:rsidRPr="007931F0">
              <w:rPr>
                <w:rFonts w:eastAsia="Calibri"/>
                <w:sz w:val="20"/>
                <w:lang w:val="fr-CA"/>
              </w:rPr>
              <w:t xml:space="preserve">)(ii) (intention de causer des lésions corporelles sachant qu’elles sont de nature à causer la mort) du </w:t>
            </w:r>
            <w:r w:rsidRPr="007931F0">
              <w:rPr>
                <w:rFonts w:eastAsia="Calibri"/>
                <w:i/>
                <w:sz w:val="20"/>
                <w:lang w:val="fr-CA"/>
              </w:rPr>
              <w:t>Code criminel</w:t>
            </w:r>
            <w:r w:rsidRPr="007931F0">
              <w:rPr>
                <w:rFonts w:eastAsia="Calibri"/>
                <w:sz w:val="20"/>
                <w:lang w:val="fr-CA"/>
              </w:rPr>
              <w:t>, car ces dispostions entraient en jeu si le demandeur avait fait feu intentionnellement. Le ministère public voulait aussi que le juge du procès donne des directives au jury concernant l’al. 229</w:t>
            </w:r>
            <w:r w:rsidRPr="007931F0">
              <w:rPr>
                <w:rFonts w:eastAsia="Calibri"/>
                <w:i/>
                <w:sz w:val="20"/>
                <w:lang w:val="fr-CA"/>
              </w:rPr>
              <w:t>c</w:t>
            </w:r>
            <w:r w:rsidRPr="007931F0">
              <w:rPr>
                <w:rFonts w:eastAsia="Calibri"/>
                <w:sz w:val="20"/>
                <w:lang w:val="fr-CA"/>
              </w:rPr>
              <w:t>), qui était susceptible de s’appliquer en ce qui concerne la prétention du demandeur qu’il s’agissait d’un accident. Le juge du procès a donné des directives au jury concernant l’al. 229</w:t>
            </w:r>
            <w:r w:rsidRPr="007931F0">
              <w:rPr>
                <w:rFonts w:eastAsia="Calibri"/>
                <w:i/>
                <w:sz w:val="20"/>
                <w:lang w:val="fr-CA"/>
              </w:rPr>
              <w:t>c</w:t>
            </w:r>
            <w:r w:rsidRPr="007931F0">
              <w:rPr>
                <w:rFonts w:eastAsia="Calibri"/>
                <w:sz w:val="20"/>
                <w:lang w:val="fr-CA"/>
              </w:rPr>
              <w:t>). Au procès, le demandeur a été reconnu coupable de meurtre au deuxième degré, vol avec usage d’une arme à feu, introduction par effraction et possession illégale d’une arme à feu prohibée chargée. Le demandeur a interjeté appel du verdict, contestant la constitutionnalité de l’al. 229</w:t>
            </w:r>
            <w:r w:rsidRPr="007931F0">
              <w:rPr>
                <w:rFonts w:eastAsia="Calibri"/>
                <w:i/>
                <w:sz w:val="20"/>
                <w:lang w:val="fr-CA"/>
              </w:rPr>
              <w:t>c</w:t>
            </w:r>
            <w:r w:rsidRPr="007931F0">
              <w:rPr>
                <w:rFonts w:eastAsia="Calibri"/>
                <w:sz w:val="20"/>
                <w:lang w:val="fr-CA"/>
              </w:rPr>
              <w:t>). La Cour d’appel a rejeté l’appel, concluant que l’al. 229</w:t>
            </w:r>
            <w:r w:rsidRPr="007931F0">
              <w:rPr>
                <w:rFonts w:eastAsia="Calibri"/>
                <w:i/>
                <w:sz w:val="20"/>
                <w:lang w:val="fr-CA"/>
              </w:rPr>
              <w:t>c</w:t>
            </w:r>
            <w:r w:rsidRPr="007931F0">
              <w:rPr>
                <w:rFonts w:eastAsia="Calibri"/>
                <w:sz w:val="20"/>
                <w:lang w:val="fr-CA"/>
              </w:rPr>
              <w:t xml:space="preserve">) était constitutionnel et que la question de savoir si la </w:t>
            </w:r>
            <w:r w:rsidRPr="007931F0">
              <w:rPr>
                <w:rFonts w:eastAsia="Calibri"/>
                <w:i/>
                <w:sz w:val="20"/>
                <w:lang w:val="fr-CA"/>
              </w:rPr>
              <w:t>mens rea</w:t>
            </w:r>
            <w:r w:rsidRPr="007931F0">
              <w:rPr>
                <w:rFonts w:eastAsia="Calibri"/>
                <w:sz w:val="20"/>
                <w:lang w:val="fr-CA"/>
              </w:rPr>
              <w:t xml:space="preserve"> requise pour le meurtre selon l’al. 229</w:t>
            </w:r>
            <w:r w:rsidRPr="007931F0">
              <w:rPr>
                <w:rFonts w:eastAsia="Calibri"/>
                <w:i/>
                <w:sz w:val="20"/>
                <w:lang w:val="fr-CA"/>
              </w:rPr>
              <w:t>c</w:t>
            </w:r>
            <w:r w:rsidRPr="007931F0">
              <w:rPr>
                <w:rFonts w:eastAsia="Calibri"/>
                <w:sz w:val="20"/>
                <w:lang w:val="fr-CA"/>
              </w:rPr>
              <w:t xml:space="preserve">) était suffisante sur le plan constitutionnel </w:t>
            </w:r>
            <w:r w:rsidRPr="007931F0">
              <w:rPr>
                <w:rFonts w:eastAsia="Calibri"/>
                <w:sz w:val="20"/>
                <w:lang w:val="fr-CA"/>
              </w:rPr>
              <w:lastRenderedPageBreak/>
              <w:t xml:space="preserve">avait déjà été tranchée par notre Cour. </w:t>
            </w:r>
          </w:p>
          <w:p w:rsidR="00FF3BF5" w:rsidRPr="007931F0" w:rsidRDefault="00FF3BF5" w:rsidP="00D87D9F">
            <w:pPr>
              <w:jc w:val="both"/>
              <w:rPr>
                <w:rFonts w:eastAsia="Calibri"/>
                <w:sz w:val="20"/>
                <w:lang w:val="fr-CA"/>
              </w:rPr>
            </w:pPr>
          </w:p>
        </w:tc>
      </w:tr>
      <w:tr w:rsidR="00FF3BF5" w:rsidRPr="00A6632B" w:rsidTr="00D87D9F">
        <w:tc>
          <w:tcPr>
            <w:tcW w:w="2427" w:type="pct"/>
          </w:tcPr>
          <w:p w:rsidR="00FF3BF5" w:rsidRPr="007931F0" w:rsidRDefault="00FF3BF5" w:rsidP="00D87D9F">
            <w:pPr>
              <w:jc w:val="both"/>
              <w:rPr>
                <w:rFonts w:eastAsia="Calibri"/>
                <w:sz w:val="20"/>
                <w:lang w:val="fr-CA"/>
              </w:rPr>
            </w:pPr>
            <w:r w:rsidRPr="007931F0">
              <w:rPr>
                <w:rFonts w:eastAsia="Calibri"/>
                <w:sz w:val="20"/>
                <w:lang w:val="fr-CA"/>
              </w:rPr>
              <w:lastRenderedPageBreak/>
              <w:t>22 mars 2007</w:t>
            </w:r>
          </w:p>
          <w:p w:rsidR="00FF3BF5" w:rsidRPr="007931F0" w:rsidRDefault="00FF3BF5" w:rsidP="00D87D9F">
            <w:pPr>
              <w:jc w:val="both"/>
              <w:rPr>
                <w:rFonts w:eastAsia="Calibri"/>
                <w:sz w:val="20"/>
                <w:lang w:val="fr-CA"/>
              </w:rPr>
            </w:pPr>
            <w:r w:rsidRPr="007931F0">
              <w:rPr>
                <w:rFonts w:eastAsia="Calibri"/>
                <w:sz w:val="20"/>
                <w:lang w:val="fr-CA"/>
              </w:rPr>
              <w:t>Cour supérieure de justice de l’Ontario</w:t>
            </w:r>
          </w:p>
          <w:p w:rsidR="00FF3BF5" w:rsidRPr="007931F0" w:rsidRDefault="00FF3BF5" w:rsidP="00D87D9F">
            <w:pPr>
              <w:jc w:val="both"/>
              <w:rPr>
                <w:rFonts w:eastAsia="Calibri"/>
                <w:sz w:val="20"/>
              </w:rPr>
            </w:pPr>
            <w:r w:rsidRPr="007931F0">
              <w:rPr>
                <w:rFonts w:eastAsia="Calibri"/>
                <w:sz w:val="20"/>
              </w:rPr>
              <w:t>(Juge Glass)</w:t>
            </w:r>
          </w:p>
          <w:p w:rsidR="00FF3BF5" w:rsidRPr="007931F0" w:rsidRDefault="00FF3BF5" w:rsidP="00D87D9F">
            <w:pPr>
              <w:jc w:val="both"/>
              <w:rPr>
                <w:rFonts w:eastAsia="Calibri"/>
                <w:sz w:val="20"/>
              </w:rPr>
            </w:pPr>
          </w:p>
        </w:tc>
        <w:tc>
          <w:tcPr>
            <w:tcW w:w="243" w:type="pct"/>
          </w:tcPr>
          <w:p w:rsidR="00FF3BF5" w:rsidRPr="007931F0" w:rsidRDefault="00FF3BF5" w:rsidP="00D87D9F">
            <w:pPr>
              <w:jc w:val="both"/>
              <w:rPr>
                <w:rFonts w:eastAsia="Calibri"/>
                <w:sz w:val="20"/>
              </w:rPr>
            </w:pPr>
          </w:p>
        </w:tc>
        <w:tc>
          <w:tcPr>
            <w:tcW w:w="2330" w:type="pct"/>
          </w:tcPr>
          <w:p w:rsidR="00FF3BF5" w:rsidRPr="007931F0" w:rsidRDefault="00FF3BF5" w:rsidP="00D87D9F">
            <w:pPr>
              <w:jc w:val="both"/>
              <w:rPr>
                <w:rFonts w:eastAsia="Calibri"/>
                <w:sz w:val="20"/>
                <w:lang w:val="fr-CA"/>
              </w:rPr>
            </w:pPr>
            <w:r w:rsidRPr="007931F0">
              <w:rPr>
                <w:rFonts w:eastAsia="Calibri"/>
                <w:sz w:val="20"/>
                <w:lang w:val="fr-CA"/>
              </w:rPr>
              <w:t>Verdict : coupable de meurtre au deuxième degré, vol avec usage d’une arme à feu, introduction par effraction et possession illégale d’une arme à feu prohibée chargée</w:t>
            </w:r>
          </w:p>
          <w:p w:rsidR="00FF3BF5" w:rsidRPr="007931F0" w:rsidRDefault="00FF3BF5" w:rsidP="00D87D9F">
            <w:pPr>
              <w:jc w:val="both"/>
              <w:rPr>
                <w:rFonts w:eastAsia="Calibri"/>
                <w:sz w:val="20"/>
                <w:lang w:val="fr-CA"/>
              </w:rPr>
            </w:pPr>
          </w:p>
        </w:tc>
      </w:tr>
      <w:tr w:rsidR="00FF3BF5" w:rsidRPr="007931F0" w:rsidTr="00D87D9F">
        <w:tc>
          <w:tcPr>
            <w:tcW w:w="2427" w:type="pct"/>
          </w:tcPr>
          <w:p w:rsidR="00FF3BF5" w:rsidRPr="007931F0" w:rsidRDefault="00FF3BF5" w:rsidP="00D87D9F">
            <w:pPr>
              <w:jc w:val="both"/>
              <w:rPr>
                <w:rFonts w:eastAsia="Calibri"/>
                <w:sz w:val="20"/>
                <w:lang w:val="fr-CA"/>
              </w:rPr>
            </w:pPr>
            <w:r w:rsidRPr="007931F0">
              <w:rPr>
                <w:rFonts w:eastAsia="Calibri"/>
                <w:sz w:val="20"/>
                <w:lang w:val="fr-CA"/>
              </w:rPr>
              <w:t>7 janvier 2011</w:t>
            </w:r>
          </w:p>
          <w:p w:rsidR="00FF3BF5" w:rsidRPr="007931F0" w:rsidRDefault="00FF3BF5" w:rsidP="00D87D9F">
            <w:pPr>
              <w:jc w:val="both"/>
              <w:rPr>
                <w:rFonts w:eastAsia="Calibri"/>
                <w:sz w:val="20"/>
                <w:lang w:val="fr-CA"/>
              </w:rPr>
            </w:pPr>
            <w:r w:rsidRPr="007931F0">
              <w:rPr>
                <w:rFonts w:eastAsia="Calibri"/>
                <w:sz w:val="20"/>
                <w:lang w:val="fr-CA"/>
              </w:rPr>
              <w:t>Cour d’appel de l’Ontario</w:t>
            </w:r>
          </w:p>
          <w:p w:rsidR="00FF3BF5" w:rsidRPr="007931F0" w:rsidRDefault="00FF3BF5" w:rsidP="00D87D9F">
            <w:pPr>
              <w:jc w:val="both"/>
              <w:rPr>
                <w:rFonts w:eastAsia="Calibri"/>
                <w:sz w:val="20"/>
                <w:lang w:val="fr-CA"/>
              </w:rPr>
            </w:pPr>
            <w:r w:rsidRPr="007931F0">
              <w:rPr>
                <w:rFonts w:eastAsia="Calibri"/>
                <w:sz w:val="20"/>
                <w:lang w:val="fr-CA"/>
              </w:rPr>
              <w:t>(Juges Feldman, Rouleau et Watt)</w:t>
            </w:r>
          </w:p>
          <w:p w:rsidR="00FF3BF5" w:rsidRPr="007931F0" w:rsidRDefault="00FF3BF5" w:rsidP="00D87D9F">
            <w:pPr>
              <w:jc w:val="both"/>
              <w:rPr>
                <w:rFonts w:eastAsia="Calibri"/>
                <w:sz w:val="20"/>
              </w:rPr>
            </w:pPr>
            <w:r w:rsidRPr="007931F0">
              <w:rPr>
                <w:rFonts w:eastAsia="Calibri"/>
                <w:sz w:val="20"/>
              </w:rPr>
              <w:t>2011 ONCA 5</w:t>
            </w:r>
          </w:p>
          <w:p w:rsidR="00FF3BF5" w:rsidRPr="007931F0" w:rsidRDefault="00FF3BF5" w:rsidP="00D87D9F">
            <w:pPr>
              <w:jc w:val="both"/>
              <w:rPr>
                <w:rFonts w:eastAsia="Calibri"/>
                <w:sz w:val="20"/>
              </w:rPr>
            </w:pPr>
          </w:p>
        </w:tc>
        <w:tc>
          <w:tcPr>
            <w:tcW w:w="243" w:type="pct"/>
          </w:tcPr>
          <w:p w:rsidR="00FF3BF5" w:rsidRPr="007931F0" w:rsidRDefault="00FF3BF5" w:rsidP="00D87D9F">
            <w:pPr>
              <w:jc w:val="both"/>
              <w:rPr>
                <w:rFonts w:eastAsia="Calibri"/>
                <w:sz w:val="20"/>
              </w:rPr>
            </w:pPr>
          </w:p>
        </w:tc>
        <w:tc>
          <w:tcPr>
            <w:tcW w:w="2330" w:type="pct"/>
          </w:tcPr>
          <w:p w:rsidR="00FF3BF5" w:rsidRPr="007931F0" w:rsidRDefault="00FF3BF5" w:rsidP="00D87D9F">
            <w:pPr>
              <w:jc w:val="both"/>
              <w:rPr>
                <w:rFonts w:eastAsia="Calibri"/>
                <w:sz w:val="20"/>
              </w:rPr>
            </w:pPr>
            <w:r w:rsidRPr="007931F0">
              <w:rPr>
                <w:rFonts w:eastAsia="Calibri"/>
                <w:sz w:val="20"/>
              </w:rPr>
              <w:t>Appel rejeté</w:t>
            </w:r>
          </w:p>
          <w:p w:rsidR="00FF3BF5" w:rsidRPr="007931F0" w:rsidRDefault="00FF3BF5" w:rsidP="00D87D9F">
            <w:pPr>
              <w:jc w:val="both"/>
              <w:rPr>
                <w:rFonts w:eastAsia="Calibri"/>
                <w:sz w:val="20"/>
              </w:rPr>
            </w:pPr>
          </w:p>
        </w:tc>
      </w:tr>
      <w:tr w:rsidR="00FF3BF5" w:rsidRPr="00A6632B" w:rsidTr="00D87D9F">
        <w:tc>
          <w:tcPr>
            <w:tcW w:w="2427" w:type="pct"/>
          </w:tcPr>
          <w:p w:rsidR="00FF3BF5" w:rsidRPr="007931F0" w:rsidRDefault="00FF3BF5" w:rsidP="00D87D9F">
            <w:pPr>
              <w:jc w:val="both"/>
              <w:rPr>
                <w:rFonts w:eastAsia="Calibri"/>
                <w:sz w:val="20"/>
                <w:lang w:val="fr-CA"/>
              </w:rPr>
            </w:pPr>
            <w:r w:rsidRPr="007931F0">
              <w:rPr>
                <w:rFonts w:eastAsia="Calibri"/>
                <w:sz w:val="20"/>
                <w:lang w:val="fr-CA"/>
              </w:rPr>
              <w:t>16 juin 2011</w:t>
            </w:r>
          </w:p>
          <w:p w:rsidR="00FF3BF5" w:rsidRPr="007931F0" w:rsidRDefault="00FF3BF5" w:rsidP="00D87D9F">
            <w:pPr>
              <w:jc w:val="both"/>
              <w:rPr>
                <w:rFonts w:eastAsia="Calibri"/>
                <w:sz w:val="20"/>
                <w:lang w:val="fr-CA"/>
              </w:rPr>
            </w:pPr>
            <w:r w:rsidRPr="007931F0">
              <w:rPr>
                <w:rFonts w:eastAsia="Calibri"/>
                <w:sz w:val="20"/>
                <w:lang w:val="fr-CA"/>
              </w:rPr>
              <w:t>Cour suprême du Canada</w:t>
            </w:r>
          </w:p>
        </w:tc>
        <w:tc>
          <w:tcPr>
            <w:tcW w:w="243" w:type="pct"/>
          </w:tcPr>
          <w:p w:rsidR="00FF3BF5" w:rsidRPr="007931F0" w:rsidRDefault="00FF3BF5" w:rsidP="00D87D9F">
            <w:pPr>
              <w:jc w:val="both"/>
              <w:rPr>
                <w:rFonts w:eastAsia="Calibri"/>
                <w:sz w:val="20"/>
                <w:lang w:val="fr-CA"/>
              </w:rPr>
            </w:pPr>
          </w:p>
        </w:tc>
        <w:tc>
          <w:tcPr>
            <w:tcW w:w="2330" w:type="pct"/>
          </w:tcPr>
          <w:p w:rsidR="00FF3BF5" w:rsidRPr="007931F0" w:rsidRDefault="00FF3BF5" w:rsidP="00D87D9F">
            <w:pPr>
              <w:jc w:val="both"/>
              <w:rPr>
                <w:rFonts w:eastAsia="Calibri"/>
                <w:sz w:val="20"/>
                <w:lang w:val="fr-CA"/>
              </w:rPr>
            </w:pPr>
            <w:r w:rsidRPr="007931F0">
              <w:rPr>
                <w:rFonts w:eastAsia="Calibri"/>
                <w:sz w:val="20"/>
                <w:lang w:val="fr-CA"/>
              </w:rPr>
              <w:t>Requête en prorogation du délai de signification et de depot de la demande d’autorisation d’appel et demande d’autorisation d’appel déposées</w:t>
            </w:r>
          </w:p>
        </w:tc>
      </w:tr>
    </w:tbl>
    <w:p w:rsidR="00BF1FA7" w:rsidRPr="00FF3BF5" w:rsidRDefault="00BF1FA7" w:rsidP="00BF1FA7">
      <w:pPr>
        <w:rPr>
          <w:sz w:val="20"/>
          <w:szCs w:val="20"/>
          <w:lang w:val="fr-CA"/>
        </w:rPr>
      </w:pPr>
    </w:p>
    <w:p w:rsidR="00BF1FA7" w:rsidRDefault="00BF59B3" w:rsidP="00BF1FA7">
      <w:pPr>
        <w:rPr>
          <w:sz w:val="20"/>
          <w:szCs w:val="20"/>
        </w:rPr>
      </w:pPr>
      <w:r w:rsidRPr="00BF59B3">
        <w:rPr>
          <w:sz w:val="20"/>
          <w:szCs w:val="20"/>
          <w:lang w:val="fr-CA"/>
        </w:rPr>
        <w:pict>
          <v:rect id="_x0000_i1043" style="width:2in;height:1pt" o:hrpct="0" o:hralign="center" o:hrstd="t" o:hrnoshade="t" o:hr="t" fillcolor="black [3213]" stroked="f"/>
        </w:pict>
      </w:r>
    </w:p>
    <w:p w:rsidR="00BF1FA7" w:rsidRDefault="00BF1FA7" w:rsidP="00BF1FA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C618B" w:rsidRPr="00F863F6" w:rsidTr="007F36A7">
        <w:trPr>
          <w:cantSplit/>
        </w:trPr>
        <w:tc>
          <w:tcPr>
            <w:tcW w:w="1458" w:type="dxa"/>
          </w:tcPr>
          <w:p w:rsidR="004C618B" w:rsidRPr="00F863F6" w:rsidRDefault="004C618B" w:rsidP="007F36A7">
            <w:pPr>
              <w:rPr>
                <w:sz w:val="20"/>
                <w:szCs w:val="20"/>
              </w:rPr>
            </w:pPr>
            <w:r w:rsidRPr="00F863F6">
              <w:rPr>
                <w:rStyle w:val="SCCFileNumberChar"/>
                <w:sz w:val="20"/>
                <w:szCs w:val="20"/>
              </w:rPr>
              <w:t>34348</w:t>
            </w:r>
          </w:p>
          <w:p w:rsidR="004C618B" w:rsidRPr="00F863F6" w:rsidRDefault="004C618B" w:rsidP="007F36A7">
            <w:pPr>
              <w:rPr>
                <w:b/>
                <w:sz w:val="20"/>
                <w:szCs w:val="20"/>
                <w:lang w:val="fr-CA"/>
              </w:rPr>
            </w:pPr>
          </w:p>
        </w:tc>
        <w:tc>
          <w:tcPr>
            <w:tcW w:w="8118" w:type="dxa"/>
          </w:tcPr>
          <w:p w:rsidR="004C618B" w:rsidRPr="00F863F6" w:rsidRDefault="004C618B" w:rsidP="007F36A7">
            <w:pPr>
              <w:jc w:val="both"/>
              <w:rPr>
                <w:sz w:val="20"/>
                <w:szCs w:val="20"/>
              </w:rPr>
            </w:pPr>
            <w:r w:rsidRPr="00F863F6">
              <w:rPr>
                <w:rStyle w:val="SCCLsocChar"/>
                <w:sz w:val="20"/>
                <w:szCs w:val="20"/>
                <w:lang w:val="en-CA"/>
              </w:rPr>
              <w:t>Gregory Allan Johnson v. Workers' Compensation Board of British Columbia</w:t>
            </w:r>
            <w:r w:rsidR="004405A1">
              <w:rPr>
                <w:rStyle w:val="SCCLsocChar"/>
                <w:sz w:val="20"/>
                <w:szCs w:val="20"/>
                <w:lang w:val="en-CA"/>
              </w:rPr>
              <w:t xml:space="preserve"> and</w:t>
            </w:r>
            <w:r w:rsidRPr="00F863F6">
              <w:rPr>
                <w:rStyle w:val="SCCLsocChar"/>
                <w:sz w:val="20"/>
                <w:szCs w:val="20"/>
                <w:lang w:val="en-CA"/>
              </w:rPr>
              <w:t xml:space="preserve"> Workers' Compensation Appeal Tribunal</w:t>
            </w:r>
            <w:r w:rsidRPr="00F863F6">
              <w:rPr>
                <w:sz w:val="20"/>
                <w:szCs w:val="20"/>
              </w:rPr>
              <w:t xml:space="preserve"> (B.C.) (Civil) (By Leave)</w:t>
            </w:r>
          </w:p>
          <w:p w:rsidR="004C618B" w:rsidRPr="00F863F6" w:rsidRDefault="004C618B" w:rsidP="007F36A7">
            <w:pPr>
              <w:rPr>
                <w:sz w:val="20"/>
                <w:szCs w:val="20"/>
              </w:rPr>
            </w:pPr>
          </w:p>
        </w:tc>
      </w:tr>
      <w:tr w:rsidR="004C618B" w:rsidRPr="00F863F6" w:rsidTr="007F36A7">
        <w:trPr>
          <w:cantSplit/>
        </w:trPr>
        <w:tc>
          <w:tcPr>
            <w:tcW w:w="1458" w:type="dxa"/>
          </w:tcPr>
          <w:p w:rsidR="004C618B" w:rsidRPr="00F863F6" w:rsidRDefault="004C618B" w:rsidP="007F36A7">
            <w:pPr>
              <w:rPr>
                <w:sz w:val="20"/>
                <w:szCs w:val="20"/>
              </w:rPr>
            </w:pPr>
            <w:r w:rsidRPr="00F863F6">
              <w:rPr>
                <w:sz w:val="20"/>
                <w:szCs w:val="20"/>
              </w:rPr>
              <w:t>Coram :</w:t>
            </w:r>
          </w:p>
        </w:tc>
        <w:tc>
          <w:tcPr>
            <w:tcW w:w="8118" w:type="dxa"/>
          </w:tcPr>
          <w:p w:rsidR="004C618B" w:rsidRPr="00F863F6" w:rsidRDefault="004C618B" w:rsidP="007F36A7">
            <w:pPr>
              <w:rPr>
                <w:sz w:val="20"/>
                <w:szCs w:val="20"/>
              </w:rPr>
            </w:pPr>
            <w:r w:rsidRPr="00F863F6">
              <w:rPr>
                <w:rStyle w:val="SCCCoramChar"/>
                <w:sz w:val="20"/>
                <w:szCs w:val="20"/>
                <w:lang w:val="en-CA"/>
              </w:rPr>
              <w:t>McLachlin C.J. and Rothstein and Moldaver JJ.</w:t>
            </w:r>
          </w:p>
          <w:p w:rsidR="004C618B" w:rsidRPr="00F863F6" w:rsidRDefault="004C618B" w:rsidP="007F36A7">
            <w:pPr>
              <w:rPr>
                <w:sz w:val="20"/>
                <w:szCs w:val="20"/>
                <w:u w:val="single"/>
              </w:rPr>
            </w:pPr>
          </w:p>
        </w:tc>
      </w:tr>
      <w:tr w:rsidR="004C618B" w:rsidRPr="00A6632B" w:rsidTr="007F36A7">
        <w:trPr>
          <w:cantSplit/>
        </w:trPr>
        <w:tc>
          <w:tcPr>
            <w:tcW w:w="9576" w:type="dxa"/>
            <w:gridSpan w:val="2"/>
          </w:tcPr>
          <w:p w:rsidR="004C618B" w:rsidRPr="00F863F6" w:rsidRDefault="004C618B" w:rsidP="007F36A7">
            <w:pPr>
              <w:pStyle w:val="SCCShortJudgment"/>
              <w:rPr>
                <w:szCs w:val="20"/>
              </w:rPr>
            </w:pPr>
            <w:r w:rsidRPr="00F863F6">
              <w:rPr>
                <w:szCs w:val="20"/>
              </w:rPr>
              <w:t>The application for leave to appeal from the judgment of the Court of Appeal for British Columbia (Vancouver), Numbers CA037333 and CA037534, 2011 BCCA 255, dated June 2, 2011, is dismissed without costs.</w:t>
            </w:r>
          </w:p>
          <w:p w:rsidR="004C618B" w:rsidRPr="00F863F6" w:rsidRDefault="004C618B" w:rsidP="007F36A7">
            <w:pPr>
              <w:pStyle w:val="SCCShortJudgment"/>
              <w:ind w:firstLine="0"/>
              <w:rPr>
                <w:szCs w:val="20"/>
              </w:rPr>
            </w:pPr>
          </w:p>
          <w:p w:rsidR="004C618B" w:rsidRPr="00F863F6" w:rsidRDefault="004C618B" w:rsidP="007F36A7">
            <w:pPr>
              <w:pStyle w:val="SCCShortJudgment"/>
              <w:rPr>
                <w:szCs w:val="20"/>
                <w:lang w:val="fr-CA"/>
              </w:rPr>
            </w:pPr>
            <w:r w:rsidRPr="00F863F6">
              <w:rPr>
                <w:szCs w:val="20"/>
                <w:lang w:val="fr-CA"/>
              </w:rPr>
              <w:t>La demande d’autorisation d’appel de l’arrêt de la Cour d’appel de la Colombie-Britannique (Vancouver), numéros CA037333 et CA037534, 2011 BCCA 255, daté du 2 juin 2011, est rejetée sans dépens.</w:t>
            </w:r>
          </w:p>
        </w:tc>
      </w:tr>
    </w:tbl>
    <w:p w:rsidR="00BF1FA7" w:rsidRPr="004C618B" w:rsidRDefault="00BF1FA7" w:rsidP="00BF1FA7">
      <w:pPr>
        <w:rPr>
          <w:sz w:val="20"/>
          <w:szCs w:val="20"/>
          <w:lang w:val="fr-CA"/>
        </w:rPr>
      </w:pPr>
    </w:p>
    <w:p w:rsidR="00BF1FA7" w:rsidRPr="001B157C" w:rsidRDefault="00BF1FA7" w:rsidP="00BF1FA7">
      <w:pPr>
        <w:rPr>
          <w:sz w:val="20"/>
          <w:szCs w:val="20"/>
          <w:u w:val="single"/>
        </w:rPr>
      </w:pPr>
      <w:r w:rsidRPr="001B157C">
        <w:rPr>
          <w:sz w:val="20"/>
          <w:szCs w:val="20"/>
          <w:u w:val="single"/>
        </w:rPr>
        <w:t>CASE SUMMARY</w:t>
      </w:r>
    </w:p>
    <w:p w:rsidR="00BF1FA7" w:rsidRDefault="00BF1FA7" w:rsidP="00BF1FA7">
      <w:pPr>
        <w:rPr>
          <w:sz w:val="20"/>
          <w:szCs w:val="20"/>
        </w:rPr>
      </w:pPr>
    </w:p>
    <w:tbl>
      <w:tblPr>
        <w:tblW w:w="5000" w:type="pct"/>
        <w:tblLayout w:type="fixed"/>
        <w:tblCellMar>
          <w:left w:w="0" w:type="dxa"/>
          <w:right w:w="0" w:type="dxa"/>
        </w:tblCellMar>
        <w:tblLook w:val="04A0"/>
      </w:tblPr>
      <w:tblGrid>
        <w:gridCol w:w="4623"/>
        <w:gridCol w:w="464"/>
        <w:gridCol w:w="4532"/>
      </w:tblGrid>
      <w:tr w:rsidR="00FF3BF5" w:rsidRPr="007931F0" w:rsidTr="00D87D9F">
        <w:tc>
          <w:tcPr>
            <w:tcW w:w="5000" w:type="pct"/>
            <w:gridSpan w:val="3"/>
          </w:tcPr>
          <w:p w:rsidR="00FF3BF5" w:rsidRPr="007931F0" w:rsidRDefault="00FF3BF5" w:rsidP="00D87D9F">
            <w:pPr>
              <w:jc w:val="both"/>
              <w:rPr>
                <w:rFonts w:eastAsia="Calibri"/>
                <w:sz w:val="20"/>
              </w:rPr>
            </w:pPr>
            <w:r w:rsidRPr="007931F0">
              <w:rPr>
                <w:rFonts w:eastAsia="Calibri"/>
                <w:sz w:val="20"/>
              </w:rPr>
              <w:t xml:space="preserve">Administrative law – Judicial review – Petitioner raising for the first time on judicial review the issue of whether the new interest policy of the Workers’ Compensation Board (“WCB”) was contrary to the </w:t>
            </w:r>
            <w:r w:rsidRPr="007931F0">
              <w:rPr>
                <w:rFonts w:eastAsia="Calibri"/>
                <w:i/>
                <w:sz w:val="20"/>
              </w:rPr>
              <w:t>Workers’ Compensation Act</w:t>
            </w:r>
            <w:r w:rsidRPr="007931F0">
              <w:rPr>
                <w:rFonts w:eastAsia="Calibri"/>
                <w:sz w:val="20"/>
              </w:rPr>
              <w:t>, R.S.B.C. 1996, c. 492 (the “</w:t>
            </w:r>
            <w:r w:rsidRPr="007931F0">
              <w:rPr>
                <w:rFonts w:eastAsia="Calibri"/>
                <w:i/>
                <w:sz w:val="20"/>
              </w:rPr>
              <w:t>Act</w:t>
            </w:r>
            <w:r w:rsidRPr="007931F0">
              <w:rPr>
                <w:rFonts w:eastAsia="Calibri"/>
                <w:sz w:val="20"/>
              </w:rPr>
              <w:t>”) – Appellate court holding that the chambers judge had considered the wrong factors in exercising her discretion to grant judicial review to a petitioner who had failed to exhaust the internal remedies of an administrative tribunal – Whether the appellate court erred in finding that the Applicant was required to put the new issue before the Workers’ Compensation Appeal Tribunal (“WCAT”) before proceeding with judicial review.</w:t>
            </w:r>
          </w:p>
        </w:tc>
      </w:tr>
      <w:tr w:rsidR="00FF3BF5" w:rsidRPr="007931F0" w:rsidTr="00D87D9F">
        <w:trPr>
          <w:trHeight w:val="270"/>
        </w:trPr>
        <w:tc>
          <w:tcPr>
            <w:tcW w:w="5000" w:type="pct"/>
            <w:gridSpan w:val="3"/>
          </w:tcPr>
          <w:p w:rsidR="00FF3BF5" w:rsidRPr="007931F0" w:rsidRDefault="00FF3BF5" w:rsidP="00D87D9F">
            <w:pPr>
              <w:jc w:val="both"/>
              <w:rPr>
                <w:rFonts w:eastAsia="Calibri"/>
                <w:sz w:val="20"/>
              </w:rPr>
            </w:pPr>
          </w:p>
        </w:tc>
      </w:tr>
      <w:tr w:rsidR="00FF3BF5" w:rsidRPr="007931F0" w:rsidTr="00D87D9F">
        <w:tc>
          <w:tcPr>
            <w:tcW w:w="5000" w:type="pct"/>
            <w:gridSpan w:val="3"/>
          </w:tcPr>
          <w:p w:rsidR="00FF3BF5" w:rsidRPr="007931F0" w:rsidRDefault="00FF3BF5" w:rsidP="00D87D9F">
            <w:pPr>
              <w:jc w:val="both"/>
              <w:rPr>
                <w:rFonts w:eastAsia="Calibri"/>
                <w:sz w:val="20"/>
              </w:rPr>
            </w:pPr>
            <w:r w:rsidRPr="007931F0">
              <w:rPr>
                <w:rFonts w:eastAsia="Calibri"/>
                <w:sz w:val="20"/>
              </w:rPr>
              <w:t xml:space="preserve">The Applicant was injured in a workplace accident in 1985 and received benefits from the WCB. Fourteen years later, he underwent surgery and was eventually awarded further benefits on the basis that the surgery resulted from the 1985 accident. However, due to a new policy passed by a WCB panel of administrators, the Applicant was not paid interest on his retroactive wage-loss benefits. He unsuccessfully challenged the decision not to pay him interest before the WCAT, arguing that the new interest policy could not be implemented retroactively. In his petition for judicial review, the Applicant raised for the first time the ground that the new interest policy was contrary to s. 5 of the </w:t>
            </w:r>
            <w:r w:rsidRPr="007931F0">
              <w:rPr>
                <w:rFonts w:eastAsia="Calibri"/>
                <w:i/>
                <w:sz w:val="20"/>
              </w:rPr>
              <w:t>Act</w:t>
            </w:r>
            <w:r w:rsidRPr="007931F0">
              <w:rPr>
                <w:rFonts w:eastAsia="Calibri"/>
                <w:sz w:val="20"/>
              </w:rPr>
              <w:t>.  The WCB unsuccessfully challenged Mr. Johnson’s ability to add this new argument, and it ultimately led to Mr. Johnson’s success in multiple proceedings before the British Columbia Supreme Court.  However, the British Columbia Court of Appeal allowed the WCB’s appeal from those decisions, overturned decision 2009 BCSC 877, set aside decision 2009 BCSC 1931, and dismissed the petition.</w:t>
            </w:r>
          </w:p>
          <w:p w:rsidR="00FF3BF5" w:rsidRPr="007931F0" w:rsidRDefault="00FF3BF5" w:rsidP="00D87D9F">
            <w:pPr>
              <w:jc w:val="both"/>
              <w:rPr>
                <w:rFonts w:eastAsia="Calibri"/>
                <w:sz w:val="20"/>
              </w:rPr>
            </w:pPr>
          </w:p>
        </w:tc>
      </w:tr>
      <w:tr w:rsidR="00FF3BF5" w:rsidRPr="007931F0" w:rsidTr="00D87D9F">
        <w:trPr>
          <w:trHeight w:val="810"/>
        </w:trPr>
        <w:tc>
          <w:tcPr>
            <w:tcW w:w="2403" w:type="pct"/>
          </w:tcPr>
          <w:p w:rsidR="00FF3BF5" w:rsidRPr="007931F0" w:rsidRDefault="00FF3BF5" w:rsidP="00D87D9F">
            <w:pPr>
              <w:jc w:val="both"/>
              <w:rPr>
                <w:rFonts w:eastAsia="Calibri"/>
                <w:sz w:val="20"/>
              </w:rPr>
            </w:pPr>
            <w:r w:rsidRPr="007931F0">
              <w:rPr>
                <w:rFonts w:eastAsia="Calibri"/>
                <w:sz w:val="20"/>
              </w:rPr>
              <w:lastRenderedPageBreak/>
              <w:t>July 8, 2005</w:t>
            </w:r>
          </w:p>
          <w:p w:rsidR="00FF3BF5" w:rsidRPr="007931F0" w:rsidRDefault="00FF3BF5" w:rsidP="00D87D9F">
            <w:pPr>
              <w:jc w:val="both"/>
              <w:rPr>
                <w:rFonts w:eastAsia="Calibri"/>
                <w:sz w:val="20"/>
              </w:rPr>
            </w:pPr>
            <w:r w:rsidRPr="007931F0">
              <w:rPr>
                <w:rFonts w:eastAsia="Calibri"/>
                <w:sz w:val="20"/>
              </w:rPr>
              <w:t>Workers’ Compensation Appeal Tribunal</w:t>
            </w:r>
          </w:p>
          <w:p w:rsidR="00FF3BF5" w:rsidRPr="007931F0" w:rsidRDefault="00FF3BF5" w:rsidP="00D87D9F">
            <w:pPr>
              <w:jc w:val="both"/>
              <w:rPr>
                <w:rFonts w:eastAsia="Calibri"/>
                <w:sz w:val="20"/>
              </w:rPr>
            </w:pPr>
            <w:r w:rsidRPr="007931F0">
              <w:rPr>
                <w:rFonts w:eastAsia="Calibri"/>
                <w:sz w:val="20"/>
              </w:rPr>
              <w:t>WCAT-2005-03622-RB</w:t>
            </w:r>
          </w:p>
          <w:p w:rsidR="00FF3BF5" w:rsidRPr="007931F0" w:rsidRDefault="00FF3BF5" w:rsidP="00D87D9F">
            <w:pPr>
              <w:jc w:val="both"/>
              <w:rPr>
                <w:rFonts w:eastAsia="Calibri"/>
                <w:sz w:val="20"/>
              </w:rPr>
            </w:pPr>
          </w:p>
        </w:tc>
        <w:tc>
          <w:tcPr>
            <w:tcW w:w="241" w:type="pct"/>
          </w:tcPr>
          <w:p w:rsidR="00FF3BF5" w:rsidRPr="007931F0" w:rsidRDefault="00FF3BF5" w:rsidP="00D87D9F">
            <w:pPr>
              <w:jc w:val="both"/>
              <w:rPr>
                <w:rFonts w:eastAsia="Calibri"/>
                <w:sz w:val="20"/>
              </w:rPr>
            </w:pPr>
          </w:p>
        </w:tc>
        <w:tc>
          <w:tcPr>
            <w:tcW w:w="2356" w:type="pct"/>
          </w:tcPr>
          <w:p w:rsidR="00FF3BF5" w:rsidRPr="007931F0" w:rsidRDefault="00FF3BF5" w:rsidP="00D87D9F">
            <w:pPr>
              <w:jc w:val="both"/>
              <w:rPr>
                <w:rFonts w:eastAsia="Calibri"/>
                <w:sz w:val="20"/>
              </w:rPr>
            </w:pPr>
            <w:r w:rsidRPr="007931F0">
              <w:rPr>
                <w:rFonts w:eastAsia="Calibri"/>
                <w:sz w:val="20"/>
              </w:rPr>
              <w:t>Applicant’s appeal of decision not to award interest on his retroactive wage-loss benefits, dismissed</w:t>
            </w:r>
          </w:p>
        </w:tc>
      </w:tr>
      <w:tr w:rsidR="00FF3BF5" w:rsidRPr="007931F0" w:rsidTr="00D87D9F">
        <w:trPr>
          <w:trHeight w:val="1053"/>
        </w:trPr>
        <w:tc>
          <w:tcPr>
            <w:tcW w:w="2403" w:type="pct"/>
          </w:tcPr>
          <w:p w:rsidR="00FF3BF5" w:rsidRPr="007931F0" w:rsidRDefault="00FF3BF5" w:rsidP="00D87D9F">
            <w:pPr>
              <w:jc w:val="both"/>
              <w:rPr>
                <w:rFonts w:eastAsia="Calibri"/>
                <w:sz w:val="20"/>
              </w:rPr>
            </w:pPr>
            <w:r w:rsidRPr="007931F0">
              <w:rPr>
                <w:rFonts w:eastAsia="Calibri"/>
                <w:sz w:val="20"/>
              </w:rPr>
              <w:t>July 2, 2009</w:t>
            </w:r>
          </w:p>
          <w:p w:rsidR="00FF3BF5" w:rsidRPr="007931F0" w:rsidRDefault="00FF3BF5" w:rsidP="00D87D9F">
            <w:pPr>
              <w:jc w:val="both"/>
              <w:rPr>
                <w:rFonts w:eastAsia="Calibri"/>
                <w:sz w:val="20"/>
              </w:rPr>
            </w:pPr>
            <w:r w:rsidRPr="007931F0">
              <w:rPr>
                <w:rFonts w:eastAsia="Calibri"/>
                <w:sz w:val="20"/>
              </w:rPr>
              <w:t>Supreme Court of British Columbia</w:t>
            </w:r>
          </w:p>
          <w:p w:rsidR="00FF3BF5" w:rsidRPr="007931F0" w:rsidRDefault="00FF3BF5" w:rsidP="00D87D9F">
            <w:pPr>
              <w:jc w:val="both"/>
              <w:rPr>
                <w:rFonts w:eastAsia="Calibri"/>
                <w:sz w:val="20"/>
              </w:rPr>
            </w:pPr>
            <w:r w:rsidRPr="007931F0">
              <w:rPr>
                <w:rFonts w:eastAsia="Calibri"/>
                <w:sz w:val="20"/>
              </w:rPr>
              <w:t>(Gray J.)</w:t>
            </w:r>
          </w:p>
          <w:p w:rsidR="00FF3BF5" w:rsidRPr="007931F0" w:rsidRDefault="00FF3BF5" w:rsidP="00D87D9F">
            <w:pPr>
              <w:jc w:val="both"/>
              <w:rPr>
                <w:rFonts w:eastAsia="Calibri"/>
                <w:sz w:val="20"/>
              </w:rPr>
            </w:pPr>
            <w:r w:rsidRPr="007931F0">
              <w:rPr>
                <w:rFonts w:eastAsia="Calibri"/>
                <w:sz w:val="20"/>
              </w:rPr>
              <w:t>2009 BCSC 877</w:t>
            </w:r>
          </w:p>
          <w:p w:rsidR="00FF3BF5" w:rsidRPr="007931F0" w:rsidRDefault="00FF3BF5" w:rsidP="00D87D9F">
            <w:pPr>
              <w:jc w:val="both"/>
              <w:rPr>
                <w:rFonts w:eastAsia="Calibri"/>
                <w:sz w:val="20"/>
              </w:rPr>
            </w:pPr>
          </w:p>
        </w:tc>
        <w:tc>
          <w:tcPr>
            <w:tcW w:w="241" w:type="pct"/>
          </w:tcPr>
          <w:p w:rsidR="00FF3BF5" w:rsidRPr="007931F0" w:rsidRDefault="00FF3BF5" w:rsidP="00D87D9F">
            <w:pPr>
              <w:jc w:val="both"/>
              <w:rPr>
                <w:rFonts w:eastAsia="Calibri"/>
                <w:sz w:val="20"/>
              </w:rPr>
            </w:pPr>
          </w:p>
        </w:tc>
        <w:tc>
          <w:tcPr>
            <w:tcW w:w="2356" w:type="pct"/>
          </w:tcPr>
          <w:p w:rsidR="00FF3BF5" w:rsidRPr="007931F0" w:rsidRDefault="00FF3BF5" w:rsidP="00D87D9F">
            <w:pPr>
              <w:jc w:val="both"/>
              <w:rPr>
                <w:rFonts w:eastAsia="Calibri"/>
                <w:sz w:val="20"/>
              </w:rPr>
            </w:pPr>
            <w:r w:rsidRPr="007931F0">
              <w:rPr>
                <w:rFonts w:eastAsia="Calibri"/>
                <w:sz w:val="20"/>
              </w:rPr>
              <w:t>WCB’s application to strike out new ground (that the new interest policy is contrary to s. 5 of the Act) from applicant’s petition for judicial review, dismissed</w:t>
            </w:r>
          </w:p>
        </w:tc>
      </w:tr>
      <w:tr w:rsidR="00FF3BF5" w:rsidRPr="007931F0" w:rsidTr="00D87D9F">
        <w:tc>
          <w:tcPr>
            <w:tcW w:w="2403" w:type="pct"/>
          </w:tcPr>
          <w:p w:rsidR="00FF3BF5" w:rsidRPr="007931F0" w:rsidRDefault="00FF3BF5" w:rsidP="00D87D9F">
            <w:pPr>
              <w:jc w:val="both"/>
              <w:rPr>
                <w:rFonts w:eastAsia="Calibri"/>
                <w:sz w:val="20"/>
              </w:rPr>
            </w:pPr>
            <w:r w:rsidRPr="007931F0">
              <w:rPr>
                <w:rFonts w:eastAsia="Calibri"/>
                <w:sz w:val="20"/>
              </w:rPr>
              <w:t>September 9, 2009</w:t>
            </w:r>
          </w:p>
          <w:p w:rsidR="00FF3BF5" w:rsidRPr="007931F0" w:rsidRDefault="00FF3BF5" w:rsidP="00D87D9F">
            <w:pPr>
              <w:jc w:val="both"/>
              <w:rPr>
                <w:rFonts w:eastAsia="Calibri"/>
                <w:sz w:val="20"/>
              </w:rPr>
            </w:pPr>
            <w:r w:rsidRPr="007931F0">
              <w:rPr>
                <w:rFonts w:eastAsia="Calibri"/>
                <w:sz w:val="20"/>
              </w:rPr>
              <w:t>Supreme Court of British Columbia</w:t>
            </w:r>
          </w:p>
          <w:p w:rsidR="00FF3BF5" w:rsidRPr="007931F0" w:rsidRDefault="00FF3BF5" w:rsidP="00D87D9F">
            <w:pPr>
              <w:jc w:val="both"/>
              <w:rPr>
                <w:rFonts w:eastAsia="Calibri"/>
                <w:sz w:val="20"/>
              </w:rPr>
            </w:pPr>
            <w:r w:rsidRPr="007931F0">
              <w:rPr>
                <w:rFonts w:eastAsia="Calibri"/>
                <w:sz w:val="20"/>
              </w:rPr>
              <w:t>(Gray J.)</w:t>
            </w:r>
          </w:p>
          <w:p w:rsidR="00FF3BF5" w:rsidRPr="007931F0" w:rsidRDefault="00FF3BF5" w:rsidP="00D87D9F">
            <w:pPr>
              <w:jc w:val="both"/>
              <w:rPr>
                <w:rFonts w:eastAsia="Calibri"/>
                <w:sz w:val="20"/>
              </w:rPr>
            </w:pPr>
            <w:r w:rsidRPr="007931F0">
              <w:rPr>
                <w:rFonts w:eastAsia="Calibri"/>
                <w:sz w:val="20"/>
              </w:rPr>
              <w:t>2009 BCSC 1931</w:t>
            </w:r>
          </w:p>
          <w:p w:rsidR="00FF3BF5" w:rsidRPr="007931F0" w:rsidRDefault="00FF3BF5" w:rsidP="00D87D9F">
            <w:pPr>
              <w:jc w:val="both"/>
              <w:rPr>
                <w:rFonts w:eastAsia="Calibri"/>
                <w:sz w:val="20"/>
              </w:rPr>
            </w:pPr>
          </w:p>
        </w:tc>
        <w:tc>
          <w:tcPr>
            <w:tcW w:w="241" w:type="pct"/>
          </w:tcPr>
          <w:p w:rsidR="00FF3BF5" w:rsidRPr="007931F0" w:rsidRDefault="00FF3BF5" w:rsidP="00D87D9F">
            <w:pPr>
              <w:jc w:val="both"/>
              <w:rPr>
                <w:rFonts w:eastAsia="Calibri"/>
                <w:sz w:val="20"/>
              </w:rPr>
            </w:pPr>
          </w:p>
        </w:tc>
        <w:tc>
          <w:tcPr>
            <w:tcW w:w="2356" w:type="pct"/>
          </w:tcPr>
          <w:p w:rsidR="00FF3BF5" w:rsidRPr="007931F0" w:rsidRDefault="00FF3BF5" w:rsidP="00D87D9F">
            <w:pPr>
              <w:jc w:val="both"/>
              <w:rPr>
                <w:rFonts w:eastAsia="Calibri"/>
                <w:sz w:val="20"/>
              </w:rPr>
            </w:pPr>
            <w:r w:rsidRPr="007931F0">
              <w:rPr>
                <w:rFonts w:eastAsia="Calibri"/>
                <w:sz w:val="20"/>
              </w:rPr>
              <w:t>Petition granted; New interest policy to be remitted to the WCB for reconsideration in light of the reasons for judgment in 2007 BCSC 1410 and 2009 BCSC 1931</w:t>
            </w:r>
          </w:p>
        </w:tc>
      </w:tr>
      <w:tr w:rsidR="00FF3BF5" w:rsidRPr="007931F0" w:rsidTr="00D87D9F">
        <w:trPr>
          <w:trHeight w:val="20"/>
        </w:trPr>
        <w:tc>
          <w:tcPr>
            <w:tcW w:w="2403" w:type="pct"/>
          </w:tcPr>
          <w:p w:rsidR="00FF3BF5" w:rsidRPr="007931F0" w:rsidRDefault="00FF3BF5" w:rsidP="00D87D9F">
            <w:pPr>
              <w:jc w:val="both"/>
              <w:rPr>
                <w:rFonts w:eastAsia="Calibri"/>
                <w:sz w:val="20"/>
              </w:rPr>
            </w:pPr>
            <w:r w:rsidRPr="007931F0">
              <w:rPr>
                <w:rFonts w:eastAsia="Calibri"/>
                <w:sz w:val="20"/>
              </w:rPr>
              <w:t>June 2, 2011</w:t>
            </w:r>
          </w:p>
          <w:p w:rsidR="00FF3BF5" w:rsidRPr="007931F0" w:rsidRDefault="00FF3BF5" w:rsidP="00D87D9F">
            <w:pPr>
              <w:jc w:val="both"/>
              <w:rPr>
                <w:rFonts w:eastAsia="Calibri"/>
                <w:sz w:val="20"/>
              </w:rPr>
            </w:pPr>
            <w:r w:rsidRPr="007931F0">
              <w:rPr>
                <w:rFonts w:eastAsia="Calibri"/>
                <w:sz w:val="20"/>
              </w:rPr>
              <w:t>Court of Appeal for British Columbia (Vancouver)</w:t>
            </w:r>
          </w:p>
          <w:p w:rsidR="00FF3BF5" w:rsidRPr="007931F0" w:rsidRDefault="00FF3BF5" w:rsidP="00D87D9F">
            <w:pPr>
              <w:jc w:val="both"/>
              <w:rPr>
                <w:rFonts w:eastAsia="Calibri"/>
                <w:sz w:val="20"/>
              </w:rPr>
            </w:pPr>
            <w:r w:rsidRPr="007931F0">
              <w:rPr>
                <w:rFonts w:eastAsia="Calibri"/>
                <w:sz w:val="20"/>
              </w:rPr>
              <w:t>(Ryan, Low and Neilson JJ.A.)</w:t>
            </w:r>
          </w:p>
          <w:p w:rsidR="00FF3BF5" w:rsidRPr="007931F0" w:rsidRDefault="00FF3BF5" w:rsidP="00D87D9F">
            <w:pPr>
              <w:jc w:val="both"/>
              <w:rPr>
                <w:rFonts w:eastAsia="Calibri"/>
                <w:sz w:val="20"/>
              </w:rPr>
            </w:pPr>
            <w:r w:rsidRPr="007931F0">
              <w:rPr>
                <w:rFonts w:eastAsia="Calibri"/>
                <w:sz w:val="20"/>
              </w:rPr>
              <w:t>2011 BCCA 255</w:t>
            </w:r>
          </w:p>
          <w:p w:rsidR="00FF3BF5" w:rsidRPr="007931F0" w:rsidRDefault="00FF3BF5" w:rsidP="00D87D9F">
            <w:pPr>
              <w:jc w:val="both"/>
              <w:rPr>
                <w:rFonts w:eastAsia="Calibri"/>
                <w:sz w:val="20"/>
              </w:rPr>
            </w:pPr>
          </w:p>
        </w:tc>
        <w:tc>
          <w:tcPr>
            <w:tcW w:w="241" w:type="pct"/>
          </w:tcPr>
          <w:p w:rsidR="00FF3BF5" w:rsidRPr="007931F0" w:rsidRDefault="00FF3BF5" w:rsidP="00D87D9F">
            <w:pPr>
              <w:jc w:val="both"/>
              <w:rPr>
                <w:rFonts w:eastAsia="Calibri"/>
                <w:sz w:val="20"/>
              </w:rPr>
            </w:pPr>
          </w:p>
        </w:tc>
        <w:tc>
          <w:tcPr>
            <w:tcW w:w="2356" w:type="pct"/>
          </w:tcPr>
          <w:p w:rsidR="00FF3BF5" w:rsidRPr="007931F0" w:rsidRDefault="00FF3BF5" w:rsidP="00D87D9F">
            <w:pPr>
              <w:jc w:val="both"/>
              <w:rPr>
                <w:rFonts w:eastAsia="Calibri"/>
                <w:sz w:val="20"/>
              </w:rPr>
            </w:pPr>
            <w:r w:rsidRPr="007931F0">
              <w:rPr>
                <w:rFonts w:eastAsia="Calibri"/>
                <w:sz w:val="20"/>
              </w:rPr>
              <w:t>Appeal allowed; Order from 2009 BCSC 877 overturned; Order from 2009 BCSC 1931 decision set aside,  petition dismissed</w:t>
            </w:r>
          </w:p>
        </w:tc>
      </w:tr>
      <w:tr w:rsidR="00FF3BF5" w:rsidRPr="007931F0" w:rsidTr="00D87D9F">
        <w:tc>
          <w:tcPr>
            <w:tcW w:w="2403" w:type="pct"/>
          </w:tcPr>
          <w:p w:rsidR="00FF3BF5" w:rsidRPr="007931F0" w:rsidRDefault="00FF3BF5" w:rsidP="00D87D9F">
            <w:pPr>
              <w:jc w:val="both"/>
              <w:rPr>
                <w:rFonts w:eastAsia="Calibri"/>
                <w:sz w:val="20"/>
              </w:rPr>
            </w:pPr>
            <w:r w:rsidRPr="007931F0">
              <w:rPr>
                <w:rFonts w:eastAsia="Calibri"/>
                <w:sz w:val="20"/>
              </w:rPr>
              <w:t>July 18, 2011</w:t>
            </w:r>
          </w:p>
          <w:p w:rsidR="00FF3BF5" w:rsidRPr="007931F0" w:rsidRDefault="00FF3BF5" w:rsidP="00D87D9F">
            <w:pPr>
              <w:jc w:val="both"/>
              <w:rPr>
                <w:rFonts w:eastAsia="Calibri"/>
                <w:sz w:val="20"/>
              </w:rPr>
            </w:pPr>
            <w:r w:rsidRPr="007931F0">
              <w:rPr>
                <w:rFonts w:eastAsia="Calibri"/>
                <w:sz w:val="20"/>
              </w:rPr>
              <w:t>Supreme Court of Canada</w:t>
            </w:r>
          </w:p>
        </w:tc>
        <w:tc>
          <w:tcPr>
            <w:tcW w:w="241" w:type="pct"/>
          </w:tcPr>
          <w:p w:rsidR="00FF3BF5" w:rsidRPr="007931F0" w:rsidRDefault="00FF3BF5" w:rsidP="00D87D9F">
            <w:pPr>
              <w:jc w:val="both"/>
              <w:rPr>
                <w:rFonts w:eastAsia="Calibri"/>
                <w:sz w:val="20"/>
              </w:rPr>
            </w:pPr>
          </w:p>
        </w:tc>
        <w:tc>
          <w:tcPr>
            <w:tcW w:w="2356" w:type="pct"/>
          </w:tcPr>
          <w:p w:rsidR="00FF3BF5" w:rsidRPr="007931F0" w:rsidRDefault="00FF3BF5" w:rsidP="00D87D9F">
            <w:pPr>
              <w:jc w:val="both"/>
              <w:rPr>
                <w:rFonts w:eastAsia="Calibri"/>
                <w:sz w:val="20"/>
              </w:rPr>
            </w:pPr>
            <w:r w:rsidRPr="007931F0">
              <w:rPr>
                <w:rFonts w:eastAsia="Calibri"/>
                <w:sz w:val="20"/>
              </w:rPr>
              <w:t>Application for leave to appeal filed</w:t>
            </w:r>
          </w:p>
        </w:tc>
      </w:tr>
    </w:tbl>
    <w:p w:rsidR="00BF1FA7" w:rsidRDefault="00BF1FA7" w:rsidP="00BF1FA7">
      <w:pPr>
        <w:rPr>
          <w:sz w:val="20"/>
          <w:szCs w:val="20"/>
        </w:rPr>
      </w:pPr>
    </w:p>
    <w:p w:rsidR="00BF1FA7" w:rsidRDefault="00BF59B3" w:rsidP="00BF1FA7">
      <w:pPr>
        <w:rPr>
          <w:sz w:val="20"/>
          <w:szCs w:val="20"/>
        </w:rPr>
      </w:pPr>
      <w:r w:rsidRPr="00BF59B3">
        <w:rPr>
          <w:sz w:val="20"/>
          <w:szCs w:val="20"/>
          <w:lang w:val="fr-CA"/>
        </w:rPr>
        <w:pict>
          <v:rect id="_x0000_i1044" style="width:2in;height:1pt" o:hrpct="0" o:hralign="center" o:hrstd="t" o:hrnoshade="t" o:hr="t" fillcolor="black [3213]" stroked="f"/>
        </w:pict>
      </w:r>
    </w:p>
    <w:p w:rsidR="00BF1FA7" w:rsidRDefault="00BF1FA7" w:rsidP="00BF1FA7">
      <w:pPr>
        <w:rPr>
          <w:sz w:val="20"/>
          <w:szCs w:val="20"/>
        </w:rPr>
      </w:pPr>
    </w:p>
    <w:p w:rsidR="00BF1FA7" w:rsidRPr="001B157C" w:rsidRDefault="00BF1FA7" w:rsidP="00BF1FA7">
      <w:pPr>
        <w:rPr>
          <w:sz w:val="20"/>
          <w:szCs w:val="20"/>
          <w:u w:val="single"/>
          <w:lang w:val="fr-CA"/>
        </w:rPr>
      </w:pPr>
      <w:r w:rsidRPr="001B157C">
        <w:rPr>
          <w:sz w:val="20"/>
          <w:szCs w:val="20"/>
          <w:u w:val="single"/>
          <w:lang w:val="fr-CA"/>
        </w:rPr>
        <w:t>RÉSUMÉ DE L’AFFAIRE</w:t>
      </w:r>
    </w:p>
    <w:p w:rsidR="00BF1FA7" w:rsidRDefault="00BF1FA7" w:rsidP="00BF1FA7">
      <w:pPr>
        <w:rPr>
          <w:sz w:val="20"/>
          <w:szCs w:val="20"/>
        </w:rPr>
      </w:pPr>
    </w:p>
    <w:tbl>
      <w:tblPr>
        <w:tblW w:w="5000" w:type="pct"/>
        <w:tblLayout w:type="fixed"/>
        <w:tblCellMar>
          <w:left w:w="0" w:type="dxa"/>
          <w:bottom w:w="99" w:type="dxa"/>
          <w:right w:w="0" w:type="dxa"/>
        </w:tblCellMar>
        <w:tblLook w:val="04A0"/>
      </w:tblPr>
      <w:tblGrid>
        <w:gridCol w:w="4623"/>
        <w:gridCol w:w="464"/>
        <w:gridCol w:w="4532"/>
      </w:tblGrid>
      <w:tr w:rsidR="00FF3BF5" w:rsidRPr="00A6632B" w:rsidTr="00D87D9F">
        <w:tc>
          <w:tcPr>
            <w:tcW w:w="5000" w:type="pct"/>
            <w:gridSpan w:val="3"/>
          </w:tcPr>
          <w:p w:rsidR="00FF3BF5" w:rsidRPr="007931F0" w:rsidRDefault="00FF3BF5" w:rsidP="00D87D9F">
            <w:pPr>
              <w:jc w:val="both"/>
              <w:rPr>
                <w:rFonts w:eastAsia="Calibri"/>
                <w:sz w:val="20"/>
                <w:lang w:val="fr-CA"/>
              </w:rPr>
            </w:pPr>
            <w:r w:rsidRPr="007931F0">
              <w:rPr>
                <w:rFonts w:eastAsia="Calibri"/>
                <w:sz w:val="20"/>
                <w:lang w:val="fr-CA"/>
              </w:rPr>
              <w:t xml:space="preserve">Droit administratif – Contrôle judiciaire – Le requérant soulève pour la première fois en contrôle judiciaire la question de savoir si la nouvelle politique en matière d’intérêt de la Workers’ Compensation Board (la « WCB ») contrevient à la </w:t>
            </w:r>
            <w:r w:rsidRPr="007931F0">
              <w:rPr>
                <w:rFonts w:eastAsia="Calibri"/>
                <w:i/>
                <w:sz w:val="20"/>
                <w:lang w:val="fr-CA"/>
              </w:rPr>
              <w:t>Workers’ Compensation Act</w:t>
            </w:r>
            <w:r w:rsidRPr="007931F0">
              <w:rPr>
                <w:rFonts w:eastAsia="Calibri"/>
                <w:sz w:val="20"/>
                <w:lang w:val="fr-CA"/>
              </w:rPr>
              <w:t>, R.S.B.C. 1996, ch. 492 (la « </w:t>
            </w:r>
            <w:r w:rsidRPr="007931F0">
              <w:rPr>
                <w:rFonts w:eastAsia="Calibri"/>
                <w:i/>
                <w:sz w:val="20"/>
                <w:lang w:val="fr-CA"/>
              </w:rPr>
              <w:t>Loi</w:t>
            </w:r>
            <w:r w:rsidRPr="007931F0">
              <w:rPr>
                <w:rFonts w:eastAsia="Calibri"/>
                <w:sz w:val="20"/>
                <w:lang w:val="fr-CA"/>
              </w:rPr>
              <w:t> ») – Le tribunal d’appel conclut que la juge en cabinet avait tenu compte de facteurs non pertinents dans l’exercice de son pouvoir discrétionnaire d’accueillir la demande de contrôle judiciaire d’un requérant qui n’avait pas épuisé les recours internes devant un tribunal administratif – Le tribunal d’appel a-t-il commis une erreur en concluant que le demandeur devait soumettre la nouvelle question devant le Workers’ Compensation Appeal Tribunal (le « WCAT ») avant de présenter une demande de contrôle judiciaire?</w:t>
            </w:r>
          </w:p>
        </w:tc>
      </w:tr>
      <w:tr w:rsidR="00FF3BF5" w:rsidRPr="00A6632B" w:rsidTr="00D87D9F">
        <w:trPr>
          <w:trHeight w:val="270"/>
        </w:trPr>
        <w:tc>
          <w:tcPr>
            <w:tcW w:w="5000" w:type="pct"/>
            <w:gridSpan w:val="3"/>
          </w:tcPr>
          <w:p w:rsidR="00FF3BF5" w:rsidRPr="007931F0" w:rsidRDefault="00FF3BF5" w:rsidP="00D87D9F">
            <w:pPr>
              <w:jc w:val="both"/>
              <w:rPr>
                <w:rFonts w:eastAsia="Calibri"/>
                <w:sz w:val="20"/>
                <w:lang w:val="fr-CA"/>
              </w:rPr>
            </w:pPr>
          </w:p>
        </w:tc>
      </w:tr>
      <w:tr w:rsidR="00FF3BF5" w:rsidRPr="00A6632B" w:rsidTr="00D87D9F">
        <w:tc>
          <w:tcPr>
            <w:tcW w:w="5000" w:type="pct"/>
            <w:gridSpan w:val="3"/>
          </w:tcPr>
          <w:p w:rsidR="00FF3BF5" w:rsidRPr="007931F0" w:rsidRDefault="00FF3BF5" w:rsidP="00D87D9F">
            <w:pPr>
              <w:jc w:val="both"/>
              <w:rPr>
                <w:rFonts w:eastAsia="Calibri"/>
                <w:sz w:val="20"/>
                <w:lang w:val="fr-CA"/>
              </w:rPr>
            </w:pPr>
            <w:r w:rsidRPr="007931F0">
              <w:rPr>
                <w:rFonts w:eastAsia="Calibri"/>
                <w:sz w:val="20"/>
                <w:lang w:val="fr-CA"/>
              </w:rPr>
              <w:t xml:space="preserve">Le demandeur a été blessé lors d’un accident de travail qui s’est produit en 1985 et a reçu des prestations de la WCB.  Quatorze ans plus tard, il a subi une intervention chirurgicale et s’est ultérieurement vu accorder d’autres prestations au motif que l’intervention chirurgicale découlait de l’accident survenu en 1985.  Toutefois, en raison d’une nouvelle politique adoptée par le conseil d’administration de la WCB, le demandeur n’a reçu aucun intérêt relativement à ses prestations rétroactives d’assurance-salaire.  Il a contesté sans succès devant la WCAT la décision de ne lui verser aucun intérêt au motif que la nouvelle politique en matière d’intérêt ne pouvait pas être appliquée rétroactivement.  Dans sa demande de contrôle judiciaire, le demandeur a soulevé pour la première fois le motif que la nouvelle politique en matière d’intérêt contrevenait à l’art. 5 de la </w:t>
            </w:r>
            <w:r w:rsidRPr="007931F0">
              <w:rPr>
                <w:rFonts w:eastAsia="Calibri"/>
                <w:i/>
                <w:sz w:val="20"/>
                <w:lang w:val="fr-CA"/>
              </w:rPr>
              <w:t>Loi</w:t>
            </w:r>
            <w:r w:rsidRPr="007931F0">
              <w:rPr>
                <w:rFonts w:eastAsia="Calibri"/>
                <w:sz w:val="20"/>
                <w:lang w:val="fr-CA"/>
              </w:rPr>
              <w:t>.  La WCB a contesté sans succès la possibilité que M. Johnson ajoute ce nouvel argument et c’est ainsi que M. Johnson a finalement eu gain de cause dans de nombreuses instances devant la Cour suprême de la Colombie-Britannique.  Toutefois, la Cour d’appel de la Colombie-Britannique a accueilli l’appel interjeté par la WCB à l’encontre de ces décisions, a infirmé la décision rendue dans 2009 BCSC 877, a annulé la décision rendue dans 2009 BCSC 1931,et a rejeté la demande de contrôle judiciaire.</w:t>
            </w:r>
          </w:p>
          <w:p w:rsidR="00FF3BF5" w:rsidRPr="007931F0" w:rsidRDefault="00FF3BF5" w:rsidP="00D87D9F">
            <w:pPr>
              <w:jc w:val="both"/>
              <w:rPr>
                <w:rFonts w:eastAsia="Calibri"/>
                <w:sz w:val="20"/>
                <w:lang w:val="fr-CA"/>
              </w:rPr>
            </w:pPr>
          </w:p>
        </w:tc>
      </w:tr>
      <w:tr w:rsidR="00FF3BF5" w:rsidRPr="00A6632B" w:rsidTr="00D87D9F">
        <w:trPr>
          <w:trHeight w:val="810"/>
        </w:trPr>
        <w:tc>
          <w:tcPr>
            <w:tcW w:w="2403" w:type="pct"/>
          </w:tcPr>
          <w:p w:rsidR="00FF3BF5" w:rsidRPr="007931F0" w:rsidRDefault="00FF3BF5" w:rsidP="00D87D9F">
            <w:pPr>
              <w:jc w:val="both"/>
              <w:rPr>
                <w:rFonts w:eastAsia="Calibri"/>
                <w:sz w:val="20"/>
                <w:lang w:val="fr-CA"/>
              </w:rPr>
            </w:pPr>
            <w:r w:rsidRPr="007931F0">
              <w:rPr>
                <w:rFonts w:eastAsia="Calibri"/>
                <w:sz w:val="20"/>
                <w:lang w:val="fr-CA"/>
              </w:rPr>
              <w:t>8 juillet 2005</w:t>
            </w:r>
          </w:p>
          <w:p w:rsidR="00FF3BF5" w:rsidRPr="007931F0" w:rsidRDefault="00FF3BF5" w:rsidP="00D87D9F">
            <w:pPr>
              <w:jc w:val="both"/>
              <w:rPr>
                <w:rFonts w:eastAsia="Calibri"/>
                <w:sz w:val="20"/>
                <w:lang w:val="fr-CA"/>
              </w:rPr>
            </w:pPr>
            <w:r w:rsidRPr="007931F0">
              <w:rPr>
                <w:rFonts w:eastAsia="Calibri"/>
                <w:sz w:val="20"/>
                <w:lang w:val="fr-CA"/>
              </w:rPr>
              <w:t>Workers’ Compensation Appeal Tribunal</w:t>
            </w:r>
          </w:p>
          <w:p w:rsidR="00FF3BF5" w:rsidRPr="007931F0" w:rsidRDefault="00FF3BF5" w:rsidP="00D87D9F">
            <w:pPr>
              <w:jc w:val="both"/>
              <w:rPr>
                <w:rFonts w:eastAsia="Calibri"/>
                <w:sz w:val="20"/>
                <w:lang w:val="fr-CA"/>
              </w:rPr>
            </w:pPr>
            <w:r w:rsidRPr="007931F0">
              <w:rPr>
                <w:rFonts w:eastAsia="Calibri"/>
                <w:sz w:val="20"/>
                <w:lang w:val="fr-CA"/>
              </w:rPr>
              <w:t>WCAT-2005-03622-RB</w:t>
            </w:r>
          </w:p>
        </w:tc>
        <w:tc>
          <w:tcPr>
            <w:tcW w:w="241" w:type="pct"/>
          </w:tcPr>
          <w:p w:rsidR="00FF3BF5" w:rsidRPr="007931F0" w:rsidRDefault="00FF3BF5" w:rsidP="00D87D9F">
            <w:pPr>
              <w:jc w:val="both"/>
              <w:rPr>
                <w:rFonts w:eastAsia="Calibri"/>
                <w:sz w:val="20"/>
                <w:lang w:val="fr-CA"/>
              </w:rPr>
            </w:pPr>
          </w:p>
        </w:tc>
        <w:tc>
          <w:tcPr>
            <w:tcW w:w="2356" w:type="pct"/>
          </w:tcPr>
          <w:p w:rsidR="00FF3BF5" w:rsidRPr="007931F0" w:rsidRDefault="00FF3BF5" w:rsidP="00D87D9F">
            <w:pPr>
              <w:jc w:val="both"/>
              <w:rPr>
                <w:rFonts w:eastAsia="Calibri"/>
                <w:sz w:val="20"/>
                <w:lang w:val="fr-CA"/>
              </w:rPr>
            </w:pPr>
            <w:r w:rsidRPr="007931F0">
              <w:rPr>
                <w:rFonts w:eastAsia="Calibri"/>
                <w:sz w:val="20"/>
                <w:lang w:val="fr-CA"/>
              </w:rPr>
              <w:t>Appel interjeté par le demandeur à l’encontre de la décision de ne lui accorder aucun intérêt relativement à ses prestations rétroactives d’assurance-salaire, rejeté</w:t>
            </w:r>
          </w:p>
          <w:p w:rsidR="00FF3BF5" w:rsidRPr="007931F0" w:rsidRDefault="00FF3BF5" w:rsidP="00D87D9F">
            <w:pPr>
              <w:jc w:val="both"/>
              <w:rPr>
                <w:rFonts w:eastAsia="Calibri"/>
                <w:sz w:val="20"/>
                <w:lang w:val="fr-CA"/>
              </w:rPr>
            </w:pPr>
          </w:p>
        </w:tc>
      </w:tr>
      <w:tr w:rsidR="00FF3BF5" w:rsidRPr="00A6632B" w:rsidTr="00D87D9F">
        <w:trPr>
          <w:trHeight w:val="1053"/>
        </w:trPr>
        <w:tc>
          <w:tcPr>
            <w:tcW w:w="2403" w:type="pct"/>
          </w:tcPr>
          <w:p w:rsidR="00FF3BF5" w:rsidRPr="007931F0" w:rsidRDefault="00FF3BF5" w:rsidP="00D87D9F">
            <w:pPr>
              <w:jc w:val="both"/>
              <w:rPr>
                <w:rFonts w:eastAsia="Calibri"/>
                <w:sz w:val="20"/>
                <w:lang w:val="fr-CA"/>
              </w:rPr>
            </w:pPr>
            <w:r w:rsidRPr="007931F0">
              <w:rPr>
                <w:rFonts w:eastAsia="Calibri"/>
                <w:sz w:val="20"/>
                <w:lang w:val="fr-CA"/>
              </w:rPr>
              <w:lastRenderedPageBreak/>
              <w:t>2 juillet 2009</w:t>
            </w:r>
          </w:p>
          <w:p w:rsidR="00FF3BF5" w:rsidRPr="007931F0" w:rsidRDefault="00FF3BF5" w:rsidP="00D87D9F">
            <w:pPr>
              <w:jc w:val="both"/>
              <w:rPr>
                <w:rFonts w:eastAsia="Calibri"/>
                <w:sz w:val="20"/>
                <w:lang w:val="fr-CA"/>
              </w:rPr>
            </w:pPr>
            <w:r w:rsidRPr="007931F0">
              <w:rPr>
                <w:rFonts w:eastAsia="Calibri"/>
                <w:sz w:val="20"/>
                <w:lang w:val="fr-CA"/>
              </w:rPr>
              <w:t>Cour suprême de la Colombie</w:t>
            </w:r>
            <w:r w:rsidRPr="007931F0">
              <w:rPr>
                <w:rFonts w:eastAsia="Calibri"/>
                <w:sz w:val="20"/>
                <w:lang w:val="fr-CA"/>
              </w:rPr>
              <w:noBreakHyphen/>
              <w:t>Britannique</w:t>
            </w:r>
          </w:p>
          <w:p w:rsidR="00FF3BF5" w:rsidRPr="007931F0" w:rsidRDefault="00FF3BF5" w:rsidP="00D87D9F">
            <w:pPr>
              <w:jc w:val="both"/>
              <w:rPr>
                <w:rFonts w:eastAsia="Calibri"/>
                <w:sz w:val="20"/>
                <w:lang w:val="fr-CA"/>
              </w:rPr>
            </w:pPr>
            <w:r w:rsidRPr="007931F0">
              <w:rPr>
                <w:rFonts w:eastAsia="Calibri"/>
                <w:sz w:val="20"/>
                <w:lang w:val="fr-CA"/>
              </w:rPr>
              <w:t>(Juge Gray)</w:t>
            </w:r>
          </w:p>
          <w:p w:rsidR="00FF3BF5" w:rsidRPr="007931F0" w:rsidRDefault="00FF3BF5" w:rsidP="00D87D9F">
            <w:pPr>
              <w:jc w:val="both"/>
              <w:rPr>
                <w:rFonts w:eastAsia="Calibri"/>
                <w:sz w:val="20"/>
                <w:lang w:val="fr-CA"/>
              </w:rPr>
            </w:pPr>
            <w:r w:rsidRPr="007931F0">
              <w:rPr>
                <w:rFonts w:eastAsia="Calibri"/>
                <w:sz w:val="20"/>
                <w:lang w:val="fr-CA"/>
              </w:rPr>
              <w:t>2009 BCSC 877</w:t>
            </w:r>
          </w:p>
          <w:p w:rsidR="00FF3BF5" w:rsidRPr="007931F0" w:rsidRDefault="00FF3BF5" w:rsidP="00D87D9F">
            <w:pPr>
              <w:jc w:val="both"/>
              <w:rPr>
                <w:rFonts w:eastAsia="Calibri"/>
                <w:sz w:val="20"/>
                <w:lang w:val="fr-CA"/>
              </w:rPr>
            </w:pPr>
          </w:p>
        </w:tc>
        <w:tc>
          <w:tcPr>
            <w:tcW w:w="241" w:type="pct"/>
          </w:tcPr>
          <w:p w:rsidR="00FF3BF5" w:rsidRPr="007931F0" w:rsidRDefault="00FF3BF5" w:rsidP="00D87D9F">
            <w:pPr>
              <w:jc w:val="both"/>
              <w:rPr>
                <w:rFonts w:eastAsia="Calibri"/>
                <w:sz w:val="20"/>
                <w:lang w:val="fr-CA"/>
              </w:rPr>
            </w:pPr>
          </w:p>
        </w:tc>
        <w:tc>
          <w:tcPr>
            <w:tcW w:w="2356" w:type="pct"/>
          </w:tcPr>
          <w:p w:rsidR="00FF3BF5" w:rsidRPr="007931F0" w:rsidRDefault="00FF3BF5" w:rsidP="00D87D9F">
            <w:pPr>
              <w:jc w:val="both"/>
              <w:rPr>
                <w:rFonts w:eastAsia="Calibri"/>
                <w:sz w:val="20"/>
                <w:lang w:val="fr-CA"/>
              </w:rPr>
            </w:pPr>
            <w:r w:rsidRPr="007931F0">
              <w:rPr>
                <w:rFonts w:eastAsia="Calibri"/>
                <w:sz w:val="20"/>
                <w:lang w:val="fr-CA"/>
              </w:rPr>
              <w:t xml:space="preserve">Demande de radiation d’un nouveau motif (la nouvelle politique en matière d’intérêt contrevient à l’art. 5 de la </w:t>
            </w:r>
            <w:r w:rsidRPr="007931F0">
              <w:rPr>
                <w:rFonts w:eastAsia="Calibri"/>
                <w:i/>
                <w:sz w:val="20"/>
                <w:lang w:val="fr-CA"/>
              </w:rPr>
              <w:t>Loi</w:t>
            </w:r>
            <w:r w:rsidRPr="007931F0">
              <w:rPr>
                <w:rFonts w:eastAsia="Calibri"/>
                <w:sz w:val="20"/>
                <w:lang w:val="fr-CA"/>
              </w:rPr>
              <w:t>) de la demande de contrôle judiciaire du demandeur présentée par la WCB, rejetée</w:t>
            </w:r>
          </w:p>
        </w:tc>
      </w:tr>
      <w:tr w:rsidR="00FF3BF5" w:rsidRPr="00A6632B" w:rsidTr="00D87D9F">
        <w:tc>
          <w:tcPr>
            <w:tcW w:w="2403" w:type="pct"/>
          </w:tcPr>
          <w:p w:rsidR="00FF3BF5" w:rsidRPr="007931F0" w:rsidRDefault="00FF3BF5" w:rsidP="00D87D9F">
            <w:pPr>
              <w:jc w:val="both"/>
              <w:rPr>
                <w:rFonts w:eastAsia="Calibri"/>
                <w:sz w:val="20"/>
                <w:lang w:val="fr-CA"/>
              </w:rPr>
            </w:pPr>
            <w:r w:rsidRPr="007931F0">
              <w:rPr>
                <w:rFonts w:eastAsia="Calibri"/>
                <w:sz w:val="20"/>
                <w:lang w:val="fr-CA"/>
              </w:rPr>
              <w:t>9 septembre 2009</w:t>
            </w:r>
          </w:p>
          <w:p w:rsidR="00FF3BF5" w:rsidRPr="007931F0" w:rsidRDefault="00FF3BF5" w:rsidP="00D87D9F">
            <w:pPr>
              <w:jc w:val="both"/>
              <w:rPr>
                <w:rFonts w:eastAsia="Calibri"/>
                <w:sz w:val="20"/>
                <w:lang w:val="fr-CA"/>
              </w:rPr>
            </w:pPr>
            <w:r w:rsidRPr="007931F0">
              <w:rPr>
                <w:rFonts w:eastAsia="Calibri"/>
                <w:sz w:val="20"/>
                <w:lang w:val="fr-CA"/>
              </w:rPr>
              <w:t>Cour suprême de la Colombie</w:t>
            </w:r>
            <w:r w:rsidRPr="007931F0">
              <w:rPr>
                <w:rFonts w:eastAsia="Calibri"/>
                <w:sz w:val="20"/>
                <w:lang w:val="fr-CA"/>
              </w:rPr>
              <w:noBreakHyphen/>
              <w:t>Britannique</w:t>
            </w:r>
          </w:p>
          <w:p w:rsidR="00FF3BF5" w:rsidRPr="007931F0" w:rsidRDefault="00FF3BF5" w:rsidP="00D87D9F">
            <w:pPr>
              <w:jc w:val="both"/>
              <w:rPr>
                <w:rFonts w:eastAsia="Calibri"/>
                <w:sz w:val="20"/>
                <w:lang w:val="fr-CA"/>
              </w:rPr>
            </w:pPr>
            <w:r w:rsidRPr="007931F0">
              <w:rPr>
                <w:rFonts w:eastAsia="Calibri"/>
                <w:sz w:val="20"/>
                <w:lang w:val="fr-CA"/>
              </w:rPr>
              <w:t>(Juge Gray)</w:t>
            </w:r>
          </w:p>
          <w:p w:rsidR="00FF3BF5" w:rsidRPr="007931F0" w:rsidRDefault="00FF3BF5" w:rsidP="00D87D9F">
            <w:pPr>
              <w:jc w:val="both"/>
              <w:rPr>
                <w:rFonts w:eastAsia="Calibri"/>
                <w:sz w:val="20"/>
                <w:lang w:val="fr-CA"/>
              </w:rPr>
            </w:pPr>
            <w:r w:rsidRPr="007931F0">
              <w:rPr>
                <w:rFonts w:eastAsia="Calibri"/>
                <w:sz w:val="20"/>
                <w:lang w:val="fr-CA"/>
              </w:rPr>
              <w:t>2009 BCSC 1931</w:t>
            </w:r>
          </w:p>
          <w:p w:rsidR="00FF3BF5" w:rsidRPr="007931F0" w:rsidRDefault="00FF3BF5" w:rsidP="00D87D9F">
            <w:pPr>
              <w:jc w:val="both"/>
              <w:rPr>
                <w:rFonts w:eastAsia="Calibri"/>
                <w:sz w:val="20"/>
                <w:lang w:val="fr-CA"/>
              </w:rPr>
            </w:pPr>
          </w:p>
        </w:tc>
        <w:tc>
          <w:tcPr>
            <w:tcW w:w="241" w:type="pct"/>
          </w:tcPr>
          <w:p w:rsidR="00FF3BF5" w:rsidRPr="007931F0" w:rsidRDefault="00FF3BF5" w:rsidP="00D87D9F">
            <w:pPr>
              <w:jc w:val="both"/>
              <w:rPr>
                <w:rFonts w:eastAsia="Calibri"/>
                <w:sz w:val="20"/>
                <w:lang w:val="fr-CA"/>
              </w:rPr>
            </w:pPr>
          </w:p>
        </w:tc>
        <w:tc>
          <w:tcPr>
            <w:tcW w:w="2356" w:type="pct"/>
          </w:tcPr>
          <w:p w:rsidR="00FF3BF5" w:rsidRPr="007931F0" w:rsidRDefault="00FF3BF5" w:rsidP="00D87D9F">
            <w:pPr>
              <w:jc w:val="both"/>
              <w:rPr>
                <w:rFonts w:eastAsia="Calibri"/>
                <w:sz w:val="20"/>
                <w:lang w:val="fr-CA"/>
              </w:rPr>
            </w:pPr>
            <w:r w:rsidRPr="007931F0">
              <w:rPr>
                <w:rFonts w:eastAsia="Calibri"/>
                <w:sz w:val="20"/>
                <w:lang w:val="fr-CA"/>
              </w:rPr>
              <w:t>Demande accueillie; nouvelle politique en matière d’intérêt renvoyée à la WCB pour nouvel examen à la lumière des motifs des jugements rendus dans 2007 BCSC 1410 et 2009 BCSC 1931</w:t>
            </w:r>
          </w:p>
        </w:tc>
      </w:tr>
      <w:tr w:rsidR="00FF3BF5" w:rsidRPr="00A6632B" w:rsidTr="00D87D9F">
        <w:trPr>
          <w:trHeight w:val="20"/>
        </w:trPr>
        <w:tc>
          <w:tcPr>
            <w:tcW w:w="2403" w:type="pct"/>
          </w:tcPr>
          <w:p w:rsidR="00FF3BF5" w:rsidRPr="007931F0" w:rsidRDefault="00FF3BF5" w:rsidP="00D87D9F">
            <w:pPr>
              <w:jc w:val="both"/>
              <w:rPr>
                <w:rFonts w:eastAsia="Calibri"/>
                <w:sz w:val="20"/>
                <w:lang w:val="fr-CA"/>
              </w:rPr>
            </w:pPr>
            <w:r w:rsidRPr="007931F0">
              <w:rPr>
                <w:rFonts w:eastAsia="Calibri"/>
                <w:sz w:val="20"/>
                <w:lang w:val="fr-CA"/>
              </w:rPr>
              <w:t>2 juin 2011</w:t>
            </w:r>
          </w:p>
          <w:p w:rsidR="00FF3BF5" w:rsidRPr="007931F0" w:rsidRDefault="00FF3BF5" w:rsidP="00D87D9F">
            <w:pPr>
              <w:jc w:val="both"/>
              <w:rPr>
                <w:rFonts w:eastAsia="Calibri"/>
                <w:sz w:val="20"/>
                <w:lang w:val="fr-CA"/>
              </w:rPr>
            </w:pPr>
            <w:r w:rsidRPr="007931F0">
              <w:rPr>
                <w:rFonts w:eastAsia="Calibri"/>
                <w:sz w:val="20"/>
                <w:lang w:val="fr-CA"/>
              </w:rPr>
              <w:t>Cour d’appel de la Colombie</w:t>
            </w:r>
            <w:r w:rsidRPr="007931F0">
              <w:rPr>
                <w:rFonts w:eastAsia="Calibri"/>
                <w:sz w:val="20"/>
                <w:lang w:val="fr-CA"/>
              </w:rPr>
              <w:noBreakHyphen/>
              <w:t>Britannique (Vancouver)</w:t>
            </w:r>
          </w:p>
          <w:p w:rsidR="00FF3BF5" w:rsidRPr="007931F0" w:rsidRDefault="00FF3BF5" w:rsidP="00D87D9F">
            <w:pPr>
              <w:jc w:val="both"/>
              <w:rPr>
                <w:rFonts w:eastAsia="Calibri"/>
                <w:sz w:val="20"/>
                <w:lang w:val="fr-CA"/>
              </w:rPr>
            </w:pPr>
            <w:r w:rsidRPr="007931F0">
              <w:rPr>
                <w:rFonts w:eastAsia="Calibri"/>
                <w:sz w:val="20"/>
                <w:lang w:val="fr-CA"/>
              </w:rPr>
              <w:t>(Juges Ryan, Low et Neilson)</w:t>
            </w:r>
          </w:p>
          <w:p w:rsidR="00FF3BF5" w:rsidRPr="007931F0" w:rsidRDefault="00FF3BF5" w:rsidP="00D87D9F">
            <w:pPr>
              <w:jc w:val="both"/>
              <w:rPr>
                <w:rFonts w:eastAsia="Calibri"/>
                <w:sz w:val="20"/>
                <w:lang w:val="fr-CA"/>
              </w:rPr>
            </w:pPr>
            <w:r w:rsidRPr="007931F0">
              <w:rPr>
                <w:rFonts w:eastAsia="Calibri"/>
                <w:sz w:val="20"/>
                <w:lang w:val="fr-CA"/>
              </w:rPr>
              <w:t>2011 BCCA 255</w:t>
            </w:r>
          </w:p>
          <w:p w:rsidR="00FF3BF5" w:rsidRPr="007931F0" w:rsidRDefault="00FF3BF5" w:rsidP="00D87D9F">
            <w:pPr>
              <w:jc w:val="both"/>
              <w:rPr>
                <w:rFonts w:eastAsia="Calibri"/>
                <w:sz w:val="20"/>
                <w:lang w:val="fr-CA"/>
              </w:rPr>
            </w:pPr>
          </w:p>
        </w:tc>
        <w:tc>
          <w:tcPr>
            <w:tcW w:w="241" w:type="pct"/>
          </w:tcPr>
          <w:p w:rsidR="00FF3BF5" w:rsidRPr="007931F0" w:rsidRDefault="00FF3BF5" w:rsidP="00D87D9F">
            <w:pPr>
              <w:jc w:val="both"/>
              <w:rPr>
                <w:rFonts w:eastAsia="Calibri"/>
                <w:sz w:val="20"/>
                <w:lang w:val="fr-CA"/>
              </w:rPr>
            </w:pPr>
          </w:p>
        </w:tc>
        <w:tc>
          <w:tcPr>
            <w:tcW w:w="2356" w:type="pct"/>
          </w:tcPr>
          <w:p w:rsidR="00FF3BF5" w:rsidRPr="007931F0" w:rsidRDefault="00FF3BF5" w:rsidP="00D87D9F">
            <w:pPr>
              <w:jc w:val="both"/>
              <w:rPr>
                <w:rFonts w:eastAsia="Calibri"/>
                <w:sz w:val="20"/>
                <w:lang w:val="fr-CA"/>
              </w:rPr>
            </w:pPr>
            <w:r w:rsidRPr="007931F0">
              <w:rPr>
                <w:rFonts w:eastAsia="Calibri"/>
                <w:sz w:val="20"/>
                <w:lang w:val="fr-CA"/>
              </w:rPr>
              <w:t>Appel accueilli; ordonnance rendue dans  2009 BCSC 877, infirmée; ordonnance rendue dans 2009 BCSC 193, annulée,  demande de contrôle judiciaire rejetée</w:t>
            </w:r>
          </w:p>
        </w:tc>
      </w:tr>
      <w:tr w:rsidR="00FF3BF5" w:rsidRPr="00A6632B" w:rsidTr="00D87D9F">
        <w:trPr>
          <w:trHeight w:val="20"/>
        </w:trPr>
        <w:tc>
          <w:tcPr>
            <w:tcW w:w="2403" w:type="pct"/>
          </w:tcPr>
          <w:p w:rsidR="00FF3BF5" w:rsidRPr="007931F0" w:rsidRDefault="00FF3BF5" w:rsidP="00D87D9F">
            <w:pPr>
              <w:jc w:val="both"/>
              <w:rPr>
                <w:rFonts w:eastAsia="Calibri"/>
                <w:sz w:val="20"/>
                <w:lang w:val="fr-CA"/>
              </w:rPr>
            </w:pPr>
            <w:r w:rsidRPr="007931F0">
              <w:rPr>
                <w:rFonts w:eastAsia="Calibri"/>
                <w:sz w:val="20"/>
                <w:lang w:val="fr-CA"/>
              </w:rPr>
              <w:t>18 juillet 2011</w:t>
            </w:r>
          </w:p>
          <w:p w:rsidR="00FF3BF5" w:rsidRPr="007931F0" w:rsidRDefault="00FF3BF5" w:rsidP="00D87D9F">
            <w:pPr>
              <w:jc w:val="both"/>
              <w:rPr>
                <w:rFonts w:eastAsia="Calibri"/>
                <w:sz w:val="20"/>
                <w:lang w:val="fr-CA"/>
              </w:rPr>
            </w:pPr>
            <w:r w:rsidRPr="007931F0">
              <w:rPr>
                <w:rFonts w:eastAsia="Calibri"/>
                <w:sz w:val="20"/>
                <w:lang w:val="fr-CA"/>
              </w:rPr>
              <w:t>Cour suprême du Canada</w:t>
            </w:r>
          </w:p>
        </w:tc>
        <w:tc>
          <w:tcPr>
            <w:tcW w:w="241" w:type="pct"/>
          </w:tcPr>
          <w:p w:rsidR="00FF3BF5" w:rsidRPr="007931F0" w:rsidRDefault="00FF3BF5" w:rsidP="00D87D9F">
            <w:pPr>
              <w:jc w:val="both"/>
              <w:rPr>
                <w:rFonts w:eastAsia="Calibri"/>
                <w:sz w:val="20"/>
                <w:lang w:val="fr-CA"/>
              </w:rPr>
            </w:pPr>
          </w:p>
        </w:tc>
        <w:tc>
          <w:tcPr>
            <w:tcW w:w="2356" w:type="pct"/>
          </w:tcPr>
          <w:p w:rsidR="00FF3BF5" w:rsidRPr="007931F0" w:rsidRDefault="00FF3BF5" w:rsidP="00D87D9F">
            <w:pPr>
              <w:jc w:val="both"/>
              <w:rPr>
                <w:rFonts w:eastAsia="Calibri"/>
                <w:sz w:val="20"/>
                <w:lang w:val="fr-CA"/>
              </w:rPr>
            </w:pPr>
            <w:r w:rsidRPr="007931F0">
              <w:rPr>
                <w:rFonts w:eastAsia="Calibri"/>
                <w:sz w:val="20"/>
                <w:lang w:val="fr-CA"/>
              </w:rPr>
              <w:t>Demande d’autorisation de pourvoi, déposée</w:t>
            </w:r>
          </w:p>
        </w:tc>
      </w:tr>
    </w:tbl>
    <w:p w:rsidR="00BF1FA7" w:rsidRPr="00FF3BF5" w:rsidRDefault="00BF1FA7" w:rsidP="00BF1FA7">
      <w:pPr>
        <w:rPr>
          <w:sz w:val="20"/>
          <w:szCs w:val="20"/>
          <w:lang w:val="fr-CA"/>
        </w:rPr>
      </w:pPr>
    </w:p>
    <w:p w:rsidR="00BF1FA7" w:rsidRDefault="00BF59B3" w:rsidP="00BF1FA7">
      <w:pPr>
        <w:rPr>
          <w:sz w:val="20"/>
          <w:szCs w:val="20"/>
        </w:rPr>
      </w:pPr>
      <w:r w:rsidRPr="00BF59B3">
        <w:rPr>
          <w:sz w:val="20"/>
          <w:szCs w:val="20"/>
          <w:lang w:val="fr-CA"/>
        </w:rPr>
        <w:pict>
          <v:rect id="_x0000_i1045" style="width:2in;height:1pt" o:hrpct="0" o:hralign="center" o:hrstd="t" o:hrnoshade="t" o:hr="t" fillcolor="black [3213]" stroked="f"/>
        </w:pict>
      </w:r>
    </w:p>
    <w:p w:rsidR="00BF1FA7" w:rsidRDefault="00BF1FA7" w:rsidP="00BF1FA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C618B" w:rsidRPr="00F863F6" w:rsidTr="007F36A7">
        <w:trPr>
          <w:cantSplit/>
        </w:trPr>
        <w:tc>
          <w:tcPr>
            <w:tcW w:w="1458" w:type="dxa"/>
          </w:tcPr>
          <w:p w:rsidR="004C618B" w:rsidRPr="00F863F6" w:rsidRDefault="004C618B" w:rsidP="007F36A7">
            <w:pPr>
              <w:rPr>
                <w:sz w:val="20"/>
                <w:szCs w:val="20"/>
              </w:rPr>
            </w:pPr>
            <w:r w:rsidRPr="00F863F6">
              <w:rPr>
                <w:rStyle w:val="SCCFileNumberChar"/>
                <w:sz w:val="20"/>
                <w:szCs w:val="20"/>
              </w:rPr>
              <w:t>34376</w:t>
            </w:r>
          </w:p>
          <w:p w:rsidR="004C618B" w:rsidRPr="00F863F6" w:rsidRDefault="004C618B" w:rsidP="007F36A7">
            <w:pPr>
              <w:rPr>
                <w:b/>
                <w:sz w:val="20"/>
                <w:szCs w:val="20"/>
                <w:lang w:val="fr-CA"/>
              </w:rPr>
            </w:pPr>
          </w:p>
        </w:tc>
        <w:tc>
          <w:tcPr>
            <w:tcW w:w="8118" w:type="dxa"/>
          </w:tcPr>
          <w:p w:rsidR="004C618B" w:rsidRPr="00F863F6" w:rsidRDefault="004C618B" w:rsidP="007F36A7">
            <w:pPr>
              <w:jc w:val="both"/>
              <w:rPr>
                <w:sz w:val="20"/>
                <w:szCs w:val="20"/>
              </w:rPr>
            </w:pPr>
            <w:r w:rsidRPr="00F863F6">
              <w:rPr>
                <w:rStyle w:val="SCCLsocChar"/>
                <w:sz w:val="20"/>
                <w:szCs w:val="20"/>
                <w:lang w:val="en-CA"/>
              </w:rPr>
              <w:t>Frederick William Quipp, Jr. v. Her Majesty the Queen AND BETWEEN Leanne Renae Quipp v. Her Majesty the Queen AND BETWEEN Frederick William Quipp, Sr. v. Her Majesty the Queen AND BETWEEN Frederick William Quipp, Sr. v. Her Majesty the Queen</w:t>
            </w:r>
            <w:r w:rsidRPr="00F863F6">
              <w:rPr>
                <w:sz w:val="20"/>
                <w:szCs w:val="20"/>
              </w:rPr>
              <w:t xml:space="preserve"> (B.C.) (Criminal) (By Leave)</w:t>
            </w:r>
          </w:p>
          <w:p w:rsidR="004C618B" w:rsidRPr="00F863F6" w:rsidRDefault="004C618B" w:rsidP="007F36A7">
            <w:pPr>
              <w:rPr>
                <w:sz w:val="20"/>
                <w:szCs w:val="20"/>
              </w:rPr>
            </w:pPr>
          </w:p>
        </w:tc>
      </w:tr>
      <w:tr w:rsidR="004C618B" w:rsidRPr="00F863F6" w:rsidTr="007F36A7">
        <w:trPr>
          <w:cantSplit/>
        </w:trPr>
        <w:tc>
          <w:tcPr>
            <w:tcW w:w="1458" w:type="dxa"/>
          </w:tcPr>
          <w:p w:rsidR="004C618B" w:rsidRPr="00F863F6" w:rsidRDefault="004C618B" w:rsidP="007F36A7">
            <w:pPr>
              <w:rPr>
                <w:sz w:val="20"/>
                <w:szCs w:val="20"/>
              </w:rPr>
            </w:pPr>
            <w:r w:rsidRPr="00F863F6">
              <w:rPr>
                <w:sz w:val="20"/>
                <w:szCs w:val="20"/>
              </w:rPr>
              <w:t>Coram :</w:t>
            </w:r>
          </w:p>
        </w:tc>
        <w:tc>
          <w:tcPr>
            <w:tcW w:w="8118" w:type="dxa"/>
          </w:tcPr>
          <w:p w:rsidR="004C618B" w:rsidRPr="00F863F6" w:rsidRDefault="004C618B" w:rsidP="007F36A7">
            <w:pPr>
              <w:rPr>
                <w:sz w:val="20"/>
                <w:szCs w:val="20"/>
              </w:rPr>
            </w:pPr>
            <w:r w:rsidRPr="00F863F6">
              <w:rPr>
                <w:rStyle w:val="SCCCoramChar"/>
                <w:sz w:val="20"/>
                <w:szCs w:val="20"/>
                <w:lang w:val="en-CA"/>
              </w:rPr>
              <w:t>McLachlin C.J. and Rothstein and Moldaver JJ.</w:t>
            </w:r>
          </w:p>
          <w:p w:rsidR="004C618B" w:rsidRPr="00F863F6" w:rsidRDefault="004C618B" w:rsidP="007F36A7">
            <w:pPr>
              <w:rPr>
                <w:sz w:val="20"/>
                <w:szCs w:val="20"/>
                <w:u w:val="single"/>
              </w:rPr>
            </w:pPr>
          </w:p>
        </w:tc>
      </w:tr>
      <w:tr w:rsidR="004C618B" w:rsidRPr="00A6632B" w:rsidTr="007F36A7">
        <w:trPr>
          <w:cantSplit/>
        </w:trPr>
        <w:tc>
          <w:tcPr>
            <w:tcW w:w="9576" w:type="dxa"/>
            <w:gridSpan w:val="2"/>
          </w:tcPr>
          <w:p w:rsidR="004C618B" w:rsidRPr="00F863F6" w:rsidRDefault="004C618B" w:rsidP="007F36A7">
            <w:pPr>
              <w:pStyle w:val="SCCShortJudgment"/>
              <w:rPr>
                <w:szCs w:val="20"/>
              </w:rPr>
            </w:pPr>
            <w:r w:rsidRPr="00F863F6">
              <w:rPr>
                <w:szCs w:val="20"/>
              </w:rPr>
              <w:t>The application for leave to appeal from the judgment of the Court of Appeal for British Columbia (Vancouver), Numbers CA036448, CA036449, CA36450 and CA036451, 2011 BCCA 235, dated May 13, 2011, is dismissed without costs.</w:t>
            </w:r>
          </w:p>
          <w:p w:rsidR="004C618B" w:rsidRPr="00F863F6" w:rsidRDefault="004C618B" w:rsidP="007F36A7">
            <w:pPr>
              <w:pStyle w:val="SCCShortJudgment"/>
              <w:ind w:firstLine="0"/>
              <w:rPr>
                <w:szCs w:val="20"/>
              </w:rPr>
            </w:pPr>
          </w:p>
          <w:p w:rsidR="004C618B" w:rsidRPr="00F863F6" w:rsidRDefault="004C618B" w:rsidP="007F36A7">
            <w:pPr>
              <w:pStyle w:val="SCCShortJudgment"/>
              <w:rPr>
                <w:szCs w:val="20"/>
                <w:lang w:val="fr-CA"/>
              </w:rPr>
            </w:pPr>
            <w:r w:rsidRPr="00F863F6">
              <w:rPr>
                <w:szCs w:val="20"/>
                <w:lang w:val="fr-CA"/>
              </w:rPr>
              <w:t>La demande d’autorisation d’appel de l’arrêt de la Cour d’appel de la Colombie-Britannique (Vancouver), numéros CA036448, CA036449, CA36450 et CA036451, 2011 BCCA 235, daté du 13 mai 2011, est rejetée sans dépens.</w:t>
            </w:r>
          </w:p>
        </w:tc>
      </w:tr>
    </w:tbl>
    <w:p w:rsidR="00BF1FA7" w:rsidRPr="004C618B" w:rsidRDefault="00BF1FA7" w:rsidP="00BF1FA7">
      <w:pPr>
        <w:rPr>
          <w:sz w:val="20"/>
          <w:szCs w:val="20"/>
          <w:lang w:val="fr-CA"/>
        </w:rPr>
      </w:pPr>
    </w:p>
    <w:p w:rsidR="00BF1FA7" w:rsidRPr="001B157C" w:rsidRDefault="00BF1FA7" w:rsidP="00BF1FA7">
      <w:pPr>
        <w:rPr>
          <w:sz w:val="20"/>
          <w:szCs w:val="20"/>
          <w:u w:val="single"/>
        </w:rPr>
      </w:pPr>
      <w:r w:rsidRPr="001B157C">
        <w:rPr>
          <w:sz w:val="20"/>
          <w:szCs w:val="20"/>
          <w:u w:val="single"/>
        </w:rPr>
        <w:t>CASE SUMMARY</w:t>
      </w:r>
    </w:p>
    <w:p w:rsidR="00BF1FA7" w:rsidRDefault="00BF1FA7" w:rsidP="00BF1FA7">
      <w:pPr>
        <w:rPr>
          <w:sz w:val="20"/>
          <w:szCs w:val="20"/>
        </w:rPr>
      </w:pPr>
    </w:p>
    <w:tbl>
      <w:tblPr>
        <w:tblW w:w="5000" w:type="pct"/>
        <w:tblLayout w:type="fixed"/>
        <w:tblCellMar>
          <w:left w:w="0" w:type="dxa"/>
          <w:bottom w:w="99" w:type="dxa"/>
          <w:right w:w="0" w:type="dxa"/>
        </w:tblCellMar>
        <w:tblLook w:val="04A0"/>
      </w:tblPr>
      <w:tblGrid>
        <w:gridCol w:w="4623"/>
        <w:gridCol w:w="466"/>
        <w:gridCol w:w="4440"/>
        <w:gridCol w:w="90"/>
      </w:tblGrid>
      <w:tr w:rsidR="00FF3BF5" w:rsidRPr="007931F0" w:rsidTr="004C618B">
        <w:trPr>
          <w:gridAfter w:val="1"/>
          <w:wAfter w:w="48" w:type="pct"/>
        </w:trPr>
        <w:tc>
          <w:tcPr>
            <w:tcW w:w="4952" w:type="pct"/>
            <w:gridSpan w:val="3"/>
          </w:tcPr>
          <w:p w:rsidR="00FF3BF5" w:rsidRPr="007931F0" w:rsidRDefault="00FF3BF5" w:rsidP="00D87D9F">
            <w:pPr>
              <w:jc w:val="both"/>
              <w:rPr>
                <w:rFonts w:eastAsia="Calibri"/>
                <w:sz w:val="20"/>
              </w:rPr>
            </w:pPr>
            <w:r w:rsidRPr="007931F0">
              <w:rPr>
                <w:rFonts w:eastAsia="Calibri"/>
                <w:sz w:val="20"/>
              </w:rPr>
              <w:t xml:space="preserve">Aboriginal law – Fishing - Fishing without a licence - Infringement - Justification – Priorities - Does the First Nations food fishing right of priority entail a right to harvest early-running scarce salmon stocks before sport and commercial fishers, when a later-running stock is expected to be abundant? - Should the Department of Fisheries and Oceans be held to a probability standard in forecasting Pacific salmon returns, before authorizing sport and commercial fisheries in advance of First Nations food fishing opportunities? - </w:t>
            </w:r>
            <w:r w:rsidRPr="007931F0">
              <w:rPr>
                <w:rFonts w:eastAsia="Calibri"/>
                <w:i/>
                <w:sz w:val="20"/>
              </w:rPr>
              <w:t>R. v. Sparrow</w:t>
            </w:r>
            <w:r w:rsidRPr="007931F0">
              <w:rPr>
                <w:rFonts w:eastAsia="Calibri"/>
                <w:sz w:val="20"/>
              </w:rPr>
              <w:t>, [1990] 1.S.C.R. 1075.</w:t>
            </w:r>
          </w:p>
        </w:tc>
      </w:tr>
      <w:tr w:rsidR="00FF3BF5" w:rsidRPr="007931F0" w:rsidTr="004C618B">
        <w:trPr>
          <w:gridAfter w:val="1"/>
          <w:wAfter w:w="48" w:type="pct"/>
        </w:trPr>
        <w:tc>
          <w:tcPr>
            <w:tcW w:w="4952" w:type="pct"/>
            <w:gridSpan w:val="3"/>
          </w:tcPr>
          <w:p w:rsidR="00FF3BF5" w:rsidRPr="007931F0" w:rsidRDefault="00FF3BF5" w:rsidP="00D87D9F">
            <w:pPr>
              <w:jc w:val="both"/>
              <w:rPr>
                <w:rFonts w:eastAsia="Calibri"/>
                <w:sz w:val="20"/>
              </w:rPr>
            </w:pPr>
          </w:p>
        </w:tc>
      </w:tr>
      <w:tr w:rsidR="00FF3BF5" w:rsidRPr="007931F0" w:rsidTr="004C618B">
        <w:trPr>
          <w:gridAfter w:val="1"/>
          <w:wAfter w:w="48" w:type="pct"/>
        </w:trPr>
        <w:tc>
          <w:tcPr>
            <w:tcW w:w="4952" w:type="pct"/>
            <w:gridSpan w:val="3"/>
          </w:tcPr>
          <w:p w:rsidR="00FF3BF5" w:rsidRPr="007931F0" w:rsidRDefault="00FF3BF5" w:rsidP="00D87D9F">
            <w:pPr>
              <w:jc w:val="both"/>
              <w:rPr>
                <w:rFonts w:eastAsia="Calibri"/>
                <w:sz w:val="20"/>
              </w:rPr>
            </w:pPr>
            <w:r w:rsidRPr="007931F0">
              <w:rPr>
                <w:rFonts w:eastAsia="Calibri"/>
                <w:sz w:val="20"/>
              </w:rPr>
              <w:t xml:space="preserve">The applicants, members of the Cheam First Nation, were convicted of unlawful fishing of salmon, contrary to the </w:t>
            </w:r>
            <w:r w:rsidRPr="007931F0">
              <w:rPr>
                <w:rFonts w:eastAsia="Calibri"/>
                <w:i/>
                <w:sz w:val="20"/>
              </w:rPr>
              <w:t>Fisheries Act</w:t>
            </w:r>
            <w:r w:rsidRPr="007931F0">
              <w:rPr>
                <w:rFonts w:eastAsia="Calibri"/>
                <w:sz w:val="20"/>
              </w:rPr>
              <w:t xml:space="preserve">.  The charges stem from 1999 summer season when the Department of Fisheries and Oceans (“DFO”) had closed the Fraser River to salmon fishing based on projected salmon runs.  The Crown conceded that the fishing restrictions infringed the applicants’ constitutional right to fish for food, social and ceremonial purposes; the sole question at issue related to the justification for the breach.  The convictions were upheld on summary conviction appeal.  The Court of Appeal for British Columbia granted leave on the issue of priority to be given to the aboriginal fishery.  The Court of Appeal held that the doctrine of priority did not demand that the food, social and ceremonial </w:t>
            </w:r>
            <w:r w:rsidRPr="007931F0">
              <w:rPr>
                <w:rFonts w:eastAsia="Calibri"/>
                <w:sz w:val="20"/>
              </w:rPr>
              <w:lastRenderedPageBreak/>
              <w:t xml:space="preserve">fishery be accorded priority in time and dismissed the appeal. </w:t>
            </w:r>
          </w:p>
          <w:p w:rsidR="00FF3BF5" w:rsidRPr="007931F0" w:rsidRDefault="00FF3BF5" w:rsidP="00D87D9F">
            <w:pPr>
              <w:jc w:val="both"/>
              <w:rPr>
                <w:rFonts w:eastAsia="Calibri"/>
                <w:sz w:val="20"/>
              </w:rPr>
            </w:pPr>
          </w:p>
        </w:tc>
      </w:tr>
      <w:tr w:rsidR="00FF3BF5" w:rsidRPr="007931F0" w:rsidTr="004C618B">
        <w:trPr>
          <w:gridAfter w:val="1"/>
          <w:wAfter w:w="48" w:type="pct"/>
        </w:trPr>
        <w:tc>
          <w:tcPr>
            <w:tcW w:w="2403" w:type="pct"/>
          </w:tcPr>
          <w:p w:rsidR="00FF3BF5" w:rsidRPr="007931F0" w:rsidRDefault="00FF3BF5" w:rsidP="00D87D9F">
            <w:pPr>
              <w:jc w:val="both"/>
              <w:rPr>
                <w:rFonts w:eastAsia="Calibri"/>
                <w:sz w:val="20"/>
              </w:rPr>
            </w:pPr>
            <w:r w:rsidRPr="007931F0">
              <w:rPr>
                <w:rFonts w:eastAsia="Calibri"/>
                <w:sz w:val="20"/>
              </w:rPr>
              <w:lastRenderedPageBreak/>
              <w:t>December 21, 2000</w:t>
            </w:r>
          </w:p>
          <w:p w:rsidR="00FF3BF5" w:rsidRPr="007931F0" w:rsidRDefault="00FF3BF5" w:rsidP="00D87D9F">
            <w:pPr>
              <w:jc w:val="both"/>
              <w:rPr>
                <w:rFonts w:eastAsia="Calibri"/>
                <w:sz w:val="20"/>
              </w:rPr>
            </w:pPr>
            <w:r w:rsidRPr="007931F0">
              <w:rPr>
                <w:rFonts w:eastAsia="Calibri"/>
                <w:sz w:val="20"/>
              </w:rPr>
              <w:t>Provincial Court of British Columbia</w:t>
            </w:r>
          </w:p>
          <w:p w:rsidR="00FF3BF5" w:rsidRPr="007931F0" w:rsidRDefault="00FF3BF5" w:rsidP="00D87D9F">
            <w:pPr>
              <w:jc w:val="both"/>
              <w:rPr>
                <w:rFonts w:eastAsia="Calibri"/>
                <w:sz w:val="20"/>
              </w:rPr>
            </w:pPr>
            <w:r w:rsidRPr="007931F0">
              <w:rPr>
                <w:rFonts w:eastAsia="Calibri"/>
                <w:sz w:val="20"/>
              </w:rPr>
              <w:t>(Macdonald P.C.J.)</w:t>
            </w:r>
          </w:p>
          <w:p w:rsidR="00FF3BF5" w:rsidRPr="007931F0" w:rsidRDefault="00FF3BF5" w:rsidP="00D87D9F">
            <w:pPr>
              <w:jc w:val="both"/>
              <w:rPr>
                <w:rFonts w:eastAsia="Calibri"/>
                <w:sz w:val="20"/>
              </w:rPr>
            </w:pPr>
          </w:p>
        </w:tc>
        <w:tc>
          <w:tcPr>
            <w:tcW w:w="242" w:type="pct"/>
          </w:tcPr>
          <w:p w:rsidR="00FF3BF5" w:rsidRPr="007931F0" w:rsidRDefault="00FF3BF5" w:rsidP="00D87D9F">
            <w:pPr>
              <w:jc w:val="both"/>
              <w:rPr>
                <w:rFonts w:eastAsia="Calibri"/>
                <w:sz w:val="20"/>
              </w:rPr>
            </w:pPr>
          </w:p>
        </w:tc>
        <w:tc>
          <w:tcPr>
            <w:tcW w:w="2308" w:type="pct"/>
          </w:tcPr>
          <w:p w:rsidR="00FF3BF5" w:rsidRPr="007931F0" w:rsidRDefault="00FF3BF5" w:rsidP="00D87D9F">
            <w:pPr>
              <w:jc w:val="both"/>
              <w:rPr>
                <w:rFonts w:eastAsia="Calibri"/>
                <w:sz w:val="20"/>
              </w:rPr>
            </w:pPr>
            <w:r w:rsidRPr="007931F0">
              <w:rPr>
                <w:rFonts w:eastAsia="Calibri"/>
                <w:sz w:val="20"/>
              </w:rPr>
              <w:t>Convictions:  unlawfully catching, retaining or selling fish (“Early Stuart” run)</w:t>
            </w:r>
          </w:p>
          <w:p w:rsidR="00FF3BF5" w:rsidRPr="007931F0" w:rsidRDefault="00FF3BF5" w:rsidP="00D87D9F">
            <w:pPr>
              <w:jc w:val="both"/>
              <w:rPr>
                <w:rFonts w:eastAsia="Calibri"/>
                <w:sz w:val="20"/>
              </w:rPr>
            </w:pPr>
          </w:p>
        </w:tc>
      </w:tr>
      <w:tr w:rsidR="00FF3BF5" w:rsidRPr="007931F0" w:rsidTr="004C618B">
        <w:trPr>
          <w:gridAfter w:val="1"/>
          <w:wAfter w:w="48" w:type="pct"/>
        </w:trPr>
        <w:tc>
          <w:tcPr>
            <w:tcW w:w="2403" w:type="pct"/>
          </w:tcPr>
          <w:p w:rsidR="00FF3BF5" w:rsidRPr="007931F0" w:rsidRDefault="00FF3BF5" w:rsidP="00D87D9F">
            <w:pPr>
              <w:jc w:val="both"/>
              <w:rPr>
                <w:rFonts w:eastAsia="Calibri"/>
                <w:sz w:val="20"/>
              </w:rPr>
            </w:pPr>
            <w:r w:rsidRPr="007931F0">
              <w:rPr>
                <w:rFonts w:eastAsia="Calibri"/>
                <w:sz w:val="20"/>
              </w:rPr>
              <w:t>June 20, 2002</w:t>
            </w:r>
          </w:p>
          <w:p w:rsidR="00FF3BF5" w:rsidRPr="007931F0" w:rsidRDefault="00FF3BF5" w:rsidP="00D87D9F">
            <w:pPr>
              <w:jc w:val="both"/>
              <w:rPr>
                <w:rFonts w:eastAsia="Calibri"/>
                <w:sz w:val="20"/>
              </w:rPr>
            </w:pPr>
            <w:r w:rsidRPr="007931F0">
              <w:rPr>
                <w:rFonts w:eastAsia="Calibri"/>
                <w:sz w:val="20"/>
              </w:rPr>
              <w:t>Provincial Court of British Columbia</w:t>
            </w:r>
          </w:p>
          <w:p w:rsidR="00FF3BF5" w:rsidRPr="007931F0" w:rsidRDefault="00FF3BF5" w:rsidP="00D87D9F">
            <w:pPr>
              <w:jc w:val="both"/>
              <w:rPr>
                <w:rFonts w:eastAsia="Calibri"/>
                <w:sz w:val="20"/>
              </w:rPr>
            </w:pPr>
            <w:r w:rsidRPr="007931F0">
              <w:rPr>
                <w:rFonts w:eastAsia="Calibri"/>
                <w:sz w:val="20"/>
              </w:rPr>
              <w:t>(Gill P.C.J.)</w:t>
            </w:r>
          </w:p>
          <w:p w:rsidR="00FF3BF5" w:rsidRPr="007931F0" w:rsidRDefault="00FF3BF5" w:rsidP="00D87D9F">
            <w:pPr>
              <w:jc w:val="both"/>
              <w:rPr>
                <w:rFonts w:eastAsia="Calibri"/>
                <w:sz w:val="20"/>
              </w:rPr>
            </w:pPr>
          </w:p>
        </w:tc>
        <w:tc>
          <w:tcPr>
            <w:tcW w:w="242" w:type="pct"/>
          </w:tcPr>
          <w:p w:rsidR="00FF3BF5" w:rsidRPr="007931F0" w:rsidRDefault="00FF3BF5" w:rsidP="00D87D9F">
            <w:pPr>
              <w:jc w:val="both"/>
              <w:rPr>
                <w:rFonts w:eastAsia="Calibri"/>
                <w:sz w:val="20"/>
              </w:rPr>
            </w:pPr>
          </w:p>
        </w:tc>
        <w:tc>
          <w:tcPr>
            <w:tcW w:w="2308" w:type="pct"/>
          </w:tcPr>
          <w:p w:rsidR="00FF3BF5" w:rsidRPr="007931F0" w:rsidRDefault="00FF3BF5" w:rsidP="00D87D9F">
            <w:pPr>
              <w:jc w:val="both"/>
              <w:rPr>
                <w:rFonts w:eastAsia="Calibri"/>
                <w:sz w:val="20"/>
              </w:rPr>
            </w:pPr>
            <w:r w:rsidRPr="007931F0">
              <w:rPr>
                <w:rFonts w:eastAsia="Calibri"/>
                <w:sz w:val="20"/>
              </w:rPr>
              <w:t>Convictions:  unlawfully catching, retaining or selling fish (Mid-summer run)</w:t>
            </w:r>
          </w:p>
          <w:p w:rsidR="00FF3BF5" w:rsidRPr="007931F0" w:rsidRDefault="00FF3BF5" w:rsidP="00D87D9F">
            <w:pPr>
              <w:jc w:val="both"/>
              <w:rPr>
                <w:rFonts w:eastAsia="Calibri"/>
                <w:sz w:val="20"/>
              </w:rPr>
            </w:pPr>
          </w:p>
        </w:tc>
      </w:tr>
      <w:tr w:rsidR="00FF3BF5" w:rsidRPr="007931F0" w:rsidTr="004C618B">
        <w:trPr>
          <w:gridAfter w:val="1"/>
          <w:wAfter w:w="48" w:type="pct"/>
        </w:trPr>
        <w:tc>
          <w:tcPr>
            <w:tcW w:w="2403" w:type="pct"/>
          </w:tcPr>
          <w:p w:rsidR="00FF3BF5" w:rsidRPr="007931F0" w:rsidRDefault="00FF3BF5" w:rsidP="00D87D9F">
            <w:pPr>
              <w:jc w:val="both"/>
              <w:rPr>
                <w:rFonts w:eastAsia="Calibri"/>
                <w:sz w:val="20"/>
              </w:rPr>
            </w:pPr>
            <w:r w:rsidRPr="007931F0">
              <w:rPr>
                <w:rFonts w:eastAsia="Calibri"/>
                <w:sz w:val="20"/>
              </w:rPr>
              <w:t>August 14, 2008</w:t>
            </w:r>
          </w:p>
          <w:p w:rsidR="00FF3BF5" w:rsidRPr="007931F0" w:rsidRDefault="00FF3BF5" w:rsidP="00D87D9F">
            <w:pPr>
              <w:jc w:val="both"/>
              <w:rPr>
                <w:rFonts w:eastAsia="Calibri"/>
                <w:sz w:val="20"/>
              </w:rPr>
            </w:pPr>
            <w:r w:rsidRPr="007931F0">
              <w:rPr>
                <w:rFonts w:eastAsia="Calibri"/>
                <w:sz w:val="20"/>
              </w:rPr>
              <w:t>Supreme Court of British Columbia</w:t>
            </w:r>
          </w:p>
          <w:p w:rsidR="00FF3BF5" w:rsidRPr="007931F0" w:rsidRDefault="00FF3BF5" w:rsidP="00D87D9F">
            <w:pPr>
              <w:jc w:val="both"/>
              <w:rPr>
                <w:rFonts w:eastAsia="Calibri"/>
                <w:sz w:val="20"/>
              </w:rPr>
            </w:pPr>
            <w:r w:rsidRPr="007931F0">
              <w:rPr>
                <w:rFonts w:eastAsia="Calibri"/>
                <w:sz w:val="20"/>
              </w:rPr>
              <w:t>(Smith J.)</w:t>
            </w:r>
          </w:p>
          <w:p w:rsidR="00FF3BF5" w:rsidRPr="007931F0" w:rsidRDefault="00FF3BF5" w:rsidP="00D87D9F">
            <w:pPr>
              <w:jc w:val="both"/>
              <w:rPr>
                <w:rFonts w:eastAsia="Calibri"/>
                <w:sz w:val="20"/>
              </w:rPr>
            </w:pPr>
            <w:r w:rsidRPr="007931F0">
              <w:rPr>
                <w:rFonts w:eastAsia="Calibri"/>
                <w:sz w:val="20"/>
              </w:rPr>
              <w:t>Neutral citation: 2008 BCSC 1096 (Early Stuart appeal) / 2008BCSC1098 (Mid-summer run appeal)</w:t>
            </w:r>
          </w:p>
          <w:p w:rsidR="00FF3BF5" w:rsidRPr="007931F0" w:rsidRDefault="00FF3BF5" w:rsidP="00D87D9F">
            <w:pPr>
              <w:jc w:val="both"/>
              <w:rPr>
                <w:rFonts w:eastAsia="Calibri"/>
                <w:sz w:val="20"/>
              </w:rPr>
            </w:pPr>
          </w:p>
        </w:tc>
        <w:tc>
          <w:tcPr>
            <w:tcW w:w="242" w:type="pct"/>
          </w:tcPr>
          <w:p w:rsidR="00FF3BF5" w:rsidRPr="007931F0" w:rsidRDefault="00FF3BF5" w:rsidP="00D87D9F">
            <w:pPr>
              <w:jc w:val="both"/>
              <w:rPr>
                <w:rFonts w:eastAsia="Calibri"/>
                <w:sz w:val="20"/>
              </w:rPr>
            </w:pPr>
          </w:p>
        </w:tc>
        <w:tc>
          <w:tcPr>
            <w:tcW w:w="2308" w:type="pct"/>
          </w:tcPr>
          <w:p w:rsidR="00FF3BF5" w:rsidRPr="007931F0" w:rsidRDefault="00FF3BF5" w:rsidP="00D87D9F">
            <w:pPr>
              <w:jc w:val="both"/>
              <w:rPr>
                <w:rFonts w:eastAsia="Calibri"/>
                <w:sz w:val="20"/>
              </w:rPr>
            </w:pPr>
            <w:r w:rsidRPr="007931F0">
              <w:rPr>
                <w:rFonts w:eastAsia="Calibri"/>
                <w:sz w:val="20"/>
              </w:rPr>
              <w:t>Summary conviction appeals dismissed</w:t>
            </w:r>
          </w:p>
        </w:tc>
      </w:tr>
      <w:tr w:rsidR="00FF3BF5" w:rsidRPr="007931F0" w:rsidTr="004C618B">
        <w:trPr>
          <w:gridAfter w:val="1"/>
          <w:wAfter w:w="48" w:type="pct"/>
        </w:trPr>
        <w:tc>
          <w:tcPr>
            <w:tcW w:w="2403" w:type="pct"/>
          </w:tcPr>
          <w:p w:rsidR="00FF3BF5" w:rsidRPr="007931F0" w:rsidRDefault="00FF3BF5" w:rsidP="00D87D9F">
            <w:pPr>
              <w:jc w:val="both"/>
              <w:rPr>
                <w:rFonts w:eastAsia="Calibri"/>
                <w:sz w:val="20"/>
              </w:rPr>
            </w:pPr>
            <w:r w:rsidRPr="007931F0">
              <w:rPr>
                <w:rFonts w:eastAsia="Calibri"/>
                <w:sz w:val="20"/>
              </w:rPr>
              <w:t>August 27, 2010</w:t>
            </w:r>
          </w:p>
          <w:p w:rsidR="00FF3BF5" w:rsidRPr="007931F0" w:rsidRDefault="00FF3BF5" w:rsidP="00D87D9F">
            <w:pPr>
              <w:jc w:val="both"/>
              <w:rPr>
                <w:rFonts w:eastAsia="Calibri"/>
                <w:sz w:val="20"/>
              </w:rPr>
            </w:pPr>
            <w:r w:rsidRPr="007931F0">
              <w:rPr>
                <w:rFonts w:eastAsia="Calibri"/>
                <w:sz w:val="20"/>
              </w:rPr>
              <w:t>Court of Appeal for British Columbia</w:t>
            </w:r>
          </w:p>
          <w:p w:rsidR="00FF3BF5" w:rsidRPr="007931F0" w:rsidRDefault="00FF3BF5" w:rsidP="00D87D9F">
            <w:pPr>
              <w:jc w:val="both"/>
              <w:rPr>
                <w:rFonts w:eastAsia="Calibri"/>
                <w:sz w:val="20"/>
              </w:rPr>
            </w:pPr>
            <w:r w:rsidRPr="007931F0">
              <w:rPr>
                <w:rFonts w:eastAsia="Calibri"/>
                <w:sz w:val="20"/>
              </w:rPr>
              <w:t>(Neilson J.A.)</w:t>
            </w:r>
          </w:p>
          <w:p w:rsidR="00FF3BF5" w:rsidRPr="007931F0" w:rsidRDefault="00FF3BF5" w:rsidP="00D87D9F">
            <w:pPr>
              <w:jc w:val="both"/>
              <w:rPr>
                <w:rFonts w:eastAsia="Calibri"/>
                <w:sz w:val="20"/>
              </w:rPr>
            </w:pPr>
            <w:r w:rsidRPr="007931F0">
              <w:rPr>
                <w:rFonts w:eastAsia="Calibri"/>
                <w:sz w:val="20"/>
              </w:rPr>
              <w:t>Neutral citation: 2010 BCCA 389</w:t>
            </w:r>
          </w:p>
          <w:p w:rsidR="00FF3BF5" w:rsidRPr="007931F0" w:rsidRDefault="00FF3BF5" w:rsidP="00D87D9F">
            <w:pPr>
              <w:jc w:val="both"/>
              <w:rPr>
                <w:rFonts w:eastAsia="Calibri"/>
                <w:sz w:val="20"/>
              </w:rPr>
            </w:pPr>
          </w:p>
        </w:tc>
        <w:tc>
          <w:tcPr>
            <w:tcW w:w="242" w:type="pct"/>
          </w:tcPr>
          <w:p w:rsidR="00FF3BF5" w:rsidRPr="007931F0" w:rsidRDefault="00FF3BF5" w:rsidP="00D87D9F">
            <w:pPr>
              <w:jc w:val="both"/>
              <w:rPr>
                <w:rFonts w:eastAsia="Calibri"/>
                <w:sz w:val="20"/>
              </w:rPr>
            </w:pPr>
          </w:p>
        </w:tc>
        <w:tc>
          <w:tcPr>
            <w:tcW w:w="2308" w:type="pct"/>
          </w:tcPr>
          <w:p w:rsidR="00FF3BF5" w:rsidRPr="007931F0" w:rsidRDefault="00FF3BF5" w:rsidP="00D87D9F">
            <w:pPr>
              <w:jc w:val="both"/>
              <w:rPr>
                <w:rFonts w:eastAsia="Calibri"/>
                <w:sz w:val="20"/>
              </w:rPr>
            </w:pPr>
            <w:r w:rsidRPr="007931F0">
              <w:rPr>
                <w:rFonts w:eastAsia="Calibri"/>
                <w:sz w:val="20"/>
              </w:rPr>
              <w:t>Leave to appeal granted on the issue of whether the priority granted to the food social and ceremonial fishery includes priority in time</w:t>
            </w:r>
          </w:p>
        </w:tc>
      </w:tr>
      <w:tr w:rsidR="00FF3BF5" w:rsidRPr="007931F0" w:rsidTr="004C618B">
        <w:trPr>
          <w:cantSplit/>
        </w:trPr>
        <w:tc>
          <w:tcPr>
            <w:tcW w:w="2403" w:type="pct"/>
          </w:tcPr>
          <w:p w:rsidR="00FF3BF5" w:rsidRPr="007931F0" w:rsidRDefault="00FF3BF5" w:rsidP="00D87D9F">
            <w:pPr>
              <w:jc w:val="both"/>
              <w:rPr>
                <w:rFonts w:eastAsia="Calibri"/>
                <w:sz w:val="20"/>
              </w:rPr>
            </w:pPr>
            <w:r w:rsidRPr="007931F0">
              <w:rPr>
                <w:rFonts w:eastAsia="Calibri"/>
                <w:sz w:val="20"/>
              </w:rPr>
              <w:t>May 13, 2011</w:t>
            </w:r>
          </w:p>
          <w:p w:rsidR="00FF3BF5" w:rsidRPr="007931F0" w:rsidRDefault="00FF3BF5" w:rsidP="00D87D9F">
            <w:pPr>
              <w:jc w:val="both"/>
              <w:rPr>
                <w:rFonts w:eastAsia="Calibri"/>
                <w:sz w:val="20"/>
              </w:rPr>
            </w:pPr>
            <w:r w:rsidRPr="007931F0">
              <w:rPr>
                <w:rFonts w:eastAsia="Calibri"/>
                <w:sz w:val="20"/>
              </w:rPr>
              <w:t>Court of Appeal for British Columbia</w:t>
            </w:r>
          </w:p>
          <w:p w:rsidR="00FF3BF5" w:rsidRPr="007931F0" w:rsidRDefault="00FF3BF5" w:rsidP="00D87D9F">
            <w:pPr>
              <w:jc w:val="both"/>
              <w:rPr>
                <w:rFonts w:eastAsia="Calibri"/>
                <w:sz w:val="20"/>
              </w:rPr>
            </w:pPr>
            <w:r w:rsidRPr="007931F0">
              <w:rPr>
                <w:rFonts w:eastAsia="Calibri"/>
                <w:sz w:val="20"/>
              </w:rPr>
              <w:t>(Finch C.J.B.C.., and Hall, Frankel, Neilson, and Bennett JJ. A.)</w:t>
            </w:r>
          </w:p>
          <w:p w:rsidR="00FF3BF5" w:rsidRPr="007931F0" w:rsidRDefault="00FF3BF5" w:rsidP="00D87D9F">
            <w:pPr>
              <w:jc w:val="both"/>
              <w:rPr>
                <w:rFonts w:eastAsia="Calibri"/>
                <w:sz w:val="20"/>
              </w:rPr>
            </w:pPr>
            <w:r w:rsidRPr="007931F0">
              <w:rPr>
                <w:rFonts w:eastAsia="Calibri"/>
                <w:sz w:val="20"/>
              </w:rPr>
              <w:t xml:space="preserve">Neutral citation: 2011BCCA 235 </w:t>
            </w:r>
          </w:p>
          <w:p w:rsidR="00FF3BF5" w:rsidRPr="007931F0" w:rsidRDefault="00FF3BF5" w:rsidP="00D87D9F">
            <w:pPr>
              <w:jc w:val="both"/>
              <w:rPr>
                <w:rFonts w:eastAsia="Calibri"/>
                <w:sz w:val="20"/>
              </w:rPr>
            </w:pPr>
          </w:p>
        </w:tc>
        <w:tc>
          <w:tcPr>
            <w:tcW w:w="241" w:type="pct"/>
          </w:tcPr>
          <w:p w:rsidR="00FF3BF5" w:rsidRPr="007931F0" w:rsidRDefault="00FF3BF5" w:rsidP="00D87D9F">
            <w:pPr>
              <w:jc w:val="both"/>
              <w:rPr>
                <w:rFonts w:eastAsia="Calibri"/>
                <w:sz w:val="20"/>
              </w:rPr>
            </w:pPr>
          </w:p>
        </w:tc>
        <w:tc>
          <w:tcPr>
            <w:tcW w:w="2356" w:type="pct"/>
            <w:gridSpan w:val="2"/>
          </w:tcPr>
          <w:p w:rsidR="00FF3BF5" w:rsidRPr="007931F0" w:rsidRDefault="00FF3BF5" w:rsidP="00D87D9F">
            <w:pPr>
              <w:jc w:val="both"/>
              <w:rPr>
                <w:rFonts w:eastAsia="Calibri"/>
                <w:sz w:val="20"/>
              </w:rPr>
            </w:pPr>
            <w:r w:rsidRPr="007931F0">
              <w:rPr>
                <w:rFonts w:eastAsia="Calibri"/>
                <w:sz w:val="20"/>
              </w:rPr>
              <w:t>Appeals dismissed</w:t>
            </w:r>
          </w:p>
          <w:p w:rsidR="00FF3BF5" w:rsidRPr="007931F0" w:rsidRDefault="00FF3BF5" w:rsidP="00D87D9F">
            <w:pPr>
              <w:jc w:val="both"/>
              <w:rPr>
                <w:rFonts w:eastAsia="Calibri"/>
                <w:sz w:val="20"/>
              </w:rPr>
            </w:pPr>
          </w:p>
        </w:tc>
      </w:tr>
      <w:tr w:rsidR="00FF3BF5" w:rsidRPr="007931F0" w:rsidTr="004C618B">
        <w:trPr>
          <w:cantSplit/>
        </w:trPr>
        <w:tc>
          <w:tcPr>
            <w:tcW w:w="2403" w:type="pct"/>
          </w:tcPr>
          <w:p w:rsidR="00FF3BF5" w:rsidRPr="007931F0" w:rsidRDefault="00FF3BF5" w:rsidP="00D87D9F">
            <w:pPr>
              <w:jc w:val="both"/>
              <w:rPr>
                <w:rFonts w:eastAsia="Calibri"/>
                <w:sz w:val="20"/>
              </w:rPr>
            </w:pPr>
            <w:r w:rsidRPr="007931F0">
              <w:rPr>
                <w:rFonts w:eastAsia="Calibri"/>
                <w:sz w:val="20"/>
              </w:rPr>
              <w:t>August 10, 2011</w:t>
            </w:r>
          </w:p>
          <w:p w:rsidR="00FF3BF5" w:rsidRPr="007931F0" w:rsidRDefault="00FF3BF5" w:rsidP="00D87D9F">
            <w:pPr>
              <w:jc w:val="both"/>
              <w:rPr>
                <w:rFonts w:eastAsia="Calibri"/>
                <w:sz w:val="20"/>
              </w:rPr>
            </w:pPr>
            <w:r w:rsidRPr="007931F0">
              <w:rPr>
                <w:rFonts w:eastAsia="Calibri"/>
                <w:sz w:val="20"/>
              </w:rPr>
              <w:t>Supreme Court of Canada</w:t>
            </w:r>
          </w:p>
        </w:tc>
        <w:tc>
          <w:tcPr>
            <w:tcW w:w="241" w:type="pct"/>
          </w:tcPr>
          <w:p w:rsidR="00FF3BF5" w:rsidRPr="007931F0" w:rsidRDefault="00FF3BF5" w:rsidP="00D87D9F">
            <w:pPr>
              <w:jc w:val="both"/>
              <w:rPr>
                <w:rFonts w:eastAsia="Calibri"/>
                <w:sz w:val="20"/>
              </w:rPr>
            </w:pPr>
          </w:p>
        </w:tc>
        <w:tc>
          <w:tcPr>
            <w:tcW w:w="2356" w:type="pct"/>
            <w:gridSpan w:val="2"/>
          </w:tcPr>
          <w:p w:rsidR="00FF3BF5" w:rsidRPr="007931F0" w:rsidRDefault="00FF3BF5" w:rsidP="00D87D9F">
            <w:pPr>
              <w:jc w:val="both"/>
              <w:rPr>
                <w:rFonts w:eastAsia="Calibri"/>
                <w:sz w:val="20"/>
              </w:rPr>
            </w:pPr>
            <w:r w:rsidRPr="007931F0">
              <w:rPr>
                <w:rFonts w:eastAsia="Calibri"/>
                <w:sz w:val="20"/>
              </w:rPr>
              <w:t>Application for leave to appeal filed</w:t>
            </w:r>
          </w:p>
        </w:tc>
      </w:tr>
    </w:tbl>
    <w:p w:rsidR="00BF1FA7" w:rsidRDefault="00BF1FA7" w:rsidP="00BF1FA7">
      <w:pPr>
        <w:rPr>
          <w:sz w:val="20"/>
          <w:szCs w:val="20"/>
        </w:rPr>
      </w:pPr>
    </w:p>
    <w:p w:rsidR="00BF1FA7" w:rsidRDefault="00BF59B3" w:rsidP="00BF1FA7">
      <w:pPr>
        <w:rPr>
          <w:sz w:val="20"/>
          <w:szCs w:val="20"/>
        </w:rPr>
      </w:pPr>
      <w:r w:rsidRPr="00BF59B3">
        <w:rPr>
          <w:sz w:val="20"/>
          <w:szCs w:val="20"/>
          <w:lang w:val="fr-CA"/>
        </w:rPr>
        <w:pict>
          <v:rect id="_x0000_i1046" style="width:2in;height:1pt" o:hrpct="0" o:hralign="center" o:hrstd="t" o:hrnoshade="t" o:hr="t" fillcolor="black [3213]" stroked="f"/>
        </w:pict>
      </w:r>
    </w:p>
    <w:p w:rsidR="00BF1FA7" w:rsidRDefault="00BF1FA7" w:rsidP="00BF1FA7">
      <w:pPr>
        <w:rPr>
          <w:sz w:val="20"/>
          <w:szCs w:val="20"/>
        </w:rPr>
      </w:pPr>
    </w:p>
    <w:p w:rsidR="00BF1FA7" w:rsidRPr="001B157C" w:rsidRDefault="00BF1FA7" w:rsidP="00BF1FA7">
      <w:pPr>
        <w:rPr>
          <w:sz w:val="20"/>
          <w:szCs w:val="20"/>
          <w:u w:val="single"/>
          <w:lang w:val="fr-CA"/>
        </w:rPr>
      </w:pPr>
      <w:r w:rsidRPr="001B157C">
        <w:rPr>
          <w:sz w:val="20"/>
          <w:szCs w:val="20"/>
          <w:u w:val="single"/>
          <w:lang w:val="fr-CA"/>
        </w:rPr>
        <w:t>RÉSUMÉ DE L’AFFAIRE</w:t>
      </w:r>
    </w:p>
    <w:p w:rsidR="00BF1FA7" w:rsidRDefault="00BF1FA7" w:rsidP="00BF1FA7">
      <w:pPr>
        <w:rPr>
          <w:sz w:val="20"/>
          <w:szCs w:val="20"/>
        </w:rPr>
      </w:pPr>
    </w:p>
    <w:tbl>
      <w:tblPr>
        <w:tblW w:w="5000" w:type="pct"/>
        <w:tblLayout w:type="fixed"/>
        <w:tblCellMar>
          <w:left w:w="0" w:type="dxa"/>
          <w:bottom w:w="99" w:type="dxa"/>
          <w:right w:w="0" w:type="dxa"/>
        </w:tblCellMar>
        <w:tblLook w:val="04A0"/>
      </w:tblPr>
      <w:tblGrid>
        <w:gridCol w:w="4623"/>
        <w:gridCol w:w="464"/>
        <w:gridCol w:w="4532"/>
      </w:tblGrid>
      <w:tr w:rsidR="00FF3BF5" w:rsidRPr="00A6632B" w:rsidTr="00D87D9F">
        <w:tc>
          <w:tcPr>
            <w:tcW w:w="5000" w:type="pct"/>
            <w:gridSpan w:val="3"/>
          </w:tcPr>
          <w:p w:rsidR="00FF3BF5" w:rsidRPr="007931F0" w:rsidRDefault="00FF3BF5" w:rsidP="00D87D9F">
            <w:pPr>
              <w:jc w:val="both"/>
              <w:rPr>
                <w:rFonts w:eastAsia="Calibri"/>
                <w:sz w:val="20"/>
                <w:lang w:val="fr-CA"/>
              </w:rPr>
            </w:pPr>
            <w:r w:rsidRPr="007931F0">
              <w:rPr>
                <w:rFonts w:eastAsia="Calibri"/>
                <w:sz w:val="20"/>
                <w:lang w:val="fr-CA"/>
              </w:rPr>
              <w:t xml:space="preserve">Droit des autochtones – Pêche – Pêche sans permis - Violation - Justification – Droits prioritaires – Les droits prioritaires de pêche à des fins alimentaires des Premières nations confèrent-ils un droit de pêcher les stocks limités de saumons de montaison hâtive avant les pêcheurs sportifs et commerciaux alors qu’on prévoit que les stocks de saumons de montaison tardive seront abondants? – Le ministère des Pêches et Océans doit-il satisfaire à une norme de probabilité en matière de prévision des montaisons du saumon du Pacifique avant d’autoriser la pêche sportive et la pêche commerciale avant la pêche à des fins alimentaires des Premières nations? - </w:t>
            </w:r>
            <w:r w:rsidRPr="007931F0">
              <w:rPr>
                <w:rFonts w:eastAsia="Calibri"/>
                <w:i/>
                <w:sz w:val="20"/>
                <w:lang w:val="fr-CA"/>
              </w:rPr>
              <w:t>R. c. Sparrow</w:t>
            </w:r>
            <w:r w:rsidRPr="007931F0">
              <w:rPr>
                <w:rFonts w:eastAsia="Calibri"/>
                <w:sz w:val="20"/>
                <w:lang w:val="fr-CA"/>
              </w:rPr>
              <w:t>, [1990] 1.R.C.S. 1075.</w:t>
            </w:r>
          </w:p>
        </w:tc>
      </w:tr>
      <w:tr w:rsidR="00FF3BF5" w:rsidRPr="00A6632B" w:rsidTr="00D87D9F">
        <w:tc>
          <w:tcPr>
            <w:tcW w:w="5000" w:type="pct"/>
            <w:gridSpan w:val="3"/>
          </w:tcPr>
          <w:p w:rsidR="00FF3BF5" w:rsidRPr="007931F0" w:rsidRDefault="00FF3BF5" w:rsidP="00D87D9F">
            <w:pPr>
              <w:jc w:val="both"/>
              <w:rPr>
                <w:rFonts w:eastAsia="Calibri"/>
                <w:sz w:val="20"/>
                <w:lang w:val="fr-CA"/>
              </w:rPr>
            </w:pPr>
          </w:p>
        </w:tc>
      </w:tr>
      <w:tr w:rsidR="00FF3BF5" w:rsidRPr="00A6632B" w:rsidTr="00D87D9F">
        <w:tc>
          <w:tcPr>
            <w:tcW w:w="5000" w:type="pct"/>
            <w:gridSpan w:val="3"/>
          </w:tcPr>
          <w:p w:rsidR="00FF3BF5" w:rsidRPr="007931F0" w:rsidRDefault="00FF3BF5" w:rsidP="00D87D9F">
            <w:pPr>
              <w:jc w:val="both"/>
              <w:rPr>
                <w:rFonts w:eastAsia="Calibri"/>
                <w:sz w:val="20"/>
                <w:lang w:val="fr-CA"/>
              </w:rPr>
            </w:pPr>
            <w:r w:rsidRPr="007931F0">
              <w:rPr>
                <w:rFonts w:eastAsia="Calibri"/>
                <w:sz w:val="20"/>
                <w:lang w:val="fr-CA"/>
              </w:rPr>
              <w:t xml:space="preserve">Les demandeurs, des membres de la bande de Cheam, ont été déclarés coupables d’avoir pêché du saumon illégalement, et ce, en contravention de la </w:t>
            </w:r>
            <w:r w:rsidRPr="007931F0">
              <w:rPr>
                <w:rFonts w:eastAsia="Calibri"/>
                <w:i/>
                <w:sz w:val="20"/>
                <w:lang w:val="fr-CA"/>
              </w:rPr>
              <w:t>Loi sur les pêches</w:t>
            </w:r>
            <w:r w:rsidRPr="007931F0">
              <w:rPr>
                <w:rFonts w:eastAsia="Calibri"/>
                <w:sz w:val="20"/>
                <w:lang w:val="fr-CA"/>
              </w:rPr>
              <w:t>.  Les accusations tirent leur origine d’événements qui se sont produits à l’été 1999 alors que le ministère des Pêches et des Océans (« MPO ») avait fermé la pêche au saumon sur le fleuve Fraser en raison des montaisons de saumon anticipées.  Le ministère public a reconnu que les restrictions imposées en matière de pêche contrevenaient aux droits de pêche à des fins alimentaires, sociales et rituelles garantis par la Constitution aux demandeurs; la seule question en litige avait trait à la justification de la violation.  Les déclarations de culpabilité ont été confirmées lors d’un appel relatif aux déclarations sommaires de culpabilité.  La Cour d’appel de la Colombie</w:t>
            </w:r>
            <w:r w:rsidRPr="007931F0">
              <w:rPr>
                <w:rFonts w:eastAsia="Calibri"/>
                <w:sz w:val="20"/>
                <w:lang w:val="fr-CA"/>
              </w:rPr>
              <w:noBreakHyphen/>
              <w:t xml:space="preserve">Britannique a accordé une autorisation d’appel sur la question de l’accès prioritaire qui doit être accordé à la pêche autochtone.  La Cour d’appel a conclu que, selon la doctrine relative à l’ordre de priorité, l’accès prioritaire dans </w:t>
            </w:r>
            <w:r w:rsidRPr="007931F0">
              <w:rPr>
                <w:rFonts w:eastAsia="Calibri"/>
                <w:sz w:val="20"/>
                <w:lang w:val="fr-CA"/>
              </w:rPr>
              <w:lastRenderedPageBreak/>
              <w:t xml:space="preserve">le temps n’avait pas à être accordé à la pêche à des fins alimentaires, sociales et rituelles et elle a rejeté l’appel. </w:t>
            </w:r>
          </w:p>
          <w:p w:rsidR="00FF3BF5" w:rsidRPr="007931F0" w:rsidRDefault="00FF3BF5" w:rsidP="00D87D9F">
            <w:pPr>
              <w:jc w:val="both"/>
              <w:rPr>
                <w:rFonts w:eastAsia="Calibri"/>
                <w:sz w:val="20"/>
                <w:lang w:val="fr-CA"/>
              </w:rPr>
            </w:pPr>
          </w:p>
        </w:tc>
      </w:tr>
      <w:tr w:rsidR="00FF3BF5" w:rsidRPr="00A6632B" w:rsidTr="00D87D9F">
        <w:tc>
          <w:tcPr>
            <w:tcW w:w="2403" w:type="pct"/>
          </w:tcPr>
          <w:p w:rsidR="00FF3BF5" w:rsidRPr="007931F0" w:rsidRDefault="00FF3BF5" w:rsidP="00D87D9F">
            <w:pPr>
              <w:jc w:val="both"/>
              <w:rPr>
                <w:rFonts w:eastAsia="Calibri"/>
                <w:sz w:val="20"/>
                <w:lang w:val="fr-CA"/>
              </w:rPr>
            </w:pPr>
            <w:r w:rsidRPr="007931F0">
              <w:rPr>
                <w:rFonts w:eastAsia="Calibri"/>
                <w:sz w:val="20"/>
                <w:lang w:val="fr-CA"/>
              </w:rPr>
              <w:lastRenderedPageBreak/>
              <w:t>21 décembre 2000</w:t>
            </w:r>
          </w:p>
          <w:p w:rsidR="00FF3BF5" w:rsidRPr="007931F0" w:rsidRDefault="00FF3BF5" w:rsidP="00D87D9F">
            <w:pPr>
              <w:jc w:val="both"/>
              <w:rPr>
                <w:rFonts w:eastAsia="Calibri"/>
                <w:sz w:val="20"/>
                <w:lang w:val="fr-CA"/>
              </w:rPr>
            </w:pPr>
            <w:r w:rsidRPr="007931F0">
              <w:rPr>
                <w:rFonts w:eastAsia="Calibri"/>
                <w:sz w:val="20"/>
                <w:lang w:val="fr-CA"/>
              </w:rPr>
              <w:t>Cour provinciale de la Colombie</w:t>
            </w:r>
            <w:r w:rsidRPr="007931F0">
              <w:rPr>
                <w:rFonts w:eastAsia="Calibri"/>
                <w:sz w:val="20"/>
                <w:lang w:val="fr-CA"/>
              </w:rPr>
              <w:noBreakHyphen/>
              <w:t>Britannique</w:t>
            </w:r>
          </w:p>
          <w:p w:rsidR="00FF3BF5" w:rsidRPr="007931F0" w:rsidRDefault="00FF3BF5" w:rsidP="00D87D9F">
            <w:pPr>
              <w:jc w:val="both"/>
              <w:rPr>
                <w:rFonts w:eastAsia="Calibri"/>
                <w:sz w:val="20"/>
                <w:lang w:val="fr-CA"/>
              </w:rPr>
            </w:pPr>
            <w:r w:rsidRPr="007931F0">
              <w:rPr>
                <w:rFonts w:eastAsia="Calibri"/>
                <w:sz w:val="20"/>
                <w:lang w:val="fr-CA"/>
              </w:rPr>
              <w:t>(Juge Macdonald)</w:t>
            </w:r>
          </w:p>
        </w:tc>
        <w:tc>
          <w:tcPr>
            <w:tcW w:w="241" w:type="pct"/>
          </w:tcPr>
          <w:p w:rsidR="00FF3BF5" w:rsidRPr="007931F0" w:rsidRDefault="00FF3BF5" w:rsidP="00D87D9F">
            <w:pPr>
              <w:jc w:val="both"/>
              <w:rPr>
                <w:rFonts w:eastAsia="Calibri"/>
                <w:sz w:val="20"/>
                <w:lang w:val="fr-CA"/>
              </w:rPr>
            </w:pPr>
          </w:p>
        </w:tc>
        <w:tc>
          <w:tcPr>
            <w:tcW w:w="2356" w:type="pct"/>
          </w:tcPr>
          <w:p w:rsidR="00FF3BF5" w:rsidRPr="007931F0" w:rsidRDefault="00FF3BF5" w:rsidP="00D87D9F">
            <w:pPr>
              <w:jc w:val="both"/>
              <w:rPr>
                <w:rFonts w:eastAsia="Calibri"/>
                <w:sz w:val="20"/>
                <w:lang w:val="fr-CA"/>
              </w:rPr>
            </w:pPr>
            <w:r w:rsidRPr="007931F0">
              <w:rPr>
                <w:rFonts w:eastAsia="Calibri"/>
                <w:sz w:val="20"/>
                <w:lang w:val="fr-CA"/>
              </w:rPr>
              <w:t>Déclarations de culpabilité : avoir illégalement pris, gardé ou vendu du poisson (montaison hâtive de la Stuart)</w:t>
            </w:r>
          </w:p>
          <w:p w:rsidR="00FF3BF5" w:rsidRPr="007931F0" w:rsidRDefault="00FF3BF5" w:rsidP="00D87D9F">
            <w:pPr>
              <w:jc w:val="both"/>
              <w:rPr>
                <w:rFonts w:eastAsia="Calibri"/>
                <w:sz w:val="20"/>
                <w:lang w:val="fr-CA"/>
              </w:rPr>
            </w:pPr>
          </w:p>
        </w:tc>
      </w:tr>
      <w:tr w:rsidR="00FF3BF5" w:rsidRPr="00A6632B" w:rsidTr="00D87D9F">
        <w:tc>
          <w:tcPr>
            <w:tcW w:w="2403" w:type="pct"/>
          </w:tcPr>
          <w:p w:rsidR="00FF3BF5" w:rsidRPr="007931F0" w:rsidRDefault="00FF3BF5" w:rsidP="00D87D9F">
            <w:pPr>
              <w:jc w:val="both"/>
              <w:rPr>
                <w:rFonts w:eastAsia="Calibri"/>
                <w:sz w:val="20"/>
                <w:lang w:val="fr-CA"/>
              </w:rPr>
            </w:pPr>
            <w:r w:rsidRPr="007931F0">
              <w:rPr>
                <w:rFonts w:eastAsia="Calibri"/>
                <w:sz w:val="20"/>
                <w:lang w:val="fr-CA"/>
              </w:rPr>
              <w:t>20 juin 2002</w:t>
            </w:r>
          </w:p>
          <w:p w:rsidR="00FF3BF5" w:rsidRPr="007931F0" w:rsidRDefault="00FF3BF5" w:rsidP="00D87D9F">
            <w:pPr>
              <w:jc w:val="both"/>
              <w:rPr>
                <w:rFonts w:eastAsia="Calibri"/>
                <w:sz w:val="20"/>
                <w:lang w:val="fr-CA"/>
              </w:rPr>
            </w:pPr>
            <w:r w:rsidRPr="007931F0">
              <w:rPr>
                <w:rFonts w:eastAsia="Calibri"/>
                <w:sz w:val="20"/>
                <w:lang w:val="fr-CA"/>
              </w:rPr>
              <w:t>Cour provinciale de la Colombie</w:t>
            </w:r>
            <w:r w:rsidRPr="007931F0">
              <w:rPr>
                <w:rFonts w:eastAsia="Calibri"/>
                <w:sz w:val="20"/>
                <w:lang w:val="fr-CA"/>
              </w:rPr>
              <w:noBreakHyphen/>
              <w:t>Britannique</w:t>
            </w:r>
          </w:p>
          <w:p w:rsidR="00FF3BF5" w:rsidRPr="007931F0" w:rsidRDefault="00FF3BF5" w:rsidP="00D87D9F">
            <w:pPr>
              <w:jc w:val="both"/>
              <w:rPr>
                <w:rFonts w:eastAsia="Calibri"/>
                <w:sz w:val="20"/>
                <w:lang w:val="fr-CA"/>
              </w:rPr>
            </w:pPr>
            <w:r w:rsidRPr="007931F0">
              <w:rPr>
                <w:rFonts w:eastAsia="Calibri"/>
                <w:sz w:val="20"/>
                <w:lang w:val="fr-CA"/>
              </w:rPr>
              <w:t>(Juge Gill)</w:t>
            </w:r>
          </w:p>
          <w:p w:rsidR="00FF3BF5" w:rsidRPr="007931F0" w:rsidRDefault="00FF3BF5" w:rsidP="00D87D9F">
            <w:pPr>
              <w:jc w:val="both"/>
              <w:rPr>
                <w:rFonts w:eastAsia="Calibri"/>
                <w:sz w:val="20"/>
                <w:lang w:val="fr-CA"/>
              </w:rPr>
            </w:pPr>
          </w:p>
        </w:tc>
        <w:tc>
          <w:tcPr>
            <w:tcW w:w="241" w:type="pct"/>
          </w:tcPr>
          <w:p w:rsidR="00FF3BF5" w:rsidRPr="007931F0" w:rsidRDefault="00FF3BF5" w:rsidP="00D87D9F">
            <w:pPr>
              <w:jc w:val="both"/>
              <w:rPr>
                <w:rFonts w:eastAsia="Calibri"/>
                <w:sz w:val="20"/>
                <w:lang w:val="fr-CA"/>
              </w:rPr>
            </w:pPr>
          </w:p>
        </w:tc>
        <w:tc>
          <w:tcPr>
            <w:tcW w:w="2356" w:type="pct"/>
          </w:tcPr>
          <w:p w:rsidR="00FF3BF5" w:rsidRPr="007931F0" w:rsidRDefault="00FF3BF5" w:rsidP="00D87D9F">
            <w:pPr>
              <w:jc w:val="both"/>
              <w:rPr>
                <w:rFonts w:eastAsia="Calibri"/>
                <w:sz w:val="20"/>
                <w:lang w:val="fr-CA"/>
              </w:rPr>
            </w:pPr>
            <w:r w:rsidRPr="007931F0">
              <w:rPr>
                <w:rFonts w:eastAsia="Calibri"/>
                <w:sz w:val="20"/>
                <w:lang w:val="fr-CA"/>
              </w:rPr>
              <w:t>Déclarations de culpabilité : avoir illégalement pris, gardé ou vendu du poisson (montaison d’été)</w:t>
            </w:r>
          </w:p>
          <w:p w:rsidR="00FF3BF5" w:rsidRPr="007931F0" w:rsidRDefault="00FF3BF5" w:rsidP="00D87D9F">
            <w:pPr>
              <w:jc w:val="both"/>
              <w:rPr>
                <w:rFonts w:eastAsia="Calibri"/>
                <w:sz w:val="20"/>
                <w:lang w:val="fr-CA"/>
              </w:rPr>
            </w:pPr>
          </w:p>
        </w:tc>
      </w:tr>
      <w:tr w:rsidR="00FF3BF5" w:rsidRPr="00A6632B" w:rsidTr="00D87D9F">
        <w:tc>
          <w:tcPr>
            <w:tcW w:w="2403" w:type="pct"/>
          </w:tcPr>
          <w:p w:rsidR="00FF3BF5" w:rsidRPr="007931F0" w:rsidRDefault="00FF3BF5" w:rsidP="00D87D9F">
            <w:pPr>
              <w:jc w:val="both"/>
              <w:rPr>
                <w:rFonts w:eastAsia="Calibri"/>
                <w:sz w:val="20"/>
                <w:lang w:val="fr-CA"/>
              </w:rPr>
            </w:pPr>
            <w:r w:rsidRPr="007931F0">
              <w:rPr>
                <w:rFonts w:eastAsia="Calibri"/>
                <w:sz w:val="20"/>
                <w:lang w:val="fr-CA"/>
              </w:rPr>
              <w:t>14 août 2008</w:t>
            </w:r>
          </w:p>
          <w:p w:rsidR="00FF3BF5" w:rsidRPr="007931F0" w:rsidRDefault="00FF3BF5" w:rsidP="00D87D9F">
            <w:pPr>
              <w:jc w:val="both"/>
              <w:rPr>
                <w:rFonts w:eastAsia="Calibri"/>
                <w:sz w:val="20"/>
                <w:lang w:val="fr-CA"/>
              </w:rPr>
            </w:pPr>
            <w:r w:rsidRPr="007931F0">
              <w:rPr>
                <w:rFonts w:eastAsia="Calibri"/>
                <w:sz w:val="20"/>
                <w:lang w:val="fr-CA"/>
              </w:rPr>
              <w:t>Cour suprême de la Colombie</w:t>
            </w:r>
            <w:r w:rsidRPr="007931F0">
              <w:rPr>
                <w:rFonts w:eastAsia="Calibri"/>
                <w:sz w:val="20"/>
                <w:lang w:val="fr-CA"/>
              </w:rPr>
              <w:noBreakHyphen/>
              <w:t>Britannique</w:t>
            </w:r>
          </w:p>
          <w:p w:rsidR="00FF3BF5" w:rsidRPr="007931F0" w:rsidRDefault="00FF3BF5" w:rsidP="00D87D9F">
            <w:pPr>
              <w:jc w:val="both"/>
              <w:rPr>
                <w:rFonts w:eastAsia="Calibri"/>
                <w:sz w:val="20"/>
                <w:lang w:val="fr-CA"/>
              </w:rPr>
            </w:pPr>
            <w:r w:rsidRPr="007931F0">
              <w:rPr>
                <w:rFonts w:eastAsia="Calibri"/>
                <w:sz w:val="20"/>
                <w:lang w:val="fr-CA"/>
              </w:rPr>
              <w:t>(Juge Smith)</w:t>
            </w:r>
          </w:p>
          <w:p w:rsidR="00FF3BF5" w:rsidRPr="007931F0" w:rsidRDefault="00FF3BF5" w:rsidP="00D87D9F">
            <w:pPr>
              <w:jc w:val="both"/>
              <w:rPr>
                <w:rFonts w:eastAsia="Calibri"/>
                <w:sz w:val="20"/>
                <w:lang w:val="fr-CA"/>
              </w:rPr>
            </w:pPr>
            <w:r w:rsidRPr="007931F0">
              <w:rPr>
                <w:rFonts w:eastAsia="Calibri"/>
                <w:sz w:val="20"/>
                <w:lang w:val="fr-CA"/>
              </w:rPr>
              <w:t>Référence neutre : 2008 BCSC 1096 (appel relatif à la montaison hâtive de la Stuart) / 2008 BCSC 1098 (appel relatif à la montaison de l’été)</w:t>
            </w:r>
          </w:p>
          <w:p w:rsidR="00FF3BF5" w:rsidRPr="007931F0" w:rsidRDefault="00FF3BF5" w:rsidP="00D87D9F">
            <w:pPr>
              <w:jc w:val="both"/>
              <w:rPr>
                <w:rFonts w:eastAsia="Calibri"/>
                <w:sz w:val="20"/>
                <w:lang w:val="fr-CA"/>
              </w:rPr>
            </w:pPr>
          </w:p>
        </w:tc>
        <w:tc>
          <w:tcPr>
            <w:tcW w:w="241" w:type="pct"/>
          </w:tcPr>
          <w:p w:rsidR="00FF3BF5" w:rsidRPr="007931F0" w:rsidRDefault="00FF3BF5" w:rsidP="00D87D9F">
            <w:pPr>
              <w:jc w:val="both"/>
              <w:rPr>
                <w:rFonts w:eastAsia="Calibri"/>
                <w:sz w:val="20"/>
                <w:lang w:val="fr-CA"/>
              </w:rPr>
            </w:pPr>
          </w:p>
        </w:tc>
        <w:tc>
          <w:tcPr>
            <w:tcW w:w="2356" w:type="pct"/>
          </w:tcPr>
          <w:p w:rsidR="00FF3BF5" w:rsidRPr="007931F0" w:rsidRDefault="00FF3BF5" w:rsidP="00D87D9F">
            <w:pPr>
              <w:jc w:val="both"/>
              <w:rPr>
                <w:rFonts w:eastAsia="Calibri"/>
                <w:sz w:val="20"/>
                <w:lang w:val="fr-CA"/>
              </w:rPr>
            </w:pPr>
            <w:r w:rsidRPr="007931F0">
              <w:rPr>
                <w:rFonts w:eastAsia="Calibri"/>
                <w:sz w:val="20"/>
                <w:lang w:val="fr-CA"/>
              </w:rPr>
              <w:t>Appels relatifs aux déclarations sommaires de culpabilité rejetés</w:t>
            </w:r>
          </w:p>
        </w:tc>
      </w:tr>
      <w:tr w:rsidR="00FF3BF5" w:rsidRPr="00A6632B" w:rsidTr="00D87D9F">
        <w:tc>
          <w:tcPr>
            <w:tcW w:w="2403" w:type="pct"/>
          </w:tcPr>
          <w:p w:rsidR="00FF3BF5" w:rsidRPr="007931F0" w:rsidRDefault="00FF3BF5" w:rsidP="00D87D9F">
            <w:pPr>
              <w:jc w:val="both"/>
              <w:rPr>
                <w:rFonts w:eastAsia="Calibri"/>
                <w:sz w:val="20"/>
                <w:lang w:val="fr-CA"/>
              </w:rPr>
            </w:pPr>
            <w:r w:rsidRPr="007931F0">
              <w:rPr>
                <w:rFonts w:eastAsia="Calibri"/>
                <w:sz w:val="20"/>
                <w:lang w:val="fr-CA"/>
              </w:rPr>
              <w:t>27 août 2010</w:t>
            </w:r>
          </w:p>
          <w:p w:rsidR="00FF3BF5" w:rsidRPr="007931F0" w:rsidRDefault="00FF3BF5" w:rsidP="00D87D9F">
            <w:pPr>
              <w:jc w:val="both"/>
              <w:rPr>
                <w:rFonts w:eastAsia="Calibri"/>
                <w:sz w:val="20"/>
                <w:lang w:val="fr-CA"/>
              </w:rPr>
            </w:pPr>
            <w:r w:rsidRPr="007931F0">
              <w:rPr>
                <w:rFonts w:eastAsia="Calibri"/>
                <w:sz w:val="20"/>
                <w:lang w:val="fr-CA"/>
              </w:rPr>
              <w:t>Cour d’appel de la Colombie</w:t>
            </w:r>
            <w:r w:rsidRPr="007931F0">
              <w:rPr>
                <w:rFonts w:eastAsia="Calibri"/>
                <w:sz w:val="20"/>
                <w:lang w:val="fr-CA"/>
              </w:rPr>
              <w:noBreakHyphen/>
              <w:t>Britannique</w:t>
            </w:r>
          </w:p>
          <w:p w:rsidR="00FF3BF5" w:rsidRPr="007931F0" w:rsidRDefault="00FF3BF5" w:rsidP="00D87D9F">
            <w:pPr>
              <w:jc w:val="both"/>
              <w:rPr>
                <w:rFonts w:eastAsia="Calibri"/>
                <w:sz w:val="20"/>
                <w:lang w:val="fr-CA"/>
              </w:rPr>
            </w:pPr>
            <w:r w:rsidRPr="007931F0">
              <w:rPr>
                <w:rFonts w:eastAsia="Calibri"/>
                <w:sz w:val="20"/>
                <w:lang w:val="fr-CA"/>
              </w:rPr>
              <w:t>(Juge Neilson)</w:t>
            </w:r>
          </w:p>
          <w:p w:rsidR="00FF3BF5" w:rsidRPr="007931F0" w:rsidRDefault="00FF3BF5" w:rsidP="00D87D9F">
            <w:pPr>
              <w:jc w:val="both"/>
              <w:rPr>
                <w:rFonts w:eastAsia="Calibri"/>
                <w:sz w:val="20"/>
                <w:lang w:val="fr-CA"/>
              </w:rPr>
            </w:pPr>
            <w:r w:rsidRPr="007931F0">
              <w:rPr>
                <w:rFonts w:eastAsia="Calibri"/>
                <w:sz w:val="20"/>
                <w:lang w:val="fr-CA"/>
              </w:rPr>
              <w:t>Référence neutre : 2010 BCCA 389</w:t>
            </w:r>
          </w:p>
          <w:p w:rsidR="00FF3BF5" w:rsidRPr="007931F0" w:rsidRDefault="00FF3BF5" w:rsidP="00D87D9F">
            <w:pPr>
              <w:jc w:val="both"/>
              <w:rPr>
                <w:rFonts w:eastAsia="Calibri"/>
                <w:sz w:val="20"/>
                <w:lang w:val="fr-CA"/>
              </w:rPr>
            </w:pPr>
          </w:p>
        </w:tc>
        <w:tc>
          <w:tcPr>
            <w:tcW w:w="241" w:type="pct"/>
          </w:tcPr>
          <w:p w:rsidR="00FF3BF5" w:rsidRPr="007931F0" w:rsidRDefault="00FF3BF5" w:rsidP="00D87D9F">
            <w:pPr>
              <w:jc w:val="both"/>
              <w:rPr>
                <w:rFonts w:eastAsia="Calibri"/>
                <w:sz w:val="20"/>
                <w:lang w:val="fr-CA"/>
              </w:rPr>
            </w:pPr>
          </w:p>
        </w:tc>
        <w:tc>
          <w:tcPr>
            <w:tcW w:w="2356" w:type="pct"/>
          </w:tcPr>
          <w:p w:rsidR="00FF3BF5" w:rsidRPr="007931F0" w:rsidRDefault="00FF3BF5" w:rsidP="00D87D9F">
            <w:pPr>
              <w:jc w:val="both"/>
              <w:rPr>
                <w:rFonts w:eastAsia="Calibri"/>
                <w:sz w:val="20"/>
                <w:lang w:val="fr-CA"/>
              </w:rPr>
            </w:pPr>
            <w:r w:rsidRPr="007931F0">
              <w:rPr>
                <w:rFonts w:eastAsia="Calibri"/>
                <w:sz w:val="20"/>
                <w:lang w:val="fr-CA"/>
              </w:rPr>
              <w:t>Autorisation d’appel accordée quant à la question de savoir si l’accès prioritaire accordé à la pêche à des fins alimentaires, sociales et rituelles comprend un accès prioritaire dans le temps</w:t>
            </w:r>
          </w:p>
        </w:tc>
      </w:tr>
      <w:tr w:rsidR="00FF3BF5" w:rsidRPr="007931F0" w:rsidTr="004C618B">
        <w:trPr>
          <w:cantSplit/>
        </w:trPr>
        <w:tc>
          <w:tcPr>
            <w:tcW w:w="2403" w:type="pct"/>
          </w:tcPr>
          <w:p w:rsidR="00FF3BF5" w:rsidRPr="007931F0" w:rsidRDefault="00FF3BF5" w:rsidP="00D87D9F">
            <w:pPr>
              <w:jc w:val="both"/>
              <w:rPr>
                <w:rFonts w:eastAsia="Calibri"/>
                <w:sz w:val="20"/>
                <w:lang w:val="fr-CA"/>
              </w:rPr>
            </w:pPr>
            <w:r w:rsidRPr="007931F0">
              <w:rPr>
                <w:rFonts w:eastAsia="Calibri"/>
                <w:sz w:val="20"/>
                <w:lang w:val="fr-CA"/>
              </w:rPr>
              <w:t>13 mai 2011</w:t>
            </w:r>
          </w:p>
          <w:p w:rsidR="00FF3BF5" w:rsidRPr="007931F0" w:rsidRDefault="00FF3BF5" w:rsidP="00D87D9F">
            <w:pPr>
              <w:jc w:val="both"/>
              <w:rPr>
                <w:rFonts w:eastAsia="Calibri"/>
                <w:sz w:val="20"/>
                <w:lang w:val="fr-CA"/>
              </w:rPr>
            </w:pPr>
            <w:r w:rsidRPr="007931F0">
              <w:rPr>
                <w:rFonts w:eastAsia="Calibri"/>
                <w:sz w:val="20"/>
                <w:lang w:val="fr-CA"/>
              </w:rPr>
              <w:t>Cour d’appel de la Colombie</w:t>
            </w:r>
            <w:r w:rsidRPr="007931F0">
              <w:rPr>
                <w:rFonts w:eastAsia="Calibri"/>
                <w:sz w:val="20"/>
                <w:lang w:val="fr-CA"/>
              </w:rPr>
              <w:noBreakHyphen/>
              <w:t>Britannique</w:t>
            </w:r>
          </w:p>
          <w:p w:rsidR="00FF3BF5" w:rsidRPr="007931F0" w:rsidRDefault="00FF3BF5" w:rsidP="00D87D9F">
            <w:pPr>
              <w:jc w:val="both"/>
              <w:rPr>
                <w:rFonts w:eastAsia="Calibri"/>
                <w:sz w:val="20"/>
                <w:lang w:val="fr-CA"/>
              </w:rPr>
            </w:pPr>
            <w:r w:rsidRPr="007931F0">
              <w:rPr>
                <w:rFonts w:eastAsia="Calibri"/>
                <w:sz w:val="20"/>
                <w:lang w:val="fr-CA"/>
              </w:rPr>
              <w:t>(Juges Finch, Hall, Frankel, Neilson et Bennett)</w:t>
            </w:r>
          </w:p>
          <w:p w:rsidR="00FF3BF5" w:rsidRPr="007931F0" w:rsidRDefault="00FF3BF5" w:rsidP="00D87D9F">
            <w:pPr>
              <w:jc w:val="both"/>
              <w:rPr>
                <w:rFonts w:eastAsia="Calibri"/>
                <w:sz w:val="20"/>
                <w:lang w:val="fr-CA"/>
              </w:rPr>
            </w:pPr>
            <w:r w:rsidRPr="007931F0">
              <w:rPr>
                <w:rFonts w:eastAsia="Calibri"/>
                <w:sz w:val="20"/>
                <w:lang w:val="fr-CA"/>
              </w:rPr>
              <w:t xml:space="preserve">Référence neutre : 2011 BCCA 235 </w:t>
            </w:r>
          </w:p>
          <w:p w:rsidR="00FF3BF5" w:rsidRPr="007931F0" w:rsidRDefault="00FF3BF5" w:rsidP="00D87D9F">
            <w:pPr>
              <w:jc w:val="both"/>
              <w:rPr>
                <w:rFonts w:eastAsia="Calibri"/>
                <w:sz w:val="20"/>
                <w:lang w:val="fr-CA"/>
              </w:rPr>
            </w:pPr>
          </w:p>
        </w:tc>
        <w:tc>
          <w:tcPr>
            <w:tcW w:w="241" w:type="pct"/>
          </w:tcPr>
          <w:p w:rsidR="00FF3BF5" w:rsidRPr="007931F0" w:rsidRDefault="00FF3BF5" w:rsidP="00D87D9F">
            <w:pPr>
              <w:jc w:val="both"/>
              <w:rPr>
                <w:rFonts w:eastAsia="Calibri"/>
                <w:sz w:val="20"/>
                <w:lang w:val="fr-CA"/>
              </w:rPr>
            </w:pPr>
          </w:p>
        </w:tc>
        <w:tc>
          <w:tcPr>
            <w:tcW w:w="2356" w:type="pct"/>
          </w:tcPr>
          <w:p w:rsidR="00FF3BF5" w:rsidRPr="007931F0" w:rsidRDefault="00FF3BF5" w:rsidP="00D87D9F">
            <w:pPr>
              <w:jc w:val="both"/>
              <w:rPr>
                <w:rFonts w:eastAsia="Calibri"/>
                <w:sz w:val="20"/>
                <w:lang w:val="fr-CA"/>
              </w:rPr>
            </w:pPr>
            <w:r w:rsidRPr="007931F0">
              <w:rPr>
                <w:rFonts w:eastAsia="Calibri"/>
                <w:sz w:val="20"/>
                <w:lang w:val="fr-CA"/>
              </w:rPr>
              <w:t>Appels rejetés</w:t>
            </w:r>
          </w:p>
          <w:p w:rsidR="00FF3BF5" w:rsidRPr="007931F0" w:rsidRDefault="00FF3BF5" w:rsidP="00D87D9F">
            <w:pPr>
              <w:jc w:val="both"/>
              <w:rPr>
                <w:rFonts w:eastAsia="Calibri"/>
                <w:sz w:val="20"/>
                <w:lang w:val="fr-CA"/>
              </w:rPr>
            </w:pPr>
          </w:p>
        </w:tc>
      </w:tr>
      <w:tr w:rsidR="00FF3BF5" w:rsidRPr="00A6632B" w:rsidTr="004C618B">
        <w:trPr>
          <w:cantSplit/>
        </w:trPr>
        <w:tc>
          <w:tcPr>
            <w:tcW w:w="2403" w:type="pct"/>
          </w:tcPr>
          <w:p w:rsidR="00FF3BF5" w:rsidRPr="007931F0" w:rsidRDefault="00FF3BF5" w:rsidP="00D87D9F">
            <w:pPr>
              <w:jc w:val="both"/>
              <w:rPr>
                <w:rFonts w:eastAsia="Calibri"/>
                <w:sz w:val="20"/>
                <w:lang w:val="fr-CA"/>
              </w:rPr>
            </w:pPr>
            <w:r w:rsidRPr="007931F0">
              <w:rPr>
                <w:rFonts w:eastAsia="Calibri"/>
                <w:sz w:val="20"/>
                <w:lang w:val="fr-CA"/>
              </w:rPr>
              <w:t>10 août 2011</w:t>
            </w:r>
          </w:p>
          <w:p w:rsidR="00FF3BF5" w:rsidRPr="007931F0" w:rsidRDefault="00FF3BF5" w:rsidP="00D87D9F">
            <w:pPr>
              <w:jc w:val="both"/>
              <w:rPr>
                <w:rFonts w:eastAsia="Calibri"/>
                <w:sz w:val="20"/>
                <w:lang w:val="fr-CA"/>
              </w:rPr>
            </w:pPr>
            <w:r w:rsidRPr="007931F0">
              <w:rPr>
                <w:rFonts w:eastAsia="Calibri"/>
                <w:sz w:val="20"/>
                <w:lang w:val="fr-CA"/>
              </w:rPr>
              <w:t>Cour suprême du Canada</w:t>
            </w:r>
          </w:p>
        </w:tc>
        <w:tc>
          <w:tcPr>
            <w:tcW w:w="241" w:type="pct"/>
          </w:tcPr>
          <w:p w:rsidR="00FF3BF5" w:rsidRPr="007931F0" w:rsidRDefault="00FF3BF5" w:rsidP="00D87D9F">
            <w:pPr>
              <w:jc w:val="both"/>
              <w:rPr>
                <w:rFonts w:eastAsia="Calibri"/>
                <w:sz w:val="20"/>
                <w:lang w:val="fr-CA"/>
              </w:rPr>
            </w:pPr>
          </w:p>
        </w:tc>
        <w:tc>
          <w:tcPr>
            <w:tcW w:w="2356" w:type="pct"/>
          </w:tcPr>
          <w:p w:rsidR="00FF3BF5" w:rsidRPr="007931F0" w:rsidRDefault="00FF3BF5" w:rsidP="00D87D9F">
            <w:pPr>
              <w:jc w:val="both"/>
              <w:rPr>
                <w:rFonts w:eastAsia="Calibri"/>
                <w:sz w:val="20"/>
                <w:lang w:val="fr-CA"/>
              </w:rPr>
            </w:pPr>
            <w:r w:rsidRPr="007931F0">
              <w:rPr>
                <w:rFonts w:eastAsia="Calibri"/>
                <w:sz w:val="20"/>
                <w:lang w:val="fr-CA"/>
              </w:rPr>
              <w:t>Demande d’autorisation de pourvoi, déposée</w:t>
            </w:r>
          </w:p>
        </w:tc>
      </w:tr>
    </w:tbl>
    <w:p w:rsidR="00BF1FA7" w:rsidRPr="00FF3BF5" w:rsidRDefault="00BF1FA7" w:rsidP="00BF1FA7">
      <w:pPr>
        <w:rPr>
          <w:sz w:val="20"/>
          <w:szCs w:val="20"/>
          <w:lang w:val="fr-CA"/>
        </w:rPr>
      </w:pPr>
    </w:p>
    <w:p w:rsidR="00BF1FA7" w:rsidRDefault="00BF59B3" w:rsidP="00BF1FA7">
      <w:pPr>
        <w:rPr>
          <w:sz w:val="20"/>
          <w:szCs w:val="20"/>
        </w:rPr>
      </w:pPr>
      <w:r w:rsidRPr="00BF59B3">
        <w:rPr>
          <w:sz w:val="20"/>
          <w:szCs w:val="20"/>
          <w:lang w:val="fr-CA"/>
        </w:rPr>
        <w:pict>
          <v:rect id="_x0000_i1047" style="width:2in;height:1pt" o:hrpct="0" o:hralign="center" o:hrstd="t" o:hrnoshade="t" o:hr="t" fillcolor="black [3213]" stroked="f"/>
        </w:pict>
      </w:r>
    </w:p>
    <w:p w:rsidR="00BF1FA7" w:rsidRDefault="00BF1FA7" w:rsidP="00BF1FA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318B2" w:rsidRPr="00F863F6" w:rsidTr="007F36A7">
        <w:trPr>
          <w:cantSplit/>
        </w:trPr>
        <w:tc>
          <w:tcPr>
            <w:tcW w:w="1458" w:type="dxa"/>
          </w:tcPr>
          <w:p w:rsidR="00A318B2" w:rsidRPr="00F863F6" w:rsidRDefault="00A318B2" w:rsidP="007F36A7">
            <w:pPr>
              <w:rPr>
                <w:sz w:val="20"/>
                <w:szCs w:val="20"/>
              </w:rPr>
            </w:pPr>
            <w:r w:rsidRPr="00F863F6">
              <w:rPr>
                <w:rStyle w:val="SCCFileNumberChar"/>
                <w:sz w:val="20"/>
                <w:szCs w:val="20"/>
              </w:rPr>
              <w:t>34465</w:t>
            </w:r>
          </w:p>
          <w:p w:rsidR="00A318B2" w:rsidRPr="00F863F6" w:rsidRDefault="00A318B2" w:rsidP="007F36A7">
            <w:pPr>
              <w:rPr>
                <w:b/>
                <w:sz w:val="20"/>
                <w:szCs w:val="20"/>
                <w:lang w:val="fr-CA"/>
              </w:rPr>
            </w:pPr>
          </w:p>
        </w:tc>
        <w:tc>
          <w:tcPr>
            <w:tcW w:w="8118" w:type="dxa"/>
          </w:tcPr>
          <w:p w:rsidR="00A318B2" w:rsidRPr="00F863F6" w:rsidRDefault="00A318B2" w:rsidP="007F36A7">
            <w:pPr>
              <w:jc w:val="both"/>
              <w:rPr>
                <w:sz w:val="20"/>
                <w:szCs w:val="20"/>
              </w:rPr>
            </w:pPr>
            <w:r w:rsidRPr="00F863F6">
              <w:rPr>
                <w:rStyle w:val="SCCLsocChar"/>
                <w:sz w:val="20"/>
                <w:szCs w:val="20"/>
                <w:lang w:val="en-CA"/>
              </w:rPr>
              <w:t>J.J v. Canadian Union of Public Employees, Local 561</w:t>
            </w:r>
            <w:r w:rsidR="004C0222">
              <w:rPr>
                <w:rStyle w:val="SCCLsocChar"/>
                <w:sz w:val="20"/>
                <w:szCs w:val="20"/>
                <w:lang w:val="en-CA"/>
              </w:rPr>
              <w:t xml:space="preserve"> and</w:t>
            </w:r>
            <w:r w:rsidRPr="00F863F6">
              <w:rPr>
                <w:rStyle w:val="SCCLsocChar"/>
                <w:sz w:val="20"/>
                <w:szCs w:val="20"/>
                <w:lang w:val="en-CA"/>
              </w:rPr>
              <w:t xml:space="preserve"> British Columbia Human Rights Tribunal</w:t>
            </w:r>
            <w:r w:rsidRPr="00F863F6">
              <w:rPr>
                <w:sz w:val="20"/>
                <w:szCs w:val="20"/>
              </w:rPr>
              <w:t xml:space="preserve"> (B.C.) (Civil) (By Leave)</w:t>
            </w:r>
          </w:p>
          <w:p w:rsidR="00A318B2" w:rsidRPr="00F863F6" w:rsidRDefault="00A318B2" w:rsidP="007F36A7">
            <w:pPr>
              <w:rPr>
                <w:sz w:val="20"/>
                <w:szCs w:val="20"/>
              </w:rPr>
            </w:pPr>
          </w:p>
        </w:tc>
      </w:tr>
      <w:tr w:rsidR="00A318B2" w:rsidRPr="00F863F6" w:rsidTr="007F36A7">
        <w:trPr>
          <w:cantSplit/>
        </w:trPr>
        <w:tc>
          <w:tcPr>
            <w:tcW w:w="1458" w:type="dxa"/>
          </w:tcPr>
          <w:p w:rsidR="00A318B2" w:rsidRPr="00F863F6" w:rsidRDefault="00A318B2" w:rsidP="007F36A7">
            <w:pPr>
              <w:rPr>
                <w:sz w:val="20"/>
                <w:szCs w:val="20"/>
              </w:rPr>
            </w:pPr>
            <w:r w:rsidRPr="00F863F6">
              <w:rPr>
                <w:sz w:val="20"/>
                <w:szCs w:val="20"/>
              </w:rPr>
              <w:t>Coram :</w:t>
            </w:r>
          </w:p>
        </w:tc>
        <w:tc>
          <w:tcPr>
            <w:tcW w:w="8118" w:type="dxa"/>
          </w:tcPr>
          <w:p w:rsidR="00A318B2" w:rsidRPr="00F863F6" w:rsidRDefault="00A318B2" w:rsidP="007F36A7">
            <w:pPr>
              <w:rPr>
                <w:sz w:val="20"/>
                <w:szCs w:val="20"/>
              </w:rPr>
            </w:pPr>
            <w:r w:rsidRPr="00F863F6">
              <w:rPr>
                <w:rStyle w:val="SCCCoramChar"/>
                <w:sz w:val="20"/>
                <w:szCs w:val="20"/>
                <w:lang w:val="en-CA"/>
              </w:rPr>
              <w:t>McLachlin C.J. and Rothstein and Moldaver JJ.</w:t>
            </w:r>
          </w:p>
          <w:p w:rsidR="00A318B2" w:rsidRPr="00F863F6" w:rsidRDefault="00A318B2" w:rsidP="007F36A7">
            <w:pPr>
              <w:rPr>
                <w:sz w:val="20"/>
                <w:szCs w:val="20"/>
                <w:u w:val="single"/>
              </w:rPr>
            </w:pPr>
          </w:p>
        </w:tc>
      </w:tr>
      <w:tr w:rsidR="00A318B2" w:rsidRPr="00A6632B" w:rsidTr="007F36A7">
        <w:trPr>
          <w:cantSplit/>
        </w:trPr>
        <w:tc>
          <w:tcPr>
            <w:tcW w:w="9576" w:type="dxa"/>
            <w:gridSpan w:val="2"/>
          </w:tcPr>
          <w:p w:rsidR="00A318B2" w:rsidRPr="00F863F6" w:rsidRDefault="00A318B2" w:rsidP="007F36A7">
            <w:pPr>
              <w:pStyle w:val="SCCShortJudgment"/>
              <w:rPr>
                <w:szCs w:val="20"/>
              </w:rPr>
            </w:pPr>
            <w:r w:rsidRPr="00F863F6">
              <w:rPr>
                <w:szCs w:val="20"/>
              </w:rPr>
              <w:t>The application for leave to appeal from the judgment of the Court of Appeal for British Columbia (Vancouver), Number CA037401, 2011 BCCA 343, dated August 10, 2011, is dismissed with costs to the respondent Canadian Union of Public Employees, Local 561.</w:t>
            </w:r>
          </w:p>
          <w:p w:rsidR="00A318B2" w:rsidRPr="00F863F6" w:rsidRDefault="00A318B2" w:rsidP="007F36A7">
            <w:pPr>
              <w:pStyle w:val="SCCShortJudgment"/>
              <w:ind w:firstLine="0"/>
              <w:rPr>
                <w:szCs w:val="20"/>
              </w:rPr>
            </w:pPr>
          </w:p>
          <w:p w:rsidR="00A318B2" w:rsidRPr="00F863F6" w:rsidRDefault="00A318B2" w:rsidP="007F36A7">
            <w:pPr>
              <w:pStyle w:val="SCCShortJudgment"/>
              <w:rPr>
                <w:szCs w:val="20"/>
                <w:lang w:val="fr-CA"/>
              </w:rPr>
            </w:pPr>
            <w:r w:rsidRPr="00F863F6">
              <w:rPr>
                <w:szCs w:val="20"/>
                <w:lang w:val="fr-CA"/>
              </w:rPr>
              <w:t>La demande d’autorisation d’appel de l’arrêt de la Cour d’appel de la Colombie-Britannique (Vancouver), numéro CA037401, 2011 BCCA 343, daté du 10 août 2011, est rejetée avec dépens en faveur de l’intimé Canadian Union of Public Employees, Local 561.</w:t>
            </w:r>
          </w:p>
        </w:tc>
      </w:tr>
    </w:tbl>
    <w:p w:rsidR="00BF1FA7" w:rsidRPr="00A318B2" w:rsidRDefault="00BF1FA7" w:rsidP="00BF1FA7">
      <w:pPr>
        <w:rPr>
          <w:sz w:val="20"/>
          <w:szCs w:val="20"/>
          <w:lang w:val="fr-CA"/>
        </w:rPr>
      </w:pPr>
    </w:p>
    <w:p w:rsidR="00F95CC5" w:rsidRPr="008D50E0" w:rsidRDefault="00F95CC5">
      <w:pPr>
        <w:rPr>
          <w:sz w:val="20"/>
          <w:szCs w:val="20"/>
          <w:u w:val="single"/>
          <w:lang w:val="fr-CA"/>
        </w:rPr>
      </w:pPr>
      <w:r w:rsidRPr="008D50E0">
        <w:rPr>
          <w:sz w:val="20"/>
          <w:szCs w:val="20"/>
          <w:u w:val="single"/>
          <w:lang w:val="fr-CA"/>
        </w:rPr>
        <w:br w:type="page"/>
      </w:r>
    </w:p>
    <w:p w:rsidR="00BF1FA7" w:rsidRPr="001B157C" w:rsidRDefault="00BF1FA7" w:rsidP="00BF1FA7">
      <w:pPr>
        <w:rPr>
          <w:sz w:val="20"/>
          <w:szCs w:val="20"/>
          <w:u w:val="single"/>
        </w:rPr>
      </w:pPr>
      <w:r w:rsidRPr="001B157C">
        <w:rPr>
          <w:sz w:val="20"/>
          <w:szCs w:val="20"/>
          <w:u w:val="single"/>
        </w:rPr>
        <w:lastRenderedPageBreak/>
        <w:t>CASE SUMMARY</w:t>
      </w:r>
    </w:p>
    <w:p w:rsidR="00BF1FA7" w:rsidRDefault="00BF1FA7" w:rsidP="00BF1FA7">
      <w:pPr>
        <w:rPr>
          <w:sz w:val="20"/>
          <w:szCs w:val="20"/>
        </w:rPr>
      </w:pPr>
    </w:p>
    <w:tbl>
      <w:tblPr>
        <w:tblW w:w="5000" w:type="pct"/>
        <w:tblLayout w:type="fixed"/>
        <w:tblCellMar>
          <w:left w:w="0" w:type="dxa"/>
          <w:bottom w:w="99" w:type="dxa"/>
          <w:right w:w="0" w:type="dxa"/>
        </w:tblCellMar>
        <w:tblLook w:val="04A0"/>
      </w:tblPr>
      <w:tblGrid>
        <w:gridCol w:w="4623"/>
        <w:gridCol w:w="464"/>
        <w:gridCol w:w="4532"/>
      </w:tblGrid>
      <w:tr w:rsidR="00FF3BF5" w:rsidRPr="007931F0" w:rsidTr="00D87D9F">
        <w:tc>
          <w:tcPr>
            <w:tcW w:w="5000" w:type="pct"/>
            <w:gridSpan w:val="3"/>
          </w:tcPr>
          <w:p w:rsidR="00FF3BF5" w:rsidRPr="007931F0" w:rsidRDefault="00FF3BF5" w:rsidP="00D87D9F">
            <w:pPr>
              <w:jc w:val="both"/>
              <w:rPr>
                <w:rFonts w:eastAsia="Calibri"/>
                <w:smallCaps/>
                <w:sz w:val="20"/>
              </w:rPr>
            </w:pPr>
            <w:r w:rsidRPr="007931F0">
              <w:rPr>
                <w:rFonts w:eastAsia="Calibri"/>
                <w:smallCaps/>
                <w:sz w:val="20"/>
              </w:rPr>
              <w:t>(Publication ban in case) (Publication ban on party)</w:t>
            </w:r>
          </w:p>
          <w:p w:rsidR="00FF3BF5" w:rsidRPr="007931F0" w:rsidRDefault="00FF3BF5" w:rsidP="00D87D9F">
            <w:pPr>
              <w:jc w:val="both"/>
              <w:rPr>
                <w:rFonts w:eastAsia="Calibri"/>
                <w:sz w:val="20"/>
              </w:rPr>
            </w:pPr>
          </w:p>
          <w:p w:rsidR="00FF3BF5" w:rsidRPr="007931F0" w:rsidRDefault="00FF3BF5" w:rsidP="00D87D9F">
            <w:pPr>
              <w:jc w:val="both"/>
              <w:rPr>
                <w:rFonts w:eastAsia="Calibri"/>
                <w:sz w:val="20"/>
              </w:rPr>
            </w:pPr>
            <w:r w:rsidRPr="007931F0">
              <w:rPr>
                <w:rFonts w:eastAsia="Calibri"/>
                <w:sz w:val="20"/>
              </w:rPr>
              <w:t>Administrative law — Judicial review — Standard of review — Whether decision by British Columbia Human Rights Tribunal to dismiss a complaint for “no evidence”, at the close of the complainant’s case, was a decision of law or the exercise of a discretion</w:t>
            </w:r>
          </w:p>
        </w:tc>
      </w:tr>
      <w:tr w:rsidR="00FF3BF5" w:rsidRPr="007931F0" w:rsidTr="00D87D9F">
        <w:tc>
          <w:tcPr>
            <w:tcW w:w="5000" w:type="pct"/>
            <w:gridSpan w:val="3"/>
          </w:tcPr>
          <w:p w:rsidR="00FF3BF5" w:rsidRPr="007931F0" w:rsidRDefault="00FF3BF5" w:rsidP="00D87D9F">
            <w:pPr>
              <w:jc w:val="both"/>
              <w:rPr>
                <w:rFonts w:eastAsia="Calibri"/>
                <w:sz w:val="20"/>
              </w:rPr>
            </w:pPr>
          </w:p>
        </w:tc>
      </w:tr>
      <w:tr w:rsidR="00FF3BF5" w:rsidRPr="007931F0" w:rsidTr="00D87D9F">
        <w:tc>
          <w:tcPr>
            <w:tcW w:w="5000" w:type="pct"/>
            <w:gridSpan w:val="3"/>
          </w:tcPr>
          <w:p w:rsidR="00FF3BF5" w:rsidRPr="007931F0" w:rsidRDefault="00FF3BF5" w:rsidP="00D87D9F">
            <w:pPr>
              <w:jc w:val="both"/>
              <w:rPr>
                <w:rFonts w:eastAsia="Calibri"/>
                <w:sz w:val="20"/>
              </w:rPr>
            </w:pPr>
            <w:r w:rsidRPr="007931F0">
              <w:rPr>
                <w:rFonts w:eastAsia="Calibri"/>
                <w:sz w:val="20"/>
              </w:rPr>
              <w:t>The applicant</w:t>
            </w:r>
            <w:r w:rsidRPr="007931F0">
              <w:rPr>
                <w:rFonts w:eastAsia="Calibri"/>
                <w:color w:val="000000"/>
                <w:sz w:val="20"/>
              </w:rPr>
              <w:t xml:space="preserve"> was employed as a casual painter with the respondent School Board.  She became embroiled in a disagreement with the School Board and her Union regarding whether, under the terms of her collective agreement, her seniority accrued year</w:t>
            </w:r>
            <w:r w:rsidRPr="007931F0">
              <w:rPr>
                <w:rFonts w:eastAsia="Calibri"/>
                <w:color w:val="000000"/>
                <w:sz w:val="20"/>
              </w:rPr>
              <w:noBreakHyphen/>
              <w:t>to</w:t>
            </w:r>
            <w:r w:rsidRPr="007931F0">
              <w:rPr>
                <w:rFonts w:eastAsia="Calibri"/>
                <w:color w:val="000000"/>
                <w:sz w:val="20"/>
              </w:rPr>
              <w:noBreakHyphen/>
              <w:t xml:space="preserve">year such that she was entitled to be a supervisor of jobs and crews.  Her relationships with the School Board and the Union deteriorated and conflict with her peers and her shop steward escalated into harassment, which became more acute after she complained to the Union that her shop steward had harassed her. She eventually left and did not return to work.  She complained to the British Columbia Human Rights Tribunal naming the Union and the School Board as respondents.  Against the Union, she complained </w:t>
            </w:r>
            <w:r w:rsidRPr="007931F0">
              <w:rPr>
                <w:rFonts w:eastAsia="Calibri"/>
                <w:sz w:val="20"/>
              </w:rPr>
              <w:t>that the Union failed to consider her complaint against the shop steward because she was a woman and it permitted discriminatory practices to be incorporated into the collective agreement.  The Tribunal dismissed the complaint against the Union on a no</w:t>
            </w:r>
            <w:r w:rsidRPr="007931F0">
              <w:rPr>
                <w:rFonts w:eastAsia="Calibri"/>
                <w:sz w:val="20"/>
              </w:rPr>
              <w:noBreakHyphen/>
              <w:t>evidence motion during the course of the hearing.  The applicant did not apply for judicial review of the decision on the no</w:t>
            </w:r>
            <w:r w:rsidRPr="007931F0">
              <w:rPr>
                <w:rFonts w:eastAsia="Calibri"/>
                <w:sz w:val="20"/>
              </w:rPr>
              <w:noBreakHyphen/>
              <w:t>evidence motion within a time limitation and she was denied an extension of time to apply for judicial review.</w:t>
            </w:r>
          </w:p>
          <w:p w:rsidR="00FF3BF5" w:rsidRPr="007931F0" w:rsidRDefault="00FF3BF5" w:rsidP="00D87D9F">
            <w:pPr>
              <w:jc w:val="both"/>
              <w:rPr>
                <w:rFonts w:eastAsia="Calibri"/>
                <w:sz w:val="20"/>
              </w:rPr>
            </w:pPr>
          </w:p>
        </w:tc>
      </w:tr>
      <w:tr w:rsidR="00FF3BF5" w:rsidRPr="007931F0" w:rsidTr="00D87D9F">
        <w:tc>
          <w:tcPr>
            <w:tcW w:w="2403" w:type="pct"/>
          </w:tcPr>
          <w:p w:rsidR="00FF3BF5" w:rsidRPr="007931F0" w:rsidRDefault="00FF3BF5" w:rsidP="00D87D9F">
            <w:pPr>
              <w:jc w:val="both"/>
              <w:rPr>
                <w:rFonts w:eastAsia="Calibri"/>
                <w:sz w:val="20"/>
              </w:rPr>
            </w:pPr>
            <w:r w:rsidRPr="007931F0">
              <w:rPr>
                <w:rFonts w:eastAsia="Calibri"/>
                <w:sz w:val="20"/>
              </w:rPr>
              <w:t>July 21, 2009</w:t>
            </w:r>
          </w:p>
          <w:p w:rsidR="00FF3BF5" w:rsidRPr="007931F0" w:rsidRDefault="00FF3BF5" w:rsidP="00D87D9F">
            <w:pPr>
              <w:jc w:val="both"/>
              <w:rPr>
                <w:rFonts w:eastAsia="Calibri"/>
                <w:sz w:val="20"/>
              </w:rPr>
            </w:pPr>
            <w:r w:rsidRPr="007931F0">
              <w:rPr>
                <w:rFonts w:eastAsia="Calibri"/>
                <w:sz w:val="20"/>
              </w:rPr>
              <w:t>Supreme Court of British Columbia</w:t>
            </w:r>
          </w:p>
          <w:p w:rsidR="00FF3BF5" w:rsidRPr="007931F0" w:rsidRDefault="00FF3BF5" w:rsidP="00D87D9F">
            <w:pPr>
              <w:jc w:val="both"/>
              <w:rPr>
                <w:rFonts w:eastAsia="Calibri"/>
                <w:sz w:val="20"/>
              </w:rPr>
            </w:pPr>
            <w:r w:rsidRPr="007931F0">
              <w:rPr>
                <w:rFonts w:eastAsia="Calibri"/>
                <w:sz w:val="20"/>
              </w:rPr>
              <w:t xml:space="preserve">(Pitfield J.) </w:t>
            </w:r>
          </w:p>
          <w:p w:rsidR="00FF3BF5" w:rsidRPr="007931F0" w:rsidRDefault="00FF3BF5" w:rsidP="00D87D9F">
            <w:pPr>
              <w:jc w:val="both"/>
              <w:rPr>
                <w:rFonts w:eastAsia="Calibri"/>
                <w:sz w:val="20"/>
              </w:rPr>
            </w:pPr>
          </w:p>
        </w:tc>
        <w:tc>
          <w:tcPr>
            <w:tcW w:w="241" w:type="pct"/>
          </w:tcPr>
          <w:p w:rsidR="00FF3BF5" w:rsidRPr="007931F0" w:rsidRDefault="00FF3BF5" w:rsidP="00D87D9F">
            <w:pPr>
              <w:jc w:val="both"/>
              <w:rPr>
                <w:rFonts w:eastAsia="Calibri"/>
                <w:sz w:val="20"/>
              </w:rPr>
            </w:pPr>
          </w:p>
        </w:tc>
        <w:tc>
          <w:tcPr>
            <w:tcW w:w="2356" w:type="pct"/>
          </w:tcPr>
          <w:p w:rsidR="00FF3BF5" w:rsidRPr="007931F0" w:rsidRDefault="00FF3BF5" w:rsidP="00D87D9F">
            <w:pPr>
              <w:jc w:val="both"/>
              <w:rPr>
                <w:rFonts w:eastAsia="Calibri"/>
                <w:sz w:val="20"/>
              </w:rPr>
            </w:pPr>
            <w:r w:rsidRPr="007931F0">
              <w:rPr>
                <w:rFonts w:eastAsia="Calibri"/>
                <w:sz w:val="20"/>
              </w:rPr>
              <w:t>Application to deny extension of time to apply for judicial review granted</w:t>
            </w:r>
          </w:p>
          <w:p w:rsidR="00FF3BF5" w:rsidRPr="007931F0" w:rsidRDefault="00FF3BF5" w:rsidP="00D87D9F">
            <w:pPr>
              <w:jc w:val="both"/>
              <w:rPr>
                <w:rFonts w:eastAsia="Calibri"/>
                <w:sz w:val="20"/>
              </w:rPr>
            </w:pPr>
          </w:p>
        </w:tc>
      </w:tr>
    </w:tbl>
    <w:p w:rsidR="00A318B2" w:rsidRDefault="00A318B2"/>
    <w:tbl>
      <w:tblPr>
        <w:tblW w:w="5000" w:type="pct"/>
        <w:tblLayout w:type="fixed"/>
        <w:tblCellMar>
          <w:left w:w="0" w:type="dxa"/>
          <w:bottom w:w="99" w:type="dxa"/>
          <w:right w:w="0" w:type="dxa"/>
        </w:tblCellMar>
        <w:tblLook w:val="04A0"/>
      </w:tblPr>
      <w:tblGrid>
        <w:gridCol w:w="4623"/>
        <w:gridCol w:w="464"/>
        <w:gridCol w:w="4532"/>
      </w:tblGrid>
      <w:tr w:rsidR="00FF3BF5" w:rsidRPr="007931F0" w:rsidTr="00A318B2">
        <w:trPr>
          <w:cantSplit/>
        </w:trPr>
        <w:tc>
          <w:tcPr>
            <w:tcW w:w="2403" w:type="pct"/>
          </w:tcPr>
          <w:p w:rsidR="00FF3BF5" w:rsidRPr="007931F0" w:rsidRDefault="00FF3BF5" w:rsidP="00D87D9F">
            <w:pPr>
              <w:jc w:val="both"/>
              <w:rPr>
                <w:rFonts w:eastAsia="Calibri"/>
                <w:sz w:val="20"/>
              </w:rPr>
            </w:pPr>
            <w:r w:rsidRPr="007931F0">
              <w:rPr>
                <w:rFonts w:eastAsia="Calibri"/>
                <w:sz w:val="20"/>
              </w:rPr>
              <w:t>August 10, 2011</w:t>
            </w:r>
          </w:p>
          <w:p w:rsidR="00FF3BF5" w:rsidRPr="007931F0" w:rsidRDefault="00FF3BF5" w:rsidP="00D87D9F">
            <w:pPr>
              <w:jc w:val="both"/>
              <w:rPr>
                <w:rFonts w:eastAsia="Calibri"/>
                <w:sz w:val="20"/>
              </w:rPr>
            </w:pPr>
            <w:r w:rsidRPr="007931F0">
              <w:rPr>
                <w:rFonts w:eastAsia="Calibri"/>
                <w:sz w:val="20"/>
              </w:rPr>
              <w:t>Court of Appeal for British Columbia (Vancouver)</w:t>
            </w:r>
          </w:p>
          <w:p w:rsidR="00FF3BF5" w:rsidRPr="007931F0" w:rsidRDefault="00FF3BF5" w:rsidP="00D87D9F">
            <w:pPr>
              <w:jc w:val="both"/>
              <w:rPr>
                <w:rFonts w:eastAsia="Calibri"/>
                <w:sz w:val="20"/>
              </w:rPr>
            </w:pPr>
            <w:r w:rsidRPr="007931F0">
              <w:rPr>
                <w:rFonts w:eastAsia="Calibri"/>
                <w:sz w:val="20"/>
              </w:rPr>
              <w:t>(Rowles, Saunders, Tysoe JJ.A.)</w:t>
            </w:r>
          </w:p>
          <w:p w:rsidR="00FF3BF5" w:rsidRPr="007931F0" w:rsidRDefault="00FF3BF5" w:rsidP="00D87D9F">
            <w:pPr>
              <w:jc w:val="both"/>
              <w:rPr>
                <w:rFonts w:eastAsia="Calibri"/>
                <w:sz w:val="20"/>
              </w:rPr>
            </w:pPr>
            <w:r w:rsidRPr="007931F0">
              <w:rPr>
                <w:rFonts w:eastAsia="Calibri"/>
                <w:sz w:val="20"/>
              </w:rPr>
              <w:t>2011 BCCA 343; CA037401</w:t>
            </w:r>
          </w:p>
          <w:p w:rsidR="00FF3BF5" w:rsidRPr="007931F0" w:rsidRDefault="00FF3BF5" w:rsidP="00D87D9F">
            <w:pPr>
              <w:jc w:val="both"/>
              <w:rPr>
                <w:rFonts w:eastAsia="Calibri"/>
                <w:sz w:val="20"/>
              </w:rPr>
            </w:pPr>
          </w:p>
        </w:tc>
        <w:tc>
          <w:tcPr>
            <w:tcW w:w="241" w:type="pct"/>
          </w:tcPr>
          <w:p w:rsidR="00FF3BF5" w:rsidRPr="007931F0" w:rsidRDefault="00FF3BF5" w:rsidP="00D87D9F">
            <w:pPr>
              <w:jc w:val="both"/>
              <w:rPr>
                <w:rFonts w:eastAsia="Calibri"/>
                <w:sz w:val="20"/>
              </w:rPr>
            </w:pPr>
          </w:p>
        </w:tc>
        <w:tc>
          <w:tcPr>
            <w:tcW w:w="2356" w:type="pct"/>
          </w:tcPr>
          <w:p w:rsidR="00FF3BF5" w:rsidRPr="007931F0" w:rsidRDefault="00FF3BF5" w:rsidP="00D87D9F">
            <w:pPr>
              <w:jc w:val="both"/>
              <w:rPr>
                <w:rFonts w:eastAsia="Calibri"/>
                <w:sz w:val="20"/>
              </w:rPr>
            </w:pPr>
            <w:r w:rsidRPr="007931F0">
              <w:rPr>
                <w:rFonts w:eastAsia="Calibri"/>
                <w:sz w:val="20"/>
              </w:rPr>
              <w:t>Appeal dismissed</w:t>
            </w:r>
          </w:p>
          <w:p w:rsidR="00FF3BF5" w:rsidRPr="007931F0" w:rsidRDefault="00FF3BF5" w:rsidP="00D87D9F">
            <w:pPr>
              <w:jc w:val="both"/>
              <w:rPr>
                <w:rFonts w:eastAsia="Calibri"/>
                <w:sz w:val="20"/>
              </w:rPr>
            </w:pPr>
          </w:p>
        </w:tc>
      </w:tr>
      <w:tr w:rsidR="00FF3BF5" w:rsidRPr="007931F0" w:rsidTr="00A318B2">
        <w:trPr>
          <w:cantSplit/>
        </w:trPr>
        <w:tc>
          <w:tcPr>
            <w:tcW w:w="2403" w:type="pct"/>
          </w:tcPr>
          <w:p w:rsidR="00FF3BF5" w:rsidRPr="007931F0" w:rsidRDefault="00FF3BF5" w:rsidP="00D87D9F">
            <w:pPr>
              <w:jc w:val="both"/>
              <w:rPr>
                <w:rFonts w:eastAsia="Calibri"/>
                <w:sz w:val="20"/>
              </w:rPr>
            </w:pPr>
            <w:r w:rsidRPr="007931F0">
              <w:rPr>
                <w:rFonts w:eastAsia="Calibri"/>
                <w:sz w:val="20"/>
              </w:rPr>
              <w:t>September 27, 2011</w:t>
            </w:r>
          </w:p>
          <w:p w:rsidR="00FF3BF5" w:rsidRPr="007931F0" w:rsidRDefault="00FF3BF5" w:rsidP="00D87D9F">
            <w:pPr>
              <w:jc w:val="both"/>
              <w:rPr>
                <w:rFonts w:eastAsia="Calibri"/>
                <w:sz w:val="20"/>
              </w:rPr>
            </w:pPr>
            <w:r w:rsidRPr="007931F0">
              <w:rPr>
                <w:rFonts w:eastAsia="Calibri"/>
                <w:sz w:val="20"/>
              </w:rPr>
              <w:t>Supreme Court of Canada</w:t>
            </w:r>
          </w:p>
        </w:tc>
        <w:tc>
          <w:tcPr>
            <w:tcW w:w="241" w:type="pct"/>
          </w:tcPr>
          <w:p w:rsidR="00FF3BF5" w:rsidRPr="007931F0" w:rsidRDefault="00FF3BF5" w:rsidP="00D87D9F">
            <w:pPr>
              <w:jc w:val="both"/>
              <w:rPr>
                <w:rFonts w:eastAsia="Calibri"/>
                <w:sz w:val="20"/>
              </w:rPr>
            </w:pPr>
          </w:p>
        </w:tc>
        <w:tc>
          <w:tcPr>
            <w:tcW w:w="2356" w:type="pct"/>
          </w:tcPr>
          <w:p w:rsidR="00FF3BF5" w:rsidRPr="007931F0" w:rsidRDefault="00FF3BF5" w:rsidP="00D87D9F">
            <w:pPr>
              <w:jc w:val="both"/>
              <w:rPr>
                <w:rFonts w:eastAsia="Calibri"/>
                <w:sz w:val="20"/>
              </w:rPr>
            </w:pPr>
            <w:r w:rsidRPr="007931F0">
              <w:rPr>
                <w:rFonts w:eastAsia="Calibri"/>
                <w:sz w:val="20"/>
              </w:rPr>
              <w:t>Application for leave to appeal filed</w:t>
            </w:r>
          </w:p>
          <w:p w:rsidR="00FF3BF5" w:rsidRPr="007931F0" w:rsidRDefault="00FF3BF5" w:rsidP="00D87D9F">
            <w:pPr>
              <w:jc w:val="both"/>
              <w:rPr>
                <w:rFonts w:eastAsia="Calibri"/>
                <w:sz w:val="20"/>
              </w:rPr>
            </w:pPr>
          </w:p>
        </w:tc>
      </w:tr>
    </w:tbl>
    <w:p w:rsidR="00BF1FA7" w:rsidRDefault="00BF1FA7" w:rsidP="00BF1FA7">
      <w:pPr>
        <w:rPr>
          <w:sz w:val="20"/>
          <w:szCs w:val="20"/>
        </w:rPr>
      </w:pPr>
    </w:p>
    <w:p w:rsidR="00BF1FA7" w:rsidRDefault="00BF59B3" w:rsidP="00BF1FA7">
      <w:pPr>
        <w:rPr>
          <w:sz w:val="20"/>
          <w:szCs w:val="20"/>
        </w:rPr>
      </w:pPr>
      <w:r w:rsidRPr="00BF59B3">
        <w:rPr>
          <w:sz w:val="20"/>
          <w:szCs w:val="20"/>
          <w:lang w:val="fr-CA"/>
        </w:rPr>
        <w:pict>
          <v:rect id="_x0000_i1048" style="width:2in;height:1pt" o:hrpct="0" o:hralign="center" o:hrstd="t" o:hrnoshade="t" o:hr="t" fillcolor="black [3213]" stroked="f"/>
        </w:pict>
      </w:r>
    </w:p>
    <w:p w:rsidR="00BF1FA7" w:rsidRDefault="00BF1FA7" w:rsidP="00BF1FA7">
      <w:pPr>
        <w:rPr>
          <w:sz w:val="20"/>
          <w:szCs w:val="20"/>
        </w:rPr>
      </w:pPr>
    </w:p>
    <w:p w:rsidR="00BF1FA7" w:rsidRPr="001B157C" w:rsidRDefault="00BF1FA7" w:rsidP="00BF1FA7">
      <w:pPr>
        <w:rPr>
          <w:sz w:val="20"/>
          <w:szCs w:val="20"/>
          <w:u w:val="single"/>
          <w:lang w:val="fr-CA"/>
        </w:rPr>
      </w:pPr>
      <w:r w:rsidRPr="001B157C">
        <w:rPr>
          <w:sz w:val="20"/>
          <w:szCs w:val="20"/>
          <w:u w:val="single"/>
          <w:lang w:val="fr-CA"/>
        </w:rPr>
        <w:t>RÉSUMÉ DE L’AFFAIRE</w:t>
      </w:r>
    </w:p>
    <w:p w:rsidR="00BF1FA7" w:rsidRDefault="00BF1FA7" w:rsidP="00BF1FA7">
      <w:pPr>
        <w:rPr>
          <w:sz w:val="20"/>
          <w:szCs w:val="20"/>
        </w:rPr>
      </w:pPr>
    </w:p>
    <w:tbl>
      <w:tblPr>
        <w:tblW w:w="5000" w:type="pct"/>
        <w:tblLayout w:type="fixed"/>
        <w:tblCellMar>
          <w:left w:w="0" w:type="dxa"/>
          <w:bottom w:w="99" w:type="dxa"/>
          <w:right w:w="0" w:type="dxa"/>
        </w:tblCellMar>
        <w:tblLook w:val="04A0"/>
      </w:tblPr>
      <w:tblGrid>
        <w:gridCol w:w="4623"/>
        <w:gridCol w:w="464"/>
        <w:gridCol w:w="4532"/>
      </w:tblGrid>
      <w:tr w:rsidR="00FF3BF5" w:rsidRPr="00A6632B" w:rsidTr="00D87D9F">
        <w:tc>
          <w:tcPr>
            <w:tcW w:w="5000" w:type="pct"/>
            <w:gridSpan w:val="3"/>
          </w:tcPr>
          <w:p w:rsidR="00FF3BF5" w:rsidRPr="007931F0" w:rsidRDefault="00FF3BF5" w:rsidP="00D87D9F">
            <w:pPr>
              <w:jc w:val="both"/>
              <w:rPr>
                <w:rFonts w:eastAsia="Calibri"/>
                <w:smallCaps/>
                <w:sz w:val="20"/>
                <w:lang w:val="fr-CA"/>
              </w:rPr>
            </w:pPr>
            <w:r w:rsidRPr="007931F0">
              <w:rPr>
                <w:rFonts w:eastAsia="Calibri"/>
                <w:smallCaps/>
                <w:sz w:val="20"/>
                <w:lang w:val="fr-CA"/>
              </w:rPr>
              <w:t>(Ordonnance de non-publication dans le dossier) (Ordonnance de non-publication visant une partie)</w:t>
            </w:r>
          </w:p>
          <w:p w:rsidR="00FF3BF5" w:rsidRPr="007931F0" w:rsidRDefault="00FF3BF5" w:rsidP="00D87D9F">
            <w:pPr>
              <w:jc w:val="both"/>
              <w:rPr>
                <w:rFonts w:eastAsia="Calibri"/>
                <w:smallCaps/>
                <w:sz w:val="20"/>
                <w:lang w:val="fr-CA"/>
              </w:rPr>
            </w:pPr>
          </w:p>
          <w:p w:rsidR="00FF3BF5" w:rsidRPr="007931F0" w:rsidRDefault="00FF3BF5" w:rsidP="00D87D9F">
            <w:pPr>
              <w:jc w:val="both"/>
              <w:rPr>
                <w:rFonts w:eastAsia="Calibri"/>
                <w:sz w:val="20"/>
                <w:lang w:val="fr-CA"/>
              </w:rPr>
            </w:pPr>
            <w:r w:rsidRPr="007931F0">
              <w:rPr>
                <w:rFonts w:eastAsia="Calibri"/>
                <w:sz w:val="20"/>
                <w:lang w:val="fr-CA"/>
              </w:rPr>
              <w:t>Droit administratif – Contrôle judiciaire – Norme de contrôle – La décision du British Columbia Human Rights Tribunal (« Tribunal ») de rejeter la plainte pour « absence de preuve », après avoir entendu les arguments de la plaignante, était-elle une décision juridique ou le fruit de l’exercice d’un pouvoir discrétionnaire?</w:t>
            </w:r>
          </w:p>
        </w:tc>
      </w:tr>
      <w:tr w:rsidR="00FF3BF5" w:rsidRPr="00A6632B" w:rsidTr="00D87D9F">
        <w:tc>
          <w:tcPr>
            <w:tcW w:w="5000" w:type="pct"/>
            <w:gridSpan w:val="3"/>
          </w:tcPr>
          <w:p w:rsidR="00FF3BF5" w:rsidRPr="007931F0" w:rsidRDefault="00FF3BF5" w:rsidP="00D87D9F">
            <w:pPr>
              <w:jc w:val="both"/>
              <w:rPr>
                <w:rFonts w:eastAsia="Calibri"/>
                <w:sz w:val="20"/>
                <w:lang w:val="fr-CA"/>
              </w:rPr>
            </w:pPr>
          </w:p>
        </w:tc>
      </w:tr>
      <w:tr w:rsidR="00FF3BF5" w:rsidRPr="00A6632B" w:rsidTr="00D87D9F">
        <w:tc>
          <w:tcPr>
            <w:tcW w:w="5000" w:type="pct"/>
            <w:gridSpan w:val="3"/>
          </w:tcPr>
          <w:p w:rsidR="00FF3BF5" w:rsidRPr="007931F0" w:rsidRDefault="00FF3BF5" w:rsidP="00D87D9F">
            <w:pPr>
              <w:jc w:val="both"/>
              <w:rPr>
                <w:rFonts w:eastAsia="Calibri"/>
                <w:sz w:val="20"/>
                <w:lang w:val="fr-CA"/>
              </w:rPr>
            </w:pPr>
            <w:r w:rsidRPr="007931F0">
              <w:rPr>
                <w:rFonts w:eastAsia="Calibri"/>
                <w:sz w:val="20"/>
                <w:lang w:val="fr-CA"/>
              </w:rPr>
              <w:t>La demanderesse travaillait à titre occasionnel en tant que peintre pour l’intimé, le conseil scolaire</w:t>
            </w:r>
            <w:r w:rsidRPr="007931F0">
              <w:rPr>
                <w:rFonts w:eastAsia="Calibri"/>
                <w:color w:val="000000"/>
                <w:sz w:val="20"/>
                <w:lang w:val="fr-CA"/>
              </w:rPr>
              <w:t>. Un désaccord est survenu entre le conseil scolaire et le syndicat de la demanderesse quant à savoir si, aux termes de la convention collective, son ancienneté avait augmenté d’année en année au point qu’elle était en droit de devenir superviseure responsable des tâches à accomplir et des équipes de travail. Ses rapports avec le conseil scolaire et le syndicat se sont détériorés, le conflit qu’elle avait avec ses pairs et son délégué syndical s’est transformé en harcèlement, et la situation a empiré après qu’elle s’est plainte au syndicat que son délégué syndical l’avait harcelée. Elle a éventuellement quitté son travail et n’y est pas retournée. Elle a déposé une plainte auprès du T</w:t>
            </w:r>
            <w:r w:rsidRPr="007931F0">
              <w:rPr>
                <w:rFonts w:eastAsia="Calibri"/>
                <w:sz w:val="20"/>
                <w:lang w:val="fr-CA"/>
              </w:rPr>
              <w:t>ribunal</w:t>
            </w:r>
            <w:r w:rsidRPr="007931F0">
              <w:rPr>
                <w:rFonts w:eastAsia="Calibri"/>
                <w:color w:val="000000"/>
                <w:sz w:val="20"/>
                <w:lang w:val="fr-CA"/>
              </w:rPr>
              <w:t xml:space="preserve"> contre le syndicat et le conseil scolaire.  </w:t>
            </w:r>
            <w:r w:rsidRPr="007931F0">
              <w:rPr>
                <w:rFonts w:eastAsia="Calibri"/>
                <w:color w:val="000000"/>
                <w:sz w:val="20"/>
                <w:lang w:val="fr-CA"/>
              </w:rPr>
              <w:lastRenderedPageBreak/>
              <w:t>Selon elle, le syndicat n’a pas examiné sa plainte contre le délégué syndical</w:t>
            </w:r>
            <w:r w:rsidRPr="007931F0">
              <w:rPr>
                <w:rFonts w:eastAsia="Calibri"/>
                <w:sz w:val="20"/>
                <w:lang w:val="fr-CA"/>
              </w:rPr>
              <w:t xml:space="preserve"> parce qu’elle est une femme, et il a permis que des mesures discriminatoires soient incorporées dans la convention collective. Le Tribunal a rejeté la plainte visant le syndicat à la suite d’une requête en non-lieu déposée au cours de l’audition. La demanderesse n’a pas demandé, dans le délai imparti, le contrôle judiciaire de la décision qui a tranché cette requête, et aucune prorogation de délai ne lui a été accordée pour déposer une demande de contrôle judiciaire.</w:t>
            </w:r>
          </w:p>
          <w:p w:rsidR="00FF3BF5" w:rsidRPr="007931F0" w:rsidRDefault="00FF3BF5" w:rsidP="00D87D9F">
            <w:pPr>
              <w:jc w:val="both"/>
              <w:rPr>
                <w:rFonts w:eastAsia="Calibri"/>
                <w:sz w:val="20"/>
                <w:lang w:val="fr-CA"/>
              </w:rPr>
            </w:pPr>
          </w:p>
        </w:tc>
      </w:tr>
      <w:tr w:rsidR="00FF3BF5" w:rsidRPr="00A6632B" w:rsidTr="00D87D9F">
        <w:tc>
          <w:tcPr>
            <w:tcW w:w="2403" w:type="pct"/>
          </w:tcPr>
          <w:p w:rsidR="00FF3BF5" w:rsidRPr="007931F0" w:rsidRDefault="00FF3BF5" w:rsidP="00D87D9F">
            <w:pPr>
              <w:jc w:val="both"/>
              <w:rPr>
                <w:rFonts w:eastAsia="Calibri"/>
                <w:sz w:val="20"/>
                <w:lang w:val="fr-CA"/>
              </w:rPr>
            </w:pPr>
            <w:r w:rsidRPr="007931F0">
              <w:rPr>
                <w:rFonts w:eastAsia="Calibri"/>
                <w:sz w:val="20"/>
                <w:lang w:val="fr-CA"/>
              </w:rPr>
              <w:lastRenderedPageBreak/>
              <w:t>21 juillet 2009</w:t>
            </w:r>
          </w:p>
          <w:p w:rsidR="00FF3BF5" w:rsidRPr="007931F0" w:rsidRDefault="00FF3BF5" w:rsidP="00D87D9F">
            <w:pPr>
              <w:jc w:val="both"/>
              <w:rPr>
                <w:rFonts w:eastAsia="Calibri"/>
                <w:sz w:val="20"/>
                <w:lang w:val="fr-CA"/>
              </w:rPr>
            </w:pPr>
            <w:r w:rsidRPr="007931F0">
              <w:rPr>
                <w:rFonts w:eastAsia="Calibri"/>
                <w:sz w:val="20"/>
                <w:lang w:val="fr-CA"/>
              </w:rPr>
              <w:t xml:space="preserve">Cour suprême de la Colombie-Britannique </w:t>
            </w:r>
          </w:p>
          <w:p w:rsidR="00FF3BF5" w:rsidRPr="007931F0" w:rsidRDefault="00FF3BF5" w:rsidP="00D87D9F">
            <w:pPr>
              <w:jc w:val="both"/>
              <w:rPr>
                <w:rFonts w:eastAsia="Calibri"/>
                <w:sz w:val="20"/>
              </w:rPr>
            </w:pPr>
            <w:r w:rsidRPr="007931F0">
              <w:rPr>
                <w:rFonts w:eastAsia="Calibri"/>
                <w:sz w:val="20"/>
              </w:rPr>
              <w:t xml:space="preserve">(Juge Pitfield) </w:t>
            </w:r>
          </w:p>
          <w:p w:rsidR="00FF3BF5" w:rsidRPr="007931F0" w:rsidRDefault="00FF3BF5" w:rsidP="00D87D9F">
            <w:pPr>
              <w:jc w:val="both"/>
              <w:rPr>
                <w:rFonts w:eastAsia="Calibri"/>
                <w:sz w:val="20"/>
              </w:rPr>
            </w:pPr>
          </w:p>
        </w:tc>
        <w:tc>
          <w:tcPr>
            <w:tcW w:w="241" w:type="pct"/>
          </w:tcPr>
          <w:p w:rsidR="00FF3BF5" w:rsidRPr="007931F0" w:rsidRDefault="00FF3BF5" w:rsidP="00D87D9F">
            <w:pPr>
              <w:jc w:val="both"/>
              <w:rPr>
                <w:rFonts w:eastAsia="Calibri"/>
                <w:sz w:val="20"/>
              </w:rPr>
            </w:pPr>
          </w:p>
        </w:tc>
        <w:tc>
          <w:tcPr>
            <w:tcW w:w="2356" w:type="pct"/>
          </w:tcPr>
          <w:p w:rsidR="00FF3BF5" w:rsidRPr="007931F0" w:rsidRDefault="00FF3BF5" w:rsidP="00D87D9F">
            <w:pPr>
              <w:jc w:val="both"/>
              <w:rPr>
                <w:rFonts w:eastAsia="Calibri"/>
                <w:sz w:val="20"/>
                <w:lang w:val="fr-CA"/>
              </w:rPr>
            </w:pPr>
            <w:r w:rsidRPr="007931F0">
              <w:rPr>
                <w:rFonts w:eastAsia="Calibri"/>
                <w:sz w:val="20"/>
                <w:lang w:val="fr-CA"/>
              </w:rPr>
              <w:t>Demande visant à empêcher une prorogation du délai pour présenter une demande de contrôle judiciaire, accueillie</w:t>
            </w:r>
          </w:p>
          <w:p w:rsidR="00FF3BF5" w:rsidRPr="007931F0" w:rsidRDefault="00FF3BF5" w:rsidP="00D87D9F">
            <w:pPr>
              <w:jc w:val="both"/>
              <w:rPr>
                <w:rFonts w:eastAsia="Calibri"/>
                <w:sz w:val="20"/>
                <w:lang w:val="fr-CA"/>
              </w:rPr>
            </w:pPr>
          </w:p>
        </w:tc>
      </w:tr>
      <w:tr w:rsidR="00FF3BF5" w:rsidRPr="007931F0" w:rsidTr="00D87D9F">
        <w:tc>
          <w:tcPr>
            <w:tcW w:w="2403" w:type="pct"/>
          </w:tcPr>
          <w:p w:rsidR="00FF3BF5" w:rsidRPr="007931F0" w:rsidRDefault="00FF3BF5" w:rsidP="00D87D9F">
            <w:pPr>
              <w:jc w:val="both"/>
              <w:rPr>
                <w:rFonts w:eastAsia="Calibri"/>
                <w:sz w:val="20"/>
                <w:lang w:val="fr-CA"/>
              </w:rPr>
            </w:pPr>
            <w:r w:rsidRPr="007931F0">
              <w:rPr>
                <w:rFonts w:eastAsia="Calibri"/>
                <w:sz w:val="20"/>
                <w:lang w:val="fr-CA"/>
              </w:rPr>
              <w:t>10 août 2011</w:t>
            </w:r>
          </w:p>
          <w:p w:rsidR="00FF3BF5" w:rsidRPr="007931F0" w:rsidRDefault="00FF3BF5" w:rsidP="00D87D9F">
            <w:pPr>
              <w:jc w:val="both"/>
              <w:rPr>
                <w:rFonts w:eastAsia="Calibri"/>
                <w:sz w:val="20"/>
                <w:lang w:val="fr-CA"/>
              </w:rPr>
            </w:pPr>
            <w:r w:rsidRPr="007931F0">
              <w:rPr>
                <w:rFonts w:eastAsia="Calibri"/>
                <w:sz w:val="20"/>
                <w:lang w:val="fr-CA"/>
              </w:rPr>
              <w:t>Cour d’appel de la Colombie-Britannique (Vancouver)</w:t>
            </w:r>
          </w:p>
          <w:p w:rsidR="00FF3BF5" w:rsidRPr="007931F0" w:rsidRDefault="00FF3BF5" w:rsidP="00D87D9F">
            <w:pPr>
              <w:jc w:val="both"/>
              <w:rPr>
                <w:rFonts w:eastAsia="Calibri"/>
                <w:sz w:val="20"/>
                <w:lang w:val="fr-CA"/>
              </w:rPr>
            </w:pPr>
            <w:r w:rsidRPr="007931F0">
              <w:rPr>
                <w:rFonts w:eastAsia="Calibri"/>
                <w:sz w:val="20"/>
                <w:lang w:val="fr-CA"/>
              </w:rPr>
              <w:t>(Juges Rowles, Saunders et Tysoe)</w:t>
            </w:r>
          </w:p>
          <w:p w:rsidR="00FF3BF5" w:rsidRPr="007931F0" w:rsidRDefault="00FF3BF5" w:rsidP="00D87D9F">
            <w:pPr>
              <w:jc w:val="both"/>
              <w:rPr>
                <w:rFonts w:eastAsia="Calibri"/>
                <w:sz w:val="20"/>
              </w:rPr>
            </w:pPr>
            <w:r w:rsidRPr="007931F0">
              <w:rPr>
                <w:rFonts w:eastAsia="Calibri"/>
                <w:sz w:val="20"/>
              </w:rPr>
              <w:t>2011 BCCA 343; CA037401</w:t>
            </w:r>
          </w:p>
          <w:p w:rsidR="00FF3BF5" w:rsidRPr="007931F0" w:rsidRDefault="00FF3BF5" w:rsidP="00D87D9F">
            <w:pPr>
              <w:jc w:val="both"/>
              <w:rPr>
                <w:rFonts w:eastAsia="Calibri"/>
                <w:sz w:val="20"/>
              </w:rPr>
            </w:pPr>
          </w:p>
        </w:tc>
        <w:tc>
          <w:tcPr>
            <w:tcW w:w="241" w:type="pct"/>
          </w:tcPr>
          <w:p w:rsidR="00FF3BF5" w:rsidRPr="007931F0" w:rsidRDefault="00FF3BF5" w:rsidP="00D87D9F">
            <w:pPr>
              <w:jc w:val="both"/>
              <w:rPr>
                <w:rFonts w:eastAsia="Calibri"/>
                <w:sz w:val="20"/>
              </w:rPr>
            </w:pPr>
          </w:p>
        </w:tc>
        <w:tc>
          <w:tcPr>
            <w:tcW w:w="2356" w:type="pct"/>
          </w:tcPr>
          <w:p w:rsidR="00FF3BF5" w:rsidRPr="007931F0" w:rsidRDefault="00FF3BF5" w:rsidP="00D87D9F">
            <w:pPr>
              <w:jc w:val="both"/>
              <w:rPr>
                <w:rFonts w:eastAsia="Calibri"/>
                <w:sz w:val="20"/>
              </w:rPr>
            </w:pPr>
            <w:r w:rsidRPr="007931F0">
              <w:rPr>
                <w:rFonts w:eastAsia="Calibri"/>
                <w:sz w:val="20"/>
              </w:rPr>
              <w:t>Appel rejeté</w:t>
            </w:r>
          </w:p>
        </w:tc>
      </w:tr>
      <w:tr w:rsidR="00FF3BF5" w:rsidRPr="007931F0" w:rsidTr="00D87D9F">
        <w:tc>
          <w:tcPr>
            <w:tcW w:w="2403" w:type="pct"/>
          </w:tcPr>
          <w:p w:rsidR="00FF3BF5" w:rsidRPr="007931F0" w:rsidRDefault="00FF3BF5" w:rsidP="00D87D9F">
            <w:pPr>
              <w:jc w:val="both"/>
              <w:rPr>
                <w:rFonts w:eastAsia="Calibri"/>
                <w:sz w:val="20"/>
                <w:lang w:val="fr-CA"/>
              </w:rPr>
            </w:pPr>
            <w:r w:rsidRPr="007931F0">
              <w:rPr>
                <w:rFonts w:eastAsia="Calibri"/>
                <w:sz w:val="20"/>
                <w:lang w:val="fr-CA"/>
              </w:rPr>
              <w:t>27 septembre 2011</w:t>
            </w:r>
          </w:p>
          <w:p w:rsidR="00FF3BF5" w:rsidRPr="007931F0" w:rsidRDefault="00FF3BF5" w:rsidP="00D87D9F">
            <w:pPr>
              <w:jc w:val="both"/>
              <w:rPr>
                <w:rFonts w:eastAsia="Calibri"/>
                <w:sz w:val="20"/>
                <w:lang w:val="fr-CA"/>
              </w:rPr>
            </w:pPr>
            <w:r w:rsidRPr="007931F0">
              <w:rPr>
                <w:rFonts w:eastAsia="Calibri"/>
                <w:sz w:val="20"/>
                <w:lang w:val="fr-CA"/>
              </w:rPr>
              <w:t>Cour suprême du Canada</w:t>
            </w:r>
          </w:p>
        </w:tc>
        <w:tc>
          <w:tcPr>
            <w:tcW w:w="241" w:type="pct"/>
          </w:tcPr>
          <w:p w:rsidR="00FF3BF5" w:rsidRPr="007931F0" w:rsidRDefault="00FF3BF5" w:rsidP="00D87D9F">
            <w:pPr>
              <w:jc w:val="both"/>
              <w:rPr>
                <w:rFonts w:eastAsia="Calibri"/>
                <w:sz w:val="20"/>
                <w:lang w:val="fr-CA"/>
              </w:rPr>
            </w:pPr>
          </w:p>
        </w:tc>
        <w:tc>
          <w:tcPr>
            <w:tcW w:w="2356" w:type="pct"/>
          </w:tcPr>
          <w:p w:rsidR="00FF3BF5" w:rsidRPr="007931F0" w:rsidRDefault="00FF3BF5" w:rsidP="00D87D9F">
            <w:pPr>
              <w:jc w:val="both"/>
              <w:rPr>
                <w:rFonts w:eastAsia="Calibri"/>
                <w:sz w:val="20"/>
              </w:rPr>
            </w:pPr>
            <w:r w:rsidRPr="007931F0">
              <w:rPr>
                <w:rFonts w:eastAsia="Calibri"/>
                <w:sz w:val="20"/>
                <w:lang w:val="fr-CA"/>
              </w:rPr>
              <w:t>Demande d’autorisation d’appel, déposée</w:t>
            </w:r>
          </w:p>
        </w:tc>
      </w:tr>
    </w:tbl>
    <w:p w:rsidR="00BF1FA7" w:rsidRDefault="00BF1FA7" w:rsidP="00BF1FA7">
      <w:pPr>
        <w:rPr>
          <w:sz w:val="20"/>
          <w:szCs w:val="20"/>
        </w:rPr>
      </w:pPr>
    </w:p>
    <w:p w:rsidR="00BF1FA7" w:rsidRDefault="00BF59B3" w:rsidP="00BF1FA7">
      <w:pPr>
        <w:rPr>
          <w:sz w:val="20"/>
          <w:szCs w:val="20"/>
        </w:rPr>
      </w:pPr>
      <w:r w:rsidRPr="00BF59B3">
        <w:rPr>
          <w:sz w:val="20"/>
          <w:szCs w:val="20"/>
          <w:lang w:val="fr-CA"/>
        </w:rPr>
        <w:pict>
          <v:rect id="_x0000_i1049" style="width:2in;height:1pt" o:hrpct="0" o:hralign="center" o:hrstd="t" o:hrnoshade="t" o:hr="t" fillcolor="black [3213]" stroked="f"/>
        </w:pict>
      </w:r>
    </w:p>
    <w:p w:rsidR="00BF1FA7" w:rsidRDefault="00BF1FA7" w:rsidP="00BF1FA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318B2" w:rsidRPr="00F863F6" w:rsidTr="007F36A7">
        <w:trPr>
          <w:cantSplit/>
        </w:trPr>
        <w:tc>
          <w:tcPr>
            <w:tcW w:w="1458" w:type="dxa"/>
          </w:tcPr>
          <w:p w:rsidR="00A318B2" w:rsidRPr="00F863F6" w:rsidRDefault="00A318B2" w:rsidP="007F36A7">
            <w:pPr>
              <w:rPr>
                <w:sz w:val="20"/>
                <w:szCs w:val="20"/>
              </w:rPr>
            </w:pPr>
            <w:r w:rsidRPr="00F863F6">
              <w:rPr>
                <w:rStyle w:val="SCCFileNumberChar"/>
                <w:sz w:val="20"/>
                <w:szCs w:val="20"/>
              </w:rPr>
              <w:t>34491</w:t>
            </w:r>
          </w:p>
          <w:p w:rsidR="00A318B2" w:rsidRPr="00F863F6" w:rsidRDefault="00A318B2" w:rsidP="007F36A7">
            <w:pPr>
              <w:rPr>
                <w:b/>
                <w:sz w:val="20"/>
                <w:szCs w:val="20"/>
                <w:lang w:val="fr-CA"/>
              </w:rPr>
            </w:pPr>
          </w:p>
        </w:tc>
        <w:tc>
          <w:tcPr>
            <w:tcW w:w="8118" w:type="dxa"/>
          </w:tcPr>
          <w:p w:rsidR="00A318B2" w:rsidRPr="00F863F6" w:rsidRDefault="00A318B2" w:rsidP="007F36A7">
            <w:pPr>
              <w:rPr>
                <w:sz w:val="20"/>
                <w:szCs w:val="20"/>
              </w:rPr>
            </w:pPr>
            <w:r w:rsidRPr="00F863F6">
              <w:rPr>
                <w:rStyle w:val="SCCLsocChar"/>
                <w:sz w:val="20"/>
                <w:szCs w:val="20"/>
                <w:lang w:val="en-CA"/>
              </w:rPr>
              <w:t>Elva Bottineau v. Her Majesty the Queen</w:t>
            </w:r>
            <w:r w:rsidRPr="00F863F6">
              <w:rPr>
                <w:sz w:val="20"/>
                <w:szCs w:val="20"/>
              </w:rPr>
              <w:t xml:space="preserve"> (Ont.) (Criminal) (By Leave)</w:t>
            </w:r>
          </w:p>
          <w:p w:rsidR="00A318B2" w:rsidRPr="00F863F6" w:rsidRDefault="00A318B2" w:rsidP="007F36A7">
            <w:pPr>
              <w:rPr>
                <w:sz w:val="20"/>
                <w:szCs w:val="20"/>
              </w:rPr>
            </w:pPr>
          </w:p>
        </w:tc>
      </w:tr>
      <w:tr w:rsidR="00A318B2" w:rsidRPr="00F863F6" w:rsidTr="007F36A7">
        <w:trPr>
          <w:cantSplit/>
        </w:trPr>
        <w:tc>
          <w:tcPr>
            <w:tcW w:w="1458" w:type="dxa"/>
          </w:tcPr>
          <w:p w:rsidR="00A318B2" w:rsidRPr="00F863F6" w:rsidRDefault="00A318B2" w:rsidP="007F36A7">
            <w:pPr>
              <w:rPr>
                <w:sz w:val="20"/>
                <w:szCs w:val="20"/>
              </w:rPr>
            </w:pPr>
            <w:r w:rsidRPr="00F863F6">
              <w:rPr>
                <w:sz w:val="20"/>
                <w:szCs w:val="20"/>
              </w:rPr>
              <w:t>Coram :</w:t>
            </w:r>
          </w:p>
        </w:tc>
        <w:tc>
          <w:tcPr>
            <w:tcW w:w="8118" w:type="dxa"/>
          </w:tcPr>
          <w:p w:rsidR="00A318B2" w:rsidRPr="00F863F6" w:rsidRDefault="00A318B2" w:rsidP="007F36A7">
            <w:pPr>
              <w:rPr>
                <w:sz w:val="20"/>
                <w:szCs w:val="20"/>
              </w:rPr>
            </w:pPr>
            <w:r w:rsidRPr="00F863F6">
              <w:rPr>
                <w:rStyle w:val="SCCCoramChar"/>
                <w:sz w:val="20"/>
                <w:szCs w:val="20"/>
                <w:lang w:val="en-CA"/>
              </w:rPr>
              <w:t>Deschamps, Fish and Karakatsanis JJ.</w:t>
            </w:r>
          </w:p>
          <w:p w:rsidR="00A318B2" w:rsidRPr="00F863F6" w:rsidRDefault="00A318B2" w:rsidP="007F36A7">
            <w:pPr>
              <w:rPr>
                <w:sz w:val="20"/>
                <w:szCs w:val="20"/>
                <w:u w:val="single"/>
              </w:rPr>
            </w:pPr>
          </w:p>
        </w:tc>
      </w:tr>
      <w:tr w:rsidR="00A318B2" w:rsidRPr="00A6632B" w:rsidTr="007F36A7">
        <w:trPr>
          <w:cantSplit/>
        </w:trPr>
        <w:tc>
          <w:tcPr>
            <w:tcW w:w="9576" w:type="dxa"/>
            <w:gridSpan w:val="2"/>
          </w:tcPr>
          <w:p w:rsidR="00A318B2" w:rsidRPr="00F863F6" w:rsidRDefault="00A318B2" w:rsidP="007F36A7">
            <w:pPr>
              <w:pStyle w:val="SCCShortJudgment"/>
              <w:rPr>
                <w:szCs w:val="20"/>
              </w:rPr>
            </w:pPr>
            <w:r w:rsidRPr="00F863F6">
              <w:rPr>
                <w:szCs w:val="20"/>
              </w:rPr>
              <w:t>The motion for an extension of time to serve and file the application for leave to appeal is granted. The application for leave to appeal from the judgment of the Court of Appeal for Ontario, Number C47358, 2011 ONCA 194, dated March 11, 2011, is dismissed without costs.</w:t>
            </w:r>
          </w:p>
          <w:p w:rsidR="00A318B2" w:rsidRPr="00F863F6" w:rsidRDefault="00A318B2" w:rsidP="007F36A7">
            <w:pPr>
              <w:pStyle w:val="SCCShortJudgment"/>
              <w:ind w:firstLine="0"/>
              <w:rPr>
                <w:szCs w:val="20"/>
              </w:rPr>
            </w:pPr>
          </w:p>
          <w:p w:rsidR="00A318B2" w:rsidRPr="00F863F6" w:rsidRDefault="00A318B2" w:rsidP="007F36A7">
            <w:pPr>
              <w:pStyle w:val="SCCShortJudgment"/>
              <w:rPr>
                <w:szCs w:val="20"/>
                <w:lang w:val="fr-CA"/>
              </w:rPr>
            </w:pPr>
            <w:r w:rsidRPr="00F863F6">
              <w:rPr>
                <w:szCs w:val="20"/>
                <w:lang w:val="fr-CA"/>
              </w:rPr>
              <w:t>La requête en prorogation du délai de signification et de dépôt de la demande d’autorisation d’appel est accueillie. La demande d’autorisation d’appel de l’arrêt de la Cour d’appel de l’Ontario, numéro C47358, 2011 ONCA 194, daté du 11 mars 2011, est rejetée sans dépens.</w:t>
            </w:r>
          </w:p>
        </w:tc>
      </w:tr>
    </w:tbl>
    <w:p w:rsidR="00BF1FA7" w:rsidRPr="00A318B2" w:rsidRDefault="00BF1FA7" w:rsidP="00BF1FA7">
      <w:pPr>
        <w:rPr>
          <w:sz w:val="20"/>
          <w:szCs w:val="20"/>
          <w:lang w:val="fr-CA"/>
        </w:rPr>
      </w:pPr>
    </w:p>
    <w:p w:rsidR="00BF1FA7" w:rsidRPr="001B157C" w:rsidRDefault="00BF1FA7" w:rsidP="00BF1FA7">
      <w:pPr>
        <w:rPr>
          <w:sz w:val="20"/>
          <w:szCs w:val="20"/>
          <w:u w:val="single"/>
        </w:rPr>
      </w:pPr>
      <w:r w:rsidRPr="001B157C">
        <w:rPr>
          <w:sz w:val="20"/>
          <w:szCs w:val="20"/>
          <w:u w:val="single"/>
        </w:rPr>
        <w:t>CASE SUMMARY</w:t>
      </w:r>
    </w:p>
    <w:p w:rsidR="00BF1FA7" w:rsidRDefault="00BF1FA7" w:rsidP="00BF1FA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F3BF5" w:rsidRPr="007931F0" w:rsidTr="00D87D9F">
        <w:tc>
          <w:tcPr>
            <w:tcW w:w="5000" w:type="pct"/>
            <w:gridSpan w:val="3"/>
          </w:tcPr>
          <w:p w:rsidR="00FF3BF5" w:rsidRPr="007931F0" w:rsidRDefault="00FF3BF5" w:rsidP="00D87D9F">
            <w:pPr>
              <w:jc w:val="both"/>
              <w:rPr>
                <w:rFonts w:eastAsia="Calibri"/>
                <w:sz w:val="20"/>
              </w:rPr>
            </w:pPr>
            <w:r w:rsidRPr="007931F0">
              <w:rPr>
                <w:rFonts w:eastAsia="Calibri"/>
                <w:sz w:val="20"/>
              </w:rPr>
              <w:t xml:space="preserve">Criminal law — Appeals — Whether the “common sense inference” should be applied to infer subjective </w:t>
            </w:r>
            <w:r w:rsidRPr="007931F0">
              <w:rPr>
                <w:rFonts w:eastAsia="Calibri"/>
                <w:i/>
                <w:sz w:val="20"/>
              </w:rPr>
              <w:t>mens rea</w:t>
            </w:r>
            <w:r w:rsidRPr="007931F0">
              <w:rPr>
                <w:rFonts w:eastAsia="Calibri"/>
                <w:sz w:val="20"/>
              </w:rPr>
              <w:t xml:space="preserve"> in a case where the </w:t>
            </w:r>
            <w:r w:rsidRPr="007931F0">
              <w:rPr>
                <w:rFonts w:eastAsia="Calibri"/>
                <w:i/>
                <w:sz w:val="20"/>
              </w:rPr>
              <w:t xml:space="preserve">actus reus </w:t>
            </w:r>
            <w:r w:rsidRPr="007931F0">
              <w:rPr>
                <w:rFonts w:eastAsia="Calibri"/>
                <w:sz w:val="20"/>
              </w:rPr>
              <w:t xml:space="preserve">of an offence consists of an omission or a series of omissions — Whether an individual’s diminished intellectual functioning, short of incapacity to appreciate a particular risk, can serve to rebut the common sense inference — Whether the common law limits on the “plain view” seizure power apply to the statutory seizure powers found in s. 489 of the </w:t>
            </w:r>
            <w:r w:rsidRPr="007931F0">
              <w:rPr>
                <w:rFonts w:eastAsia="Calibri"/>
                <w:i/>
                <w:sz w:val="20"/>
              </w:rPr>
              <w:t>Criminal Code</w:t>
            </w:r>
            <w:r w:rsidRPr="007931F0">
              <w:rPr>
                <w:rFonts w:eastAsia="Calibri"/>
                <w:sz w:val="20"/>
              </w:rPr>
              <w:t>.</w:t>
            </w:r>
          </w:p>
        </w:tc>
      </w:tr>
      <w:tr w:rsidR="00FF3BF5" w:rsidRPr="007931F0" w:rsidTr="00D87D9F">
        <w:tc>
          <w:tcPr>
            <w:tcW w:w="5000" w:type="pct"/>
            <w:gridSpan w:val="3"/>
          </w:tcPr>
          <w:p w:rsidR="00FF3BF5" w:rsidRPr="007931F0" w:rsidRDefault="00FF3BF5" w:rsidP="00D87D9F">
            <w:pPr>
              <w:jc w:val="both"/>
              <w:rPr>
                <w:rFonts w:eastAsia="Calibri"/>
                <w:sz w:val="20"/>
              </w:rPr>
            </w:pPr>
          </w:p>
        </w:tc>
      </w:tr>
      <w:tr w:rsidR="00FF3BF5" w:rsidRPr="007931F0" w:rsidTr="00D87D9F">
        <w:tc>
          <w:tcPr>
            <w:tcW w:w="5000" w:type="pct"/>
            <w:gridSpan w:val="3"/>
          </w:tcPr>
          <w:p w:rsidR="00FF3BF5" w:rsidRPr="007931F0" w:rsidRDefault="00FF3BF5" w:rsidP="00D87D9F">
            <w:pPr>
              <w:jc w:val="both"/>
              <w:rPr>
                <w:rFonts w:eastAsia="Calibri"/>
                <w:sz w:val="20"/>
              </w:rPr>
            </w:pPr>
            <w:r w:rsidRPr="007931F0">
              <w:rPr>
                <w:rFonts w:eastAsia="Calibri"/>
                <w:sz w:val="20"/>
              </w:rPr>
              <w:t>The applicant was charged with the first degree murder of her grandson Jeffrey and the forcible confinement of her granddaughter Judy.  Children’s Aid Society removed Jeffrey, Judy and two other siblings from their parents’ home.  They were placed in the applicant and her common law spouse’s home.  Jeffrey was fifteen months when they took custody of him and he was a healthy baby of normal size and weight.  Judy was also normal and healthy.  The two other children (siblings of Jeffrey and Judy) were well cared for, attended school and played with friends, and had their medical needs tended to.  Jeffrey and Judy were treated like they were unloved and unwanted.  Confined for upwards of 12 hours a day in a locked, barren and unheated room. Their most basic needs and medical needs were ignored. Jeffrey died two months short of his sixth birthday. The trial judge convicted the applicant of second degree murder and imposed a life sentence and directed that she not be eligible for parole for 22 years.  A concurrent eight</w:t>
            </w:r>
            <w:r w:rsidRPr="007931F0">
              <w:rPr>
                <w:rFonts w:eastAsia="Calibri"/>
                <w:sz w:val="20"/>
              </w:rPr>
              <w:noBreakHyphen/>
              <w:t xml:space="preserve">year sentence on the forcible confinement charge was imposed.  The Court of Appeal dismissed the conviction </w:t>
            </w:r>
            <w:r w:rsidRPr="007931F0">
              <w:rPr>
                <w:rFonts w:eastAsia="Calibri"/>
                <w:sz w:val="20"/>
              </w:rPr>
              <w:lastRenderedPageBreak/>
              <w:t>and sentence appeals.</w:t>
            </w:r>
          </w:p>
          <w:p w:rsidR="00FF3BF5" w:rsidRPr="007931F0" w:rsidRDefault="00FF3BF5" w:rsidP="00D87D9F">
            <w:pPr>
              <w:jc w:val="both"/>
              <w:rPr>
                <w:rFonts w:eastAsia="Calibri"/>
                <w:sz w:val="20"/>
              </w:rPr>
            </w:pPr>
          </w:p>
        </w:tc>
      </w:tr>
      <w:tr w:rsidR="00FF3BF5" w:rsidRPr="007931F0" w:rsidTr="00D87D9F">
        <w:tc>
          <w:tcPr>
            <w:tcW w:w="2427" w:type="pct"/>
          </w:tcPr>
          <w:p w:rsidR="00FF3BF5" w:rsidRPr="007931F0" w:rsidRDefault="00FF3BF5" w:rsidP="00D87D9F">
            <w:pPr>
              <w:jc w:val="both"/>
              <w:rPr>
                <w:rFonts w:eastAsia="Calibri"/>
                <w:sz w:val="20"/>
              </w:rPr>
            </w:pPr>
            <w:r w:rsidRPr="007931F0">
              <w:rPr>
                <w:rFonts w:eastAsia="Calibri"/>
                <w:sz w:val="20"/>
              </w:rPr>
              <w:lastRenderedPageBreak/>
              <w:t>April 7, 2006</w:t>
            </w:r>
          </w:p>
          <w:p w:rsidR="00FF3BF5" w:rsidRPr="007931F0" w:rsidRDefault="00FF3BF5" w:rsidP="00D87D9F">
            <w:pPr>
              <w:jc w:val="both"/>
              <w:rPr>
                <w:rFonts w:eastAsia="Calibri"/>
                <w:sz w:val="20"/>
              </w:rPr>
            </w:pPr>
            <w:r w:rsidRPr="007931F0">
              <w:rPr>
                <w:rFonts w:eastAsia="Calibri"/>
                <w:sz w:val="20"/>
              </w:rPr>
              <w:t>Ontario Superior Court of Justice</w:t>
            </w:r>
          </w:p>
          <w:p w:rsidR="00FF3BF5" w:rsidRPr="007931F0" w:rsidRDefault="00FF3BF5" w:rsidP="00D87D9F">
            <w:pPr>
              <w:jc w:val="both"/>
              <w:rPr>
                <w:rFonts w:eastAsia="Calibri"/>
                <w:sz w:val="20"/>
              </w:rPr>
            </w:pPr>
            <w:r w:rsidRPr="007931F0">
              <w:rPr>
                <w:rFonts w:eastAsia="Calibri"/>
                <w:sz w:val="20"/>
              </w:rPr>
              <w:t>(Watt J.)</w:t>
            </w:r>
          </w:p>
          <w:p w:rsidR="00FF3BF5" w:rsidRPr="007931F0" w:rsidRDefault="00FF3BF5" w:rsidP="00D87D9F">
            <w:pPr>
              <w:jc w:val="both"/>
              <w:rPr>
                <w:rFonts w:eastAsia="Calibri"/>
                <w:sz w:val="20"/>
              </w:rPr>
            </w:pPr>
          </w:p>
        </w:tc>
        <w:tc>
          <w:tcPr>
            <w:tcW w:w="243" w:type="pct"/>
          </w:tcPr>
          <w:p w:rsidR="00FF3BF5" w:rsidRPr="007931F0" w:rsidRDefault="00FF3BF5" w:rsidP="00D87D9F">
            <w:pPr>
              <w:jc w:val="both"/>
              <w:rPr>
                <w:rFonts w:eastAsia="Calibri"/>
                <w:sz w:val="20"/>
              </w:rPr>
            </w:pPr>
          </w:p>
        </w:tc>
        <w:tc>
          <w:tcPr>
            <w:tcW w:w="2330" w:type="pct"/>
          </w:tcPr>
          <w:p w:rsidR="00FF3BF5" w:rsidRPr="007931F0" w:rsidRDefault="00FF3BF5" w:rsidP="00D87D9F">
            <w:pPr>
              <w:jc w:val="both"/>
              <w:rPr>
                <w:rFonts w:eastAsia="Calibri"/>
                <w:sz w:val="20"/>
              </w:rPr>
            </w:pPr>
            <w:r w:rsidRPr="007931F0">
              <w:rPr>
                <w:rFonts w:eastAsia="Calibri"/>
                <w:sz w:val="20"/>
              </w:rPr>
              <w:t>Conviction:  second degree murder and forcible confinement</w:t>
            </w:r>
          </w:p>
          <w:p w:rsidR="00FF3BF5" w:rsidRPr="007931F0" w:rsidRDefault="00FF3BF5" w:rsidP="00D87D9F">
            <w:pPr>
              <w:jc w:val="both"/>
              <w:rPr>
                <w:rFonts w:eastAsia="Calibri"/>
                <w:sz w:val="20"/>
              </w:rPr>
            </w:pPr>
          </w:p>
          <w:p w:rsidR="00FF3BF5" w:rsidRPr="007931F0" w:rsidRDefault="00FF3BF5" w:rsidP="00D87D9F">
            <w:pPr>
              <w:jc w:val="both"/>
              <w:rPr>
                <w:rFonts w:eastAsia="Calibri"/>
                <w:sz w:val="20"/>
              </w:rPr>
            </w:pPr>
          </w:p>
        </w:tc>
      </w:tr>
      <w:tr w:rsidR="00FF3BF5" w:rsidRPr="007931F0" w:rsidTr="00D87D9F">
        <w:tc>
          <w:tcPr>
            <w:tcW w:w="2427" w:type="pct"/>
          </w:tcPr>
          <w:p w:rsidR="00FF3BF5" w:rsidRPr="007931F0" w:rsidRDefault="00FF3BF5" w:rsidP="00D87D9F">
            <w:pPr>
              <w:jc w:val="both"/>
              <w:rPr>
                <w:rFonts w:eastAsia="Calibri"/>
                <w:sz w:val="20"/>
              </w:rPr>
            </w:pPr>
            <w:r w:rsidRPr="007931F0">
              <w:rPr>
                <w:rFonts w:eastAsia="Calibri"/>
                <w:sz w:val="20"/>
              </w:rPr>
              <w:t>March 11, 2011</w:t>
            </w:r>
          </w:p>
          <w:p w:rsidR="00FF3BF5" w:rsidRPr="007931F0" w:rsidRDefault="00FF3BF5" w:rsidP="00D87D9F">
            <w:pPr>
              <w:jc w:val="both"/>
              <w:rPr>
                <w:rFonts w:eastAsia="Calibri"/>
                <w:sz w:val="20"/>
              </w:rPr>
            </w:pPr>
            <w:r w:rsidRPr="007931F0">
              <w:rPr>
                <w:rFonts w:eastAsia="Calibri"/>
                <w:sz w:val="20"/>
              </w:rPr>
              <w:t>Court of Appeal for Ontario</w:t>
            </w:r>
          </w:p>
          <w:p w:rsidR="00FF3BF5" w:rsidRPr="007931F0" w:rsidRDefault="00FF3BF5" w:rsidP="00D87D9F">
            <w:pPr>
              <w:jc w:val="both"/>
              <w:rPr>
                <w:rFonts w:eastAsia="Calibri"/>
                <w:sz w:val="20"/>
              </w:rPr>
            </w:pPr>
            <w:r w:rsidRPr="007931F0">
              <w:rPr>
                <w:rFonts w:eastAsia="Calibri"/>
                <w:sz w:val="20"/>
              </w:rPr>
              <w:t>(O'Connor A.C.J.O., Doherty and Blair JJ.A.)</w:t>
            </w:r>
          </w:p>
          <w:p w:rsidR="00FF3BF5" w:rsidRPr="007931F0" w:rsidRDefault="00FF3BF5" w:rsidP="00D87D9F">
            <w:pPr>
              <w:jc w:val="both"/>
              <w:rPr>
                <w:rFonts w:eastAsia="Calibri"/>
                <w:sz w:val="20"/>
              </w:rPr>
            </w:pPr>
            <w:r w:rsidRPr="007931F0">
              <w:rPr>
                <w:rFonts w:eastAsia="Calibri"/>
                <w:sz w:val="20"/>
              </w:rPr>
              <w:t xml:space="preserve">Neutral citation: </w:t>
            </w:r>
          </w:p>
          <w:p w:rsidR="00FF3BF5" w:rsidRPr="007931F0" w:rsidRDefault="00FF3BF5" w:rsidP="00D87D9F">
            <w:pPr>
              <w:jc w:val="both"/>
              <w:rPr>
                <w:rFonts w:eastAsia="Calibri"/>
                <w:sz w:val="20"/>
              </w:rPr>
            </w:pPr>
          </w:p>
        </w:tc>
        <w:tc>
          <w:tcPr>
            <w:tcW w:w="243" w:type="pct"/>
          </w:tcPr>
          <w:p w:rsidR="00FF3BF5" w:rsidRPr="007931F0" w:rsidRDefault="00FF3BF5" w:rsidP="00D87D9F">
            <w:pPr>
              <w:jc w:val="both"/>
              <w:rPr>
                <w:rFonts w:eastAsia="Calibri"/>
                <w:sz w:val="20"/>
              </w:rPr>
            </w:pPr>
          </w:p>
        </w:tc>
        <w:tc>
          <w:tcPr>
            <w:tcW w:w="2330" w:type="pct"/>
          </w:tcPr>
          <w:p w:rsidR="00FF3BF5" w:rsidRPr="007931F0" w:rsidRDefault="00FF3BF5" w:rsidP="00D87D9F">
            <w:pPr>
              <w:jc w:val="both"/>
              <w:rPr>
                <w:rFonts w:eastAsia="Calibri"/>
                <w:sz w:val="20"/>
              </w:rPr>
            </w:pPr>
            <w:r w:rsidRPr="007931F0">
              <w:rPr>
                <w:rFonts w:eastAsia="Calibri"/>
                <w:sz w:val="20"/>
              </w:rPr>
              <w:t>Appeal from conviction and sentence dismissed</w:t>
            </w:r>
          </w:p>
          <w:p w:rsidR="00FF3BF5" w:rsidRPr="007931F0" w:rsidRDefault="00FF3BF5" w:rsidP="00D87D9F">
            <w:pPr>
              <w:jc w:val="both"/>
              <w:rPr>
                <w:rFonts w:eastAsia="Calibri"/>
                <w:sz w:val="20"/>
              </w:rPr>
            </w:pPr>
          </w:p>
        </w:tc>
      </w:tr>
      <w:tr w:rsidR="00FF3BF5" w:rsidRPr="007931F0" w:rsidTr="00D87D9F">
        <w:tc>
          <w:tcPr>
            <w:tcW w:w="2427" w:type="pct"/>
          </w:tcPr>
          <w:p w:rsidR="00FF3BF5" w:rsidRPr="007931F0" w:rsidRDefault="00FF3BF5" w:rsidP="00D87D9F">
            <w:pPr>
              <w:jc w:val="both"/>
              <w:rPr>
                <w:rFonts w:eastAsia="Calibri"/>
                <w:sz w:val="20"/>
              </w:rPr>
            </w:pPr>
            <w:r w:rsidRPr="007931F0">
              <w:rPr>
                <w:rFonts w:eastAsia="Calibri"/>
                <w:sz w:val="20"/>
              </w:rPr>
              <w:t>October 14, 2011</w:t>
            </w:r>
          </w:p>
          <w:p w:rsidR="00FF3BF5" w:rsidRPr="007931F0" w:rsidRDefault="00FF3BF5" w:rsidP="00D87D9F">
            <w:pPr>
              <w:jc w:val="both"/>
              <w:rPr>
                <w:rFonts w:eastAsia="Calibri"/>
                <w:sz w:val="20"/>
              </w:rPr>
            </w:pPr>
            <w:r w:rsidRPr="007931F0">
              <w:rPr>
                <w:rFonts w:eastAsia="Calibri"/>
                <w:sz w:val="20"/>
              </w:rPr>
              <w:t>Supreme Court of Canada</w:t>
            </w:r>
          </w:p>
          <w:p w:rsidR="00FF3BF5" w:rsidRPr="007931F0" w:rsidRDefault="00FF3BF5" w:rsidP="00D87D9F">
            <w:pPr>
              <w:jc w:val="both"/>
              <w:rPr>
                <w:rFonts w:eastAsia="Calibri"/>
                <w:sz w:val="20"/>
              </w:rPr>
            </w:pPr>
          </w:p>
        </w:tc>
        <w:tc>
          <w:tcPr>
            <w:tcW w:w="243" w:type="pct"/>
          </w:tcPr>
          <w:p w:rsidR="00FF3BF5" w:rsidRPr="007931F0" w:rsidRDefault="00FF3BF5" w:rsidP="00D87D9F">
            <w:pPr>
              <w:jc w:val="both"/>
              <w:rPr>
                <w:rFonts w:eastAsia="Calibri"/>
                <w:sz w:val="20"/>
              </w:rPr>
            </w:pPr>
          </w:p>
        </w:tc>
        <w:tc>
          <w:tcPr>
            <w:tcW w:w="2330" w:type="pct"/>
          </w:tcPr>
          <w:p w:rsidR="00FF3BF5" w:rsidRPr="007931F0" w:rsidRDefault="00FF3BF5" w:rsidP="00D87D9F">
            <w:pPr>
              <w:jc w:val="both"/>
              <w:rPr>
                <w:rFonts w:eastAsia="Calibri"/>
                <w:sz w:val="20"/>
              </w:rPr>
            </w:pPr>
            <w:r w:rsidRPr="007931F0">
              <w:rPr>
                <w:rFonts w:eastAsia="Calibri"/>
                <w:sz w:val="20"/>
              </w:rPr>
              <w:t>Motion to extend time to serve and file the  application for leave to appeal and application for leave to appeal filed</w:t>
            </w:r>
          </w:p>
        </w:tc>
      </w:tr>
    </w:tbl>
    <w:p w:rsidR="00BF1FA7" w:rsidRDefault="00BF1FA7" w:rsidP="00BF1FA7">
      <w:pPr>
        <w:rPr>
          <w:sz w:val="20"/>
          <w:szCs w:val="20"/>
        </w:rPr>
      </w:pPr>
    </w:p>
    <w:p w:rsidR="00BF1FA7" w:rsidRDefault="00BF59B3" w:rsidP="00BF1FA7">
      <w:pPr>
        <w:rPr>
          <w:sz w:val="20"/>
          <w:szCs w:val="20"/>
        </w:rPr>
      </w:pPr>
      <w:r w:rsidRPr="00BF59B3">
        <w:rPr>
          <w:sz w:val="20"/>
          <w:szCs w:val="20"/>
          <w:lang w:val="fr-CA"/>
        </w:rPr>
        <w:pict>
          <v:rect id="_x0000_i1050" style="width:2in;height:1pt" o:hrpct="0" o:hralign="center" o:hrstd="t" o:hrnoshade="t" o:hr="t" fillcolor="black [3213]" stroked="f"/>
        </w:pict>
      </w:r>
    </w:p>
    <w:p w:rsidR="00BF1FA7" w:rsidRDefault="00BF1FA7" w:rsidP="00BF1FA7">
      <w:pPr>
        <w:rPr>
          <w:sz w:val="20"/>
          <w:szCs w:val="20"/>
        </w:rPr>
      </w:pPr>
    </w:p>
    <w:p w:rsidR="00BF1FA7" w:rsidRPr="001B157C" w:rsidRDefault="00BF1FA7" w:rsidP="00BF1FA7">
      <w:pPr>
        <w:rPr>
          <w:sz w:val="20"/>
          <w:szCs w:val="20"/>
          <w:u w:val="single"/>
          <w:lang w:val="fr-CA"/>
        </w:rPr>
      </w:pPr>
      <w:r w:rsidRPr="001B157C">
        <w:rPr>
          <w:sz w:val="20"/>
          <w:szCs w:val="20"/>
          <w:u w:val="single"/>
          <w:lang w:val="fr-CA"/>
        </w:rPr>
        <w:t>RÉSUMÉ DE L’AFFAIRE</w:t>
      </w:r>
    </w:p>
    <w:p w:rsidR="00BF1FA7" w:rsidRDefault="00BF1FA7" w:rsidP="00BF1FA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F3BF5" w:rsidRPr="00A6632B" w:rsidTr="00D87D9F">
        <w:tc>
          <w:tcPr>
            <w:tcW w:w="5000" w:type="pct"/>
            <w:gridSpan w:val="3"/>
          </w:tcPr>
          <w:p w:rsidR="00FF3BF5" w:rsidRPr="007931F0" w:rsidRDefault="00FF3BF5" w:rsidP="00D87D9F">
            <w:pPr>
              <w:jc w:val="both"/>
              <w:rPr>
                <w:rFonts w:eastAsia="Calibri"/>
                <w:sz w:val="20"/>
                <w:lang w:val="fr-CA"/>
              </w:rPr>
            </w:pPr>
            <w:r w:rsidRPr="007931F0">
              <w:rPr>
                <w:rFonts w:eastAsia="Calibri"/>
                <w:sz w:val="20"/>
                <w:lang w:val="fr-CA"/>
              </w:rPr>
              <w:t xml:space="preserve">Droit criminel – Appels  - Convient-il d’utiliser l’« inférence conforme au bon sens » pour déduire que l’accusé avait la </w:t>
            </w:r>
            <w:r w:rsidRPr="007931F0">
              <w:rPr>
                <w:rFonts w:eastAsia="Calibri"/>
                <w:i/>
                <w:sz w:val="20"/>
                <w:lang w:val="fr-CA"/>
              </w:rPr>
              <w:t>mens rea</w:t>
            </w:r>
            <w:r w:rsidRPr="007931F0">
              <w:rPr>
                <w:rFonts w:eastAsia="Calibri"/>
                <w:sz w:val="20"/>
                <w:lang w:val="fr-CA"/>
              </w:rPr>
              <w:t xml:space="preserve"> subjective dans un cas où l’</w:t>
            </w:r>
            <w:r w:rsidRPr="007931F0">
              <w:rPr>
                <w:rFonts w:eastAsia="Calibri"/>
                <w:i/>
                <w:sz w:val="20"/>
                <w:lang w:val="fr-CA"/>
              </w:rPr>
              <w:t xml:space="preserve">actus reus </w:t>
            </w:r>
            <w:r w:rsidRPr="007931F0">
              <w:rPr>
                <w:rFonts w:eastAsia="Calibri"/>
                <w:sz w:val="20"/>
                <w:lang w:val="fr-CA"/>
              </w:rPr>
              <w:t xml:space="preserve">d’une infraction consiste en une omission ou une série d’omissions? – Le ralentissement des facultés intellectuelles de la personne, n’allant cependant pas jusqu’à l’incapacité d’apprécier un risque donné, peut-il être invoqué pour réfuter l’inférence conforme au bon sens? – Les limites imposées par la common law au pouvoir de saisir des objets « bien en vue » s’appliquent-elles aux pouvoirs de saisie prévus à l’art. 489 du </w:t>
            </w:r>
            <w:r w:rsidRPr="007931F0">
              <w:rPr>
                <w:rFonts w:eastAsia="Calibri"/>
                <w:i/>
                <w:sz w:val="20"/>
                <w:lang w:val="fr-CA"/>
              </w:rPr>
              <w:t>Code criminel</w:t>
            </w:r>
            <w:r w:rsidRPr="007931F0">
              <w:rPr>
                <w:rFonts w:eastAsia="Calibri"/>
                <w:sz w:val="20"/>
                <w:lang w:val="fr-CA"/>
              </w:rPr>
              <w:t>?</w:t>
            </w:r>
          </w:p>
        </w:tc>
      </w:tr>
      <w:tr w:rsidR="00FF3BF5" w:rsidRPr="00A6632B" w:rsidTr="00D87D9F">
        <w:tc>
          <w:tcPr>
            <w:tcW w:w="5000" w:type="pct"/>
            <w:gridSpan w:val="3"/>
          </w:tcPr>
          <w:p w:rsidR="00FF3BF5" w:rsidRPr="007931F0" w:rsidRDefault="00FF3BF5" w:rsidP="00D87D9F">
            <w:pPr>
              <w:jc w:val="both"/>
              <w:rPr>
                <w:rFonts w:eastAsia="Calibri"/>
                <w:sz w:val="20"/>
                <w:lang w:val="fr-CA"/>
              </w:rPr>
            </w:pPr>
          </w:p>
        </w:tc>
      </w:tr>
      <w:tr w:rsidR="00FF3BF5" w:rsidRPr="00A6632B" w:rsidTr="00D87D9F">
        <w:tc>
          <w:tcPr>
            <w:tcW w:w="5000" w:type="pct"/>
            <w:gridSpan w:val="3"/>
          </w:tcPr>
          <w:p w:rsidR="00FF3BF5" w:rsidRPr="007931F0" w:rsidRDefault="00FF3BF5" w:rsidP="00D87D9F">
            <w:pPr>
              <w:jc w:val="both"/>
              <w:rPr>
                <w:rFonts w:eastAsia="Calibri"/>
                <w:sz w:val="20"/>
                <w:lang w:val="fr-CA"/>
              </w:rPr>
            </w:pPr>
            <w:r w:rsidRPr="007931F0">
              <w:rPr>
                <w:rFonts w:eastAsia="Calibri"/>
                <w:sz w:val="20"/>
                <w:lang w:val="fr-CA"/>
              </w:rPr>
              <w:t>La demanderesse a été accusée du meurtre au premier degré de son petit-fils Jeffrey et d’avoir séquestré sa petite-fille Judy. La Children’s Aid Society avait ordonné que les quatre enfants d’une famille, dont Jeffrey et Judy, quittent la demeure de leurs parents. Ils ont été confiés à la demanderesse et son conjoint de fait.  Jeffrey avait quinze mois lorsque ces derniers en ont obtenu la garde. Il était alors un bébé en santé de taille et de poids normaux. Judy était elle aussi normale et en santé. Les deux autres enfants étaient bien traités, ils allaient à l’école, avaient des amis et recevaient des soins médicaux lorsqu’ils en avaient besoin. Jeffrey et Judy, eux, étaient traités comme si personne ne les aimait et ne voulait d’eux. Ils étaient verrouillés jusqu’à 12 heures par jour dans une pièce vide et non chauffée. Ils ne recevaient pas les soins les plus élémentaires, notamment sur le plan médical. Jeffrey est décédé deux mois avant d’atteindre l’âge de six ans. Le juge du procès a déclaré la demanderesse coupable de meurtre au deuxième degré et lui a imposé une peine d’emprisonnement à vie sans possibilité de libération conditionnelle avant une période de 22 ans. Il lui a imposé une peine concurrente de huit ans d’emprisonnement relativement à l’accusation de séquestration. La Cour d’appel a rejeté les appels des déclarations de culpabilité et des peines.</w:t>
            </w:r>
          </w:p>
          <w:p w:rsidR="00FF3BF5" w:rsidRPr="007931F0" w:rsidRDefault="00FF3BF5" w:rsidP="00D87D9F">
            <w:pPr>
              <w:jc w:val="both"/>
              <w:rPr>
                <w:rFonts w:eastAsia="Calibri"/>
                <w:sz w:val="20"/>
                <w:lang w:val="fr-CA"/>
              </w:rPr>
            </w:pPr>
          </w:p>
        </w:tc>
      </w:tr>
      <w:tr w:rsidR="00FF3BF5" w:rsidRPr="00A6632B" w:rsidTr="00D87D9F">
        <w:tc>
          <w:tcPr>
            <w:tcW w:w="2427" w:type="pct"/>
          </w:tcPr>
          <w:p w:rsidR="00FF3BF5" w:rsidRPr="007931F0" w:rsidRDefault="00FF3BF5" w:rsidP="00D87D9F">
            <w:pPr>
              <w:jc w:val="both"/>
              <w:rPr>
                <w:rFonts w:eastAsia="Calibri"/>
                <w:sz w:val="20"/>
                <w:lang w:val="fr-CA"/>
              </w:rPr>
            </w:pPr>
            <w:r w:rsidRPr="007931F0">
              <w:rPr>
                <w:rFonts w:eastAsia="Calibri"/>
                <w:sz w:val="20"/>
                <w:lang w:val="fr-CA"/>
              </w:rPr>
              <w:t>7 avril 2006</w:t>
            </w:r>
          </w:p>
          <w:p w:rsidR="00FF3BF5" w:rsidRPr="007931F0" w:rsidRDefault="00FF3BF5" w:rsidP="00D87D9F">
            <w:pPr>
              <w:jc w:val="both"/>
              <w:rPr>
                <w:rFonts w:eastAsia="Calibri"/>
                <w:sz w:val="20"/>
                <w:lang w:val="fr-CA"/>
              </w:rPr>
            </w:pPr>
            <w:r w:rsidRPr="007931F0">
              <w:rPr>
                <w:rFonts w:eastAsia="Calibri"/>
                <w:sz w:val="20"/>
                <w:lang w:val="fr-CA"/>
              </w:rPr>
              <w:t xml:space="preserve">Cour supérieure de justice de l’Ontario </w:t>
            </w:r>
          </w:p>
          <w:p w:rsidR="00FF3BF5" w:rsidRPr="007931F0" w:rsidRDefault="00FF3BF5" w:rsidP="00D87D9F">
            <w:pPr>
              <w:jc w:val="both"/>
              <w:rPr>
                <w:rFonts w:eastAsia="Calibri"/>
                <w:sz w:val="20"/>
              </w:rPr>
            </w:pPr>
            <w:r w:rsidRPr="007931F0">
              <w:rPr>
                <w:rFonts w:eastAsia="Calibri"/>
                <w:sz w:val="20"/>
              </w:rPr>
              <w:t>(Juge Watt)</w:t>
            </w:r>
          </w:p>
          <w:p w:rsidR="00FF3BF5" w:rsidRPr="007931F0" w:rsidRDefault="00FF3BF5" w:rsidP="00D87D9F">
            <w:pPr>
              <w:jc w:val="both"/>
              <w:rPr>
                <w:rFonts w:eastAsia="Calibri"/>
                <w:sz w:val="20"/>
              </w:rPr>
            </w:pPr>
          </w:p>
        </w:tc>
        <w:tc>
          <w:tcPr>
            <w:tcW w:w="243" w:type="pct"/>
          </w:tcPr>
          <w:p w:rsidR="00FF3BF5" w:rsidRPr="007931F0" w:rsidRDefault="00FF3BF5" w:rsidP="00D87D9F">
            <w:pPr>
              <w:jc w:val="both"/>
              <w:rPr>
                <w:rFonts w:eastAsia="Calibri"/>
                <w:sz w:val="20"/>
              </w:rPr>
            </w:pPr>
          </w:p>
        </w:tc>
        <w:tc>
          <w:tcPr>
            <w:tcW w:w="2330" w:type="pct"/>
          </w:tcPr>
          <w:p w:rsidR="00FF3BF5" w:rsidRPr="007931F0" w:rsidRDefault="00FF3BF5" w:rsidP="00D87D9F">
            <w:pPr>
              <w:jc w:val="both"/>
              <w:rPr>
                <w:rFonts w:eastAsia="Calibri"/>
                <w:sz w:val="20"/>
                <w:lang w:val="fr-CA"/>
              </w:rPr>
            </w:pPr>
            <w:r w:rsidRPr="007931F0">
              <w:rPr>
                <w:rFonts w:eastAsia="Calibri"/>
                <w:sz w:val="20"/>
                <w:lang w:val="fr-CA"/>
              </w:rPr>
              <w:t>Déclaration de culpabilité : meurtre au deuxième degré et séquestration</w:t>
            </w:r>
          </w:p>
          <w:p w:rsidR="00FF3BF5" w:rsidRPr="007931F0" w:rsidRDefault="00FF3BF5" w:rsidP="00D87D9F">
            <w:pPr>
              <w:jc w:val="both"/>
              <w:rPr>
                <w:rFonts w:eastAsia="Calibri"/>
                <w:sz w:val="20"/>
                <w:lang w:val="fr-CA"/>
              </w:rPr>
            </w:pPr>
          </w:p>
          <w:p w:rsidR="00FF3BF5" w:rsidRPr="007931F0" w:rsidRDefault="00FF3BF5" w:rsidP="00D87D9F">
            <w:pPr>
              <w:jc w:val="both"/>
              <w:rPr>
                <w:rFonts w:eastAsia="Calibri"/>
                <w:sz w:val="20"/>
                <w:lang w:val="fr-CA"/>
              </w:rPr>
            </w:pPr>
          </w:p>
        </w:tc>
      </w:tr>
      <w:tr w:rsidR="00FF3BF5" w:rsidRPr="00A6632B" w:rsidTr="00D87D9F">
        <w:tc>
          <w:tcPr>
            <w:tcW w:w="2427" w:type="pct"/>
          </w:tcPr>
          <w:p w:rsidR="00FF3BF5" w:rsidRPr="007931F0" w:rsidRDefault="00FF3BF5" w:rsidP="00D87D9F">
            <w:pPr>
              <w:jc w:val="both"/>
              <w:rPr>
                <w:rFonts w:eastAsia="Calibri"/>
                <w:sz w:val="20"/>
                <w:lang w:val="fr-CA"/>
              </w:rPr>
            </w:pPr>
            <w:r w:rsidRPr="007931F0">
              <w:rPr>
                <w:rFonts w:eastAsia="Calibri"/>
                <w:sz w:val="20"/>
                <w:lang w:val="fr-CA"/>
              </w:rPr>
              <w:t>11 mars 2011</w:t>
            </w:r>
          </w:p>
          <w:p w:rsidR="00FF3BF5" w:rsidRPr="007931F0" w:rsidRDefault="00FF3BF5" w:rsidP="00D87D9F">
            <w:pPr>
              <w:jc w:val="both"/>
              <w:rPr>
                <w:rFonts w:eastAsia="Calibri"/>
                <w:sz w:val="20"/>
                <w:lang w:val="fr-CA"/>
              </w:rPr>
            </w:pPr>
            <w:r w:rsidRPr="007931F0">
              <w:rPr>
                <w:rFonts w:eastAsia="Calibri"/>
                <w:sz w:val="20"/>
                <w:lang w:val="fr-CA"/>
              </w:rPr>
              <w:t>Cour d’appel de l’Ontario</w:t>
            </w:r>
          </w:p>
          <w:p w:rsidR="00FF3BF5" w:rsidRPr="007931F0" w:rsidRDefault="00FF3BF5" w:rsidP="00D87D9F">
            <w:pPr>
              <w:jc w:val="both"/>
              <w:rPr>
                <w:rFonts w:eastAsia="Calibri"/>
                <w:sz w:val="20"/>
                <w:lang w:val="fr-CA"/>
              </w:rPr>
            </w:pPr>
            <w:r w:rsidRPr="007931F0">
              <w:rPr>
                <w:rFonts w:eastAsia="Calibri"/>
                <w:sz w:val="20"/>
                <w:lang w:val="fr-CA"/>
              </w:rPr>
              <w:t>(Juge en chef adjoint O’Connor et juges Doherty et Blair)</w:t>
            </w:r>
          </w:p>
          <w:p w:rsidR="00FF3BF5" w:rsidRPr="007931F0" w:rsidRDefault="00FF3BF5" w:rsidP="00D87D9F">
            <w:pPr>
              <w:jc w:val="both"/>
              <w:rPr>
                <w:rFonts w:eastAsia="Calibri"/>
                <w:sz w:val="20"/>
              </w:rPr>
            </w:pPr>
            <w:r w:rsidRPr="007931F0">
              <w:rPr>
                <w:rFonts w:eastAsia="Calibri"/>
                <w:sz w:val="20"/>
                <w:lang w:val="fr-CA"/>
              </w:rPr>
              <w:t>C</w:t>
            </w:r>
            <w:r w:rsidRPr="007931F0">
              <w:rPr>
                <w:rFonts w:eastAsia="Calibri"/>
                <w:sz w:val="20"/>
              </w:rPr>
              <w:t xml:space="preserve">itation neutre : </w:t>
            </w:r>
          </w:p>
          <w:p w:rsidR="00FF3BF5" w:rsidRPr="007931F0" w:rsidRDefault="00FF3BF5" w:rsidP="00D87D9F">
            <w:pPr>
              <w:jc w:val="both"/>
              <w:rPr>
                <w:rFonts w:eastAsia="Calibri"/>
                <w:sz w:val="20"/>
              </w:rPr>
            </w:pPr>
          </w:p>
        </w:tc>
        <w:tc>
          <w:tcPr>
            <w:tcW w:w="243" w:type="pct"/>
          </w:tcPr>
          <w:p w:rsidR="00FF3BF5" w:rsidRPr="007931F0" w:rsidRDefault="00FF3BF5" w:rsidP="00D87D9F">
            <w:pPr>
              <w:jc w:val="both"/>
              <w:rPr>
                <w:rFonts w:eastAsia="Calibri"/>
                <w:sz w:val="20"/>
              </w:rPr>
            </w:pPr>
          </w:p>
        </w:tc>
        <w:tc>
          <w:tcPr>
            <w:tcW w:w="2330" w:type="pct"/>
          </w:tcPr>
          <w:p w:rsidR="00FF3BF5" w:rsidRPr="007931F0" w:rsidRDefault="00FF3BF5" w:rsidP="00D87D9F">
            <w:pPr>
              <w:jc w:val="both"/>
              <w:rPr>
                <w:rFonts w:eastAsia="Calibri"/>
                <w:sz w:val="20"/>
                <w:lang w:val="fr-CA"/>
              </w:rPr>
            </w:pPr>
            <w:r w:rsidRPr="007931F0">
              <w:rPr>
                <w:rFonts w:eastAsia="Calibri"/>
                <w:sz w:val="20"/>
                <w:lang w:val="fr-CA"/>
              </w:rPr>
              <w:t>Appel contre la déclaration de culpabilité et la peine rejeté</w:t>
            </w:r>
          </w:p>
          <w:p w:rsidR="00FF3BF5" w:rsidRPr="007931F0" w:rsidRDefault="00FF3BF5" w:rsidP="00D87D9F">
            <w:pPr>
              <w:jc w:val="both"/>
              <w:rPr>
                <w:rFonts w:eastAsia="Calibri"/>
                <w:sz w:val="20"/>
                <w:lang w:val="fr-CA"/>
              </w:rPr>
            </w:pPr>
          </w:p>
        </w:tc>
      </w:tr>
      <w:tr w:rsidR="00FF3BF5" w:rsidRPr="00A6632B" w:rsidTr="00F95CC5">
        <w:trPr>
          <w:cantSplit/>
        </w:trPr>
        <w:tc>
          <w:tcPr>
            <w:tcW w:w="2427" w:type="pct"/>
          </w:tcPr>
          <w:p w:rsidR="00FF3BF5" w:rsidRPr="00F95CC5" w:rsidRDefault="00FF3BF5" w:rsidP="00D87D9F">
            <w:pPr>
              <w:jc w:val="both"/>
              <w:rPr>
                <w:rFonts w:eastAsia="Calibri"/>
                <w:sz w:val="20"/>
                <w:lang w:val="fr-CA"/>
              </w:rPr>
            </w:pPr>
            <w:r w:rsidRPr="00F95CC5">
              <w:rPr>
                <w:rFonts w:eastAsia="Calibri"/>
                <w:sz w:val="20"/>
                <w:lang w:val="fr-CA"/>
              </w:rPr>
              <w:lastRenderedPageBreak/>
              <w:t>14 octobre 2011</w:t>
            </w:r>
          </w:p>
          <w:p w:rsidR="00FF3BF5" w:rsidRPr="00F95CC5" w:rsidRDefault="00FF3BF5" w:rsidP="00D87D9F">
            <w:pPr>
              <w:jc w:val="both"/>
              <w:rPr>
                <w:rFonts w:eastAsia="Calibri"/>
                <w:sz w:val="20"/>
                <w:lang w:val="fr-CA"/>
              </w:rPr>
            </w:pPr>
            <w:r w:rsidRPr="00F95CC5">
              <w:rPr>
                <w:rFonts w:eastAsia="Calibri"/>
                <w:sz w:val="20"/>
                <w:lang w:val="fr-CA"/>
              </w:rPr>
              <w:t>Cour suprême du Canada</w:t>
            </w:r>
          </w:p>
          <w:p w:rsidR="00FF3BF5" w:rsidRPr="00F95CC5" w:rsidRDefault="00FF3BF5" w:rsidP="00D87D9F">
            <w:pPr>
              <w:jc w:val="both"/>
              <w:rPr>
                <w:rFonts w:eastAsia="Calibri"/>
                <w:sz w:val="20"/>
                <w:lang w:val="fr-CA"/>
              </w:rPr>
            </w:pPr>
          </w:p>
        </w:tc>
        <w:tc>
          <w:tcPr>
            <w:tcW w:w="243" w:type="pct"/>
          </w:tcPr>
          <w:p w:rsidR="00FF3BF5" w:rsidRPr="00F95CC5" w:rsidRDefault="00FF3BF5" w:rsidP="00D87D9F">
            <w:pPr>
              <w:jc w:val="both"/>
              <w:rPr>
                <w:rFonts w:eastAsia="Calibri"/>
                <w:sz w:val="20"/>
                <w:lang w:val="fr-CA"/>
              </w:rPr>
            </w:pPr>
          </w:p>
        </w:tc>
        <w:tc>
          <w:tcPr>
            <w:tcW w:w="2330" w:type="pct"/>
          </w:tcPr>
          <w:p w:rsidR="00FF3BF5" w:rsidRPr="007931F0" w:rsidRDefault="00FF3BF5" w:rsidP="00D87D9F">
            <w:pPr>
              <w:jc w:val="both"/>
              <w:rPr>
                <w:rFonts w:eastAsia="Calibri"/>
                <w:sz w:val="20"/>
                <w:lang w:val="fr-CA"/>
              </w:rPr>
            </w:pPr>
            <w:r w:rsidRPr="007931F0">
              <w:rPr>
                <w:rFonts w:eastAsia="Calibri"/>
                <w:sz w:val="20"/>
                <w:lang w:val="fr-CA"/>
              </w:rPr>
              <w:t>Requête en prorogation du délai de signification et de dépôt de la demande d’autorisation d’appel et demande d’autorisation d’appel rejetées</w:t>
            </w:r>
          </w:p>
        </w:tc>
      </w:tr>
    </w:tbl>
    <w:p w:rsidR="00BF1FA7" w:rsidRPr="00FF3BF5" w:rsidRDefault="00BF1FA7" w:rsidP="00BF1FA7">
      <w:pPr>
        <w:rPr>
          <w:sz w:val="20"/>
          <w:szCs w:val="20"/>
          <w:lang w:val="fr-CA"/>
        </w:rPr>
      </w:pPr>
    </w:p>
    <w:p w:rsidR="00BF1FA7" w:rsidRDefault="00BF59B3" w:rsidP="00BF1FA7">
      <w:pPr>
        <w:rPr>
          <w:sz w:val="20"/>
          <w:szCs w:val="20"/>
        </w:rPr>
      </w:pPr>
      <w:r w:rsidRPr="00BF59B3">
        <w:rPr>
          <w:sz w:val="20"/>
          <w:szCs w:val="20"/>
          <w:lang w:val="fr-CA"/>
        </w:rPr>
        <w:pict>
          <v:rect id="_x0000_i1051" style="width:2in;height:1pt" o:hrpct="0" o:hralign="center" o:hrstd="t" o:hrnoshade="t" o:hr="t" fillcolor="black [3213]" stroked="f"/>
        </w:pict>
      </w:r>
    </w:p>
    <w:p w:rsidR="00BF1FA7" w:rsidRDefault="00BF1FA7" w:rsidP="00BF1FA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318B2" w:rsidRPr="00D722EB" w:rsidTr="007F36A7">
        <w:trPr>
          <w:cantSplit/>
        </w:trPr>
        <w:tc>
          <w:tcPr>
            <w:tcW w:w="1458" w:type="dxa"/>
          </w:tcPr>
          <w:p w:rsidR="00A318B2" w:rsidRPr="00F863F6" w:rsidRDefault="00A318B2" w:rsidP="007F36A7">
            <w:pPr>
              <w:rPr>
                <w:sz w:val="20"/>
                <w:szCs w:val="20"/>
              </w:rPr>
            </w:pPr>
            <w:r w:rsidRPr="00F863F6">
              <w:rPr>
                <w:rStyle w:val="SCCFileNumberChar"/>
                <w:sz w:val="20"/>
                <w:szCs w:val="20"/>
              </w:rPr>
              <w:t>34502</w:t>
            </w:r>
          </w:p>
          <w:p w:rsidR="00A318B2" w:rsidRPr="00F863F6" w:rsidRDefault="00A318B2" w:rsidP="007F36A7">
            <w:pPr>
              <w:rPr>
                <w:b/>
                <w:sz w:val="20"/>
                <w:szCs w:val="20"/>
                <w:lang w:val="fr-CA"/>
              </w:rPr>
            </w:pPr>
          </w:p>
        </w:tc>
        <w:tc>
          <w:tcPr>
            <w:tcW w:w="8118" w:type="dxa"/>
          </w:tcPr>
          <w:p w:rsidR="00A318B2" w:rsidRPr="00D722EB" w:rsidRDefault="00A318B2" w:rsidP="007F36A7">
            <w:pPr>
              <w:jc w:val="both"/>
              <w:rPr>
                <w:sz w:val="20"/>
                <w:szCs w:val="20"/>
                <w:lang w:val="fr-CA"/>
              </w:rPr>
            </w:pPr>
            <w:r w:rsidRPr="00A318B2">
              <w:rPr>
                <w:rStyle w:val="SCCLsocChar"/>
                <w:sz w:val="20"/>
                <w:szCs w:val="20"/>
              </w:rPr>
              <w:t>Abdullah Almalki, Khuzaimah Kalifah, Abdulrahman Almalki, by his Litigation Guardian Khuzaimah Kalifah, Sajeda Almalki, by her Litigation Guardian Khuzaimah Kalifah, Muaz Almalki, by his Litigation Guardian Khzaimah Kalifah, Zakariyy A Almalki, by his Litigation Guardian Khuzaimah Kalifah, Nadim Almalki, Fatima Almalki, Ahmad Abou-Elmaati, Badr Abou-Elmaati, Samira Al-Shallash, Rasha Abou-Elmaati, Muayyed Nureddin, Abdul Jabbar Nureddin, Fadila Siddiqu, Mofak Nureddin, Aydin Nureddin,</w:t>
            </w:r>
            <w:r w:rsidR="00154A69">
              <w:rPr>
                <w:rStyle w:val="SCCLsocChar"/>
                <w:sz w:val="20"/>
                <w:szCs w:val="20"/>
              </w:rPr>
              <w:t xml:space="preserve"> </w:t>
            </w:r>
            <w:r w:rsidRPr="00A318B2">
              <w:rPr>
                <w:rStyle w:val="SCCLsocChar"/>
                <w:sz w:val="20"/>
                <w:szCs w:val="20"/>
              </w:rPr>
              <w:t>Yashar Nureddin, Ahmed Nureddin, Sarab Nureddin and Byda Nureddin v. Attorney General of Canada</w:t>
            </w:r>
            <w:r w:rsidRPr="00A318B2">
              <w:rPr>
                <w:sz w:val="20"/>
                <w:szCs w:val="20"/>
                <w:lang w:val="fr-CA"/>
              </w:rPr>
              <w:t xml:space="preserve"> (F.C.) </w:t>
            </w:r>
            <w:r w:rsidRPr="00D722EB">
              <w:rPr>
                <w:sz w:val="20"/>
                <w:szCs w:val="20"/>
                <w:lang w:val="fr-CA"/>
              </w:rPr>
              <w:t>(Civil) (By Leave)</w:t>
            </w:r>
          </w:p>
          <w:p w:rsidR="00A318B2" w:rsidRPr="00D722EB" w:rsidRDefault="00A318B2" w:rsidP="007F36A7">
            <w:pPr>
              <w:rPr>
                <w:sz w:val="20"/>
                <w:szCs w:val="20"/>
                <w:lang w:val="fr-CA"/>
              </w:rPr>
            </w:pPr>
          </w:p>
        </w:tc>
      </w:tr>
      <w:tr w:rsidR="00A318B2" w:rsidRPr="00F863F6" w:rsidTr="007F36A7">
        <w:trPr>
          <w:cantSplit/>
        </w:trPr>
        <w:tc>
          <w:tcPr>
            <w:tcW w:w="1458" w:type="dxa"/>
          </w:tcPr>
          <w:p w:rsidR="00A318B2" w:rsidRPr="00F863F6" w:rsidRDefault="00A318B2" w:rsidP="007F36A7">
            <w:pPr>
              <w:rPr>
                <w:sz w:val="20"/>
                <w:szCs w:val="20"/>
              </w:rPr>
            </w:pPr>
            <w:r w:rsidRPr="00F863F6">
              <w:rPr>
                <w:sz w:val="20"/>
                <w:szCs w:val="20"/>
              </w:rPr>
              <w:t>Coram :</w:t>
            </w:r>
          </w:p>
        </w:tc>
        <w:tc>
          <w:tcPr>
            <w:tcW w:w="8118" w:type="dxa"/>
          </w:tcPr>
          <w:p w:rsidR="00A318B2" w:rsidRPr="00F863F6" w:rsidRDefault="00A318B2" w:rsidP="007F36A7">
            <w:pPr>
              <w:rPr>
                <w:sz w:val="20"/>
                <w:szCs w:val="20"/>
              </w:rPr>
            </w:pPr>
            <w:r w:rsidRPr="00F863F6">
              <w:rPr>
                <w:rStyle w:val="SCCCoramChar"/>
                <w:sz w:val="20"/>
                <w:szCs w:val="20"/>
                <w:lang w:val="en-CA"/>
              </w:rPr>
              <w:t>McLachlin C.J. and Rothstein and Moldaver JJ.</w:t>
            </w:r>
          </w:p>
          <w:p w:rsidR="00A318B2" w:rsidRPr="00F863F6" w:rsidRDefault="00A318B2" w:rsidP="007F36A7">
            <w:pPr>
              <w:rPr>
                <w:sz w:val="20"/>
                <w:szCs w:val="20"/>
                <w:u w:val="single"/>
              </w:rPr>
            </w:pPr>
          </w:p>
        </w:tc>
      </w:tr>
      <w:tr w:rsidR="00A318B2" w:rsidRPr="00C5295A" w:rsidTr="007F36A7">
        <w:trPr>
          <w:cantSplit/>
        </w:trPr>
        <w:tc>
          <w:tcPr>
            <w:tcW w:w="9576" w:type="dxa"/>
            <w:gridSpan w:val="2"/>
          </w:tcPr>
          <w:p w:rsidR="00A318B2" w:rsidRPr="00F863F6" w:rsidRDefault="00A318B2" w:rsidP="007F36A7">
            <w:pPr>
              <w:pStyle w:val="SCCShortJudgment"/>
              <w:rPr>
                <w:szCs w:val="20"/>
              </w:rPr>
            </w:pPr>
            <w:r w:rsidRPr="00F863F6">
              <w:rPr>
                <w:szCs w:val="20"/>
              </w:rPr>
              <w:t>The motion for an extension of time to serve and file the application for leave to appeal is granted.  The application for leave to appeal from the judgments of the Federal Court of Appeal, Number A-428-10, 2011 FCA 199, dated June 13, 2011 and October 13, 2011, is dismissed without costs.</w:t>
            </w:r>
          </w:p>
          <w:p w:rsidR="00A318B2" w:rsidRPr="00F863F6" w:rsidRDefault="00A318B2" w:rsidP="007F36A7">
            <w:pPr>
              <w:pStyle w:val="SCCShortJudgment"/>
              <w:ind w:firstLine="0"/>
              <w:rPr>
                <w:szCs w:val="20"/>
              </w:rPr>
            </w:pPr>
          </w:p>
          <w:p w:rsidR="00A318B2" w:rsidRPr="00F863F6" w:rsidRDefault="00A318B2" w:rsidP="00D722EB">
            <w:pPr>
              <w:pStyle w:val="SCCShortJudgment"/>
              <w:rPr>
                <w:szCs w:val="20"/>
                <w:lang w:val="fr-CA"/>
              </w:rPr>
            </w:pPr>
            <w:r w:rsidRPr="00F863F6">
              <w:rPr>
                <w:szCs w:val="20"/>
                <w:lang w:val="fr-CA"/>
              </w:rPr>
              <w:t>La requête en prorogation du délai de signification et de dépôt de la demande d’autorisation d’appel est accordée.  La demande d’autorisation d’appel des arrêts de la Cour d’appel fédérale, numéro A-428-10, 2011 CAF 199, datés du 13 juin 2011 et du 13 octobre 2011, est rejetée sans dépens.</w:t>
            </w:r>
          </w:p>
        </w:tc>
      </w:tr>
    </w:tbl>
    <w:p w:rsidR="00BF1FA7" w:rsidRPr="00A318B2" w:rsidRDefault="00BF1FA7" w:rsidP="00BF1FA7">
      <w:pPr>
        <w:rPr>
          <w:sz w:val="20"/>
          <w:szCs w:val="20"/>
          <w:lang w:val="fr-CA"/>
        </w:rPr>
      </w:pPr>
    </w:p>
    <w:p w:rsidR="00BF1FA7" w:rsidRPr="001B157C" w:rsidRDefault="00BF1FA7" w:rsidP="00BF1FA7">
      <w:pPr>
        <w:rPr>
          <w:sz w:val="20"/>
          <w:szCs w:val="20"/>
          <w:u w:val="single"/>
        </w:rPr>
      </w:pPr>
      <w:r w:rsidRPr="001B157C">
        <w:rPr>
          <w:sz w:val="20"/>
          <w:szCs w:val="20"/>
          <w:u w:val="single"/>
        </w:rPr>
        <w:t>CASE SUMMARY</w:t>
      </w:r>
    </w:p>
    <w:p w:rsidR="00BF1FA7" w:rsidRDefault="00BF1FA7" w:rsidP="00BF1FA7">
      <w:pPr>
        <w:rPr>
          <w:sz w:val="20"/>
          <w:szCs w:val="20"/>
        </w:rPr>
      </w:pPr>
    </w:p>
    <w:tbl>
      <w:tblPr>
        <w:tblW w:w="5000" w:type="pct"/>
        <w:tblLayout w:type="fixed"/>
        <w:tblCellMar>
          <w:left w:w="0" w:type="dxa"/>
          <w:bottom w:w="99" w:type="dxa"/>
          <w:right w:w="0" w:type="dxa"/>
        </w:tblCellMar>
        <w:tblLook w:val="04A0"/>
      </w:tblPr>
      <w:tblGrid>
        <w:gridCol w:w="4553"/>
        <w:gridCol w:w="514"/>
        <w:gridCol w:w="4552"/>
      </w:tblGrid>
      <w:tr w:rsidR="00FF3BF5" w:rsidRPr="007931F0" w:rsidTr="00D87D9F">
        <w:tc>
          <w:tcPr>
            <w:tcW w:w="5000" w:type="pct"/>
            <w:gridSpan w:val="3"/>
          </w:tcPr>
          <w:p w:rsidR="00FF3BF5" w:rsidRPr="007931F0" w:rsidRDefault="00FF3BF5" w:rsidP="00D87D9F">
            <w:pPr>
              <w:jc w:val="both"/>
              <w:rPr>
                <w:rFonts w:eastAsia="Calibri"/>
                <w:sz w:val="20"/>
              </w:rPr>
            </w:pPr>
            <w:r w:rsidRPr="007931F0">
              <w:rPr>
                <w:rFonts w:eastAsia="Calibri"/>
                <w:sz w:val="20"/>
              </w:rPr>
              <w:t xml:space="preserve">Procedural law — Evidence — Applicants suing Canadian Government in Ontario Superior Court of Justice for alleged complicity in their detention and torture in Syria and Egypt — In connection with Applicants’ action, Government produced 486 documents, most redacted on basis of national security — Government sought order pursuant to s. 38 of </w:t>
            </w:r>
            <w:r w:rsidRPr="007931F0">
              <w:rPr>
                <w:rFonts w:eastAsia="Calibri"/>
                <w:i/>
                <w:sz w:val="20"/>
              </w:rPr>
              <w:t>Canada Evidence Act</w:t>
            </w:r>
            <w:r w:rsidRPr="007931F0">
              <w:rPr>
                <w:rFonts w:eastAsia="Calibri"/>
                <w:sz w:val="20"/>
              </w:rPr>
              <w:t xml:space="preserve"> prohibiting or limiting further disclosure — In private order, judge ordered disclosure following balancing exercise of competing public interests — Following both public and </w:t>
            </w:r>
            <w:r w:rsidRPr="007931F0">
              <w:rPr>
                <w:rFonts w:eastAsia="Calibri"/>
                <w:i/>
                <w:sz w:val="20"/>
              </w:rPr>
              <w:t>ex parte in camera</w:t>
            </w:r>
            <w:r w:rsidRPr="007931F0">
              <w:rPr>
                <w:rFonts w:eastAsia="Calibri"/>
                <w:sz w:val="20"/>
              </w:rPr>
              <w:t xml:space="preserve"> hearings, Federal Court of Appeal allowed appeal — Federal Court of Appeal later refused to reconsider its judgment — Whether Federal Court of Appeal erred in allowing Government to protect national-security information — </w:t>
            </w:r>
            <w:r w:rsidRPr="007931F0">
              <w:rPr>
                <w:rFonts w:eastAsia="Calibri"/>
                <w:i/>
                <w:sz w:val="20"/>
              </w:rPr>
              <w:t>Canada Evidence Act</w:t>
            </w:r>
            <w:r w:rsidRPr="007931F0">
              <w:rPr>
                <w:rFonts w:eastAsia="Calibri"/>
                <w:sz w:val="20"/>
              </w:rPr>
              <w:t xml:space="preserve">, R.S.C. 1985, c. C-5, s. 38. </w:t>
            </w:r>
          </w:p>
          <w:p w:rsidR="00FF3BF5" w:rsidRPr="007931F0" w:rsidRDefault="00FF3BF5" w:rsidP="00D87D9F">
            <w:pPr>
              <w:jc w:val="both"/>
              <w:rPr>
                <w:rFonts w:eastAsia="Calibri"/>
                <w:smallCaps/>
                <w:sz w:val="20"/>
              </w:rPr>
            </w:pPr>
          </w:p>
          <w:p w:rsidR="00FF3BF5" w:rsidRPr="007931F0" w:rsidRDefault="00FF3BF5" w:rsidP="00D87D9F">
            <w:pPr>
              <w:jc w:val="both"/>
              <w:rPr>
                <w:rFonts w:eastAsia="Calibri"/>
                <w:sz w:val="20"/>
              </w:rPr>
            </w:pPr>
            <w:r w:rsidRPr="007931F0">
              <w:rPr>
                <w:rFonts w:eastAsia="Calibri"/>
                <w:sz w:val="20"/>
              </w:rPr>
              <w:t xml:space="preserve">The Applicants sued the Canadian Government in the Ontario Superior Court of Justice for the Government’s alleged complicity in their detention and torture in Syria and Egypt. The Government produced 486 documents in connection with the Applicants’ action. Most were redacted. The Government sought an order pursuant to s. 38 of the </w:t>
            </w:r>
            <w:r w:rsidRPr="007931F0">
              <w:rPr>
                <w:rFonts w:eastAsia="Calibri"/>
                <w:i/>
                <w:sz w:val="20"/>
              </w:rPr>
              <w:t>Canada Evidence Act</w:t>
            </w:r>
            <w:r w:rsidRPr="007931F0">
              <w:rPr>
                <w:rFonts w:eastAsia="Calibri"/>
                <w:sz w:val="20"/>
              </w:rPr>
              <w:t xml:space="preserve"> prohibiting or limiting further disclosure. In a private order, the judge ordered disclosure following a balancing exercise of competing public interests. The Government challenged the portion of the decision ordering disclosure so as to limit any injury to international relations or national defence or national security. Following both public and </w:t>
            </w:r>
            <w:r w:rsidRPr="007931F0">
              <w:rPr>
                <w:rFonts w:eastAsia="Calibri"/>
                <w:i/>
                <w:sz w:val="20"/>
              </w:rPr>
              <w:t>ex parte in camera</w:t>
            </w:r>
            <w:r w:rsidRPr="007931F0">
              <w:rPr>
                <w:rFonts w:eastAsia="Calibri"/>
                <w:sz w:val="20"/>
              </w:rPr>
              <w:t xml:space="preserve"> hearings, the Federal Court of Appeal allowed the appeal. The Applicants brought a motion for reconsideration; however, the Federal Court of Appeal dismissed the motion.</w:t>
            </w:r>
          </w:p>
        </w:tc>
      </w:tr>
      <w:tr w:rsidR="00FF3BF5" w:rsidRPr="007931F0" w:rsidTr="00D87D9F">
        <w:tc>
          <w:tcPr>
            <w:tcW w:w="5000" w:type="pct"/>
            <w:gridSpan w:val="3"/>
          </w:tcPr>
          <w:p w:rsidR="00FF3BF5" w:rsidRPr="007931F0" w:rsidRDefault="00FF3BF5" w:rsidP="00D87D9F">
            <w:pPr>
              <w:jc w:val="both"/>
              <w:rPr>
                <w:rFonts w:eastAsia="Calibri"/>
                <w:sz w:val="20"/>
              </w:rPr>
            </w:pPr>
          </w:p>
        </w:tc>
      </w:tr>
      <w:tr w:rsidR="00FF3BF5" w:rsidRPr="007931F0" w:rsidTr="00D87D9F">
        <w:tblPrEx>
          <w:tblCellMar>
            <w:bottom w:w="0" w:type="dxa"/>
          </w:tblCellMar>
        </w:tblPrEx>
        <w:tc>
          <w:tcPr>
            <w:tcW w:w="2367" w:type="pct"/>
          </w:tcPr>
          <w:p w:rsidR="00FF3BF5" w:rsidRPr="007931F0" w:rsidRDefault="00FF3BF5" w:rsidP="00D87D9F">
            <w:pPr>
              <w:jc w:val="both"/>
              <w:rPr>
                <w:rFonts w:eastAsia="Calibri"/>
                <w:sz w:val="20"/>
              </w:rPr>
            </w:pPr>
            <w:r w:rsidRPr="007931F0">
              <w:rPr>
                <w:rFonts w:eastAsia="Calibri"/>
                <w:sz w:val="20"/>
              </w:rPr>
              <w:t>November 8, 2010</w:t>
            </w:r>
          </w:p>
          <w:p w:rsidR="00FF3BF5" w:rsidRPr="007931F0" w:rsidRDefault="00FF3BF5" w:rsidP="00D87D9F">
            <w:pPr>
              <w:jc w:val="both"/>
              <w:rPr>
                <w:rFonts w:eastAsia="Calibri"/>
                <w:sz w:val="20"/>
              </w:rPr>
            </w:pPr>
            <w:r w:rsidRPr="007931F0">
              <w:rPr>
                <w:rFonts w:eastAsia="Calibri"/>
                <w:sz w:val="20"/>
              </w:rPr>
              <w:t>Federal Court</w:t>
            </w:r>
          </w:p>
          <w:p w:rsidR="00FF3BF5" w:rsidRPr="007931F0" w:rsidRDefault="00FF3BF5" w:rsidP="00D87D9F">
            <w:pPr>
              <w:jc w:val="both"/>
              <w:rPr>
                <w:rFonts w:eastAsia="Calibri"/>
                <w:sz w:val="20"/>
              </w:rPr>
            </w:pPr>
            <w:r w:rsidRPr="007931F0">
              <w:rPr>
                <w:rFonts w:eastAsia="Calibri"/>
                <w:sz w:val="20"/>
              </w:rPr>
              <w:t>(Mosley J.)</w:t>
            </w:r>
          </w:p>
          <w:p w:rsidR="00FF3BF5" w:rsidRPr="007931F0" w:rsidRDefault="00FF3BF5" w:rsidP="00D87D9F">
            <w:pPr>
              <w:jc w:val="both"/>
              <w:rPr>
                <w:rFonts w:eastAsia="Calibri"/>
                <w:sz w:val="20"/>
              </w:rPr>
            </w:pPr>
            <w:r w:rsidRPr="007931F0">
              <w:rPr>
                <w:rFonts w:eastAsia="Calibri"/>
                <w:sz w:val="20"/>
              </w:rPr>
              <w:t>Neutral citation: 2010 FC 1106</w:t>
            </w:r>
          </w:p>
          <w:p w:rsidR="00FF3BF5" w:rsidRPr="007931F0" w:rsidRDefault="00FF3BF5" w:rsidP="00D87D9F">
            <w:pPr>
              <w:jc w:val="both"/>
              <w:rPr>
                <w:rFonts w:eastAsia="Calibri"/>
                <w:sz w:val="20"/>
              </w:rPr>
            </w:pPr>
          </w:p>
        </w:tc>
        <w:tc>
          <w:tcPr>
            <w:tcW w:w="267" w:type="pct"/>
          </w:tcPr>
          <w:p w:rsidR="00FF3BF5" w:rsidRPr="007931F0" w:rsidRDefault="00FF3BF5" w:rsidP="00D87D9F">
            <w:pPr>
              <w:jc w:val="both"/>
              <w:rPr>
                <w:rFonts w:eastAsia="Calibri"/>
                <w:sz w:val="20"/>
              </w:rPr>
            </w:pPr>
          </w:p>
        </w:tc>
        <w:tc>
          <w:tcPr>
            <w:tcW w:w="2366" w:type="pct"/>
          </w:tcPr>
          <w:p w:rsidR="00FF3BF5" w:rsidRPr="007931F0" w:rsidRDefault="00FF3BF5" w:rsidP="00D87D9F">
            <w:pPr>
              <w:jc w:val="both"/>
              <w:rPr>
                <w:rFonts w:eastAsia="Calibri"/>
                <w:sz w:val="20"/>
              </w:rPr>
            </w:pPr>
            <w:r w:rsidRPr="007931F0">
              <w:rPr>
                <w:rFonts w:eastAsia="Calibri"/>
                <w:sz w:val="20"/>
              </w:rPr>
              <w:t xml:space="preserve">Application by Attorney General for order prohibiting disclosure of documents allowed in part only. </w:t>
            </w:r>
          </w:p>
        </w:tc>
      </w:tr>
      <w:tr w:rsidR="00FF3BF5" w:rsidRPr="007931F0" w:rsidTr="00F95CC5">
        <w:tblPrEx>
          <w:tblCellMar>
            <w:bottom w:w="0" w:type="dxa"/>
          </w:tblCellMar>
        </w:tblPrEx>
        <w:trPr>
          <w:cantSplit/>
        </w:trPr>
        <w:tc>
          <w:tcPr>
            <w:tcW w:w="2367" w:type="pct"/>
          </w:tcPr>
          <w:p w:rsidR="00FF3BF5" w:rsidRPr="007931F0" w:rsidRDefault="00FF3BF5" w:rsidP="00D87D9F">
            <w:pPr>
              <w:jc w:val="both"/>
              <w:rPr>
                <w:rFonts w:eastAsia="Calibri"/>
                <w:sz w:val="20"/>
              </w:rPr>
            </w:pPr>
            <w:r w:rsidRPr="007931F0">
              <w:rPr>
                <w:rFonts w:eastAsia="Calibri"/>
                <w:sz w:val="20"/>
              </w:rPr>
              <w:lastRenderedPageBreak/>
              <w:t>June 13, 2011</w:t>
            </w:r>
          </w:p>
          <w:p w:rsidR="00FF3BF5" w:rsidRPr="007931F0" w:rsidRDefault="00FF3BF5" w:rsidP="00D87D9F">
            <w:pPr>
              <w:jc w:val="both"/>
              <w:rPr>
                <w:rFonts w:eastAsia="Calibri"/>
                <w:sz w:val="20"/>
              </w:rPr>
            </w:pPr>
            <w:r w:rsidRPr="007931F0">
              <w:rPr>
                <w:rFonts w:eastAsia="Calibri"/>
                <w:sz w:val="20"/>
              </w:rPr>
              <w:t>Federal Court of Appeal</w:t>
            </w:r>
          </w:p>
          <w:p w:rsidR="00FF3BF5" w:rsidRPr="007931F0" w:rsidRDefault="00FF3BF5" w:rsidP="00D87D9F">
            <w:pPr>
              <w:jc w:val="both"/>
              <w:rPr>
                <w:rFonts w:eastAsia="Calibri"/>
                <w:sz w:val="20"/>
              </w:rPr>
            </w:pPr>
            <w:r w:rsidRPr="007931F0">
              <w:rPr>
                <w:rFonts w:eastAsia="Calibri"/>
                <w:sz w:val="20"/>
              </w:rPr>
              <w:t>(Blais C.J., Létourneau and Trudel JJ.A.)</w:t>
            </w:r>
          </w:p>
          <w:p w:rsidR="00FF3BF5" w:rsidRPr="007931F0" w:rsidRDefault="00FF3BF5" w:rsidP="00D87D9F">
            <w:pPr>
              <w:jc w:val="both"/>
              <w:rPr>
                <w:rFonts w:eastAsia="Calibri"/>
                <w:sz w:val="20"/>
              </w:rPr>
            </w:pPr>
            <w:r w:rsidRPr="007931F0">
              <w:rPr>
                <w:rFonts w:eastAsia="Calibri"/>
                <w:sz w:val="20"/>
              </w:rPr>
              <w:t>Neutral citation: 2011 FCA 199</w:t>
            </w:r>
          </w:p>
          <w:p w:rsidR="00FF3BF5" w:rsidRPr="007931F0" w:rsidRDefault="00FF3BF5" w:rsidP="00D87D9F">
            <w:pPr>
              <w:jc w:val="both"/>
              <w:rPr>
                <w:rFonts w:eastAsia="Calibri"/>
                <w:sz w:val="20"/>
              </w:rPr>
            </w:pPr>
          </w:p>
        </w:tc>
        <w:tc>
          <w:tcPr>
            <w:tcW w:w="267" w:type="pct"/>
          </w:tcPr>
          <w:p w:rsidR="00FF3BF5" w:rsidRPr="007931F0" w:rsidRDefault="00FF3BF5" w:rsidP="00D87D9F">
            <w:pPr>
              <w:jc w:val="both"/>
              <w:rPr>
                <w:rFonts w:eastAsia="Calibri"/>
                <w:sz w:val="20"/>
              </w:rPr>
            </w:pPr>
          </w:p>
        </w:tc>
        <w:tc>
          <w:tcPr>
            <w:tcW w:w="2366" w:type="pct"/>
          </w:tcPr>
          <w:p w:rsidR="00FF3BF5" w:rsidRPr="007931F0" w:rsidRDefault="00FF3BF5" w:rsidP="00D87D9F">
            <w:pPr>
              <w:jc w:val="both"/>
              <w:rPr>
                <w:rFonts w:eastAsia="Calibri"/>
                <w:sz w:val="20"/>
              </w:rPr>
            </w:pPr>
            <w:r w:rsidRPr="007931F0">
              <w:rPr>
                <w:rFonts w:eastAsia="Calibri"/>
                <w:sz w:val="20"/>
              </w:rPr>
              <w:t>Appeal allowed.</w:t>
            </w:r>
          </w:p>
          <w:p w:rsidR="00FF3BF5" w:rsidRPr="007931F0" w:rsidRDefault="00FF3BF5" w:rsidP="00D87D9F">
            <w:pPr>
              <w:jc w:val="both"/>
              <w:rPr>
                <w:rFonts w:eastAsia="Calibri"/>
                <w:sz w:val="20"/>
              </w:rPr>
            </w:pPr>
          </w:p>
        </w:tc>
      </w:tr>
      <w:tr w:rsidR="00FF3BF5" w:rsidRPr="007931F0" w:rsidTr="00F95CC5">
        <w:tblPrEx>
          <w:tblCellMar>
            <w:bottom w:w="0" w:type="dxa"/>
          </w:tblCellMar>
        </w:tblPrEx>
        <w:trPr>
          <w:cantSplit/>
        </w:trPr>
        <w:tc>
          <w:tcPr>
            <w:tcW w:w="2367" w:type="pct"/>
          </w:tcPr>
          <w:p w:rsidR="00FF3BF5" w:rsidRPr="007931F0" w:rsidRDefault="00FF3BF5" w:rsidP="00D87D9F">
            <w:pPr>
              <w:jc w:val="both"/>
              <w:rPr>
                <w:rFonts w:eastAsia="Calibri"/>
                <w:sz w:val="20"/>
              </w:rPr>
            </w:pPr>
            <w:r w:rsidRPr="007931F0">
              <w:rPr>
                <w:rFonts w:eastAsia="Calibri"/>
                <w:sz w:val="20"/>
              </w:rPr>
              <w:t>October 13, 2011</w:t>
            </w:r>
          </w:p>
          <w:p w:rsidR="00FF3BF5" w:rsidRPr="007931F0" w:rsidRDefault="00FF3BF5" w:rsidP="00D87D9F">
            <w:pPr>
              <w:jc w:val="both"/>
              <w:rPr>
                <w:rFonts w:eastAsia="Calibri"/>
                <w:sz w:val="20"/>
              </w:rPr>
            </w:pPr>
            <w:r w:rsidRPr="007931F0">
              <w:rPr>
                <w:rFonts w:eastAsia="Calibri"/>
                <w:sz w:val="20"/>
              </w:rPr>
              <w:t>Federal Court of Appeal</w:t>
            </w:r>
          </w:p>
          <w:p w:rsidR="00FF3BF5" w:rsidRPr="007931F0" w:rsidRDefault="00FF3BF5" w:rsidP="00D87D9F">
            <w:pPr>
              <w:jc w:val="both"/>
              <w:rPr>
                <w:rFonts w:eastAsia="Calibri"/>
                <w:sz w:val="20"/>
              </w:rPr>
            </w:pPr>
            <w:r w:rsidRPr="007931F0">
              <w:rPr>
                <w:rFonts w:eastAsia="Calibri"/>
                <w:sz w:val="20"/>
              </w:rPr>
              <w:t>(Trudel J.A.)</w:t>
            </w:r>
          </w:p>
          <w:p w:rsidR="00FF3BF5" w:rsidRPr="007931F0" w:rsidRDefault="00FF3BF5" w:rsidP="00D87D9F">
            <w:pPr>
              <w:jc w:val="both"/>
              <w:rPr>
                <w:rFonts w:eastAsia="Calibri"/>
                <w:sz w:val="20"/>
              </w:rPr>
            </w:pPr>
            <w:r w:rsidRPr="007931F0">
              <w:rPr>
                <w:rFonts w:eastAsia="Calibri"/>
                <w:sz w:val="20"/>
              </w:rPr>
              <w:t>Neutral citation: None</w:t>
            </w:r>
          </w:p>
          <w:p w:rsidR="00FF3BF5" w:rsidRPr="007931F0" w:rsidRDefault="00FF3BF5" w:rsidP="00D87D9F">
            <w:pPr>
              <w:jc w:val="both"/>
              <w:rPr>
                <w:rFonts w:eastAsia="Calibri"/>
                <w:sz w:val="20"/>
              </w:rPr>
            </w:pPr>
          </w:p>
        </w:tc>
        <w:tc>
          <w:tcPr>
            <w:tcW w:w="267" w:type="pct"/>
          </w:tcPr>
          <w:p w:rsidR="00FF3BF5" w:rsidRPr="007931F0" w:rsidRDefault="00FF3BF5" w:rsidP="00D87D9F">
            <w:pPr>
              <w:jc w:val="both"/>
              <w:rPr>
                <w:rFonts w:eastAsia="Calibri"/>
                <w:sz w:val="20"/>
              </w:rPr>
            </w:pPr>
          </w:p>
        </w:tc>
        <w:tc>
          <w:tcPr>
            <w:tcW w:w="2366" w:type="pct"/>
          </w:tcPr>
          <w:p w:rsidR="00FF3BF5" w:rsidRPr="007931F0" w:rsidRDefault="00FF3BF5" w:rsidP="00D87D9F">
            <w:pPr>
              <w:jc w:val="both"/>
              <w:rPr>
                <w:rFonts w:eastAsia="Calibri"/>
                <w:sz w:val="20"/>
              </w:rPr>
            </w:pPr>
            <w:r w:rsidRPr="007931F0">
              <w:rPr>
                <w:rFonts w:eastAsia="Calibri"/>
                <w:sz w:val="20"/>
              </w:rPr>
              <w:t>Motion for reconsideration dismissed.</w:t>
            </w:r>
          </w:p>
          <w:p w:rsidR="00FF3BF5" w:rsidRPr="007931F0" w:rsidRDefault="00FF3BF5" w:rsidP="00D87D9F">
            <w:pPr>
              <w:jc w:val="both"/>
              <w:rPr>
                <w:rFonts w:eastAsia="Calibri"/>
                <w:sz w:val="20"/>
              </w:rPr>
            </w:pPr>
          </w:p>
        </w:tc>
      </w:tr>
      <w:tr w:rsidR="00FF3BF5" w:rsidRPr="007931F0" w:rsidTr="00F95CC5">
        <w:tblPrEx>
          <w:tblCellMar>
            <w:bottom w:w="0" w:type="dxa"/>
          </w:tblCellMar>
        </w:tblPrEx>
        <w:trPr>
          <w:cantSplit/>
          <w:trHeight w:val="567"/>
        </w:trPr>
        <w:tc>
          <w:tcPr>
            <w:tcW w:w="2367" w:type="pct"/>
          </w:tcPr>
          <w:p w:rsidR="00FF3BF5" w:rsidRPr="007931F0" w:rsidRDefault="00FF3BF5" w:rsidP="00D87D9F">
            <w:pPr>
              <w:jc w:val="both"/>
              <w:rPr>
                <w:rFonts w:eastAsia="Calibri"/>
                <w:sz w:val="20"/>
              </w:rPr>
            </w:pPr>
            <w:r w:rsidRPr="007931F0">
              <w:rPr>
                <w:rFonts w:eastAsia="Calibri"/>
                <w:sz w:val="20"/>
              </w:rPr>
              <w:t>October 24, 2011</w:t>
            </w:r>
          </w:p>
          <w:p w:rsidR="00FF3BF5" w:rsidRPr="007931F0" w:rsidRDefault="00FF3BF5" w:rsidP="00D87D9F">
            <w:pPr>
              <w:jc w:val="both"/>
              <w:rPr>
                <w:rFonts w:eastAsia="Calibri"/>
                <w:sz w:val="20"/>
              </w:rPr>
            </w:pPr>
            <w:r w:rsidRPr="007931F0">
              <w:rPr>
                <w:rFonts w:eastAsia="Calibri"/>
                <w:sz w:val="20"/>
              </w:rPr>
              <w:t>Supreme Court of Canada</w:t>
            </w:r>
          </w:p>
          <w:p w:rsidR="00FF3BF5" w:rsidRPr="007931F0" w:rsidRDefault="00FF3BF5" w:rsidP="00D87D9F">
            <w:pPr>
              <w:jc w:val="both"/>
              <w:rPr>
                <w:rFonts w:eastAsia="Calibri"/>
                <w:sz w:val="20"/>
              </w:rPr>
            </w:pPr>
          </w:p>
        </w:tc>
        <w:tc>
          <w:tcPr>
            <w:tcW w:w="267" w:type="pct"/>
          </w:tcPr>
          <w:p w:rsidR="00FF3BF5" w:rsidRPr="007931F0" w:rsidRDefault="00FF3BF5" w:rsidP="00D87D9F">
            <w:pPr>
              <w:jc w:val="both"/>
              <w:rPr>
                <w:rFonts w:eastAsia="Calibri"/>
                <w:sz w:val="20"/>
              </w:rPr>
            </w:pPr>
          </w:p>
        </w:tc>
        <w:tc>
          <w:tcPr>
            <w:tcW w:w="2366" w:type="pct"/>
          </w:tcPr>
          <w:p w:rsidR="00FF3BF5" w:rsidRPr="007931F0" w:rsidRDefault="00FF3BF5" w:rsidP="00D87D9F">
            <w:pPr>
              <w:jc w:val="both"/>
              <w:rPr>
                <w:rFonts w:eastAsia="Calibri"/>
                <w:sz w:val="20"/>
              </w:rPr>
            </w:pPr>
            <w:r w:rsidRPr="007931F0">
              <w:rPr>
                <w:rFonts w:eastAsia="Calibri"/>
                <w:sz w:val="20"/>
              </w:rPr>
              <w:t>Application for leave to appeal filed.</w:t>
            </w:r>
          </w:p>
        </w:tc>
      </w:tr>
      <w:tr w:rsidR="00FF3BF5" w:rsidRPr="007931F0" w:rsidTr="00F95CC5">
        <w:tblPrEx>
          <w:tblCellMar>
            <w:bottom w:w="0" w:type="dxa"/>
          </w:tblCellMar>
        </w:tblPrEx>
        <w:trPr>
          <w:cantSplit/>
        </w:trPr>
        <w:tc>
          <w:tcPr>
            <w:tcW w:w="2367" w:type="pct"/>
          </w:tcPr>
          <w:p w:rsidR="00FF3BF5" w:rsidRPr="007931F0" w:rsidRDefault="00FF3BF5" w:rsidP="00D87D9F">
            <w:pPr>
              <w:jc w:val="both"/>
              <w:rPr>
                <w:rFonts w:eastAsia="Calibri"/>
                <w:sz w:val="20"/>
              </w:rPr>
            </w:pPr>
            <w:r w:rsidRPr="007931F0">
              <w:rPr>
                <w:rFonts w:eastAsia="Calibri"/>
                <w:sz w:val="20"/>
              </w:rPr>
              <w:t>October 26, 2011</w:t>
            </w:r>
          </w:p>
          <w:p w:rsidR="00FF3BF5" w:rsidRPr="007931F0" w:rsidRDefault="00FF3BF5" w:rsidP="00D87D9F">
            <w:pPr>
              <w:jc w:val="both"/>
              <w:rPr>
                <w:rFonts w:eastAsia="Calibri"/>
                <w:sz w:val="20"/>
              </w:rPr>
            </w:pPr>
            <w:r w:rsidRPr="007931F0">
              <w:rPr>
                <w:rFonts w:eastAsia="Calibri"/>
                <w:sz w:val="20"/>
              </w:rPr>
              <w:t>Supreme Court of Canada</w:t>
            </w:r>
          </w:p>
        </w:tc>
        <w:tc>
          <w:tcPr>
            <w:tcW w:w="267" w:type="pct"/>
          </w:tcPr>
          <w:p w:rsidR="00FF3BF5" w:rsidRPr="007931F0" w:rsidRDefault="00FF3BF5" w:rsidP="00D87D9F">
            <w:pPr>
              <w:jc w:val="both"/>
              <w:rPr>
                <w:rFonts w:eastAsia="Calibri"/>
                <w:sz w:val="20"/>
              </w:rPr>
            </w:pPr>
          </w:p>
        </w:tc>
        <w:tc>
          <w:tcPr>
            <w:tcW w:w="2366" w:type="pct"/>
          </w:tcPr>
          <w:p w:rsidR="00FF3BF5" w:rsidRPr="007931F0" w:rsidRDefault="00FF3BF5" w:rsidP="00D87D9F">
            <w:pPr>
              <w:jc w:val="both"/>
              <w:rPr>
                <w:rFonts w:eastAsia="Calibri"/>
                <w:sz w:val="20"/>
              </w:rPr>
            </w:pPr>
            <w:r w:rsidRPr="007931F0">
              <w:rPr>
                <w:rFonts w:eastAsia="Calibri"/>
                <w:sz w:val="20"/>
              </w:rPr>
              <w:t>Motion for an extension of time to file and serve the application for leave to appeal filed.</w:t>
            </w:r>
          </w:p>
        </w:tc>
      </w:tr>
    </w:tbl>
    <w:p w:rsidR="00BF1FA7" w:rsidRDefault="00BF1FA7" w:rsidP="00BF1FA7">
      <w:pPr>
        <w:rPr>
          <w:sz w:val="20"/>
          <w:szCs w:val="20"/>
        </w:rPr>
      </w:pPr>
    </w:p>
    <w:p w:rsidR="00BF1FA7" w:rsidRDefault="00BF59B3" w:rsidP="00BF1FA7">
      <w:pPr>
        <w:rPr>
          <w:sz w:val="20"/>
          <w:szCs w:val="20"/>
        </w:rPr>
      </w:pPr>
      <w:r w:rsidRPr="00BF59B3">
        <w:rPr>
          <w:sz w:val="20"/>
          <w:szCs w:val="20"/>
          <w:lang w:val="fr-CA"/>
        </w:rPr>
        <w:pict>
          <v:rect id="_x0000_i1052" style="width:2in;height:1pt" o:hrpct="0" o:hralign="center" o:hrstd="t" o:hrnoshade="t" o:hr="t" fillcolor="black [3213]" stroked="f"/>
        </w:pict>
      </w:r>
    </w:p>
    <w:p w:rsidR="00BF1FA7" w:rsidRDefault="00BF1FA7" w:rsidP="00BF1FA7">
      <w:pPr>
        <w:rPr>
          <w:sz w:val="20"/>
          <w:szCs w:val="20"/>
        </w:rPr>
      </w:pPr>
    </w:p>
    <w:p w:rsidR="00BF1FA7" w:rsidRPr="001B157C" w:rsidRDefault="00BF1FA7" w:rsidP="00BF1FA7">
      <w:pPr>
        <w:rPr>
          <w:sz w:val="20"/>
          <w:szCs w:val="20"/>
          <w:u w:val="single"/>
          <w:lang w:val="fr-CA"/>
        </w:rPr>
      </w:pPr>
      <w:r w:rsidRPr="001B157C">
        <w:rPr>
          <w:sz w:val="20"/>
          <w:szCs w:val="20"/>
          <w:u w:val="single"/>
          <w:lang w:val="fr-CA"/>
        </w:rPr>
        <w:t>RÉSUMÉ DE L’AFFAIRE</w:t>
      </w:r>
    </w:p>
    <w:p w:rsidR="00BF1FA7" w:rsidRDefault="00BF1FA7" w:rsidP="00BF1FA7">
      <w:pPr>
        <w:rPr>
          <w:sz w:val="20"/>
          <w:szCs w:val="20"/>
        </w:rPr>
      </w:pPr>
    </w:p>
    <w:tbl>
      <w:tblPr>
        <w:tblW w:w="5000" w:type="pct"/>
        <w:tblLayout w:type="fixed"/>
        <w:tblCellMar>
          <w:left w:w="0" w:type="dxa"/>
          <w:bottom w:w="99" w:type="dxa"/>
          <w:right w:w="0" w:type="dxa"/>
        </w:tblCellMar>
        <w:tblLook w:val="04A0"/>
      </w:tblPr>
      <w:tblGrid>
        <w:gridCol w:w="4553"/>
        <w:gridCol w:w="516"/>
        <w:gridCol w:w="4550"/>
      </w:tblGrid>
      <w:tr w:rsidR="00FF3BF5" w:rsidRPr="00C5295A" w:rsidTr="00D87D9F">
        <w:tc>
          <w:tcPr>
            <w:tcW w:w="5000" w:type="pct"/>
            <w:gridSpan w:val="3"/>
          </w:tcPr>
          <w:p w:rsidR="00FF3BF5" w:rsidRPr="007931F0" w:rsidRDefault="00FF3BF5" w:rsidP="00D87D9F">
            <w:pPr>
              <w:jc w:val="both"/>
              <w:rPr>
                <w:rFonts w:eastAsia="Calibri"/>
                <w:sz w:val="20"/>
                <w:lang w:val="fr-CA"/>
              </w:rPr>
            </w:pPr>
            <w:r w:rsidRPr="007931F0">
              <w:rPr>
                <w:rFonts w:eastAsia="Calibri"/>
                <w:sz w:val="20"/>
                <w:lang w:val="fr-CA"/>
              </w:rPr>
              <w:t xml:space="preserve">Droit procédural — Preuve — Les demandeurs poursuivent le gouvernement canadien en Cour supérieure de justice de l’Ontario relativement à la présumée complicité de ce dernier à l’égard de leur détention et de leur torture en Syrie et en Égypte — Relativement à l’action intentée par les demandeurs, le gouvernement a produit 486 documents dont la plupart avaient été expurgés pour des raisons de sécurité nationale — Le gouvernement canadien a sollicité une ordonnance en vertu de l’art. 38 de la </w:t>
            </w:r>
            <w:r w:rsidRPr="007931F0">
              <w:rPr>
                <w:rFonts w:eastAsia="Calibri"/>
                <w:i/>
                <w:sz w:val="20"/>
                <w:lang w:val="fr-CA"/>
              </w:rPr>
              <w:t>Loi sur la preuve au Canada</w:t>
            </w:r>
            <w:r w:rsidRPr="007931F0">
              <w:rPr>
                <w:rFonts w:eastAsia="Calibri"/>
                <w:sz w:val="20"/>
                <w:lang w:val="fr-CA"/>
              </w:rPr>
              <w:t xml:space="preserve"> en vue de faire interdire ou restreindre toute divulgation ultérieure — Dans une ordonnance confidentielle, le juge a ordonné la divulgation après avoir mis en balance les diverses raisons d’intérêt public — À la suite d’une audience publique et d’une audience ex</w:t>
            </w:r>
            <w:r w:rsidRPr="007931F0">
              <w:rPr>
                <w:rFonts w:eastAsia="Calibri"/>
                <w:i/>
                <w:sz w:val="20"/>
                <w:lang w:val="fr-CA"/>
              </w:rPr>
              <w:t xml:space="preserve"> parte</w:t>
            </w:r>
            <w:r w:rsidRPr="007931F0">
              <w:rPr>
                <w:rFonts w:eastAsia="Calibri"/>
                <w:sz w:val="20"/>
                <w:lang w:val="fr-CA"/>
              </w:rPr>
              <w:t xml:space="preserve"> tenue à huis clos, la Cour d’appel fédérale a accueilli l’appel — La Cour d’appel fédérale a par la suite refusé de réexaminer son jugement — La Cour d’appel fédérale a-t-elle commis une erreur en autorisant le gouvernement à protéger des renseignements touchant la sécurité nationale? — </w:t>
            </w:r>
            <w:r w:rsidRPr="007931F0">
              <w:rPr>
                <w:rFonts w:eastAsia="Calibri"/>
                <w:i/>
                <w:sz w:val="20"/>
                <w:lang w:val="fr-CA"/>
              </w:rPr>
              <w:t>Loi sur la preuve au Canada</w:t>
            </w:r>
            <w:r w:rsidRPr="007931F0">
              <w:rPr>
                <w:rFonts w:eastAsia="Calibri"/>
                <w:sz w:val="20"/>
                <w:lang w:val="fr-CA"/>
              </w:rPr>
              <w:t xml:space="preserve">, L.R.C. 1985, ch. C-5, art. 38. </w:t>
            </w:r>
          </w:p>
          <w:p w:rsidR="00FF3BF5" w:rsidRPr="007931F0" w:rsidRDefault="00FF3BF5" w:rsidP="00D87D9F">
            <w:pPr>
              <w:jc w:val="both"/>
              <w:rPr>
                <w:rFonts w:eastAsia="Calibri"/>
                <w:smallCaps/>
                <w:sz w:val="20"/>
                <w:lang w:val="fr-CA"/>
              </w:rPr>
            </w:pPr>
          </w:p>
          <w:p w:rsidR="00FF3BF5" w:rsidRPr="007931F0" w:rsidRDefault="00FF3BF5" w:rsidP="00D87D9F">
            <w:pPr>
              <w:jc w:val="both"/>
              <w:rPr>
                <w:rFonts w:eastAsia="Calibri"/>
                <w:sz w:val="20"/>
                <w:lang w:val="fr-CA"/>
              </w:rPr>
            </w:pPr>
            <w:r w:rsidRPr="007931F0">
              <w:rPr>
                <w:rFonts w:eastAsia="Calibri"/>
                <w:sz w:val="20"/>
                <w:lang w:val="fr-CA"/>
              </w:rPr>
              <w:t xml:space="preserve">Les demandeurs ont poursuivi le gouvernement canadien en Cour supérieure de justice de l’Ontario relativement à la présumée complicité de ce dernier à l’égard de leur détention et de leur torture en Syrie et en Égypte.  Le gouvernement a produit 486 documents relativement à l’action intentée par les demandeurs.  La plupart de ces documents avaient été expurgés.  Le gouvernement a sollicité une ordonnance en vertu de l’art. 38 de la </w:t>
            </w:r>
            <w:r w:rsidRPr="007931F0">
              <w:rPr>
                <w:rFonts w:eastAsia="Calibri"/>
                <w:i/>
                <w:sz w:val="20"/>
                <w:lang w:val="fr-CA"/>
              </w:rPr>
              <w:t>Loi sur la preuve au Canada</w:t>
            </w:r>
            <w:r w:rsidRPr="007931F0">
              <w:rPr>
                <w:rFonts w:eastAsia="Calibri"/>
                <w:sz w:val="20"/>
                <w:lang w:val="fr-CA"/>
              </w:rPr>
              <w:t xml:space="preserve"> en vue de faire interdire ou restreindre toute divulgation ultérieure.  Dans une ordonnance confidentielle, le juge a ordonné la divulgation après avoir mis en balance les diverses raisons d’intérêt public.  Le gouvernement a contesté la partie de la décision ordonnant la divulgation et demande que l’ordonnance de divulgation soit modifiée de façon à limiter le préjudice porté aux relations internationales ou à la défense ou à la sécurité nationale.  À la suite d’une audience publique et d’une audience ex</w:t>
            </w:r>
            <w:r w:rsidRPr="007931F0">
              <w:rPr>
                <w:rFonts w:eastAsia="Calibri"/>
                <w:i/>
                <w:sz w:val="20"/>
                <w:lang w:val="fr-CA"/>
              </w:rPr>
              <w:t xml:space="preserve"> parte</w:t>
            </w:r>
            <w:r w:rsidRPr="007931F0">
              <w:rPr>
                <w:rFonts w:eastAsia="Calibri"/>
                <w:sz w:val="20"/>
                <w:lang w:val="fr-CA"/>
              </w:rPr>
              <w:t xml:space="preserve"> tenue à huis clos, la Cour d’appel fédérale a accueilli l’appel.  Les demandeurs ont déposé une requête en réexamen; la Cour d’appel fédérale a rejeté la requête.</w:t>
            </w:r>
          </w:p>
        </w:tc>
      </w:tr>
      <w:tr w:rsidR="00FF3BF5" w:rsidRPr="00C5295A" w:rsidTr="00D87D9F">
        <w:tc>
          <w:tcPr>
            <w:tcW w:w="5000" w:type="pct"/>
            <w:gridSpan w:val="3"/>
          </w:tcPr>
          <w:p w:rsidR="00FF3BF5" w:rsidRPr="007931F0" w:rsidRDefault="00FF3BF5" w:rsidP="00D87D9F">
            <w:pPr>
              <w:jc w:val="both"/>
              <w:rPr>
                <w:rFonts w:eastAsia="Calibri"/>
                <w:sz w:val="20"/>
                <w:lang w:val="fr-CA"/>
              </w:rPr>
            </w:pPr>
          </w:p>
        </w:tc>
      </w:tr>
      <w:tr w:rsidR="00FF3BF5" w:rsidRPr="00C5295A" w:rsidTr="00D87D9F">
        <w:tblPrEx>
          <w:tblCellMar>
            <w:bottom w:w="0" w:type="dxa"/>
          </w:tblCellMar>
        </w:tblPrEx>
        <w:tc>
          <w:tcPr>
            <w:tcW w:w="2367" w:type="pct"/>
          </w:tcPr>
          <w:p w:rsidR="00FF3BF5" w:rsidRPr="007931F0" w:rsidRDefault="00FF3BF5" w:rsidP="00D87D9F">
            <w:pPr>
              <w:jc w:val="both"/>
              <w:rPr>
                <w:rFonts w:eastAsia="Calibri"/>
                <w:sz w:val="20"/>
                <w:lang w:val="fr-CA"/>
              </w:rPr>
            </w:pPr>
            <w:r w:rsidRPr="007931F0">
              <w:rPr>
                <w:rFonts w:eastAsia="Calibri"/>
                <w:sz w:val="20"/>
                <w:lang w:val="fr-CA"/>
              </w:rPr>
              <w:t>8 novembre 2010</w:t>
            </w:r>
          </w:p>
          <w:p w:rsidR="00FF3BF5" w:rsidRPr="007931F0" w:rsidRDefault="00FF3BF5" w:rsidP="00D87D9F">
            <w:pPr>
              <w:jc w:val="both"/>
              <w:rPr>
                <w:rFonts w:eastAsia="Calibri"/>
                <w:sz w:val="20"/>
                <w:lang w:val="fr-CA"/>
              </w:rPr>
            </w:pPr>
            <w:r w:rsidRPr="007931F0">
              <w:rPr>
                <w:rFonts w:eastAsia="Calibri"/>
                <w:sz w:val="20"/>
                <w:lang w:val="fr-CA"/>
              </w:rPr>
              <w:t>Cour fédérale</w:t>
            </w:r>
          </w:p>
          <w:p w:rsidR="00FF3BF5" w:rsidRPr="007931F0" w:rsidRDefault="00FF3BF5" w:rsidP="00D87D9F">
            <w:pPr>
              <w:jc w:val="both"/>
              <w:rPr>
                <w:rFonts w:eastAsia="Calibri"/>
                <w:sz w:val="20"/>
                <w:lang w:val="fr-CA"/>
              </w:rPr>
            </w:pPr>
            <w:r w:rsidRPr="007931F0">
              <w:rPr>
                <w:rFonts w:eastAsia="Calibri"/>
                <w:sz w:val="20"/>
                <w:lang w:val="fr-CA"/>
              </w:rPr>
              <w:t>(Juge Mosley)</w:t>
            </w:r>
          </w:p>
          <w:p w:rsidR="00FF3BF5" w:rsidRPr="007931F0" w:rsidRDefault="00FF3BF5" w:rsidP="00D87D9F">
            <w:pPr>
              <w:jc w:val="both"/>
              <w:rPr>
                <w:rFonts w:eastAsia="Calibri"/>
                <w:sz w:val="20"/>
                <w:lang w:val="fr-CA"/>
              </w:rPr>
            </w:pPr>
            <w:r w:rsidRPr="007931F0">
              <w:rPr>
                <w:rFonts w:eastAsia="Calibri"/>
                <w:sz w:val="20"/>
                <w:lang w:val="fr-CA"/>
              </w:rPr>
              <w:t>Référence neutre : 2010 CF 1106</w:t>
            </w:r>
          </w:p>
          <w:p w:rsidR="00FF3BF5" w:rsidRPr="007931F0" w:rsidRDefault="00FF3BF5" w:rsidP="00D87D9F">
            <w:pPr>
              <w:jc w:val="both"/>
              <w:rPr>
                <w:rFonts w:eastAsia="Calibri"/>
                <w:sz w:val="20"/>
                <w:lang w:val="fr-CA"/>
              </w:rPr>
            </w:pPr>
          </w:p>
        </w:tc>
        <w:tc>
          <w:tcPr>
            <w:tcW w:w="268" w:type="pct"/>
          </w:tcPr>
          <w:p w:rsidR="00FF3BF5" w:rsidRPr="007931F0" w:rsidRDefault="00FF3BF5" w:rsidP="00D87D9F">
            <w:pPr>
              <w:jc w:val="both"/>
              <w:rPr>
                <w:rFonts w:eastAsia="Calibri"/>
                <w:sz w:val="20"/>
                <w:lang w:val="fr-CA"/>
              </w:rPr>
            </w:pPr>
          </w:p>
        </w:tc>
        <w:tc>
          <w:tcPr>
            <w:tcW w:w="2365" w:type="pct"/>
          </w:tcPr>
          <w:p w:rsidR="00FF3BF5" w:rsidRPr="007931F0" w:rsidRDefault="00FF3BF5" w:rsidP="00D87D9F">
            <w:pPr>
              <w:jc w:val="both"/>
              <w:rPr>
                <w:rFonts w:eastAsia="Calibri"/>
                <w:sz w:val="20"/>
                <w:lang w:val="fr-CA"/>
              </w:rPr>
            </w:pPr>
            <w:r w:rsidRPr="007931F0">
              <w:rPr>
                <w:rFonts w:eastAsia="Calibri"/>
                <w:sz w:val="20"/>
                <w:lang w:val="fr-CA"/>
              </w:rPr>
              <w:t xml:space="preserve">Demande présentée par le procureur général en vue d’obtenir une ordonnance interdisant la divulgation de documents accueillie en partie seulement. </w:t>
            </w:r>
          </w:p>
        </w:tc>
      </w:tr>
      <w:tr w:rsidR="00FF3BF5" w:rsidRPr="007931F0" w:rsidTr="00D87D9F">
        <w:tblPrEx>
          <w:tblCellMar>
            <w:bottom w:w="0" w:type="dxa"/>
          </w:tblCellMar>
        </w:tblPrEx>
        <w:tc>
          <w:tcPr>
            <w:tcW w:w="2367" w:type="pct"/>
          </w:tcPr>
          <w:p w:rsidR="00FF3BF5" w:rsidRPr="007931F0" w:rsidRDefault="00FF3BF5" w:rsidP="00D87D9F">
            <w:pPr>
              <w:jc w:val="both"/>
              <w:rPr>
                <w:rFonts w:eastAsia="Calibri"/>
                <w:sz w:val="20"/>
                <w:lang w:val="fr-CA"/>
              </w:rPr>
            </w:pPr>
            <w:r w:rsidRPr="007931F0">
              <w:rPr>
                <w:rFonts w:eastAsia="Calibri"/>
                <w:sz w:val="20"/>
                <w:lang w:val="fr-CA"/>
              </w:rPr>
              <w:t>13 juin 2011</w:t>
            </w:r>
          </w:p>
          <w:p w:rsidR="00FF3BF5" w:rsidRPr="007931F0" w:rsidRDefault="00FF3BF5" w:rsidP="00D87D9F">
            <w:pPr>
              <w:jc w:val="both"/>
              <w:rPr>
                <w:rFonts w:eastAsia="Calibri"/>
                <w:sz w:val="20"/>
                <w:lang w:val="fr-CA"/>
              </w:rPr>
            </w:pPr>
            <w:r w:rsidRPr="007931F0">
              <w:rPr>
                <w:rFonts w:eastAsia="Calibri"/>
                <w:sz w:val="20"/>
                <w:lang w:val="fr-CA"/>
              </w:rPr>
              <w:t>Cour d’appel fédérale</w:t>
            </w:r>
          </w:p>
          <w:p w:rsidR="00FF3BF5" w:rsidRPr="007931F0" w:rsidRDefault="00FF3BF5" w:rsidP="00D87D9F">
            <w:pPr>
              <w:jc w:val="both"/>
              <w:rPr>
                <w:rFonts w:eastAsia="Calibri"/>
                <w:sz w:val="20"/>
                <w:lang w:val="fr-CA"/>
              </w:rPr>
            </w:pPr>
            <w:r w:rsidRPr="007931F0">
              <w:rPr>
                <w:rFonts w:eastAsia="Calibri"/>
                <w:sz w:val="20"/>
                <w:lang w:val="fr-CA"/>
              </w:rPr>
              <w:t>(Juges Blais, Létourneau et Trudel)</w:t>
            </w:r>
          </w:p>
          <w:p w:rsidR="00FF3BF5" w:rsidRPr="007931F0" w:rsidRDefault="00FF3BF5" w:rsidP="00D87D9F">
            <w:pPr>
              <w:jc w:val="both"/>
              <w:rPr>
                <w:rFonts w:eastAsia="Calibri"/>
                <w:sz w:val="20"/>
                <w:lang w:val="fr-CA"/>
              </w:rPr>
            </w:pPr>
            <w:r w:rsidRPr="007931F0">
              <w:rPr>
                <w:rFonts w:eastAsia="Calibri"/>
                <w:sz w:val="20"/>
                <w:lang w:val="fr-CA"/>
              </w:rPr>
              <w:t>Référence neutre : 2011 CAF 199</w:t>
            </w:r>
          </w:p>
          <w:p w:rsidR="00FF3BF5" w:rsidRPr="007931F0" w:rsidRDefault="00FF3BF5" w:rsidP="00D87D9F">
            <w:pPr>
              <w:jc w:val="both"/>
              <w:rPr>
                <w:rFonts w:eastAsia="Calibri"/>
                <w:sz w:val="20"/>
                <w:lang w:val="fr-CA"/>
              </w:rPr>
            </w:pPr>
          </w:p>
        </w:tc>
        <w:tc>
          <w:tcPr>
            <w:tcW w:w="268" w:type="pct"/>
          </w:tcPr>
          <w:p w:rsidR="00FF3BF5" w:rsidRPr="007931F0" w:rsidRDefault="00FF3BF5" w:rsidP="00D87D9F">
            <w:pPr>
              <w:jc w:val="both"/>
              <w:rPr>
                <w:rFonts w:eastAsia="Calibri"/>
                <w:sz w:val="20"/>
                <w:lang w:val="fr-CA"/>
              </w:rPr>
            </w:pPr>
          </w:p>
        </w:tc>
        <w:tc>
          <w:tcPr>
            <w:tcW w:w="2365" w:type="pct"/>
          </w:tcPr>
          <w:p w:rsidR="00FF3BF5" w:rsidRPr="007931F0" w:rsidRDefault="00FF3BF5" w:rsidP="00D87D9F">
            <w:pPr>
              <w:jc w:val="both"/>
              <w:rPr>
                <w:rFonts w:eastAsia="Calibri"/>
                <w:sz w:val="20"/>
                <w:lang w:val="fr-CA"/>
              </w:rPr>
            </w:pPr>
            <w:r w:rsidRPr="007931F0">
              <w:rPr>
                <w:rFonts w:eastAsia="Calibri"/>
                <w:sz w:val="20"/>
                <w:lang w:val="fr-CA"/>
              </w:rPr>
              <w:t>Appel accueilli.</w:t>
            </w:r>
          </w:p>
          <w:p w:rsidR="00FF3BF5" w:rsidRPr="007931F0" w:rsidRDefault="00FF3BF5" w:rsidP="00D87D9F">
            <w:pPr>
              <w:jc w:val="both"/>
              <w:rPr>
                <w:rFonts w:eastAsia="Calibri"/>
                <w:sz w:val="20"/>
                <w:lang w:val="fr-CA"/>
              </w:rPr>
            </w:pPr>
          </w:p>
        </w:tc>
      </w:tr>
      <w:tr w:rsidR="00FF3BF5" w:rsidRPr="007931F0" w:rsidTr="00F95CC5">
        <w:tblPrEx>
          <w:tblCellMar>
            <w:bottom w:w="0" w:type="dxa"/>
          </w:tblCellMar>
        </w:tblPrEx>
        <w:trPr>
          <w:cantSplit/>
        </w:trPr>
        <w:tc>
          <w:tcPr>
            <w:tcW w:w="2367" w:type="pct"/>
          </w:tcPr>
          <w:p w:rsidR="00FF3BF5" w:rsidRPr="007931F0" w:rsidRDefault="00FF3BF5" w:rsidP="00D87D9F">
            <w:pPr>
              <w:jc w:val="both"/>
              <w:rPr>
                <w:rFonts w:eastAsia="Calibri"/>
                <w:sz w:val="20"/>
                <w:lang w:val="fr-CA"/>
              </w:rPr>
            </w:pPr>
            <w:r w:rsidRPr="007931F0">
              <w:rPr>
                <w:rFonts w:eastAsia="Calibri"/>
                <w:sz w:val="20"/>
                <w:lang w:val="fr-CA"/>
              </w:rPr>
              <w:lastRenderedPageBreak/>
              <w:t>13 octobre 2011</w:t>
            </w:r>
          </w:p>
          <w:p w:rsidR="00FF3BF5" w:rsidRPr="007931F0" w:rsidRDefault="00FF3BF5" w:rsidP="00D87D9F">
            <w:pPr>
              <w:jc w:val="both"/>
              <w:rPr>
                <w:rFonts w:eastAsia="Calibri"/>
                <w:sz w:val="20"/>
                <w:lang w:val="fr-CA"/>
              </w:rPr>
            </w:pPr>
            <w:r w:rsidRPr="007931F0">
              <w:rPr>
                <w:rFonts w:eastAsia="Calibri"/>
                <w:sz w:val="20"/>
                <w:lang w:val="fr-CA"/>
              </w:rPr>
              <w:t>Cour d’appel fédérale</w:t>
            </w:r>
          </w:p>
          <w:p w:rsidR="00FF3BF5" w:rsidRPr="007931F0" w:rsidRDefault="00FF3BF5" w:rsidP="00D87D9F">
            <w:pPr>
              <w:jc w:val="both"/>
              <w:rPr>
                <w:rFonts w:eastAsia="Calibri"/>
                <w:sz w:val="20"/>
                <w:lang w:val="fr-CA"/>
              </w:rPr>
            </w:pPr>
            <w:r w:rsidRPr="007931F0">
              <w:rPr>
                <w:rFonts w:eastAsia="Calibri"/>
                <w:sz w:val="20"/>
                <w:lang w:val="fr-CA"/>
              </w:rPr>
              <w:t>(Juge Trudel)</w:t>
            </w:r>
          </w:p>
          <w:p w:rsidR="00FF3BF5" w:rsidRPr="007931F0" w:rsidRDefault="00FF3BF5" w:rsidP="00D87D9F">
            <w:pPr>
              <w:jc w:val="both"/>
              <w:rPr>
                <w:rFonts w:eastAsia="Calibri"/>
                <w:sz w:val="20"/>
                <w:lang w:val="fr-CA"/>
              </w:rPr>
            </w:pPr>
            <w:r w:rsidRPr="007931F0">
              <w:rPr>
                <w:rFonts w:eastAsia="Calibri"/>
                <w:sz w:val="20"/>
                <w:lang w:val="fr-CA"/>
              </w:rPr>
              <w:t>Référence neutre : aucune</w:t>
            </w:r>
          </w:p>
          <w:p w:rsidR="00FF3BF5" w:rsidRPr="007931F0" w:rsidRDefault="00FF3BF5" w:rsidP="00D87D9F">
            <w:pPr>
              <w:jc w:val="both"/>
              <w:rPr>
                <w:rFonts w:eastAsia="Calibri"/>
                <w:sz w:val="20"/>
                <w:lang w:val="fr-CA"/>
              </w:rPr>
            </w:pPr>
          </w:p>
        </w:tc>
        <w:tc>
          <w:tcPr>
            <w:tcW w:w="268" w:type="pct"/>
          </w:tcPr>
          <w:p w:rsidR="00FF3BF5" w:rsidRPr="007931F0" w:rsidRDefault="00FF3BF5" w:rsidP="00D87D9F">
            <w:pPr>
              <w:jc w:val="both"/>
              <w:rPr>
                <w:rFonts w:eastAsia="Calibri"/>
                <w:sz w:val="20"/>
                <w:lang w:val="fr-CA"/>
              </w:rPr>
            </w:pPr>
          </w:p>
        </w:tc>
        <w:tc>
          <w:tcPr>
            <w:tcW w:w="2365" w:type="pct"/>
          </w:tcPr>
          <w:p w:rsidR="00FF3BF5" w:rsidRPr="007931F0" w:rsidRDefault="00FF3BF5" w:rsidP="00D87D9F">
            <w:pPr>
              <w:jc w:val="both"/>
              <w:rPr>
                <w:rFonts w:eastAsia="Calibri"/>
                <w:sz w:val="20"/>
                <w:lang w:val="fr-CA"/>
              </w:rPr>
            </w:pPr>
            <w:r w:rsidRPr="007931F0">
              <w:rPr>
                <w:rFonts w:eastAsia="Calibri"/>
                <w:sz w:val="20"/>
                <w:lang w:val="fr-CA"/>
              </w:rPr>
              <w:t>Requête en réexamen rejetée.</w:t>
            </w:r>
          </w:p>
          <w:p w:rsidR="00FF3BF5" w:rsidRPr="007931F0" w:rsidRDefault="00FF3BF5" w:rsidP="00D87D9F">
            <w:pPr>
              <w:jc w:val="both"/>
              <w:rPr>
                <w:rFonts w:eastAsia="Calibri"/>
                <w:sz w:val="20"/>
                <w:lang w:val="fr-CA"/>
              </w:rPr>
            </w:pPr>
          </w:p>
        </w:tc>
      </w:tr>
      <w:tr w:rsidR="00FF3BF5" w:rsidRPr="00C5295A" w:rsidTr="00F95CC5">
        <w:tblPrEx>
          <w:tblCellMar>
            <w:bottom w:w="0" w:type="dxa"/>
          </w:tblCellMar>
        </w:tblPrEx>
        <w:trPr>
          <w:cantSplit/>
          <w:trHeight w:val="567"/>
        </w:trPr>
        <w:tc>
          <w:tcPr>
            <w:tcW w:w="2367" w:type="pct"/>
          </w:tcPr>
          <w:p w:rsidR="00FF3BF5" w:rsidRPr="007931F0" w:rsidRDefault="00FF3BF5" w:rsidP="00D87D9F">
            <w:pPr>
              <w:jc w:val="both"/>
              <w:rPr>
                <w:rFonts w:eastAsia="Calibri"/>
                <w:sz w:val="20"/>
                <w:lang w:val="fr-CA"/>
              </w:rPr>
            </w:pPr>
            <w:r w:rsidRPr="007931F0">
              <w:rPr>
                <w:rFonts w:eastAsia="Calibri"/>
                <w:sz w:val="20"/>
                <w:lang w:val="fr-CA"/>
              </w:rPr>
              <w:t>24 octobre 2011</w:t>
            </w:r>
          </w:p>
          <w:p w:rsidR="00FF3BF5" w:rsidRPr="007931F0" w:rsidRDefault="00FF3BF5" w:rsidP="00D87D9F">
            <w:pPr>
              <w:jc w:val="both"/>
              <w:rPr>
                <w:rFonts w:eastAsia="Calibri"/>
                <w:sz w:val="20"/>
                <w:lang w:val="fr-CA"/>
              </w:rPr>
            </w:pPr>
            <w:r w:rsidRPr="007931F0">
              <w:rPr>
                <w:rFonts w:eastAsia="Calibri"/>
                <w:sz w:val="20"/>
                <w:lang w:val="fr-CA"/>
              </w:rPr>
              <w:t>Cour suprême du Canada</w:t>
            </w:r>
          </w:p>
          <w:p w:rsidR="00FF3BF5" w:rsidRPr="007931F0" w:rsidRDefault="00FF3BF5" w:rsidP="00D87D9F">
            <w:pPr>
              <w:jc w:val="both"/>
              <w:rPr>
                <w:rFonts w:eastAsia="Calibri"/>
                <w:sz w:val="20"/>
                <w:lang w:val="fr-CA"/>
              </w:rPr>
            </w:pPr>
          </w:p>
        </w:tc>
        <w:tc>
          <w:tcPr>
            <w:tcW w:w="268" w:type="pct"/>
          </w:tcPr>
          <w:p w:rsidR="00FF3BF5" w:rsidRPr="007931F0" w:rsidRDefault="00FF3BF5" w:rsidP="00D87D9F">
            <w:pPr>
              <w:jc w:val="both"/>
              <w:rPr>
                <w:rFonts w:eastAsia="Calibri"/>
                <w:sz w:val="20"/>
                <w:lang w:val="fr-CA"/>
              </w:rPr>
            </w:pPr>
          </w:p>
        </w:tc>
        <w:tc>
          <w:tcPr>
            <w:tcW w:w="2365" w:type="pct"/>
          </w:tcPr>
          <w:p w:rsidR="00FF3BF5" w:rsidRPr="007931F0" w:rsidRDefault="00FF3BF5" w:rsidP="00D87D9F">
            <w:pPr>
              <w:jc w:val="both"/>
              <w:rPr>
                <w:rFonts w:eastAsia="Calibri"/>
                <w:sz w:val="20"/>
                <w:lang w:val="fr-CA"/>
              </w:rPr>
            </w:pPr>
            <w:r w:rsidRPr="007931F0">
              <w:rPr>
                <w:rFonts w:eastAsia="Calibri"/>
                <w:sz w:val="20"/>
                <w:lang w:val="fr-CA"/>
              </w:rPr>
              <w:t>Demande d’autorisation de pourvoi, déposée.</w:t>
            </w:r>
          </w:p>
        </w:tc>
      </w:tr>
      <w:tr w:rsidR="00FF3BF5" w:rsidRPr="00C5295A" w:rsidTr="00F95CC5">
        <w:tblPrEx>
          <w:tblCellMar>
            <w:bottom w:w="0" w:type="dxa"/>
          </w:tblCellMar>
        </w:tblPrEx>
        <w:trPr>
          <w:cantSplit/>
        </w:trPr>
        <w:tc>
          <w:tcPr>
            <w:tcW w:w="2367" w:type="pct"/>
          </w:tcPr>
          <w:p w:rsidR="00FF3BF5" w:rsidRPr="007931F0" w:rsidRDefault="00FF3BF5" w:rsidP="00D87D9F">
            <w:pPr>
              <w:jc w:val="both"/>
              <w:rPr>
                <w:rFonts w:eastAsia="Calibri"/>
                <w:sz w:val="20"/>
                <w:lang w:val="fr-CA"/>
              </w:rPr>
            </w:pPr>
            <w:r w:rsidRPr="007931F0">
              <w:rPr>
                <w:rFonts w:eastAsia="Calibri"/>
                <w:sz w:val="20"/>
                <w:lang w:val="fr-CA"/>
              </w:rPr>
              <w:t>26 octobre 2011</w:t>
            </w:r>
          </w:p>
          <w:p w:rsidR="00FF3BF5" w:rsidRPr="007931F0" w:rsidRDefault="00FF3BF5" w:rsidP="00D87D9F">
            <w:pPr>
              <w:jc w:val="both"/>
              <w:rPr>
                <w:rFonts w:eastAsia="Calibri"/>
                <w:sz w:val="20"/>
                <w:lang w:val="fr-CA"/>
              </w:rPr>
            </w:pPr>
            <w:r w:rsidRPr="007931F0">
              <w:rPr>
                <w:rFonts w:eastAsia="Calibri"/>
                <w:sz w:val="20"/>
                <w:lang w:val="fr-CA"/>
              </w:rPr>
              <w:t>Cour suprême du Canada</w:t>
            </w:r>
          </w:p>
        </w:tc>
        <w:tc>
          <w:tcPr>
            <w:tcW w:w="268" w:type="pct"/>
          </w:tcPr>
          <w:p w:rsidR="00FF3BF5" w:rsidRPr="007931F0" w:rsidRDefault="00FF3BF5" w:rsidP="00D87D9F">
            <w:pPr>
              <w:jc w:val="both"/>
              <w:rPr>
                <w:rFonts w:eastAsia="Calibri"/>
                <w:sz w:val="20"/>
                <w:lang w:val="fr-CA"/>
              </w:rPr>
            </w:pPr>
          </w:p>
        </w:tc>
        <w:tc>
          <w:tcPr>
            <w:tcW w:w="2365" w:type="pct"/>
          </w:tcPr>
          <w:p w:rsidR="00FF3BF5" w:rsidRPr="007931F0" w:rsidRDefault="00FF3BF5" w:rsidP="00D87D9F">
            <w:pPr>
              <w:jc w:val="both"/>
              <w:rPr>
                <w:rFonts w:eastAsia="Calibri"/>
                <w:sz w:val="20"/>
                <w:lang w:val="fr-CA"/>
              </w:rPr>
            </w:pPr>
            <w:r w:rsidRPr="007931F0">
              <w:rPr>
                <w:rFonts w:eastAsia="Calibri"/>
                <w:sz w:val="20"/>
                <w:lang w:val="fr-CA"/>
              </w:rPr>
              <w:t>Requête en prorogation de délai pour le dépôt et la signification de la demande d’autorisation de pourvoi, déposée.</w:t>
            </w:r>
          </w:p>
        </w:tc>
      </w:tr>
    </w:tbl>
    <w:p w:rsidR="00BF1FA7" w:rsidRPr="00FF3BF5" w:rsidRDefault="00BF1FA7" w:rsidP="00BF1FA7">
      <w:pPr>
        <w:rPr>
          <w:sz w:val="20"/>
          <w:szCs w:val="20"/>
          <w:lang w:val="fr-CA"/>
        </w:rPr>
      </w:pPr>
    </w:p>
    <w:p w:rsidR="00BF1FA7" w:rsidRDefault="00BF59B3" w:rsidP="00BF1FA7">
      <w:pPr>
        <w:rPr>
          <w:sz w:val="20"/>
          <w:szCs w:val="20"/>
        </w:rPr>
      </w:pPr>
      <w:r w:rsidRPr="00BF59B3">
        <w:rPr>
          <w:sz w:val="20"/>
          <w:szCs w:val="20"/>
          <w:lang w:val="fr-CA"/>
        </w:rPr>
        <w:pict>
          <v:rect id="_x0000_i1053" style="width:2in;height:1pt" o:hrpct="0" o:hralign="center" o:hrstd="t" o:hrnoshade="t" o:hr="t" fillcolor="black [3213]" stroked="f"/>
        </w:pict>
      </w:r>
    </w:p>
    <w:p w:rsidR="00BF1FA7" w:rsidRDefault="00BF1FA7" w:rsidP="00BF1FA7">
      <w:pPr>
        <w:rPr>
          <w:sz w:val="20"/>
          <w:szCs w:val="20"/>
        </w:rPr>
      </w:pPr>
    </w:p>
    <w:p w:rsidR="00BF1FA7" w:rsidRDefault="00BF1FA7" w:rsidP="008D292F">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19"/>
          <w:headerReference w:type="default" r:id="rId20"/>
          <w:footerReference w:type="even" r:id="rId21"/>
          <w:footerReference w:type="default" r:id="rId22"/>
          <w:headerReference w:type="first" r:id="rId23"/>
          <w:footerReference w:type="first" r:id="rId2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rPr>
          <w:sz w:val="20"/>
          <w:szCs w:val="20"/>
        </w:rPr>
      </w:pPr>
    </w:p>
    <w:p w:rsidR="006B716D" w:rsidRPr="00EE1F8E" w:rsidRDefault="006B716D" w:rsidP="006B716D">
      <w:pPr>
        <w:tabs>
          <w:tab w:val="left" w:pos="-1440"/>
          <w:tab w:val="left" w:pos="-720"/>
        </w:tabs>
        <w:jc w:val="both"/>
        <w:rPr>
          <w:rFonts w:cs="Times New Roman"/>
          <w:sz w:val="20"/>
          <w:szCs w:val="20"/>
        </w:rPr>
      </w:pPr>
      <w:r w:rsidRPr="00EE1F8E">
        <w:rPr>
          <w:rFonts w:cs="Times New Roman"/>
          <w:sz w:val="20"/>
          <w:szCs w:val="20"/>
        </w:rPr>
        <w:t>06.01.2012</w:t>
      </w:r>
    </w:p>
    <w:p w:rsidR="006B716D" w:rsidRPr="00EE1F8E" w:rsidRDefault="006B716D" w:rsidP="006B716D">
      <w:pPr>
        <w:tabs>
          <w:tab w:val="left" w:pos="-1440"/>
          <w:tab w:val="left" w:pos="-720"/>
        </w:tabs>
        <w:jc w:val="both"/>
        <w:rPr>
          <w:rFonts w:cs="Times New Roman"/>
          <w:sz w:val="20"/>
          <w:szCs w:val="20"/>
        </w:rPr>
      </w:pPr>
    </w:p>
    <w:p w:rsidR="006B716D" w:rsidRPr="00EE1F8E" w:rsidRDefault="006B716D" w:rsidP="006B716D">
      <w:pPr>
        <w:tabs>
          <w:tab w:val="left" w:pos="-1440"/>
          <w:tab w:val="left" w:pos="-720"/>
        </w:tabs>
        <w:jc w:val="both"/>
        <w:rPr>
          <w:rFonts w:cs="Times New Roman"/>
          <w:sz w:val="20"/>
          <w:szCs w:val="20"/>
        </w:rPr>
      </w:pPr>
      <w:r w:rsidRPr="00EE1F8E">
        <w:rPr>
          <w:rFonts w:cs="Times New Roman"/>
          <w:sz w:val="20"/>
          <w:szCs w:val="20"/>
        </w:rPr>
        <w:t>Before / Devant :   THE DEPUTY REGISTRAR / LA REGISTRAIRE ADJOINTE</w:t>
      </w:r>
    </w:p>
    <w:p w:rsidR="006B716D" w:rsidRPr="00EE1F8E" w:rsidRDefault="006B716D" w:rsidP="006B716D">
      <w:pPr>
        <w:tabs>
          <w:tab w:val="left" w:pos="-1440"/>
          <w:tab w:val="left" w:pos="-720"/>
        </w:tabs>
        <w:jc w:val="both"/>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B716D" w:rsidRPr="00C5295A" w:rsidTr="00845150">
        <w:tc>
          <w:tcPr>
            <w:tcW w:w="4338" w:type="dxa"/>
          </w:tcPr>
          <w:p w:rsidR="006B716D" w:rsidRPr="00EE1F8E" w:rsidRDefault="00BF59B3" w:rsidP="00845150">
            <w:pPr>
              <w:tabs>
                <w:tab w:val="left" w:pos="-1440"/>
                <w:tab w:val="left" w:pos="-720"/>
              </w:tabs>
              <w:jc w:val="both"/>
              <w:rPr>
                <w:rFonts w:cs="Times New Roman"/>
                <w:b/>
                <w:sz w:val="20"/>
                <w:szCs w:val="20"/>
              </w:rPr>
            </w:pPr>
            <w:r w:rsidRPr="00EE1F8E">
              <w:rPr>
                <w:rFonts w:cs="Times New Roman"/>
                <w:sz w:val="20"/>
                <w:szCs w:val="20"/>
              </w:rPr>
              <w:fldChar w:fldCharType="begin"/>
            </w:r>
            <w:r w:rsidR="006B716D" w:rsidRPr="00EE1F8E">
              <w:rPr>
                <w:rFonts w:cs="Times New Roman"/>
                <w:sz w:val="20"/>
                <w:szCs w:val="20"/>
              </w:rPr>
              <w:instrText xml:space="preserve"> SEQ CHAPTER \h \r 1</w:instrText>
            </w:r>
            <w:r w:rsidRPr="00EE1F8E">
              <w:rPr>
                <w:rFonts w:cs="Times New Roman"/>
                <w:sz w:val="20"/>
                <w:szCs w:val="20"/>
              </w:rPr>
              <w:fldChar w:fldCharType="end"/>
            </w:r>
            <w:r w:rsidR="006B716D" w:rsidRPr="00EE1F8E">
              <w:rPr>
                <w:rFonts w:cs="Times New Roman"/>
                <w:b/>
                <w:bCs/>
                <w:sz w:val="20"/>
                <w:szCs w:val="20"/>
              </w:rPr>
              <w:t xml:space="preserve">Motion to file additional document pursuant to Rule 32(2) of the </w:t>
            </w:r>
            <w:r w:rsidR="006B716D" w:rsidRPr="00EE1F8E">
              <w:rPr>
                <w:rFonts w:cs="Times New Roman"/>
                <w:b/>
                <w:bCs/>
                <w:i/>
                <w:iCs/>
                <w:sz w:val="20"/>
                <w:szCs w:val="20"/>
              </w:rPr>
              <w:t>Rules of the Supreme Court of Canada</w:t>
            </w:r>
          </w:p>
        </w:tc>
        <w:tc>
          <w:tcPr>
            <w:tcW w:w="1170" w:type="dxa"/>
          </w:tcPr>
          <w:p w:rsidR="006B716D" w:rsidRPr="00EE1F8E" w:rsidRDefault="006B716D" w:rsidP="00845150">
            <w:pPr>
              <w:tabs>
                <w:tab w:val="left" w:pos="-1440"/>
                <w:tab w:val="left" w:pos="-720"/>
              </w:tabs>
              <w:jc w:val="both"/>
              <w:rPr>
                <w:rFonts w:cs="Times New Roman"/>
                <w:sz w:val="20"/>
                <w:szCs w:val="20"/>
              </w:rPr>
            </w:pPr>
          </w:p>
          <w:p w:rsidR="006B716D" w:rsidRPr="00EE1F8E" w:rsidRDefault="006B716D" w:rsidP="00845150">
            <w:pPr>
              <w:tabs>
                <w:tab w:val="left" w:pos="-1440"/>
                <w:tab w:val="left" w:pos="-720"/>
              </w:tabs>
              <w:jc w:val="both"/>
              <w:rPr>
                <w:rFonts w:cs="Times New Roman"/>
                <w:sz w:val="20"/>
                <w:szCs w:val="20"/>
              </w:rPr>
            </w:pPr>
          </w:p>
          <w:p w:rsidR="006B716D" w:rsidRPr="00EE1F8E" w:rsidRDefault="006B716D" w:rsidP="00845150">
            <w:pPr>
              <w:tabs>
                <w:tab w:val="left" w:pos="-1440"/>
                <w:tab w:val="left" w:pos="-720"/>
              </w:tabs>
              <w:jc w:val="both"/>
              <w:rPr>
                <w:rFonts w:cs="Times New Roman"/>
                <w:sz w:val="20"/>
                <w:szCs w:val="20"/>
              </w:rPr>
            </w:pPr>
          </w:p>
          <w:p w:rsidR="006B716D" w:rsidRPr="00EE1F8E" w:rsidRDefault="006B716D" w:rsidP="00845150">
            <w:pPr>
              <w:tabs>
                <w:tab w:val="left" w:pos="-1440"/>
                <w:tab w:val="left" w:pos="-720"/>
              </w:tabs>
              <w:jc w:val="both"/>
              <w:rPr>
                <w:rFonts w:cs="Times New Roman"/>
                <w:sz w:val="20"/>
                <w:szCs w:val="20"/>
              </w:rPr>
            </w:pPr>
          </w:p>
        </w:tc>
        <w:tc>
          <w:tcPr>
            <w:tcW w:w="4327" w:type="dxa"/>
          </w:tcPr>
          <w:p w:rsidR="006B716D" w:rsidRPr="00EE1F8E" w:rsidRDefault="00BF59B3" w:rsidP="00845150">
            <w:pPr>
              <w:tabs>
                <w:tab w:val="left" w:pos="-1440"/>
                <w:tab w:val="left" w:pos="-720"/>
              </w:tabs>
              <w:jc w:val="both"/>
              <w:rPr>
                <w:rFonts w:cs="Times New Roman"/>
                <w:sz w:val="20"/>
                <w:szCs w:val="20"/>
                <w:lang w:val="fr-CA"/>
              </w:rPr>
            </w:pPr>
            <w:r w:rsidRPr="00EE1F8E">
              <w:rPr>
                <w:rFonts w:cs="Times New Roman"/>
                <w:sz w:val="20"/>
                <w:szCs w:val="20"/>
              </w:rPr>
              <w:fldChar w:fldCharType="begin"/>
            </w:r>
            <w:r w:rsidR="006B716D" w:rsidRPr="00EE1F8E">
              <w:rPr>
                <w:rFonts w:cs="Times New Roman"/>
                <w:sz w:val="20"/>
                <w:szCs w:val="20"/>
                <w:lang w:val="fr-CA"/>
              </w:rPr>
              <w:instrText xml:space="preserve"> SEQ CHAPTER \h \r 1</w:instrText>
            </w:r>
            <w:r w:rsidRPr="00EE1F8E">
              <w:rPr>
                <w:rFonts w:cs="Times New Roman"/>
                <w:sz w:val="20"/>
                <w:szCs w:val="20"/>
              </w:rPr>
              <w:fldChar w:fldCharType="end"/>
            </w:r>
            <w:r w:rsidR="006B716D" w:rsidRPr="00EE1F8E">
              <w:rPr>
                <w:rFonts w:cs="Times New Roman"/>
                <w:b/>
                <w:bCs/>
                <w:sz w:val="20"/>
                <w:szCs w:val="20"/>
                <w:lang w:val="fr-CA"/>
              </w:rPr>
              <w:t xml:space="preserve">Requête en vue de déposer un document supplémentaire en vertu du paragraphe 32(2) des </w:t>
            </w:r>
            <w:r w:rsidR="006B716D" w:rsidRPr="00EE1F8E">
              <w:rPr>
                <w:rFonts w:cs="Times New Roman"/>
                <w:b/>
                <w:bCs/>
                <w:i/>
                <w:iCs/>
                <w:sz w:val="20"/>
                <w:szCs w:val="20"/>
                <w:lang w:val="fr-CA"/>
              </w:rPr>
              <w:t>Règles de la Cour suprême du Canada</w:t>
            </w:r>
          </w:p>
        </w:tc>
      </w:tr>
      <w:tr w:rsidR="006B716D" w:rsidRPr="00EE1F8E" w:rsidTr="00845150">
        <w:tc>
          <w:tcPr>
            <w:tcW w:w="4338" w:type="dxa"/>
          </w:tcPr>
          <w:p w:rsidR="006B716D" w:rsidRPr="00EE1F8E" w:rsidRDefault="006B716D" w:rsidP="00845150">
            <w:pPr>
              <w:tabs>
                <w:tab w:val="left" w:pos="-1440"/>
                <w:tab w:val="left" w:pos="-720"/>
              </w:tabs>
              <w:jc w:val="both"/>
              <w:rPr>
                <w:rFonts w:cs="Times New Roman"/>
                <w:sz w:val="20"/>
                <w:szCs w:val="20"/>
                <w:lang w:val="fr-CA"/>
              </w:rPr>
            </w:pPr>
            <w:r w:rsidRPr="00EE1F8E">
              <w:rPr>
                <w:rFonts w:cs="Times New Roman"/>
                <w:sz w:val="20"/>
                <w:szCs w:val="20"/>
                <w:lang w:val="fr-CA"/>
              </w:rPr>
              <w:t>Mike Shields et al.</w:t>
            </w:r>
          </w:p>
          <w:p w:rsidR="006B716D" w:rsidRPr="00EE1F8E" w:rsidRDefault="006B716D" w:rsidP="00845150">
            <w:pPr>
              <w:tabs>
                <w:tab w:val="left" w:pos="-1440"/>
                <w:tab w:val="left" w:pos="-720"/>
              </w:tabs>
              <w:jc w:val="both"/>
              <w:rPr>
                <w:rFonts w:cs="Times New Roman"/>
                <w:sz w:val="20"/>
                <w:szCs w:val="20"/>
                <w:lang w:val="fr-CA"/>
              </w:rPr>
            </w:pPr>
          </w:p>
          <w:p w:rsidR="006B716D" w:rsidRPr="00EE1F8E" w:rsidRDefault="006B716D" w:rsidP="00845150">
            <w:pPr>
              <w:tabs>
                <w:tab w:val="left" w:pos="-1440"/>
                <w:tab w:val="left" w:pos="-720"/>
              </w:tabs>
              <w:jc w:val="both"/>
              <w:rPr>
                <w:rFonts w:cs="Times New Roman"/>
                <w:sz w:val="20"/>
                <w:szCs w:val="20"/>
                <w:lang w:val="fr-CA"/>
              </w:rPr>
            </w:pPr>
            <w:r w:rsidRPr="00EE1F8E">
              <w:rPr>
                <w:rFonts w:cs="Times New Roman"/>
                <w:sz w:val="20"/>
                <w:szCs w:val="20"/>
                <w:lang w:val="fr-CA"/>
              </w:rPr>
              <w:tab/>
              <w:t>v. (34161)</w:t>
            </w:r>
          </w:p>
          <w:p w:rsidR="006B716D" w:rsidRPr="00EE1F8E" w:rsidRDefault="006B716D" w:rsidP="00845150">
            <w:pPr>
              <w:tabs>
                <w:tab w:val="left" w:pos="-1440"/>
                <w:tab w:val="left" w:pos="-720"/>
              </w:tabs>
              <w:jc w:val="both"/>
              <w:rPr>
                <w:rFonts w:cs="Times New Roman"/>
                <w:sz w:val="20"/>
                <w:szCs w:val="20"/>
                <w:lang w:val="fr-CA"/>
              </w:rPr>
            </w:pPr>
          </w:p>
          <w:p w:rsidR="006B716D" w:rsidRPr="00EE1F8E" w:rsidRDefault="006B716D" w:rsidP="00845150">
            <w:pPr>
              <w:tabs>
                <w:tab w:val="left" w:pos="-1440"/>
                <w:tab w:val="left" w:pos="-720"/>
              </w:tabs>
              <w:jc w:val="both"/>
              <w:rPr>
                <w:rFonts w:cs="Times New Roman"/>
                <w:sz w:val="20"/>
                <w:szCs w:val="20"/>
                <w:lang w:val="fr-CA"/>
              </w:rPr>
            </w:pPr>
            <w:r w:rsidRPr="00EE1F8E">
              <w:rPr>
                <w:rFonts w:cs="Times New Roman"/>
                <w:sz w:val="20"/>
                <w:szCs w:val="20"/>
                <w:lang w:val="fr-CA"/>
              </w:rPr>
              <w:t>GetSet Communications Inc. et al. (B.C.)</w:t>
            </w:r>
          </w:p>
        </w:tc>
        <w:tc>
          <w:tcPr>
            <w:tcW w:w="1170" w:type="dxa"/>
          </w:tcPr>
          <w:p w:rsidR="006B716D" w:rsidRPr="00EE1F8E" w:rsidRDefault="006B716D" w:rsidP="00845150">
            <w:pPr>
              <w:tabs>
                <w:tab w:val="left" w:pos="-1440"/>
                <w:tab w:val="left" w:pos="-720"/>
              </w:tabs>
              <w:jc w:val="both"/>
              <w:rPr>
                <w:rFonts w:cs="Times New Roman"/>
                <w:sz w:val="20"/>
                <w:szCs w:val="20"/>
                <w:lang w:val="fr-CA"/>
              </w:rPr>
            </w:pPr>
          </w:p>
        </w:tc>
        <w:tc>
          <w:tcPr>
            <w:tcW w:w="4327" w:type="dxa"/>
          </w:tcPr>
          <w:p w:rsidR="006B716D" w:rsidRPr="00EE1F8E" w:rsidRDefault="006B716D" w:rsidP="00845150">
            <w:pPr>
              <w:tabs>
                <w:tab w:val="left" w:pos="-1440"/>
                <w:tab w:val="left" w:pos="-720"/>
              </w:tabs>
              <w:jc w:val="both"/>
              <w:rPr>
                <w:rFonts w:cs="Times New Roman"/>
                <w:sz w:val="20"/>
                <w:szCs w:val="20"/>
                <w:lang w:val="fr-CA"/>
              </w:rPr>
            </w:pPr>
          </w:p>
        </w:tc>
      </w:tr>
    </w:tbl>
    <w:p w:rsidR="006B716D" w:rsidRPr="00EE1F8E" w:rsidRDefault="006B716D" w:rsidP="006B716D">
      <w:pPr>
        <w:tabs>
          <w:tab w:val="left" w:pos="-1440"/>
          <w:tab w:val="left" w:pos="-720"/>
        </w:tabs>
        <w:jc w:val="both"/>
        <w:rPr>
          <w:rFonts w:cs="Times New Roman"/>
          <w:sz w:val="20"/>
          <w:szCs w:val="20"/>
          <w:lang w:val="fr-CA"/>
        </w:rPr>
      </w:pPr>
    </w:p>
    <w:p w:rsidR="006B716D" w:rsidRPr="00EE1F8E" w:rsidRDefault="006B716D" w:rsidP="006B716D">
      <w:pPr>
        <w:tabs>
          <w:tab w:val="left" w:pos="-1440"/>
          <w:tab w:val="left" w:pos="-720"/>
        </w:tabs>
        <w:jc w:val="both"/>
        <w:rPr>
          <w:rFonts w:cs="Times New Roman"/>
          <w:b/>
          <w:sz w:val="20"/>
          <w:szCs w:val="20"/>
          <w:lang w:val="fr-CA"/>
        </w:rPr>
      </w:pPr>
      <w:r w:rsidRPr="00EE1F8E">
        <w:rPr>
          <w:rFonts w:cs="Times New Roman"/>
          <w:b/>
          <w:sz w:val="20"/>
          <w:szCs w:val="20"/>
          <w:lang w:val="fr-CA"/>
        </w:rPr>
        <w:t>GRANTED / ACCORDÉE</w:t>
      </w:r>
    </w:p>
    <w:p w:rsidR="006B716D" w:rsidRPr="00EE1F8E" w:rsidRDefault="006B716D" w:rsidP="006B716D">
      <w:pPr>
        <w:tabs>
          <w:tab w:val="left" w:pos="-1440"/>
          <w:tab w:val="left" w:pos="-720"/>
        </w:tabs>
        <w:jc w:val="both"/>
        <w:rPr>
          <w:rFonts w:cs="Times New Roman"/>
          <w:sz w:val="20"/>
          <w:szCs w:val="20"/>
          <w:lang w:val="fr-CA"/>
        </w:rPr>
      </w:pPr>
    </w:p>
    <w:p w:rsidR="006B716D" w:rsidRPr="00EE1F8E" w:rsidRDefault="00BF59B3" w:rsidP="006B716D">
      <w:pPr>
        <w:tabs>
          <w:tab w:val="left" w:pos="-1440"/>
          <w:tab w:val="left" w:pos="-720"/>
        </w:tabs>
        <w:jc w:val="both"/>
        <w:rPr>
          <w:rFonts w:cs="Times New Roman"/>
          <w:sz w:val="20"/>
          <w:szCs w:val="20"/>
          <w:lang w:val="fr-CA"/>
        </w:rPr>
      </w:pPr>
      <w:r w:rsidRPr="00BF59B3">
        <w:rPr>
          <w:rFonts w:cs="Times New Roman"/>
          <w:sz w:val="20"/>
          <w:szCs w:val="20"/>
          <w:lang w:val="fr-CA"/>
        </w:rPr>
        <w:pict>
          <v:rect id="_x0000_i1056" style="width:2in;height:1pt" o:hrpct="0" o:hralign="center" o:hrstd="t" o:hrnoshade="t" o:hr="t" fillcolor="black [3213]" stroked="f"/>
        </w:pict>
      </w:r>
    </w:p>
    <w:p w:rsidR="006B716D" w:rsidRPr="00EE1F8E" w:rsidRDefault="006B716D" w:rsidP="006B716D">
      <w:pPr>
        <w:tabs>
          <w:tab w:val="left" w:pos="-1440"/>
          <w:tab w:val="left" w:pos="-720"/>
        </w:tabs>
        <w:jc w:val="both"/>
        <w:rPr>
          <w:rFonts w:cs="Times New Roman"/>
          <w:sz w:val="20"/>
          <w:szCs w:val="20"/>
          <w:lang w:val="fr-CA"/>
        </w:rPr>
      </w:pPr>
    </w:p>
    <w:p w:rsidR="006B716D" w:rsidRPr="00EE1F8E" w:rsidRDefault="006B716D" w:rsidP="006B716D">
      <w:pPr>
        <w:tabs>
          <w:tab w:val="left" w:pos="-1440"/>
          <w:tab w:val="left" w:pos="-720"/>
        </w:tabs>
        <w:jc w:val="both"/>
        <w:rPr>
          <w:rFonts w:cs="Times New Roman"/>
          <w:sz w:val="20"/>
          <w:szCs w:val="20"/>
          <w:lang w:val="fr-CA"/>
        </w:rPr>
      </w:pPr>
      <w:r w:rsidRPr="00EE1F8E">
        <w:rPr>
          <w:rFonts w:cs="Times New Roman"/>
          <w:sz w:val="20"/>
          <w:szCs w:val="20"/>
          <w:lang w:val="fr-CA"/>
        </w:rPr>
        <w:t>10.01.2012</w:t>
      </w:r>
    </w:p>
    <w:p w:rsidR="006B716D" w:rsidRPr="00EE1F8E" w:rsidRDefault="006B716D" w:rsidP="006B716D">
      <w:pPr>
        <w:tabs>
          <w:tab w:val="left" w:pos="-1440"/>
          <w:tab w:val="left" w:pos="-720"/>
        </w:tabs>
        <w:jc w:val="both"/>
        <w:rPr>
          <w:rFonts w:cs="Times New Roman"/>
          <w:sz w:val="20"/>
          <w:szCs w:val="20"/>
          <w:lang w:val="fr-CA"/>
        </w:rPr>
      </w:pPr>
    </w:p>
    <w:p w:rsidR="006B716D" w:rsidRPr="00EE1F8E" w:rsidRDefault="006B716D" w:rsidP="006B716D">
      <w:pPr>
        <w:tabs>
          <w:tab w:val="left" w:pos="-1440"/>
          <w:tab w:val="left" w:pos="-720"/>
        </w:tabs>
        <w:jc w:val="both"/>
        <w:rPr>
          <w:rFonts w:cs="Times New Roman"/>
          <w:sz w:val="20"/>
          <w:szCs w:val="20"/>
          <w:lang w:val="fr-CA"/>
        </w:rPr>
      </w:pPr>
      <w:r w:rsidRPr="00EE1F8E">
        <w:rPr>
          <w:rFonts w:cs="Times New Roman"/>
          <w:sz w:val="20"/>
          <w:szCs w:val="20"/>
          <w:lang w:val="fr-CA"/>
        </w:rPr>
        <w:t>Before / Devant :   THE CHIEF JUSTICE / LA JUGE EN CHEF</w:t>
      </w:r>
    </w:p>
    <w:p w:rsidR="006B716D" w:rsidRPr="00EE1F8E" w:rsidRDefault="006B716D" w:rsidP="006B716D">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B716D" w:rsidRPr="00C5295A" w:rsidTr="00845150">
        <w:tc>
          <w:tcPr>
            <w:tcW w:w="4338" w:type="dxa"/>
          </w:tcPr>
          <w:p w:rsidR="006B716D" w:rsidRPr="00EE1F8E" w:rsidRDefault="00BF59B3" w:rsidP="00845150">
            <w:pPr>
              <w:tabs>
                <w:tab w:val="left" w:pos="-1440"/>
                <w:tab w:val="left" w:pos="-720"/>
              </w:tabs>
              <w:jc w:val="both"/>
              <w:rPr>
                <w:rFonts w:cs="Times New Roman"/>
                <w:b/>
                <w:sz w:val="20"/>
                <w:szCs w:val="20"/>
              </w:rPr>
            </w:pPr>
            <w:r w:rsidRPr="00EE1F8E">
              <w:rPr>
                <w:rFonts w:cs="Times New Roman"/>
                <w:sz w:val="20"/>
                <w:szCs w:val="20"/>
              </w:rPr>
              <w:fldChar w:fldCharType="begin"/>
            </w:r>
            <w:r w:rsidR="006B716D" w:rsidRPr="00EE1F8E">
              <w:rPr>
                <w:rFonts w:cs="Times New Roman"/>
                <w:sz w:val="20"/>
                <w:szCs w:val="20"/>
              </w:rPr>
              <w:instrText xml:space="preserve"> SEQ CHAPTER \h \r 1</w:instrText>
            </w:r>
            <w:r w:rsidRPr="00EE1F8E">
              <w:rPr>
                <w:rFonts w:cs="Times New Roman"/>
                <w:sz w:val="20"/>
                <w:szCs w:val="20"/>
              </w:rPr>
              <w:fldChar w:fldCharType="end"/>
            </w:r>
            <w:r w:rsidR="006B716D" w:rsidRPr="00EE1F8E">
              <w:rPr>
                <w:rFonts w:cs="Times New Roman"/>
                <w:b/>
                <w:bCs/>
                <w:sz w:val="20"/>
                <w:szCs w:val="20"/>
              </w:rPr>
              <w:t>Motion to state constitutional questions</w:t>
            </w:r>
          </w:p>
        </w:tc>
        <w:tc>
          <w:tcPr>
            <w:tcW w:w="1170" w:type="dxa"/>
          </w:tcPr>
          <w:p w:rsidR="006B716D" w:rsidRPr="00EE1F8E" w:rsidRDefault="006B716D" w:rsidP="00845150">
            <w:pPr>
              <w:tabs>
                <w:tab w:val="left" w:pos="-1440"/>
                <w:tab w:val="left" w:pos="-720"/>
              </w:tabs>
              <w:jc w:val="both"/>
              <w:rPr>
                <w:rFonts w:cs="Times New Roman"/>
                <w:sz w:val="20"/>
                <w:szCs w:val="20"/>
              </w:rPr>
            </w:pPr>
          </w:p>
          <w:p w:rsidR="006B716D" w:rsidRPr="00EE1F8E" w:rsidRDefault="006B716D" w:rsidP="00845150">
            <w:pPr>
              <w:tabs>
                <w:tab w:val="left" w:pos="-1440"/>
                <w:tab w:val="left" w:pos="-720"/>
              </w:tabs>
              <w:jc w:val="both"/>
              <w:rPr>
                <w:rFonts w:cs="Times New Roman"/>
                <w:sz w:val="20"/>
                <w:szCs w:val="20"/>
              </w:rPr>
            </w:pPr>
          </w:p>
          <w:p w:rsidR="006B716D" w:rsidRPr="00EE1F8E" w:rsidRDefault="006B716D" w:rsidP="00845150">
            <w:pPr>
              <w:tabs>
                <w:tab w:val="left" w:pos="-1440"/>
                <w:tab w:val="left" w:pos="-720"/>
              </w:tabs>
              <w:jc w:val="both"/>
              <w:rPr>
                <w:rFonts w:cs="Times New Roman"/>
                <w:sz w:val="20"/>
                <w:szCs w:val="20"/>
              </w:rPr>
            </w:pPr>
          </w:p>
        </w:tc>
        <w:tc>
          <w:tcPr>
            <w:tcW w:w="4327" w:type="dxa"/>
          </w:tcPr>
          <w:p w:rsidR="006B716D" w:rsidRPr="00EE1F8E" w:rsidRDefault="00BF59B3" w:rsidP="00845150">
            <w:pPr>
              <w:tabs>
                <w:tab w:val="left" w:pos="-1440"/>
                <w:tab w:val="left" w:pos="-720"/>
              </w:tabs>
              <w:jc w:val="both"/>
              <w:rPr>
                <w:rFonts w:cs="Times New Roman"/>
                <w:sz w:val="20"/>
                <w:szCs w:val="20"/>
                <w:lang w:val="fr-CA"/>
              </w:rPr>
            </w:pPr>
            <w:r w:rsidRPr="00EE1F8E">
              <w:rPr>
                <w:rFonts w:cs="Times New Roman"/>
                <w:sz w:val="20"/>
                <w:szCs w:val="20"/>
              </w:rPr>
              <w:fldChar w:fldCharType="begin"/>
            </w:r>
            <w:r w:rsidR="006B716D" w:rsidRPr="00EE1F8E">
              <w:rPr>
                <w:rFonts w:cs="Times New Roman"/>
                <w:sz w:val="20"/>
                <w:szCs w:val="20"/>
                <w:lang w:val="fr-CA"/>
              </w:rPr>
              <w:instrText xml:space="preserve"> SEQ CHAPTER \h \r 1</w:instrText>
            </w:r>
            <w:r w:rsidRPr="00EE1F8E">
              <w:rPr>
                <w:rFonts w:cs="Times New Roman"/>
                <w:sz w:val="20"/>
                <w:szCs w:val="20"/>
              </w:rPr>
              <w:fldChar w:fldCharType="end"/>
            </w:r>
            <w:r w:rsidR="006B716D" w:rsidRPr="00EE1F8E">
              <w:rPr>
                <w:rFonts w:cs="Times New Roman"/>
                <w:b/>
                <w:bCs/>
                <w:sz w:val="20"/>
                <w:szCs w:val="20"/>
                <w:lang w:val="fr-CA"/>
              </w:rPr>
              <w:t>Requête en formulation de questions constitutionnelles</w:t>
            </w:r>
            <w:r w:rsidRPr="00EE1F8E">
              <w:rPr>
                <w:rFonts w:cs="Times New Roman"/>
                <w:sz w:val="20"/>
                <w:szCs w:val="20"/>
              </w:rPr>
              <w:fldChar w:fldCharType="begin"/>
            </w:r>
            <w:r w:rsidR="006B716D" w:rsidRPr="00EE1F8E">
              <w:rPr>
                <w:rFonts w:cs="Times New Roman"/>
                <w:sz w:val="20"/>
                <w:szCs w:val="20"/>
                <w:lang w:val="fr-CA"/>
              </w:rPr>
              <w:instrText xml:space="preserve"> SEQ CHAPTER \h \r 1</w:instrText>
            </w:r>
            <w:r w:rsidRPr="00EE1F8E">
              <w:rPr>
                <w:rFonts w:cs="Times New Roman"/>
                <w:sz w:val="20"/>
                <w:szCs w:val="20"/>
              </w:rPr>
              <w:fldChar w:fldCharType="end"/>
            </w:r>
            <w:r w:rsidRPr="00EE1F8E">
              <w:rPr>
                <w:rFonts w:cs="Times New Roman"/>
                <w:sz w:val="20"/>
                <w:szCs w:val="20"/>
              </w:rPr>
              <w:fldChar w:fldCharType="begin"/>
            </w:r>
            <w:r w:rsidR="006B716D" w:rsidRPr="00EE1F8E">
              <w:rPr>
                <w:rFonts w:cs="Times New Roman"/>
                <w:sz w:val="20"/>
                <w:szCs w:val="20"/>
                <w:lang w:val="fr-CA"/>
              </w:rPr>
              <w:instrText xml:space="preserve"> SEQ CHAPTER \h \r 1</w:instrText>
            </w:r>
            <w:r w:rsidRPr="00EE1F8E">
              <w:rPr>
                <w:rFonts w:cs="Times New Roman"/>
                <w:sz w:val="20"/>
                <w:szCs w:val="20"/>
              </w:rPr>
              <w:fldChar w:fldCharType="end"/>
            </w:r>
            <w:r w:rsidRPr="00EE1F8E">
              <w:rPr>
                <w:rFonts w:cs="Times New Roman"/>
                <w:sz w:val="20"/>
                <w:szCs w:val="20"/>
              </w:rPr>
              <w:fldChar w:fldCharType="begin"/>
            </w:r>
            <w:r w:rsidR="006B716D" w:rsidRPr="00EE1F8E">
              <w:rPr>
                <w:rFonts w:cs="Times New Roman"/>
                <w:sz w:val="20"/>
                <w:szCs w:val="20"/>
                <w:lang w:val="fr-CA"/>
              </w:rPr>
              <w:instrText xml:space="preserve"> SEQ CHAPTER \h \r 1</w:instrText>
            </w:r>
            <w:r w:rsidRPr="00EE1F8E">
              <w:rPr>
                <w:rFonts w:cs="Times New Roman"/>
                <w:sz w:val="20"/>
                <w:szCs w:val="20"/>
              </w:rPr>
              <w:fldChar w:fldCharType="end"/>
            </w:r>
          </w:p>
        </w:tc>
      </w:tr>
      <w:tr w:rsidR="006B716D" w:rsidRPr="00EE1F8E" w:rsidTr="00845150">
        <w:tc>
          <w:tcPr>
            <w:tcW w:w="4338" w:type="dxa"/>
          </w:tcPr>
          <w:p w:rsidR="006B716D" w:rsidRPr="00EE1F8E" w:rsidRDefault="006B716D" w:rsidP="00845150">
            <w:pPr>
              <w:tabs>
                <w:tab w:val="left" w:pos="-1440"/>
                <w:tab w:val="left" w:pos="-720"/>
              </w:tabs>
              <w:jc w:val="both"/>
              <w:rPr>
                <w:rFonts w:cs="Times New Roman"/>
                <w:sz w:val="20"/>
                <w:szCs w:val="20"/>
              </w:rPr>
            </w:pPr>
            <w:r w:rsidRPr="00EE1F8E">
              <w:rPr>
                <w:rFonts w:cs="Times New Roman"/>
                <w:sz w:val="20"/>
                <w:szCs w:val="20"/>
              </w:rPr>
              <w:t>Ivana Levkovic</w:t>
            </w:r>
          </w:p>
          <w:p w:rsidR="006B716D" w:rsidRPr="00EE1F8E" w:rsidRDefault="006B716D" w:rsidP="00845150">
            <w:pPr>
              <w:tabs>
                <w:tab w:val="left" w:pos="-1440"/>
                <w:tab w:val="left" w:pos="-720"/>
              </w:tabs>
              <w:jc w:val="both"/>
              <w:rPr>
                <w:rFonts w:cs="Times New Roman"/>
                <w:sz w:val="20"/>
                <w:szCs w:val="20"/>
              </w:rPr>
            </w:pPr>
          </w:p>
          <w:p w:rsidR="006B716D" w:rsidRPr="00EE1F8E" w:rsidRDefault="006B716D" w:rsidP="00845150">
            <w:pPr>
              <w:tabs>
                <w:tab w:val="left" w:pos="-1440"/>
                <w:tab w:val="left" w:pos="-720"/>
              </w:tabs>
              <w:jc w:val="both"/>
              <w:rPr>
                <w:rFonts w:cs="Times New Roman"/>
                <w:sz w:val="20"/>
                <w:szCs w:val="20"/>
              </w:rPr>
            </w:pPr>
            <w:r w:rsidRPr="00EE1F8E">
              <w:rPr>
                <w:rFonts w:cs="Times New Roman"/>
                <w:sz w:val="20"/>
                <w:szCs w:val="20"/>
              </w:rPr>
              <w:tab/>
              <w:t>v. (34229)</w:t>
            </w:r>
          </w:p>
          <w:p w:rsidR="006B716D" w:rsidRPr="00EE1F8E" w:rsidRDefault="006B716D" w:rsidP="00845150">
            <w:pPr>
              <w:tabs>
                <w:tab w:val="left" w:pos="-1440"/>
                <w:tab w:val="left" w:pos="-720"/>
              </w:tabs>
              <w:jc w:val="both"/>
              <w:rPr>
                <w:rFonts w:cs="Times New Roman"/>
                <w:sz w:val="20"/>
                <w:szCs w:val="20"/>
              </w:rPr>
            </w:pPr>
          </w:p>
          <w:p w:rsidR="006B716D" w:rsidRPr="00EE1F8E" w:rsidRDefault="006B716D" w:rsidP="00845150">
            <w:pPr>
              <w:tabs>
                <w:tab w:val="left" w:pos="-1440"/>
                <w:tab w:val="left" w:pos="-720"/>
              </w:tabs>
              <w:jc w:val="both"/>
              <w:rPr>
                <w:rFonts w:cs="Times New Roman"/>
                <w:sz w:val="20"/>
                <w:szCs w:val="20"/>
              </w:rPr>
            </w:pPr>
            <w:r w:rsidRPr="00EE1F8E">
              <w:rPr>
                <w:rFonts w:cs="Times New Roman"/>
                <w:sz w:val="20"/>
                <w:szCs w:val="20"/>
              </w:rPr>
              <w:t>Her Majesty the Queen (Crim.) (Ont.)</w:t>
            </w:r>
          </w:p>
        </w:tc>
        <w:tc>
          <w:tcPr>
            <w:tcW w:w="1170" w:type="dxa"/>
          </w:tcPr>
          <w:p w:rsidR="006B716D" w:rsidRPr="00EE1F8E" w:rsidRDefault="006B716D" w:rsidP="00845150">
            <w:pPr>
              <w:tabs>
                <w:tab w:val="left" w:pos="-1440"/>
                <w:tab w:val="left" w:pos="-720"/>
              </w:tabs>
              <w:jc w:val="both"/>
              <w:rPr>
                <w:rFonts w:cs="Times New Roman"/>
                <w:sz w:val="20"/>
                <w:szCs w:val="20"/>
              </w:rPr>
            </w:pPr>
          </w:p>
        </w:tc>
        <w:tc>
          <w:tcPr>
            <w:tcW w:w="4327" w:type="dxa"/>
          </w:tcPr>
          <w:p w:rsidR="006B716D" w:rsidRPr="00EE1F8E" w:rsidRDefault="006B716D" w:rsidP="00845150">
            <w:pPr>
              <w:tabs>
                <w:tab w:val="left" w:pos="-1440"/>
                <w:tab w:val="left" w:pos="-720"/>
              </w:tabs>
              <w:jc w:val="both"/>
              <w:rPr>
                <w:rFonts w:cs="Times New Roman"/>
                <w:sz w:val="20"/>
                <w:szCs w:val="20"/>
              </w:rPr>
            </w:pPr>
          </w:p>
        </w:tc>
      </w:tr>
    </w:tbl>
    <w:p w:rsidR="006B716D" w:rsidRPr="00EE1F8E" w:rsidRDefault="006B716D" w:rsidP="006B716D">
      <w:pPr>
        <w:tabs>
          <w:tab w:val="left" w:pos="-1440"/>
          <w:tab w:val="left" w:pos="-720"/>
        </w:tabs>
        <w:jc w:val="both"/>
        <w:rPr>
          <w:rFonts w:cs="Times New Roman"/>
          <w:sz w:val="20"/>
          <w:szCs w:val="20"/>
        </w:rPr>
      </w:pPr>
    </w:p>
    <w:p w:rsidR="006B716D" w:rsidRPr="00EE1F8E" w:rsidRDefault="006B716D" w:rsidP="006B716D">
      <w:pPr>
        <w:tabs>
          <w:tab w:val="left" w:pos="-1440"/>
          <w:tab w:val="left" w:pos="-720"/>
        </w:tabs>
        <w:jc w:val="both"/>
        <w:rPr>
          <w:rFonts w:cs="Times New Roman"/>
          <w:sz w:val="20"/>
          <w:szCs w:val="20"/>
        </w:rPr>
      </w:pPr>
      <w:r w:rsidRPr="00EE1F8E">
        <w:rPr>
          <w:rFonts w:cs="Times New Roman"/>
          <w:b/>
          <w:sz w:val="20"/>
          <w:szCs w:val="20"/>
        </w:rPr>
        <w:t>GRANTED / ACCORDÉE</w:t>
      </w:r>
    </w:p>
    <w:p w:rsidR="006B716D" w:rsidRPr="00EE1F8E" w:rsidRDefault="006B716D" w:rsidP="006B716D">
      <w:pPr>
        <w:rPr>
          <w:rFonts w:cs="Times New Roman"/>
          <w:sz w:val="20"/>
          <w:szCs w:val="20"/>
        </w:rPr>
      </w:pPr>
    </w:p>
    <w:p w:rsidR="006B716D" w:rsidRPr="00EE1F8E" w:rsidRDefault="006B716D" w:rsidP="006B716D">
      <w:pPr>
        <w:jc w:val="both"/>
        <w:rPr>
          <w:rFonts w:cs="Times New Roman"/>
          <w:sz w:val="20"/>
          <w:szCs w:val="20"/>
        </w:rPr>
      </w:pPr>
      <w:r w:rsidRPr="00EE1F8E">
        <w:rPr>
          <w:rFonts w:cs="Times New Roman"/>
          <w:b/>
          <w:bCs/>
          <w:sz w:val="20"/>
          <w:szCs w:val="20"/>
        </w:rPr>
        <w:t>UPON APPLICATION</w:t>
      </w:r>
      <w:r w:rsidRPr="00EE1F8E">
        <w:rPr>
          <w:rFonts w:cs="Times New Roman"/>
          <w:sz w:val="20"/>
          <w:szCs w:val="20"/>
        </w:rPr>
        <w:t xml:space="preserve"> by the appellant </w:t>
      </w:r>
      <w:r w:rsidR="00BF59B3" w:rsidRPr="00EE1F8E">
        <w:rPr>
          <w:rFonts w:cs="Times New Roman"/>
          <w:sz w:val="20"/>
          <w:szCs w:val="20"/>
        </w:rPr>
        <w:fldChar w:fldCharType="begin"/>
      </w:r>
      <w:r w:rsidRPr="00EE1F8E">
        <w:rPr>
          <w:rFonts w:cs="Times New Roman"/>
          <w:sz w:val="20"/>
          <w:szCs w:val="20"/>
        </w:rPr>
        <w:instrText xml:space="preserve"> SEQ CHAPTER \h \r 1</w:instrText>
      </w:r>
      <w:r w:rsidR="00BF59B3" w:rsidRPr="00EE1F8E">
        <w:rPr>
          <w:rFonts w:cs="Times New Roman"/>
          <w:sz w:val="20"/>
          <w:szCs w:val="20"/>
        </w:rPr>
        <w:fldChar w:fldCharType="end"/>
      </w:r>
      <w:r w:rsidRPr="00EE1F8E">
        <w:rPr>
          <w:rFonts w:cs="Times New Roman"/>
          <w:sz w:val="20"/>
          <w:szCs w:val="20"/>
        </w:rPr>
        <w:t>for an order stating constitutional questions in the above appeal;</w:t>
      </w:r>
    </w:p>
    <w:p w:rsidR="006B716D" w:rsidRPr="00EE1F8E" w:rsidRDefault="006B716D" w:rsidP="006B716D">
      <w:pPr>
        <w:jc w:val="both"/>
        <w:rPr>
          <w:rFonts w:cs="Times New Roman"/>
          <w:sz w:val="20"/>
          <w:szCs w:val="20"/>
        </w:rPr>
      </w:pPr>
    </w:p>
    <w:p w:rsidR="006B716D" w:rsidRPr="00EE1F8E" w:rsidRDefault="006B716D" w:rsidP="006B716D">
      <w:pPr>
        <w:jc w:val="both"/>
        <w:rPr>
          <w:rFonts w:cs="Times New Roman"/>
          <w:sz w:val="20"/>
          <w:szCs w:val="20"/>
        </w:rPr>
      </w:pPr>
      <w:r w:rsidRPr="00EE1F8E">
        <w:rPr>
          <w:rFonts w:cs="Times New Roman"/>
          <w:b/>
          <w:bCs/>
          <w:sz w:val="20"/>
          <w:szCs w:val="20"/>
        </w:rPr>
        <w:t>AND THE MATERIAL FILED</w:t>
      </w:r>
      <w:r w:rsidRPr="00EE1F8E">
        <w:rPr>
          <w:rFonts w:cs="Times New Roman"/>
          <w:sz w:val="20"/>
          <w:szCs w:val="20"/>
        </w:rPr>
        <w:t xml:space="preserve"> having been read;</w:t>
      </w:r>
    </w:p>
    <w:p w:rsidR="006B716D" w:rsidRPr="00EE1F8E" w:rsidRDefault="006B716D" w:rsidP="006B716D">
      <w:pPr>
        <w:jc w:val="both"/>
        <w:rPr>
          <w:rFonts w:cs="Times New Roman"/>
          <w:sz w:val="20"/>
          <w:szCs w:val="20"/>
        </w:rPr>
      </w:pPr>
    </w:p>
    <w:p w:rsidR="006B716D" w:rsidRPr="00EE1F8E" w:rsidRDefault="006B716D" w:rsidP="006B716D">
      <w:pPr>
        <w:jc w:val="both"/>
        <w:rPr>
          <w:rFonts w:cs="Times New Roman"/>
          <w:b/>
          <w:bCs/>
          <w:sz w:val="20"/>
          <w:szCs w:val="20"/>
        </w:rPr>
      </w:pPr>
      <w:r w:rsidRPr="00EE1F8E">
        <w:rPr>
          <w:rFonts w:cs="Times New Roman"/>
          <w:b/>
          <w:bCs/>
          <w:sz w:val="20"/>
          <w:szCs w:val="20"/>
        </w:rPr>
        <w:t>IT IS HEREBY ORDERED THAT THE CONSTITUTIONAL QUESTIONS BE STATED AS FOLLOW:</w:t>
      </w:r>
    </w:p>
    <w:p w:rsidR="006B716D" w:rsidRPr="00EE1F8E" w:rsidRDefault="006B716D" w:rsidP="006B716D">
      <w:pPr>
        <w:jc w:val="both"/>
        <w:rPr>
          <w:rFonts w:cs="Times New Roman"/>
          <w:sz w:val="20"/>
          <w:szCs w:val="20"/>
        </w:rPr>
      </w:pPr>
    </w:p>
    <w:p w:rsidR="006B716D" w:rsidRPr="00EE1F8E" w:rsidRDefault="006B716D" w:rsidP="006B716D">
      <w:pPr>
        <w:pStyle w:val="ListParagraph"/>
        <w:numPr>
          <w:ilvl w:val="0"/>
          <w:numId w:val="3"/>
        </w:numPr>
        <w:autoSpaceDE w:val="0"/>
        <w:autoSpaceDN w:val="0"/>
        <w:contextualSpacing w:val="0"/>
        <w:jc w:val="both"/>
        <w:rPr>
          <w:rFonts w:cs="Times New Roman"/>
          <w:sz w:val="20"/>
          <w:szCs w:val="20"/>
          <w:lang w:val="en-GB"/>
        </w:rPr>
      </w:pPr>
      <w:r w:rsidRPr="00EE1F8E">
        <w:rPr>
          <w:rFonts w:cs="Times New Roman"/>
          <w:sz w:val="20"/>
          <w:szCs w:val="20"/>
        </w:rPr>
        <w:t xml:space="preserve">In its application to a “child” that dies before birth, does s. 243 of the </w:t>
      </w:r>
      <w:r w:rsidRPr="00EE1F8E">
        <w:rPr>
          <w:rFonts w:cs="Times New Roman"/>
          <w:i/>
          <w:iCs/>
          <w:sz w:val="20"/>
          <w:szCs w:val="20"/>
        </w:rPr>
        <w:t xml:space="preserve">Criminal Code, </w:t>
      </w:r>
      <w:r w:rsidRPr="00EE1F8E">
        <w:rPr>
          <w:rFonts w:cs="Times New Roman"/>
          <w:sz w:val="20"/>
          <w:szCs w:val="20"/>
        </w:rPr>
        <w:t xml:space="preserve">R.S.C., 1985, c. C-46, infringe s. 7 of the </w:t>
      </w:r>
      <w:r w:rsidRPr="00EE1F8E">
        <w:rPr>
          <w:rFonts w:cs="Times New Roman"/>
          <w:i/>
          <w:iCs/>
          <w:sz w:val="20"/>
          <w:szCs w:val="20"/>
          <w:lang w:val="en-GB"/>
        </w:rPr>
        <w:t>Canadian Charter of Rights and Freedoms</w:t>
      </w:r>
      <w:r w:rsidRPr="00EE1F8E">
        <w:rPr>
          <w:rFonts w:cs="Times New Roman"/>
          <w:sz w:val="20"/>
          <w:szCs w:val="20"/>
          <w:lang w:val="en-GB"/>
        </w:rPr>
        <w:t>?</w:t>
      </w:r>
    </w:p>
    <w:p w:rsidR="006B716D" w:rsidRPr="00EE1F8E" w:rsidRDefault="006B716D" w:rsidP="006B716D">
      <w:pPr>
        <w:jc w:val="both"/>
        <w:rPr>
          <w:rFonts w:cs="Times New Roman"/>
          <w:sz w:val="20"/>
          <w:szCs w:val="20"/>
          <w:lang w:val="en-GB"/>
        </w:rPr>
      </w:pPr>
    </w:p>
    <w:p w:rsidR="006B716D" w:rsidRPr="00EE1F8E" w:rsidRDefault="006B716D" w:rsidP="006B716D">
      <w:pPr>
        <w:pStyle w:val="ListParagraph"/>
        <w:numPr>
          <w:ilvl w:val="0"/>
          <w:numId w:val="3"/>
        </w:numPr>
        <w:autoSpaceDE w:val="0"/>
        <w:autoSpaceDN w:val="0"/>
        <w:contextualSpacing w:val="0"/>
        <w:jc w:val="both"/>
        <w:rPr>
          <w:rFonts w:cs="Times New Roman"/>
          <w:sz w:val="20"/>
          <w:szCs w:val="20"/>
        </w:rPr>
      </w:pPr>
      <w:r w:rsidRPr="00EE1F8E">
        <w:rPr>
          <w:rFonts w:cs="Times New Roman"/>
          <w:sz w:val="20"/>
          <w:szCs w:val="20"/>
        </w:rPr>
        <w:t xml:space="preserve">If so, is the infringement a reasonable limit prescribed by law that can be demonstrably justified in a free and democratic society under s. 1 of the </w:t>
      </w:r>
      <w:r w:rsidRPr="00EE1F8E">
        <w:rPr>
          <w:rFonts w:cs="Times New Roman"/>
          <w:i/>
          <w:iCs/>
          <w:sz w:val="20"/>
          <w:szCs w:val="20"/>
        </w:rPr>
        <w:t>Canadian Charter of Rights and Freedoms</w:t>
      </w:r>
      <w:r w:rsidRPr="00EE1F8E">
        <w:rPr>
          <w:rFonts w:cs="Times New Roman"/>
          <w:sz w:val="20"/>
          <w:szCs w:val="20"/>
        </w:rPr>
        <w:t>?</w:t>
      </w:r>
    </w:p>
    <w:p w:rsidR="006B716D" w:rsidRPr="00EE1F8E" w:rsidRDefault="006B716D" w:rsidP="006B716D">
      <w:pPr>
        <w:jc w:val="both"/>
        <w:rPr>
          <w:rFonts w:cs="Times New Roman"/>
          <w:color w:val="000000"/>
          <w:sz w:val="20"/>
          <w:szCs w:val="20"/>
        </w:rPr>
      </w:pPr>
    </w:p>
    <w:p w:rsidR="006B716D" w:rsidRPr="00EE1F8E" w:rsidRDefault="006B716D" w:rsidP="006B716D">
      <w:pPr>
        <w:jc w:val="both"/>
        <w:rPr>
          <w:rFonts w:cs="Times New Roman"/>
          <w:color w:val="000000"/>
          <w:sz w:val="20"/>
          <w:szCs w:val="20"/>
        </w:rPr>
      </w:pPr>
    </w:p>
    <w:p w:rsidR="006B716D" w:rsidRPr="00EE1F8E" w:rsidRDefault="006B716D" w:rsidP="006B716D">
      <w:pPr>
        <w:jc w:val="both"/>
        <w:rPr>
          <w:rFonts w:cs="Times New Roman"/>
          <w:color w:val="000000"/>
          <w:sz w:val="20"/>
          <w:szCs w:val="20"/>
        </w:rPr>
      </w:pPr>
    </w:p>
    <w:p w:rsidR="006B716D" w:rsidRPr="00EE1F8E" w:rsidRDefault="006B716D" w:rsidP="006B716D">
      <w:pPr>
        <w:jc w:val="both"/>
        <w:rPr>
          <w:rFonts w:cs="Times New Roman"/>
          <w:sz w:val="20"/>
          <w:szCs w:val="20"/>
          <w:lang w:val="fr-CA"/>
        </w:rPr>
      </w:pPr>
      <w:r w:rsidRPr="00EE1F8E">
        <w:rPr>
          <w:rFonts w:cs="Times New Roman"/>
          <w:b/>
          <w:bCs/>
          <w:sz w:val="20"/>
          <w:szCs w:val="20"/>
          <w:lang w:val="fr-CA"/>
        </w:rPr>
        <w:t>À LA SUITE DE LA DEMANDE</w:t>
      </w:r>
      <w:r w:rsidRPr="00EE1F8E">
        <w:rPr>
          <w:rFonts w:cs="Times New Roman"/>
          <w:sz w:val="20"/>
          <w:szCs w:val="20"/>
          <w:lang w:val="fr-CA"/>
        </w:rPr>
        <w:t xml:space="preserve"> de l’appelante visant à obtenir la formulation de questions constitutionnelles dans l'appel susmentionné;</w:t>
      </w:r>
    </w:p>
    <w:p w:rsidR="006B716D" w:rsidRPr="00EE1F8E" w:rsidRDefault="006B716D" w:rsidP="006B716D">
      <w:pPr>
        <w:jc w:val="both"/>
        <w:rPr>
          <w:rFonts w:cs="Times New Roman"/>
          <w:sz w:val="20"/>
          <w:szCs w:val="20"/>
          <w:lang w:val="fr-CA"/>
        </w:rPr>
      </w:pPr>
    </w:p>
    <w:p w:rsidR="006B716D" w:rsidRDefault="006B716D" w:rsidP="006B716D">
      <w:pPr>
        <w:jc w:val="both"/>
        <w:rPr>
          <w:rFonts w:cs="Times New Roman"/>
          <w:sz w:val="20"/>
          <w:szCs w:val="20"/>
          <w:lang w:val="fr-CA"/>
        </w:rPr>
      </w:pPr>
      <w:r w:rsidRPr="00EE1F8E">
        <w:rPr>
          <w:rFonts w:cs="Times New Roman"/>
          <w:b/>
          <w:bCs/>
          <w:sz w:val="20"/>
          <w:szCs w:val="20"/>
          <w:lang w:val="fr-CA"/>
        </w:rPr>
        <w:t>ET APRÈS AVOIR LU</w:t>
      </w:r>
      <w:r w:rsidRPr="00EE1F8E">
        <w:rPr>
          <w:rFonts w:cs="Times New Roman"/>
          <w:sz w:val="20"/>
          <w:szCs w:val="20"/>
          <w:lang w:val="fr-CA"/>
        </w:rPr>
        <w:t xml:space="preserve"> la documentation déposée;</w:t>
      </w:r>
    </w:p>
    <w:p w:rsidR="003F2DE5" w:rsidRPr="00EE1F8E" w:rsidRDefault="003F2DE5" w:rsidP="006B716D">
      <w:pPr>
        <w:jc w:val="both"/>
        <w:rPr>
          <w:rFonts w:cs="Times New Roman"/>
          <w:sz w:val="20"/>
          <w:szCs w:val="20"/>
          <w:lang w:val="fr-CA"/>
        </w:rPr>
      </w:pPr>
    </w:p>
    <w:p w:rsidR="006B716D" w:rsidRPr="00EE1F8E" w:rsidRDefault="006B716D" w:rsidP="006B716D">
      <w:pPr>
        <w:rPr>
          <w:rFonts w:cs="Times New Roman"/>
          <w:b/>
          <w:bCs/>
          <w:sz w:val="20"/>
          <w:szCs w:val="20"/>
          <w:lang w:val="fr-CA"/>
        </w:rPr>
      </w:pPr>
      <w:r w:rsidRPr="00EE1F8E">
        <w:rPr>
          <w:rFonts w:cs="Times New Roman"/>
          <w:b/>
          <w:bCs/>
          <w:sz w:val="20"/>
          <w:szCs w:val="20"/>
          <w:lang w:val="fr-CA"/>
        </w:rPr>
        <w:br w:type="page"/>
      </w:r>
    </w:p>
    <w:p w:rsidR="006B716D" w:rsidRPr="00EE1F8E" w:rsidRDefault="006B716D" w:rsidP="006B716D">
      <w:pPr>
        <w:jc w:val="both"/>
        <w:rPr>
          <w:rFonts w:cs="Times New Roman"/>
          <w:sz w:val="20"/>
          <w:szCs w:val="20"/>
          <w:lang w:val="fr-CA"/>
        </w:rPr>
      </w:pPr>
      <w:r w:rsidRPr="00EE1F8E">
        <w:rPr>
          <w:rFonts w:cs="Times New Roman"/>
          <w:b/>
          <w:bCs/>
          <w:sz w:val="20"/>
          <w:szCs w:val="20"/>
          <w:lang w:val="fr-CA"/>
        </w:rPr>
        <w:lastRenderedPageBreak/>
        <w:t>LES QUESTIONS CONSTITUTIONNELLES SUIVANTES SONT FORMULÉES :</w:t>
      </w:r>
    </w:p>
    <w:p w:rsidR="006B716D" w:rsidRPr="00EE1F8E" w:rsidRDefault="006B716D" w:rsidP="006B716D">
      <w:pPr>
        <w:jc w:val="both"/>
        <w:rPr>
          <w:rFonts w:cs="Times New Roman"/>
          <w:sz w:val="20"/>
          <w:szCs w:val="20"/>
          <w:lang w:val="fr-FR"/>
        </w:rPr>
      </w:pPr>
    </w:p>
    <w:p w:rsidR="006B716D" w:rsidRPr="00EE1F8E" w:rsidRDefault="006B716D" w:rsidP="006B716D">
      <w:pPr>
        <w:pStyle w:val="ListParagraph"/>
        <w:numPr>
          <w:ilvl w:val="0"/>
          <w:numId w:val="4"/>
        </w:numPr>
        <w:autoSpaceDE w:val="0"/>
        <w:autoSpaceDN w:val="0"/>
        <w:jc w:val="both"/>
        <w:rPr>
          <w:rFonts w:cs="Times New Roman"/>
          <w:sz w:val="20"/>
          <w:szCs w:val="20"/>
          <w:lang w:val="fr-CA"/>
        </w:rPr>
      </w:pPr>
      <w:r w:rsidRPr="00EE1F8E">
        <w:rPr>
          <w:rFonts w:cs="Times New Roman"/>
          <w:sz w:val="20"/>
          <w:szCs w:val="20"/>
          <w:lang w:val="fr-CA"/>
        </w:rPr>
        <w:t xml:space="preserve">L’application de l’art. 243 du </w:t>
      </w:r>
      <w:r w:rsidRPr="00EE1F8E">
        <w:rPr>
          <w:rFonts w:cs="Times New Roman"/>
          <w:i/>
          <w:iCs/>
          <w:sz w:val="20"/>
          <w:szCs w:val="20"/>
          <w:lang w:val="fr-CA"/>
        </w:rPr>
        <w:t>Code criminel</w:t>
      </w:r>
      <w:r w:rsidRPr="00EE1F8E">
        <w:rPr>
          <w:rFonts w:cs="Times New Roman"/>
          <w:sz w:val="20"/>
          <w:szCs w:val="20"/>
          <w:lang w:val="fr-CA"/>
        </w:rPr>
        <w:t>,</w:t>
      </w:r>
      <w:r w:rsidRPr="00EE1F8E">
        <w:rPr>
          <w:rFonts w:cs="Times New Roman"/>
          <w:i/>
          <w:iCs/>
          <w:sz w:val="20"/>
          <w:szCs w:val="20"/>
          <w:lang w:val="fr-CA"/>
        </w:rPr>
        <w:t xml:space="preserve"> </w:t>
      </w:r>
      <w:r w:rsidRPr="00EE1F8E">
        <w:rPr>
          <w:rFonts w:cs="Times New Roman"/>
          <w:sz w:val="20"/>
          <w:szCs w:val="20"/>
          <w:lang w:val="fr-CA"/>
        </w:rPr>
        <w:t xml:space="preserve">L.R.C., 1985, ch. C-46, à un « enfant » qui périt avant sa naissance contrevient-elle à l’art. 7 de la </w:t>
      </w:r>
      <w:r w:rsidRPr="00EE1F8E">
        <w:rPr>
          <w:rFonts w:cs="Times New Roman"/>
          <w:i/>
          <w:iCs/>
          <w:sz w:val="20"/>
          <w:szCs w:val="20"/>
          <w:lang w:val="fr-CA"/>
        </w:rPr>
        <w:t>Charte canadienne des droits et libertés</w:t>
      </w:r>
      <w:r w:rsidRPr="00EE1F8E">
        <w:rPr>
          <w:rFonts w:cs="Times New Roman"/>
          <w:sz w:val="20"/>
          <w:szCs w:val="20"/>
          <w:lang w:val="fr-CA"/>
        </w:rPr>
        <w:t>?</w:t>
      </w:r>
    </w:p>
    <w:p w:rsidR="006B716D" w:rsidRPr="00EE1F8E" w:rsidRDefault="006B716D" w:rsidP="006B716D">
      <w:pPr>
        <w:jc w:val="both"/>
        <w:rPr>
          <w:rFonts w:cs="Times New Roman"/>
          <w:sz w:val="20"/>
          <w:szCs w:val="20"/>
          <w:lang w:val="fr-CA"/>
        </w:rPr>
      </w:pPr>
    </w:p>
    <w:p w:rsidR="006B716D" w:rsidRPr="00EE1F8E" w:rsidRDefault="006B716D" w:rsidP="006B716D">
      <w:pPr>
        <w:pStyle w:val="ListParagraph"/>
        <w:numPr>
          <w:ilvl w:val="0"/>
          <w:numId w:val="4"/>
        </w:numPr>
        <w:autoSpaceDE w:val="0"/>
        <w:autoSpaceDN w:val="0"/>
        <w:contextualSpacing w:val="0"/>
        <w:jc w:val="both"/>
        <w:rPr>
          <w:rFonts w:cs="Times New Roman"/>
          <w:sz w:val="20"/>
          <w:szCs w:val="20"/>
          <w:lang w:val="fr-CA"/>
        </w:rPr>
      </w:pPr>
      <w:r w:rsidRPr="00EE1F8E">
        <w:rPr>
          <w:rFonts w:cs="Times New Roman"/>
          <w:sz w:val="20"/>
          <w:szCs w:val="20"/>
          <w:lang w:val="fr-CA"/>
        </w:rPr>
        <w:t xml:space="preserve">Dans l’affirmative, cette contravention constitue-t-elle une limite raisonnable qui est prescrite par une règle de droit et dont la justification peut se démontrer dans le cadre d’une société libre et démocratique au sens de l’article premier de la </w:t>
      </w:r>
      <w:r w:rsidRPr="00EE1F8E">
        <w:rPr>
          <w:rFonts w:cs="Times New Roman"/>
          <w:i/>
          <w:iCs/>
          <w:sz w:val="20"/>
          <w:szCs w:val="20"/>
          <w:lang w:val="fr-CA"/>
        </w:rPr>
        <w:t>Charte canadienne des droits et libertés</w:t>
      </w:r>
      <w:r w:rsidRPr="00EE1F8E">
        <w:rPr>
          <w:rFonts w:cs="Times New Roman"/>
          <w:sz w:val="20"/>
          <w:szCs w:val="20"/>
          <w:lang w:val="fr-CA"/>
        </w:rPr>
        <w:t xml:space="preserve">? </w:t>
      </w:r>
    </w:p>
    <w:p w:rsidR="006B716D" w:rsidRPr="00EE1F8E" w:rsidRDefault="006B716D" w:rsidP="006B716D">
      <w:pPr>
        <w:tabs>
          <w:tab w:val="left" w:pos="-1440"/>
          <w:tab w:val="left" w:pos="-720"/>
        </w:tabs>
        <w:jc w:val="both"/>
        <w:rPr>
          <w:rFonts w:cs="Times New Roman"/>
          <w:sz w:val="20"/>
          <w:szCs w:val="20"/>
          <w:lang w:val="fr-CA"/>
        </w:rPr>
      </w:pPr>
    </w:p>
    <w:p w:rsidR="006B716D" w:rsidRPr="00EE1F8E" w:rsidRDefault="006B716D" w:rsidP="006B716D">
      <w:pPr>
        <w:tabs>
          <w:tab w:val="left" w:pos="-1440"/>
          <w:tab w:val="left" w:pos="-720"/>
        </w:tabs>
        <w:spacing w:line="-19" w:lineRule="auto"/>
        <w:jc w:val="both"/>
        <w:rPr>
          <w:rFonts w:cs="Times New Roman"/>
          <w:sz w:val="20"/>
          <w:szCs w:val="20"/>
          <w:lang w:val="fr-CA"/>
        </w:rPr>
      </w:pPr>
    </w:p>
    <w:p w:rsidR="006B716D" w:rsidRPr="00EE1F8E" w:rsidRDefault="00BF59B3" w:rsidP="006B716D">
      <w:pPr>
        <w:tabs>
          <w:tab w:val="left" w:pos="-1440"/>
          <w:tab w:val="left" w:pos="-720"/>
        </w:tabs>
        <w:jc w:val="both"/>
        <w:rPr>
          <w:rFonts w:cs="Times New Roman"/>
          <w:sz w:val="20"/>
          <w:szCs w:val="20"/>
        </w:rPr>
      </w:pPr>
      <w:r w:rsidRPr="00BF59B3">
        <w:rPr>
          <w:rFonts w:cs="Times New Roman"/>
          <w:sz w:val="20"/>
          <w:szCs w:val="20"/>
          <w:lang w:val="fr-CA"/>
        </w:rPr>
        <w:pict>
          <v:rect id="_x0000_i1057" style="width:2in;height:1pt" o:hrpct="0" o:hralign="center" o:hrstd="t" o:hrnoshade="t" o:hr="t" fillcolor="black [3213]" stroked="f"/>
        </w:pict>
      </w:r>
    </w:p>
    <w:p w:rsidR="006B716D" w:rsidRPr="00EE1F8E" w:rsidRDefault="006B716D" w:rsidP="006B716D">
      <w:pPr>
        <w:tabs>
          <w:tab w:val="left" w:pos="-1440"/>
          <w:tab w:val="left" w:pos="-720"/>
        </w:tabs>
        <w:jc w:val="both"/>
        <w:rPr>
          <w:rFonts w:cs="Times New Roman"/>
          <w:sz w:val="20"/>
          <w:szCs w:val="20"/>
          <w:lang w:val="fr-CA"/>
        </w:rPr>
      </w:pPr>
    </w:p>
    <w:p w:rsidR="006B716D" w:rsidRPr="00EE1F8E" w:rsidRDefault="006B716D" w:rsidP="006B716D">
      <w:pPr>
        <w:tabs>
          <w:tab w:val="left" w:pos="-1440"/>
          <w:tab w:val="left" w:pos="-720"/>
        </w:tabs>
        <w:jc w:val="both"/>
        <w:rPr>
          <w:rFonts w:cs="Times New Roman"/>
          <w:sz w:val="20"/>
          <w:szCs w:val="20"/>
          <w:lang w:val="fr-CA"/>
        </w:rPr>
      </w:pPr>
      <w:r w:rsidRPr="00EE1F8E">
        <w:rPr>
          <w:rFonts w:cs="Times New Roman"/>
          <w:sz w:val="20"/>
          <w:szCs w:val="20"/>
          <w:lang w:val="fr-CA"/>
        </w:rPr>
        <w:t>10.01.2012</w:t>
      </w:r>
    </w:p>
    <w:p w:rsidR="006B716D" w:rsidRPr="00EE1F8E" w:rsidRDefault="006B716D" w:rsidP="006B716D">
      <w:pPr>
        <w:tabs>
          <w:tab w:val="left" w:pos="-1440"/>
          <w:tab w:val="left" w:pos="-720"/>
        </w:tabs>
        <w:jc w:val="both"/>
        <w:rPr>
          <w:rFonts w:cs="Times New Roman"/>
          <w:sz w:val="20"/>
          <w:szCs w:val="20"/>
          <w:lang w:val="fr-CA"/>
        </w:rPr>
      </w:pPr>
    </w:p>
    <w:p w:rsidR="006B716D" w:rsidRPr="00EE1F8E" w:rsidRDefault="006B716D" w:rsidP="006B716D">
      <w:pPr>
        <w:tabs>
          <w:tab w:val="left" w:pos="-1440"/>
          <w:tab w:val="left" w:pos="-720"/>
        </w:tabs>
        <w:jc w:val="both"/>
        <w:rPr>
          <w:rFonts w:cs="Times New Roman"/>
          <w:sz w:val="20"/>
          <w:szCs w:val="20"/>
          <w:lang w:val="fr-CA"/>
        </w:rPr>
      </w:pPr>
      <w:r w:rsidRPr="00EE1F8E">
        <w:rPr>
          <w:rFonts w:cs="Times New Roman"/>
          <w:sz w:val="20"/>
          <w:szCs w:val="20"/>
          <w:lang w:val="fr-CA"/>
        </w:rPr>
        <w:t>Before / Devant :   DESCHAMPS J. / LA JUGE DESCHAMPS</w:t>
      </w:r>
    </w:p>
    <w:p w:rsidR="006B716D" w:rsidRPr="00EE1F8E" w:rsidRDefault="006B716D" w:rsidP="006B716D">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6B716D" w:rsidRPr="00C5295A" w:rsidTr="00845150">
        <w:tc>
          <w:tcPr>
            <w:tcW w:w="4338" w:type="dxa"/>
            <w:gridSpan w:val="2"/>
          </w:tcPr>
          <w:p w:rsidR="006B716D" w:rsidRPr="00EE1F8E" w:rsidRDefault="006B716D" w:rsidP="00845150">
            <w:pPr>
              <w:jc w:val="both"/>
              <w:rPr>
                <w:rFonts w:cs="Times New Roman"/>
                <w:b/>
                <w:sz w:val="20"/>
                <w:szCs w:val="20"/>
              </w:rPr>
            </w:pPr>
            <w:r w:rsidRPr="00EE1F8E">
              <w:rPr>
                <w:rFonts w:cs="Times New Roman"/>
                <w:b/>
                <w:sz w:val="20"/>
                <w:szCs w:val="20"/>
              </w:rPr>
              <w:t xml:space="preserve">Order on interventions with respect to oral argument </w:t>
            </w:r>
            <w:r w:rsidR="00BF59B3" w:rsidRPr="00EE1F8E">
              <w:rPr>
                <w:rFonts w:cs="Times New Roman"/>
                <w:b/>
                <w:sz w:val="20"/>
                <w:szCs w:val="20"/>
              </w:rPr>
              <w:fldChar w:fldCharType="begin"/>
            </w:r>
            <w:r w:rsidRPr="00EE1F8E">
              <w:rPr>
                <w:rFonts w:cs="Times New Roman"/>
                <w:b/>
                <w:sz w:val="20"/>
                <w:szCs w:val="20"/>
              </w:rPr>
              <w:instrText xml:space="preserve"> SEQ CHAPTER \h \r 1</w:instrText>
            </w:r>
            <w:r w:rsidR="00BF59B3" w:rsidRPr="00EE1F8E">
              <w:rPr>
                <w:rFonts w:cs="Times New Roman"/>
                <w:b/>
                <w:sz w:val="20"/>
                <w:szCs w:val="20"/>
              </w:rPr>
              <w:fldChar w:fldCharType="end"/>
            </w:r>
          </w:p>
        </w:tc>
        <w:tc>
          <w:tcPr>
            <w:tcW w:w="1170" w:type="dxa"/>
          </w:tcPr>
          <w:p w:rsidR="006B716D" w:rsidRPr="00EE1F8E" w:rsidRDefault="006B716D" w:rsidP="00845150">
            <w:pPr>
              <w:rPr>
                <w:rFonts w:cs="Times New Roman"/>
                <w:sz w:val="20"/>
                <w:szCs w:val="20"/>
              </w:rPr>
            </w:pPr>
          </w:p>
          <w:p w:rsidR="006B716D" w:rsidRPr="00EE1F8E" w:rsidRDefault="006B716D" w:rsidP="00845150">
            <w:pPr>
              <w:rPr>
                <w:rFonts w:cs="Times New Roman"/>
                <w:sz w:val="20"/>
                <w:szCs w:val="20"/>
              </w:rPr>
            </w:pPr>
          </w:p>
          <w:p w:rsidR="006B716D" w:rsidRPr="00EE1F8E" w:rsidRDefault="006B716D" w:rsidP="00845150">
            <w:pPr>
              <w:rPr>
                <w:rFonts w:cs="Times New Roman"/>
                <w:sz w:val="20"/>
                <w:szCs w:val="20"/>
              </w:rPr>
            </w:pPr>
          </w:p>
        </w:tc>
        <w:tc>
          <w:tcPr>
            <w:tcW w:w="4327" w:type="dxa"/>
          </w:tcPr>
          <w:p w:rsidR="006B716D" w:rsidRPr="00EE1F8E" w:rsidRDefault="006B716D" w:rsidP="00845150">
            <w:pPr>
              <w:jc w:val="both"/>
              <w:rPr>
                <w:rFonts w:cs="Times New Roman"/>
                <w:b/>
                <w:sz w:val="20"/>
                <w:szCs w:val="20"/>
                <w:lang w:val="fr-CA"/>
              </w:rPr>
            </w:pPr>
            <w:r w:rsidRPr="00EE1F8E">
              <w:rPr>
                <w:rFonts w:cs="Times New Roman"/>
                <w:b/>
                <w:sz w:val="20"/>
                <w:szCs w:val="20"/>
                <w:lang w:val="fr-CA"/>
              </w:rPr>
              <w:t>Ordonnance relative à la présentation d’une plaidoirie orale par les intervenants</w:t>
            </w:r>
            <w:r w:rsidR="00BF59B3" w:rsidRPr="00EE1F8E">
              <w:rPr>
                <w:rFonts w:cs="Times New Roman"/>
                <w:b/>
                <w:sz w:val="20"/>
                <w:szCs w:val="20"/>
              </w:rPr>
              <w:fldChar w:fldCharType="begin"/>
            </w:r>
            <w:r w:rsidRPr="00EE1F8E">
              <w:rPr>
                <w:rFonts w:cs="Times New Roman"/>
                <w:b/>
                <w:sz w:val="20"/>
                <w:szCs w:val="20"/>
                <w:lang w:val="fr-CA"/>
              </w:rPr>
              <w:instrText xml:space="preserve"> SEQ CHAPTER \h \r 1</w:instrText>
            </w:r>
            <w:r w:rsidR="00BF59B3" w:rsidRPr="00EE1F8E">
              <w:rPr>
                <w:rFonts w:cs="Times New Roman"/>
                <w:b/>
                <w:sz w:val="20"/>
                <w:szCs w:val="20"/>
              </w:rPr>
              <w:fldChar w:fldCharType="end"/>
            </w:r>
          </w:p>
        </w:tc>
      </w:tr>
      <w:tr w:rsidR="006B716D" w:rsidRPr="00EE1F8E" w:rsidTr="00845150">
        <w:tc>
          <w:tcPr>
            <w:tcW w:w="1368" w:type="dxa"/>
          </w:tcPr>
          <w:p w:rsidR="006B716D" w:rsidRPr="00EE1F8E" w:rsidRDefault="006B716D" w:rsidP="00845150">
            <w:pPr>
              <w:rPr>
                <w:rFonts w:cs="Times New Roman"/>
                <w:sz w:val="20"/>
                <w:szCs w:val="20"/>
              </w:rPr>
            </w:pPr>
            <w:r w:rsidRPr="00EE1F8E">
              <w:rPr>
                <w:rFonts w:cs="Times New Roman"/>
                <w:sz w:val="20"/>
                <w:szCs w:val="20"/>
              </w:rPr>
              <w:t>RE:</w:t>
            </w:r>
          </w:p>
        </w:tc>
        <w:tc>
          <w:tcPr>
            <w:tcW w:w="2970" w:type="dxa"/>
          </w:tcPr>
          <w:p w:rsidR="006B716D" w:rsidRPr="00EE1F8E" w:rsidRDefault="006B716D" w:rsidP="00845150">
            <w:pPr>
              <w:rPr>
                <w:rFonts w:cs="Times New Roman"/>
                <w:sz w:val="20"/>
                <w:szCs w:val="20"/>
              </w:rPr>
            </w:pPr>
            <w:r w:rsidRPr="00EE1F8E">
              <w:rPr>
                <w:rFonts w:cs="Times New Roman"/>
                <w:sz w:val="20"/>
                <w:szCs w:val="20"/>
              </w:rPr>
              <w:t>Attorney General of Ontario;</w:t>
            </w:r>
          </w:p>
        </w:tc>
        <w:tc>
          <w:tcPr>
            <w:tcW w:w="1170" w:type="dxa"/>
          </w:tcPr>
          <w:p w:rsidR="006B716D" w:rsidRPr="00EE1F8E" w:rsidRDefault="006B716D" w:rsidP="00845150">
            <w:pPr>
              <w:rPr>
                <w:rFonts w:cs="Times New Roman"/>
                <w:sz w:val="20"/>
                <w:szCs w:val="20"/>
              </w:rPr>
            </w:pPr>
          </w:p>
        </w:tc>
        <w:tc>
          <w:tcPr>
            <w:tcW w:w="4327" w:type="dxa"/>
          </w:tcPr>
          <w:p w:rsidR="006B716D" w:rsidRPr="00EE1F8E" w:rsidRDefault="006B716D" w:rsidP="00845150">
            <w:pPr>
              <w:rPr>
                <w:rFonts w:cs="Times New Roman"/>
                <w:sz w:val="20"/>
                <w:szCs w:val="20"/>
              </w:rPr>
            </w:pPr>
          </w:p>
        </w:tc>
      </w:tr>
      <w:tr w:rsidR="006B716D" w:rsidRPr="00EE1F8E" w:rsidTr="00845150">
        <w:tc>
          <w:tcPr>
            <w:tcW w:w="1368" w:type="dxa"/>
          </w:tcPr>
          <w:p w:rsidR="006B716D" w:rsidRPr="00EE1F8E" w:rsidRDefault="006B716D" w:rsidP="00845150">
            <w:pPr>
              <w:rPr>
                <w:rFonts w:cs="Times New Roman"/>
                <w:sz w:val="20"/>
                <w:szCs w:val="20"/>
              </w:rPr>
            </w:pPr>
          </w:p>
        </w:tc>
        <w:tc>
          <w:tcPr>
            <w:tcW w:w="2970" w:type="dxa"/>
          </w:tcPr>
          <w:p w:rsidR="006B716D" w:rsidRPr="00EE1F8E" w:rsidRDefault="006B716D" w:rsidP="00845150">
            <w:pPr>
              <w:rPr>
                <w:rFonts w:cs="Times New Roman"/>
                <w:sz w:val="20"/>
                <w:szCs w:val="20"/>
              </w:rPr>
            </w:pPr>
            <w:r w:rsidRPr="00EE1F8E">
              <w:rPr>
                <w:rFonts w:cs="Times New Roman"/>
                <w:sz w:val="20"/>
                <w:szCs w:val="20"/>
              </w:rPr>
              <w:t>Community Legal Assistance Society;</w:t>
            </w:r>
          </w:p>
        </w:tc>
        <w:tc>
          <w:tcPr>
            <w:tcW w:w="1170" w:type="dxa"/>
          </w:tcPr>
          <w:p w:rsidR="006B716D" w:rsidRPr="00EE1F8E" w:rsidRDefault="006B716D" w:rsidP="00845150">
            <w:pPr>
              <w:rPr>
                <w:rFonts w:cs="Times New Roman"/>
                <w:sz w:val="20"/>
                <w:szCs w:val="20"/>
              </w:rPr>
            </w:pPr>
          </w:p>
        </w:tc>
        <w:tc>
          <w:tcPr>
            <w:tcW w:w="4327" w:type="dxa"/>
          </w:tcPr>
          <w:p w:rsidR="006B716D" w:rsidRPr="00EE1F8E" w:rsidRDefault="006B716D" w:rsidP="00845150">
            <w:pPr>
              <w:rPr>
                <w:rFonts w:cs="Times New Roman"/>
                <w:sz w:val="20"/>
                <w:szCs w:val="20"/>
              </w:rPr>
            </w:pPr>
          </w:p>
        </w:tc>
      </w:tr>
      <w:tr w:rsidR="006B716D" w:rsidRPr="00EE1F8E" w:rsidTr="00845150">
        <w:tc>
          <w:tcPr>
            <w:tcW w:w="1368" w:type="dxa"/>
          </w:tcPr>
          <w:p w:rsidR="006B716D" w:rsidRPr="00EE1F8E" w:rsidRDefault="006B716D" w:rsidP="00845150">
            <w:pPr>
              <w:rPr>
                <w:rFonts w:cs="Times New Roman"/>
                <w:sz w:val="20"/>
                <w:szCs w:val="20"/>
              </w:rPr>
            </w:pPr>
          </w:p>
        </w:tc>
        <w:tc>
          <w:tcPr>
            <w:tcW w:w="2970" w:type="dxa"/>
          </w:tcPr>
          <w:p w:rsidR="006B716D" w:rsidRPr="00EE1F8E" w:rsidRDefault="006B716D" w:rsidP="00845150">
            <w:pPr>
              <w:rPr>
                <w:rFonts w:cs="Times New Roman"/>
                <w:sz w:val="20"/>
                <w:szCs w:val="20"/>
              </w:rPr>
            </w:pPr>
            <w:r w:rsidRPr="00EE1F8E">
              <w:rPr>
                <w:rFonts w:cs="Times New Roman"/>
                <w:sz w:val="20"/>
                <w:szCs w:val="20"/>
              </w:rPr>
              <w:t>British Columbia Civil Liberties Association;</w:t>
            </w:r>
          </w:p>
        </w:tc>
        <w:tc>
          <w:tcPr>
            <w:tcW w:w="1170" w:type="dxa"/>
          </w:tcPr>
          <w:p w:rsidR="006B716D" w:rsidRPr="00EE1F8E" w:rsidRDefault="006B716D" w:rsidP="00845150">
            <w:pPr>
              <w:rPr>
                <w:rFonts w:cs="Times New Roman"/>
                <w:sz w:val="20"/>
                <w:szCs w:val="20"/>
              </w:rPr>
            </w:pPr>
          </w:p>
        </w:tc>
        <w:tc>
          <w:tcPr>
            <w:tcW w:w="4327" w:type="dxa"/>
          </w:tcPr>
          <w:p w:rsidR="006B716D" w:rsidRPr="00EE1F8E" w:rsidRDefault="006B716D" w:rsidP="00845150">
            <w:pPr>
              <w:rPr>
                <w:rFonts w:cs="Times New Roman"/>
                <w:sz w:val="20"/>
                <w:szCs w:val="20"/>
              </w:rPr>
            </w:pPr>
          </w:p>
        </w:tc>
      </w:tr>
      <w:tr w:rsidR="006B716D" w:rsidRPr="00EE1F8E" w:rsidTr="00845150">
        <w:tc>
          <w:tcPr>
            <w:tcW w:w="1368" w:type="dxa"/>
          </w:tcPr>
          <w:p w:rsidR="006B716D" w:rsidRPr="00EE1F8E" w:rsidRDefault="006B716D" w:rsidP="00845150">
            <w:pPr>
              <w:rPr>
                <w:rFonts w:cs="Times New Roman"/>
                <w:sz w:val="20"/>
                <w:szCs w:val="20"/>
              </w:rPr>
            </w:pPr>
          </w:p>
        </w:tc>
        <w:tc>
          <w:tcPr>
            <w:tcW w:w="2970" w:type="dxa"/>
          </w:tcPr>
          <w:p w:rsidR="006B716D" w:rsidRPr="00EE1F8E" w:rsidRDefault="006B716D" w:rsidP="00845150">
            <w:pPr>
              <w:rPr>
                <w:rFonts w:cs="Times New Roman"/>
                <w:sz w:val="20"/>
                <w:szCs w:val="20"/>
              </w:rPr>
            </w:pPr>
            <w:r w:rsidRPr="00EE1F8E">
              <w:rPr>
                <w:rFonts w:cs="Times New Roman"/>
                <w:sz w:val="20"/>
                <w:szCs w:val="20"/>
              </w:rPr>
              <w:t>Ecojustice Canada;</w:t>
            </w:r>
          </w:p>
        </w:tc>
        <w:tc>
          <w:tcPr>
            <w:tcW w:w="1170" w:type="dxa"/>
          </w:tcPr>
          <w:p w:rsidR="006B716D" w:rsidRPr="00EE1F8E" w:rsidRDefault="006B716D" w:rsidP="00845150">
            <w:pPr>
              <w:rPr>
                <w:rFonts w:cs="Times New Roman"/>
                <w:sz w:val="20"/>
                <w:szCs w:val="20"/>
              </w:rPr>
            </w:pPr>
          </w:p>
        </w:tc>
        <w:tc>
          <w:tcPr>
            <w:tcW w:w="4327" w:type="dxa"/>
          </w:tcPr>
          <w:p w:rsidR="006B716D" w:rsidRPr="00EE1F8E" w:rsidRDefault="006B716D" w:rsidP="00845150">
            <w:pPr>
              <w:rPr>
                <w:rFonts w:cs="Times New Roman"/>
                <w:sz w:val="20"/>
                <w:szCs w:val="20"/>
              </w:rPr>
            </w:pPr>
          </w:p>
        </w:tc>
      </w:tr>
      <w:tr w:rsidR="006B716D" w:rsidRPr="00EE1F8E" w:rsidTr="00845150">
        <w:tc>
          <w:tcPr>
            <w:tcW w:w="1368" w:type="dxa"/>
          </w:tcPr>
          <w:p w:rsidR="006B716D" w:rsidRPr="00EE1F8E" w:rsidRDefault="006B716D" w:rsidP="00845150">
            <w:pPr>
              <w:rPr>
                <w:rFonts w:cs="Times New Roman"/>
                <w:sz w:val="20"/>
                <w:szCs w:val="20"/>
              </w:rPr>
            </w:pPr>
          </w:p>
        </w:tc>
        <w:tc>
          <w:tcPr>
            <w:tcW w:w="2970" w:type="dxa"/>
          </w:tcPr>
          <w:p w:rsidR="006B716D" w:rsidRPr="00EE1F8E" w:rsidRDefault="006B716D" w:rsidP="00845150">
            <w:pPr>
              <w:rPr>
                <w:rFonts w:cs="Times New Roman"/>
                <w:sz w:val="20"/>
                <w:szCs w:val="20"/>
              </w:rPr>
            </w:pPr>
            <w:r w:rsidRPr="00EE1F8E">
              <w:rPr>
                <w:rFonts w:cs="Times New Roman"/>
                <w:sz w:val="20"/>
                <w:szCs w:val="20"/>
              </w:rPr>
              <w:t>Coalition of West Coast Women's Legal Education and Action Fund (West Coast LEAF), Justice for Children and Youth and ARCH Disability Law Centre;</w:t>
            </w:r>
          </w:p>
        </w:tc>
        <w:tc>
          <w:tcPr>
            <w:tcW w:w="1170" w:type="dxa"/>
          </w:tcPr>
          <w:p w:rsidR="006B716D" w:rsidRPr="00EE1F8E" w:rsidRDefault="006B716D" w:rsidP="00845150">
            <w:pPr>
              <w:rPr>
                <w:rFonts w:cs="Times New Roman"/>
                <w:sz w:val="20"/>
                <w:szCs w:val="20"/>
              </w:rPr>
            </w:pPr>
          </w:p>
        </w:tc>
        <w:tc>
          <w:tcPr>
            <w:tcW w:w="4327" w:type="dxa"/>
          </w:tcPr>
          <w:p w:rsidR="006B716D" w:rsidRPr="00EE1F8E" w:rsidRDefault="006B716D" w:rsidP="00845150">
            <w:pPr>
              <w:rPr>
                <w:rFonts w:cs="Times New Roman"/>
                <w:sz w:val="20"/>
                <w:szCs w:val="20"/>
              </w:rPr>
            </w:pPr>
          </w:p>
        </w:tc>
      </w:tr>
      <w:tr w:rsidR="006B716D" w:rsidRPr="00C5295A" w:rsidTr="00845150">
        <w:tc>
          <w:tcPr>
            <w:tcW w:w="1368" w:type="dxa"/>
          </w:tcPr>
          <w:p w:rsidR="006B716D" w:rsidRPr="00EE1F8E" w:rsidRDefault="006B716D" w:rsidP="00845150">
            <w:pPr>
              <w:rPr>
                <w:rFonts w:cs="Times New Roman"/>
                <w:sz w:val="20"/>
                <w:szCs w:val="20"/>
              </w:rPr>
            </w:pPr>
          </w:p>
        </w:tc>
        <w:tc>
          <w:tcPr>
            <w:tcW w:w="2970" w:type="dxa"/>
          </w:tcPr>
          <w:p w:rsidR="006B716D" w:rsidRPr="00EE1F8E" w:rsidRDefault="006B716D" w:rsidP="00845150">
            <w:pPr>
              <w:rPr>
                <w:rFonts w:cs="Times New Roman"/>
                <w:sz w:val="20"/>
                <w:szCs w:val="20"/>
                <w:lang w:val="fr-CA"/>
              </w:rPr>
            </w:pPr>
            <w:r w:rsidRPr="00EE1F8E">
              <w:rPr>
                <w:rFonts w:cs="Times New Roman"/>
                <w:sz w:val="20"/>
                <w:szCs w:val="20"/>
                <w:lang w:val="fr-CA"/>
              </w:rPr>
              <w:t>Conseil scolaire francophone de la Colombie-Britannique;</w:t>
            </w:r>
          </w:p>
        </w:tc>
        <w:tc>
          <w:tcPr>
            <w:tcW w:w="1170" w:type="dxa"/>
          </w:tcPr>
          <w:p w:rsidR="006B716D" w:rsidRPr="00EE1F8E" w:rsidRDefault="006B716D" w:rsidP="00845150">
            <w:pPr>
              <w:rPr>
                <w:rFonts w:cs="Times New Roman"/>
                <w:sz w:val="20"/>
                <w:szCs w:val="20"/>
                <w:lang w:val="fr-CA"/>
              </w:rPr>
            </w:pPr>
          </w:p>
        </w:tc>
        <w:tc>
          <w:tcPr>
            <w:tcW w:w="4327" w:type="dxa"/>
          </w:tcPr>
          <w:p w:rsidR="006B716D" w:rsidRPr="00EE1F8E" w:rsidRDefault="006B716D" w:rsidP="00845150">
            <w:pPr>
              <w:rPr>
                <w:rFonts w:cs="Times New Roman"/>
                <w:sz w:val="20"/>
                <w:szCs w:val="20"/>
                <w:lang w:val="fr-CA"/>
              </w:rPr>
            </w:pPr>
          </w:p>
        </w:tc>
      </w:tr>
      <w:tr w:rsidR="006B716D" w:rsidRPr="00EE1F8E" w:rsidTr="00845150">
        <w:tc>
          <w:tcPr>
            <w:tcW w:w="1368" w:type="dxa"/>
          </w:tcPr>
          <w:p w:rsidR="006B716D" w:rsidRPr="00EE1F8E" w:rsidRDefault="006B716D" w:rsidP="00845150">
            <w:pPr>
              <w:rPr>
                <w:rFonts w:cs="Times New Roman"/>
                <w:sz w:val="20"/>
                <w:szCs w:val="20"/>
                <w:lang w:val="fr-CA"/>
              </w:rPr>
            </w:pPr>
          </w:p>
        </w:tc>
        <w:tc>
          <w:tcPr>
            <w:tcW w:w="2970" w:type="dxa"/>
          </w:tcPr>
          <w:p w:rsidR="006B716D" w:rsidRPr="00EE1F8E" w:rsidRDefault="006B716D" w:rsidP="00845150">
            <w:pPr>
              <w:rPr>
                <w:rFonts w:cs="Times New Roman"/>
                <w:sz w:val="20"/>
                <w:szCs w:val="20"/>
              </w:rPr>
            </w:pPr>
            <w:r w:rsidRPr="00EE1F8E">
              <w:rPr>
                <w:rFonts w:cs="Times New Roman"/>
                <w:sz w:val="20"/>
                <w:szCs w:val="20"/>
              </w:rPr>
              <w:t>David Asper Centre for Constitutional Rights;</w:t>
            </w:r>
          </w:p>
        </w:tc>
        <w:tc>
          <w:tcPr>
            <w:tcW w:w="1170" w:type="dxa"/>
          </w:tcPr>
          <w:p w:rsidR="006B716D" w:rsidRPr="00EE1F8E" w:rsidRDefault="006B716D" w:rsidP="00845150">
            <w:pPr>
              <w:rPr>
                <w:rFonts w:cs="Times New Roman"/>
                <w:sz w:val="20"/>
                <w:szCs w:val="20"/>
              </w:rPr>
            </w:pPr>
          </w:p>
        </w:tc>
        <w:tc>
          <w:tcPr>
            <w:tcW w:w="4327" w:type="dxa"/>
          </w:tcPr>
          <w:p w:rsidR="006B716D" w:rsidRPr="00EE1F8E" w:rsidRDefault="006B716D" w:rsidP="00845150">
            <w:pPr>
              <w:rPr>
                <w:rFonts w:cs="Times New Roman"/>
                <w:sz w:val="20"/>
                <w:szCs w:val="20"/>
              </w:rPr>
            </w:pPr>
          </w:p>
        </w:tc>
      </w:tr>
      <w:tr w:rsidR="006B716D" w:rsidRPr="00EE1F8E" w:rsidTr="00845150">
        <w:tc>
          <w:tcPr>
            <w:tcW w:w="1368" w:type="dxa"/>
          </w:tcPr>
          <w:p w:rsidR="006B716D" w:rsidRPr="00EE1F8E" w:rsidRDefault="006B716D" w:rsidP="00845150">
            <w:pPr>
              <w:rPr>
                <w:rFonts w:cs="Times New Roman"/>
                <w:sz w:val="20"/>
                <w:szCs w:val="20"/>
              </w:rPr>
            </w:pPr>
          </w:p>
        </w:tc>
        <w:tc>
          <w:tcPr>
            <w:tcW w:w="2970" w:type="dxa"/>
          </w:tcPr>
          <w:p w:rsidR="006B716D" w:rsidRPr="00EE1F8E" w:rsidRDefault="006B716D" w:rsidP="00845150">
            <w:pPr>
              <w:rPr>
                <w:rFonts w:cs="Times New Roman"/>
                <w:sz w:val="20"/>
                <w:szCs w:val="20"/>
              </w:rPr>
            </w:pPr>
            <w:r w:rsidRPr="00EE1F8E">
              <w:rPr>
                <w:rFonts w:cs="Times New Roman"/>
                <w:sz w:val="20"/>
                <w:szCs w:val="20"/>
              </w:rPr>
              <w:t>Canadian Civil Liberties Association;</w:t>
            </w:r>
          </w:p>
        </w:tc>
        <w:tc>
          <w:tcPr>
            <w:tcW w:w="1170" w:type="dxa"/>
          </w:tcPr>
          <w:p w:rsidR="006B716D" w:rsidRPr="00EE1F8E" w:rsidRDefault="006B716D" w:rsidP="00845150">
            <w:pPr>
              <w:rPr>
                <w:rFonts w:cs="Times New Roman"/>
                <w:sz w:val="20"/>
                <w:szCs w:val="20"/>
              </w:rPr>
            </w:pPr>
          </w:p>
        </w:tc>
        <w:tc>
          <w:tcPr>
            <w:tcW w:w="4327" w:type="dxa"/>
          </w:tcPr>
          <w:p w:rsidR="006B716D" w:rsidRPr="00EE1F8E" w:rsidRDefault="006B716D" w:rsidP="00845150">
            <w:pPr>
              <w:rPr>
                <w:rFonts w:cs="Times New Roman"/>
                <w:sz w:val="20"/>
                <w:szCs w:val="20"/>
              </w:rPr>
            </w:pPr>
          </w:p>
        </w:tc>
      </w:tr>
      <w:tr w:rsidR="006B716D" w:rsidRPr="00EE1F8E" w:rsidTr="00845150">
        <w:tc>
          <w:tcPr>
            <w:tcW w:w="1368" w:type="dxa"/>
          </w:tcPr>
          <w:p w:rsidR="006B716D" w:rsidRPr="00EE1F8E" w:rsidRDefault="006B716D" w:rsidP="00845150">
            <w:pPr>
              <w:rPr>
                <w:rFonts w:cs="Times New Roman"/>
                <w:sz w:val="20"/>
                <w:szCs w:val="20"/>
                <w:lang w:val="fr-CA"/>
              </w:rPr>
            </w:pPr>
          </w:p>
        </w:tc>
        <w:tc>
          <w:tcPr>
            <w:tcW w:w="2970" w:type="dxa"/>
          </w:tcPr>
          <w:p w:rsidR="006B716D" w:rsidRPr="00EE1F8E" w:rsidRDefault="006B716D" w:rsidP="00845150">
            <w:pPr>
              <w:rPr>
                <w:rFonts w:cs="Times New Roman"/>
                <w:sz w:val="20"/>
                <w:szCs w:val="20"/>
              </w:rPr>
            </w:pPr>
            <w:r w:rsidRPr="00EE1F8E">
              <w:rPr>
                <w:rFonts w:cs="Times New Roman"/>
                <w:sz w:val="20"/>
                <w:szCs w:val="20"/>
              </w:rPr>
              <w:t>Canadian Association of Refugee Lawyers and Canadian Council for Refugees;</w:t>
            </w:r>
          </w:p>
        </w:tc>
        <w:tc>
          <w:tcPr>
            <w:tcW w:w="1170" w:type="dxa"/>
          </w:tcPr>
          <w:p w:rsidR="006B716D" w:rsidRPr="00EE1F8E" w:rsidRDefault="006B716D" w:rsidP="00845150">
            <w:pPr>
              <w:rPr>
                <w:rFonts w:cs="Times New Roman"/>
                <w:sz w:val="20"/>
                <w:szCs w:val="20"/>
              </w:rPr>
            </w:pPr>
          </w:p>
        </w:tc>
        <w:tc>
          <w:tcPr>
            <w:tcW w:w="4327" w:type="dxa"/>
          </w:tcPr>
          <w:p w:rsidR="006B716D" w:rsidRPr="00EE1F8E" w:rsidRDefault="006B716D" w:rsidP="00845150">
            <w:pPr>
              <w:rPr>
                <w:rFonts w:cs="Times New Roman"/>
                <w:sz w:val="20"/>
                <w:szCs w:val="20"/>
              </w:rPr>
            </w:pPr>
          </w:p>
        </w:tc>
      </w:tr>
      <w:tr w:rsidR="006B716D" w:rsidRPr="00EE1F8E" w:rsidTr="00845150">
        <w:tc>
          <w:tcPr>
            <w:tcW w:w="1368" w:type="dxa"/>
          </w:tcPr>
          <w:p w:rsidR="006B716D" w:rsidRPr="00EE1F8E" w:rsidRDefault="006B716D" w:rsidP="00845150">
            <w:pPr>
              <w:rPr>
                <w:rFonts w:cs="Times New Roman"/>
                <w:sz w:val="20"/>
                <w:szCs w:val="20"/>
              </w:rPr>
            </w:pPr>
          </w:p>
        </w:tc>
        <w:tc>
          <w:tcPr>
            <w:tcW w:w="2970" w:type="dxa"/>
          </w:tcPr>
          <w:p w:rsidR="006B716D" w:rsidRPr="00EE1F8E" w:rsidRDefault="006B716D" w:rsidP="00845150">
            <w:pPr>
              <w:rPr>
                <w:rFonts w:cs="Times New Roman"/>
                <w:sz w:val="20"/>
                <w:szCs w:val="20"/>
              </w:rPr>
            </w:pPr>
            <w:r w:rsidRPr="00EE1F8E">
              <w:rPr>
                <w:rFonts w:cs="Times New Roman"/>
                <w:sz w:val="20"/>
                <w:szCs w:val="20"/>
              </w:rPr>
              <w:t>Canadian HIV / AIDS Legal Network, HIV &amp; AIDS Legal Clinic Ontario and Positive Living Society of British Columbia</w:t>
            </w:r>
          </w:p>
        </w:tc>
        <w:tc>
          <w:tcPr>
            <w:tcW w:w="1170" w:type="dxa"/>
          </w:tcPr>
          <w:p w:rsidR="006B716D" w:rsidRPr="00EE1F8E" w:rsidRDefault="006B716D" w:rsidP="00845150">
            <w:pPr>
              <w:rPr>
                <w:rFonts w:cs="Times New Roman"/>
                <w:sz w:val="20"/>
                <w:szCs w:val="20"/>
              </w:rPr>
            </w:pPr>
          </w:p>
        </w:tc>
        <w:tc>
          <w:tcPr>
            <w:tcW w:w="4327" w:type="dxa"/>
          </w:tcPr>
          <w:p w:rsidR="006B716D" w:rsidRPr="00EE1F8E" w:rsidRDefault="006B716D" w:rsidP="00845150">
            <w:pPr>
              <w:rPr>
                <w:rFonts w:cs="Times New Roman"/>
                <w:sz w:val="20"/>
                <w:szCs w:val="20"/>
              </w:rPr>
            </w:pPr>
          </w:p>
        </w:tc>
      </w:tr>
      <w:tr w:rsidR="006B716D" w:rsidRPr="00EE1F8E" w:rsidTr="00845150">
        <w:tc>
          <w:tcPr>
            <w:tcW w:w="1368" w:type="dxa"/>
          </w:tcPr>
          <w:p w:rsidR="006B716D" w:rsidRPr="00EE1F8E" w:rsidRDefault="006B716D" w:rsidP="00845150">
            <w:pPr>
              <w:rPr>
                <w:rFonts w:cs="Times New Roman"/>
                <w:sz w:val="20"/>
                <w:szCs w:val="20"/>
              </w:rPr>
            </w:pPr>
          </w:p>
        </w:tc>
        <w:tc>
          <w:tcPr>
            <w:tcW w:w="2970" w:type="dxa"/>
          </w:tcPr>
          <w:p w:rsidR="006B716D" w:rsidRPr="00EE1F8E" w:rsidRDefault="006B716D" w:rsidP="00845150">
            <w:pPr>
              <w:rPr>
                <w:rFonts w:cs="Times New Roman"/>
                <w:sz w:val="20"/>
                <w:szCs w:val="20"/>
              </w:rPr>
            </w:pPr>
          </w:p>
        </w:tc>
        <w:tc>
          <w:tcPr>
            <w:tcW w:w="1170" w:type="dxa"/>
          </w:tcPr>
          <w:p w:rsidR="006B716D" w:rsidRPr="00EE1F8E" w:rsidRDefault="006B716D" w:rsidP="00845150">
            <w:pPr>
              <w:rPr>
                <w:rFonts w:cs="Times New Roman"/>
                <w:sz w:val="20"/>
                <w:szCs w:val="20"/>
              </w:rPr>
            </w:pPr>
          </w:p>
        </w:tc>
        <w:tc>
          <w:tcPr>
            <w:tcW w:w="4327" w:type="dxa"/>
          </w:tcPr>
          <w:p w:rsidR="006B716D" w:rsidRPr="00EE1F8E" w:rsidRDefault="006B716D" w:rsidP="00845150">
            <w:pPr>
              <w:rPr>
                <w:rFonts w:cs="Times New Roman"/>
                <w:sz w:val="20"/>
                <w:szCs w:val="20"/>
              </w:rPr>
            </w:pPr>
          </w:p>
        </w:tc>
      </w:tr>
      <w:tr w:rsidR="006B716D" w:rsidRPr="00EE1F8E" w:rsidTr="00845150">
        <w:tc>
          <w:tcPr>
            <w:tcW w:w="1368" w:type="dxa"/>
          </w:tcPr>
          <w:p w:rsidR="006B716D" w:rsidRPr="00EE1F8E" w:rsidRDefault="006B716D" w:rsidP="00845150">
            <w:pPr>
              <w:rPr>
                <w:rFonts w:cs="Times New Roman"/>
                <w:sz w:val="20"/>
                <w:szCs w:val="20"/>
              </w:rPr>
            </w:pPr>
            <w:r w:rsidRPr="00EE1F8E">
              <w:rPr>
                <w:rFonts w:cs="Times New Roman"/>
                <w:sz w:val="20"/>
                <w:szCs w:val="20"/>
              </w:rPr>
              <w:t>IN / DANS :</w:t>
            </w:r>
          </w:p>
        </w:tc>
        <w:tc>
          <w:tcPr>
            <w:tcW w:w="2970" w:type="dxa"/>
          </w:tcPr>
          <w:p w:rsidR="006B716D" w:rsidRPr="00EE1F8E" w:rsidRDefault="006B716D" w:rsidP="00845150">
            <w:pPr>
              <w:rPr>
                <w:rFonts w:cs="Times New Roman"/>
                <w:sz w:val="20"/>
                <w:szCs w:val="20"/>
              </w:rPr>
            </w:pPr>
            <w:r w:rsidRPr="00EE1F8E">
              <w:rPr>
                <w:rFonts w:cs="Times New Roman"/>
                <w:sz w:val="20"/>
                <w:szCs w:val="20"/>
              </w:rPr>
              <w:t>Attorney General of Canada</w:t>
            </w:r>
          </w:p>
          <w:p w:rsidR="006B716D" w:rsidRPr="00EE1F8E" w:rsidRDefault="006B716D" w:rsidP="00845150">
            <w:pPr>
              <w:rPr>
                <w:rFonts w:cs="Times New Roman"/>
                <w:sz w:val="20"/>
                <w:szCs w:val="20"/>
              </w:rPr>
            </w:pPr>
          </w:p>
        </w:tc>
        <w:tc>
          <w:tcPr>
            <w:tcW w:w="1170" w:type="dxa"/>
          </w:tcPr>
          <w:p w:rsidR="006B716D" w:rsidRPr="00EE1F8E" w:rsidRDefault="006B716D" w:rsidP="00845150">
            <w:pPr>
              <w:rPr>
                <w:rFonts w:cs="Times New Roman"/>
                <w:sz w:val="20"/>
                <w:szCs w:val="20"/>
              </w:rPr>
            </w:pPr>
          </w:p>
        </w:tc>
        <w:tc>
          <w:tcPr>
            <w:tcW w:w="4327" w:type="dxa"/>
          </w:tcPr>
          <w:p w:rsidR="006B716D" w:rsidRPr="00EE1F8E" w:rsidRDefault="006B716D" w:rsidP="00845150">
            <w:pPr>
              <w:rPr>
                <w:rFonts w:cs="Times New Roman"/>
                <w:sz w:val="20"/>
                <w:szCs w:val="20"/>
              </w:rPr>
            </w:pPr>
          </w:p>
        </w:tc>
      </w:tr>
      <w:tr w:rsidR="006B716D" w:rsidRPr="00EE1F8E" w:rsidTr="00845150">
        <w:tc>
          <w:tcPr>
            <w:tcW w:w="1368" w:type="dxa"/>
          </w:tcPr>
          <w:p w:rsidR="006B716D" w:rsidRPr="00EE1F8E" w:rsidRDefault="006B716D" w:rsidP="00845150">
            <w:pPr>
              <w:rPr>
                <w:rFonts w:cs="Times New Roman"/>
                <w:sz w:val="20"/>
                <w:szCs w:val="20"/>
              </w:rPr>
            </w:pPr>
          </w:p>
        </w:tc>
        <w:tc>
          <w:tcPr>
            <w:tcW w:w="2970" w:type="dxa"/>
          </w:tcPr>
          <w:p w:rsidR="006B716D" w:rsidRPr="00EE1F8E" w:rsidRDefault="006B716D" w:rsidP="00845150">
            <w:pPr>
              <w:rPr>
                <w:rFonts w:cs="Times New Roman"/>
                <w:sz w:val="20"/>
                <w:szCs w:val="20"/>
              </w:rPr>
            </w:pPr>
            <w:r w:rsidRPr="00EE1F8E">
              <w:rPr>
                <w:rFonts w:cs="Times New Roman"/>
                <w:sz w:val="20"/>
                <w:szCs w:val="20"/>
              </w:rPr>
              <w:tab/>
              <w:t>v. (33981)</w:t>
            </w:r>
          </w:p>
          <w:p w:rsidR="006B716D" w:rsidRPr="00EE1F8E" w:rsidRDefault="006B716D" w:rsidP="00845150">
            <w:pPr>
              <w:rPr>
                <w:rFonts w:cs="Times New Roman"/>
                <w:sz w:val="20"/>
                <w:szCs w:val="20"/>
              </w:rPr>
            </w:pPr>
          </w:p>
        </w:tc>
        <w:tc>
          <w:tcPr>
            <w:tcW w:w="1170" w:type="dxa"/>
          </w:tcPr>
          <w:p w:rsidR="006B716D" w:rsidRPr="00EE1F8E" w:rsidRDefault="006B716D" w:rsidP="00845150">
            <w:pPr>
              <w:rPr>
                <w:rFonts w:cs="Times New Roman"/>
                <w:sz w:val="20"/>
                <w:szCs w:val="20"/>
              </w:rPr>
            </w:pPr>
          </w:p>
        </w:tc>
        <w:tc>
          <w:tcPr>
            <w:tcW w:w="4327" w:type="dxa"/>
          </w:tcPr>
          <w:p w:rsidR="006B716D" w:rsidRPr="00EE1F8E" w:rsidRDefault="006B716D" w:rsidP="00845150">
            <w:pPr>
              <w:rPr>
                <w:rFonts w:cs="Times New Roman"/>
                <w:sz w:val="20"/>
                <w:szCs w:val="20"/>
              </w:rPr>
            </w:pPr>
          </w:p>
        </w:tc>
      </w:tr>
      <w:tr w:rsidR="006B716D" w:rsidRPr="00EE1F8E" w:rsidTr="00845150">
        <w:tc>
          <w:tcPr>
            <w:tcW w:w="1368" w:type="dxa"/>
          </w:tcPr>
          <w:p w:rsidR="006B716D" w:rsidRPr="00EE1F8E" w:rsidRDefault="006B716D" w:rsidP="00845150">
            <w:pPr>
              <w:rPr>
                <w:rFonts w:cs="Times New Roman"/>
                <w:sz w:val="20"/>
                <w:szCs w:val="20"/>
              </w:rPr>
            </w:pPr>
          </w:p>
        </w:tc>
        <w:tc>
          <w:tcPr>
            <w:tcW w:w="2970" w:type="dxa"/>
          </w:tcPr>
          <w:p w:rsidR="006B716D" w:rsidRPr="00EE1F8E" w:rsidRDefault="006B716D" w:rsidP="00845150">
            <w:pPr>
              <w:jc w:val="both"/>
              <w:rPr>
                <w:rFonts w:cs="Times New Roman"/>
                <w:sz w:val="20"/>
                <w:szCs w:val="20"/>
              </w:rPr>
            </w:pPr>
            <w:r w:rsidRPr="00EE1F8E">
              <w:rPr>
                <w:rFonts w:cs="Times New Roman"/>
                <w:sz w:val="20"/>
                <w:szCs w:val="20"/>
              </w:rPr>
              <w:t>Downtown Eastside Sex Workers United Against Violence Society et al. (B.C.)</w:t>
            </w:r>
          </w:p>
        </w:tc>
        <w:tc>
          <w:tcPr>
            <w:tcW w:w="1170" w:type="dxa"/>
          </w:tcPr>
          <w:p w:rsidR="006B716D" w:rsidRPr="00EE1F8E" w:rsidRDefault="006B716D" w:rsidP="00845150">
            <w:pPr>
              <w:rPr>
                <w:rFonts w:cs="Times New Roman"/>
                <w:sz w:val="20"/>
                <w:szCs w:val="20"/>
              </w:rPr>
            </w:pPr>
          </w:p>
        </w:tc>
        <w:tc>
          <w:tcPr>
            <w:tcW w:w="4327" w:type="dxa"/>
          </w:tcPr>
          <w:p w:rsidR="006B716D" w:rsidRPr="00EE1F8E" w:rsidRDefault="006B716D" w:rsidP="00845150">
            <w:pPr>
              <w:rPr>
                <w:rFonts w:cs="Times New Roman"/>
                <w:sz w:val="20"/>
                <w:szCs w:val="20"/>
              </w:rPr>
            </w:pPr>
          </w:p>
        </w:tc>
      </w:tr>
    </w:tbl>
    <w:p w:rsidR="006B716D" w:rsidRPr="00EE1F8E" w:rsidRDefault="006B716D" w:rsidP="006B716D">
      <w:pPr>
        <w:tabs>
          <w:tab w:val="left" w:pos="-1440"/>
          <w:tab w:val="left" w:pos="-720"/>
        </w:tabs>
        <w:jc w:val="both"/>
        <w:rPr>
          <w:rFonts w:cs="Times New Roman"/>
          <w:sz w:val="20"/>
          <w:szCs w:val="20"/>
        </w:rPr>
      </w:pPr>
    </w:p>
    <w:p w:rsidR="006B716D" w:rsidRPr="00EE1F8E" w:rsidRDefault="006B716D" w:rsidP="006B716D">
      <w:pPr>
        <w:spacing w:line="230" w:lineRule="auto"/>
        <w:jc w:val="both"/>
        <w:rPr>
          <w:rFonts w:cs="Times New Roman"/>
          <w:sz w:val="20"/>
          <w:szCs w:val="20"/>
        </w:rPr>
      </w:pPr>
      <w:r w:rsidRPr="00EE1F8E">
        <w:rPr>
          <w:rFonts w:cs="Times New Roman"/>
          <w:b/>
          <w:bCs/>
          <w:sz w:val="20"/>
          <w:szCs w:val="20"/>
        </w:rPr>
        <w:t>FURTHER TO THE ORDER</w:t>
      </w:r>
      <w:r w:rsidRPr="00EE1F8E">
        <w:rPr>
          <w:rFonts w:cs="Times New Roman"/>
          <w:sz w:val="20"/>
          <w:szCs w:val="20"/>
        </w:rPr>
        <w:t xml:space="preserve"> dated November 4, 2011, granting leave to intervene to</w:t>
      </w:r>
      <w:r w:rsidRPr="00EE1F8E">
        <w:rPr>
          <w:rFonts w:cs="Times New Roman"/>
          <w:b/>
          <w:bCs/>
          <w:sz w:val="20"/>
          <w:szCs w:val="20"/>
        </w:rPr>
        <w:t xml:space="preserve"> </w:t>
      </w:r>
      <w:r w:rsidRPr="00EE1F8E">
        <w:rPr>
          <w:rFonts w:cs="Times New Roman"/>
          <w:sz w:val="20"/>
          <w:szCs w:val="20"/>
        </w:rPr>
        <w:t xml:space="preserve">Attorney General of Ontario, the Community Legal Assistance Society, the British Columbia Civil Liberties Association, Ecojustice Canada, the Coalition of West Coast Women's Legal Education and Action Fund (West Coast LEAF), Justice for Children and </w:t>
      </w:r>
      <w:r w:rsidRPr="00EE1F8E">
        <w:rPr>
          <w:rFonts w:cs="Times New Roman"/>
          <w:sz w:val="20"/>
          <w:szCs w:val="20"/>
        </w:rPr>
        <w:lastRenderedPageBreak/>
        <w:t>Youth and ARCH Disability Law Centre, the Conseil scolaire francophone de la Colombie-Britannique, the David Asper Centre for Constitutional Rights, the Canadian Civil Liberties Association, the Canadian Association of Refugee Lawyers and Canadian Council for Refugees and the Canadian HIV / AIDS Legal Network, HIV &amp; AIDS Legal Clinic Ontario and Positive Living Society of British Columbia;</w:t>
      </w:r>
    </w:p>
    <w:p w:rsidR="006B716D" w:rsidRPr="00EE1F8E" w:rsidRDefault="006B716D" w:rsidP="006B716D">
      <w:pPr>
        <w:spacing w:line="230" w:lineRule="auto"/>
        <w:jc w:val="both"/>
        <w:rPr>
          <w:rFonts w:cs="Times New Roman"/>
          <w:sz w:val="20"/>
          <w:szCs w:val="20"/>
        </w:rPr>
      </w:pPr>
    </w:p>
    <w:p w:rsidR="006B716D" w:rsidRPr="00EE1F8E" w:rsidRDefault="006B716D" w:rsidP="006B716D">
      <w:pPr>
        <w:spacing w:line="230" w:lineRule="auto"/>
        <w:jc w:val="both"/>
        <w:rPr>
          <w:rFonts w:cs="Times New Roman"/>
          <w:sz w:val="20"/>
          <w:szCs w:val="20"/>
        </w:rPr>
      </w:pPr>
      <w:r w:rsidRPr="00EE1F8E">
        <w:rPr>
          <w:rFonts w:cs="Times New Roman"/>
          <w:b/>
          <w:bCs/>
          <w:sz w:val="20"/>
          <w:szCs w:val="20"/>
        </w:rPr>
        <w:t xml:space="preserve">IT IS HEREBY FURTHER ORDERED THAT </w:t>
      </w:r>
      <w:r w:rsidRPr="00EE1F8E">
        <w:rPr>
          <w:rFonts w:cs="Times New Roman"/>
          <w:bCs/>
          <w:sz w:val="20"/>
          <w:szCs w:val="20"/>
        </w:rPr>
        <w:t>only the</w:t>
      </w:r>
      <w:r w:rsidRPr="00EE1F8E">
        <w:rPr>
          <w:rFonts w:cs="Times New Roman"/>
          <w:b/>
          <w:bCs/>
          <w:sz w:val="20"/>
          <w:szCs w:val="20"/>
        </w:rPr>
        <w:t xml:space="preserve"> </w:t>
      </w:r>
      <w:r w:rsidRPr="00EE1F8E">
        <w:rPr>
          <w:rFonts w:cs="Times New Roman"/>
          <w:sz w:val="20"/>
          <w:szCs w:val="20"/>
        </w:rPr>
        <w:t>Attorney General of Ontario, the Community Legal Assistance Society, the British Columbia Civil Liberties Association and the David Asper Centre for Constitutional Rights are each granted permission to present oral argument not exceeding ten (10) minutes at the hearing of the appeal.</w:t>
      </w:r>
    </w:p>
    <w:p w:rsidR="006B716D" w:rsidRPr="00EE1F8E" w:rsidRDefault="006B716D" w:rsidP="006B716D">
      <w:pPr>
        <w:spacing w:line="230" w:lineRule="auto"/>
        <w:jc w:val="both"/>
        <w:rPr>
          <w:rFonts w:cs="Times New Roman"/>
          <w:sz w:val="20"/>
          <w:szCs w:val="20"/>
        </w:rPr>
      </w:pPr>
    </w:p>
    <w:p w:rsidR="006B716D" w:rsidRPr="00EE1F8E" w:rsidRDefault="006B716D" w:rsidP="006B716D">
      <w:pPr>
        <w:spacing w:line="230" w:lineRule="auto"/>
        <w:jc w:val="both"/>
        <w:rPr>
          <w:rFonts w:cs="Times New Roman"/>
          <w:sz w:val="20"/>
          <w:szCs w:val="20"/>
        </w:rPr>
      </w:pPr>
    </w:p>
    <w:p w:rsidR="006B716D" w:rsidRPr="00EE1F8E" w:rsidRDefault="006B716D" w:rsidP="006B716D">
      <w:pPr>
        <w:spacing w:line="230" w:lineRule="auto"/>
        <w:jc w:val="both"/>
        <w:rPr>
          <w:rFonts w:cs="Times New Roman"/>
          <w:sz w:val="20"/>
          <w:szCs w:val="20"/>
        </w:rPr>
      </w:pPr>
    </w:p>
    <w:p w:rsidR="006B716D" w:rsidRPr="00EE1F8E" w:rsidRDefault="006B716D" w:rsidP="006B716D">
      <w:pPr>
        <w:spacing w:line="230" w:lineRule="auto"/>
        <w:jc w:val="both"/>
        <w:rPr>
          <w:rFonts w:cs="Times New Roman"/>
          <w:sz w:val="20"/>
          <w:szCs w:val="20"/>
          <w:lang w:val="fr-CA"/>
        </w:rPr>
      </w:pPr>
      <w:r w:rsidRPr="00EE1F8E">
        <w:rPr>
          <w:rFonts w:cs="Times New Roman"/>
          <w:b/>
          <w:bCs/>
          <w:sz w:val="20"/>
          <w:szCs w:val="20"/>
          <w:lang w:val="fr-CA"/>
        </w:rPr>
        <w:t xml:space="preserve">À LA SUITE DE L’ORDONNANCE </w:t>
      </w:r>
      <w:r w:rsidRPr="00EE1F8E">
        <w:rPr>
          <w:rFonts w:cs="Times New Roman"/>
          <w:sz w:val="20"/>
          <w:szCs w:val="20"/>
          <w:lang w:val="fr-CA"/>
        </w:rPr>
        <w:t xml:space="preserve">du 4 novembre 2011, accordant l’autorisation d’intervenir au </w:t>
      </w:r>
      <w:r w:rsidRPr="00EE1F8E">
        <w:rPr>
          <w:rFonts w:cs="Times New Roman"/>
          <w:sz w:val="20"/>
          <w:szCs w:val="20"/>
          <w:lang w:val="fr-FR"/>
        </w:rPr>
        <w:t xml:space="preserve">Procureur général de l'Ontario, la Community Legal Assistance Society, l’Association des libertés civiles de la Colombie-Britannique, Ecojustice Canada, la Coalition of West Coast Women's Legal Education and Action Fund (West Coast LEAF), Justice for Children and Youth et ARCH Disability Law Centre, le Conseil scolaire francophone de la Colombie-Britannique, le David Asper Centre for Constitutional Rights, l’Association canadienne des libertés civiles, la Canadian Association of Refugee Lawyers et Conseil canadien pour les réfugiés et le </w:t>
      </w:r>
      <w:r w:rsidRPr="00EE1F8E">
        <w:rPr>
          <w:rFonts w:cs="Times New Roman"/>
          <w:sz w:val="20"/>
          <w:szCs w:val="20"/>
          <w:lang w:val="fr-CA"/>
        </w:rPr>
        <w:t>Réseau juridique canadien VIH/sida, HIV &amp; AIDS Legal Clinic Ontario et Positive Living Society of British Columbia;</w:t>
      </w:r>
    </w:p>
    <w:p w:rsidR="006B716D" w:rsidRPr="00EE1F8E" w:rsidRDefault="006B716D" w:rsidP="006B716D">
      <w:pPr>
        <w:spacing w:line="230" w:lineRule="auto"/>
        <w:jc w:val="both"/>
        <w:rPr>
          <w:rFonts w:cs="Times New Roman"/>
          <w:sz w:val="20"/>
          <w:szCs w:val="20"/>
          <w:lang w:val="fr-CA"/>
        </w:rPr>
      </w:pPr>
    </w:p>
    <w:p w:rsidR="006B716D" w:rsidRPr="00EE1F8E" w:rsidRDefault="006B716D" w:rsidP="006B716D">
      <w:pPr>
        <w:spacing w:line="230" w:lineRule="auto"/>
        <w:jc w:val="both"/>
        <w:rPr>
          <w:rFonts w:cs="Times New Roman"/>
          <w:sz w:val="20"/>
          <w:szCs w:val="20"/>
          <w:lang w:val="fr-CA"/>
        </w:rPr>
      </w:pPr>
      <w:r w:rsidRPr="00EE1F8E">
        <w:rPr>
          <w:rFonts w:cs="Times New Roman"/>
          <w:b/>
          <w:bCs/>
          <w:sz w:val="20"/>
          <w:szCs w:val="20"/>
          <w:lang w:val="fr-CA"/>
        </w:rPr>
        <w:t xml:space="preserve">IL EST AUSSI ORDONNÉ QUE </w:t>
      </w:r>
      <w:r w:rsidRPr="00EE1F8E">
        <w:rPr>
          <w:rFonts w:cs="Times New Roman"/>
          <w:bCs/>
          <w:sz w:val="20"/>
          <w:szCs w:val="20"/>
          <w:lang w:val="fr-CA"/>
        </w:rPr>
        <w:t>seulement le</w:t>
      </w:r>
      <w:r w:rsidRPr="00EE1F8E">
        <w:rPr>
          <w:rFonts w:cs="Times New Roman"/>
          <w:sz w:val="20"/>
          <w:szCs w:val="20"/>
          <w:lang w:val="fr-CA"/>
        </w:rPr>
        <w:t xml:space="preserve"> </w:t>
      </w:r>
      <w:r w:rsidRPr="00EE1F8E">
        <w:rPr>
          <w:rFonts w:cs="Times New Roman"/>
          <w:sz w:val="20"/>
          <w:szCs w:val="20"/>
          <w:lang w:val="fr-FR"/>
        </w:rPr>
        <w:t>Procureur général de l'Ontario, la Community Legal Assistance Society, l’Association des libertés civiles de la Colombie-Britannique</w:t>
      </w:r>
      <w:r w:rsidRPr="00EE1F8E">
        <w:rPr>
          <w:rFonts w:cs="Times New Roman"/>
          <w:sz w:val="20"/>
          <w:szCs w:val="20"/>
          <w:lang w:val="fr-CA"/>
        </w:rPr>
        <w:t xml:space="preserve"> et </w:t>
      </w:r>
      <w:r w:rsidRPr="00EE1F8E">
        <w:rPr>
          <w:rFonts w:cs="Times New Roman"/>
          <w:sz w:val="20"/>
          <w:szCs w:val="20"/>
          <w:lang w:val="fr-FR"/>
        </w:rPr>
        <w:t>le David Asper Centre for Constitutional Rights</w:t>
      </w:r>
      <w:r w:rsidRPr="00EE1F8E">
        <w:rPr>
          <w:rFonts w:cs="Times New Roman"/>
          <w:sz w:val="20"/>
          <w:szCs w:val="20"/>
          <w:lang w:val="fr-CA"/>
        </w:rPr>
        <w:t xml:space="preserve"> auront chacun le droit de présenter une plaidoirie orale d’au plus dix (10) minutes lors de l’audition de l’appel. </w:t>
      </w:r>
    </w:p>
    <w:p w:rsidR="006B716D" w:rsidRPr="00EE1F8E" w:rsidRDefault="006B716D" w:rsidP="006B716D">
      <w:pPr>
        <w:spacing w:line="233" w:lineRule="auto"/>
        <w:jc w:val="both"/>
        <w:rPr>
          <w:rFonts w:cs="Times New Roman"/>
          <w:sz w:val="20"/>
          <w:szCs w:val="20"/>
          <w:lang w:val="fr-CA"/>
        </w:rPr>
      </w:pPr>
    </w:p>
    <w:p w:rsidR="006B716D" w:rsidRPr="00EE1F8E" w:rsidRDefault="00BF59B3" w:rsidP="006B716D">
      <w:pPr>
        <w:tabs>
          <w:tab w:val="left" w:pos="-1440"/>
          <w:tab w:val="left" w:pos="-720"/>
        </w:tabs>
        <w:jc w:val="both"/>
        <w:rPr>
          <w:rFonts w:cs="Times New Roman"/>
          <w:sz w:val="20"/>
          <w:szCs w:val="20"/>
          <w:lang w:val="fr-CA"/>
        </w:rPr>
      </w:pPr>
      <w:r w:rsidRPr="00BF59B3">
        <w:rPr>
          <w:rFonts w:cs="Times New Roman"/>
          <w:sz w:val="20"/>
          <w:szCs w:val="20"/>
          <w:lang w:val="fr-CA"/>
        </w:rPr>
        <w:pict>
          <v:rect id="_x0000_i1058" style="width:2in;height:1pt" o:hrpct="0" o:hralign="center" o:hrstd="t" o:hrnoshade="t" o:hr="t" fillcolor="black [3213]" stroked="f"/>
        </w:pict>
      </w:r>
    </w:p>
    <w:p w:rsidR="006B716D" w:rsidRPr="00EE1F8E" w:rsidRDefault="006B716D" w:rsidP="006B716D">
      <w:pPr>
        <w:tabs>
          <w:tab w:val="left" w:pos="-1440"/>
          <w:tab w:val="left" w:pos="-720"/>
        </w:tabs>
        <w:jc w:val="both"/>
        <w:rPr>
          <w:rFonts w:cs="Times New Roman"/>
          <w:sz w:val="20"/>
          <w:szCs w:val="20"/>
          <w:lang w:val="fr-CA"/>
        </w:rPr>
      </w:pPr>
    </w:p>
    <w:p w:rsidR="006B716D" w:rsidRPr="00EE1F8E" w:rsidRDefault="006B716D" w:rsidP="006B716D">
      <w:pPr>
        <w:tabs>
          <w:tab w:val="left" w:pos="-1440"/>
          <w:tab w:val="left" w:pos="-720"/>
        </w:tabs>
        <w:jc w:val="both"/>
        <w:rPr>
          <w:rFonts w:cs="Times New Roman"/>
          <w:sz w:val="20"/>
          <w:szCs w:val="20"/>
          <w:lang w:val="fr-CA"/>
        </w:rPr>
      </w:pPr>
      <w:r w:rsidRPr="00EE1F8E">
        <w:rPr>
          <w:rFonts w:cs="Times New Roman"/>
          <w:sz w:val="20"/>
          <w:szCs w:val="20"/>
          <w:lang w:val="fr-CA"/>
        </w:rPr>
        <w:t>11.01.2012</w:t>
      </w:r>
    </w:p>
    <w:p w:rsidR="006B716D" w:rsidRPr="00EE1F8E" w:rsidRDefault="006B716D" w:rsidP="006B716D">
      <w:pPr>
        <w:tabs>
          <w:tab w:val="left" w:pos="-1440"/>
          <w:tab w:val="left" w:pos="-720"/>
        </w:tabs>
        <w:jc w:val="both"/>
        <w:rPr>
          <w:rFonts w:cs="Times New Roman"/>
          <w:sz w:val="20"/>
          <w:szCs w:val="20"/>
          <w:lang w:val="fr-CA"/>
        </w:rPr>
      </w:pPr>
    </w:p>
    <w:p w:rsidR="006B716D" w:rsidRPr="00EE1F8E" w:rsidRDefault="006B716D" w:rsidP="006B716D">
      <w:pPr>
        <w:tabs>
          <w:tab w:val="left" w:pos="-1440"/>
          <w:tab w:val="left" w:pos="-720"/>
        </w:tabs>
        <w:jc w:val="both"/>
        <w:rPr>
          <w:rFonts w:cs="Times New Roman"/>
          <w:sz w:val="20"/>
          <w:szCs w:val="20"/>
          <w:lang w:val="fr-CA"/>
        </w:rPr>
      </w:pPr>
      <w:r w:rsidRPr="00EE1F8E">
        <w:rPr>
          <w:rFonts w:cs="Times New Roman"/>
          <w:sz w:val="20"/>
          <w:szCs w:val="20"/>
          <w:lang w:val="fr-CA"/>
        </w:rPr>
        <w:t>Before / Devant :   DESCHAMPS J. / LA JUGE DESCHAMPS</w:t>
      </w:r>
    </w:p>
    <w:p w:rsidR="006B716D" w:rsidRPr="00EE1F8E" w:rsidRDefault="006B716D" w:rsidP="006B716D">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B716D" w:rsidRPr="00C5295A" w:rsidTr="00845150">
        <w:tc>
          <w:tcPr>
            <w:tcW w:w="4338" w:type="dxa"/>
          </w:tcPr>
          <w:p w:rsidR="006B716D" w:rsidRPr="00EE1F8E" w:rsidRDefault="00BF59B3" w:rsidP="00845150">
            <w:pPr>
              <w:tabs>
                <w:tab w:val="left" w:pos="-1440"/>
                <w:tab w:val="left" w:pos="-720"/>
              </w:tabs>
              <w:jc w:val="both"/>
              <w:rPr>
                <w:rFonts w:cs="Times New Roman"/>
                <w:b/>
                <w:sz w:val="20"/>
                <w:szCs w:val="20"/>
              </w:rPr>
            </w:pPr>
            <w:r w:rsidRPr="00EE1F8E">
              <w:rPr>
                <w:rFonts w:cs="Times New Roman"/>
                <w:sz w:val="20"/>
                <w:szCs w:val="20"/>
              </w:rPr>
              <w:fldChar w:fldCharType="begin"/>
            </w:r>
            <w:r w:rsidR="006B716D" w:rsidRPr="00EE1F8E">
              <w:rPr>
                <w:rFonts w:cs="Times New Roman"/>
                <w:sz w:val="20"/>
                <w:szCs w:val="20"/>
              </w:rPr>
              <w:instrText xml:space="preserve"> SEQ CHAPTER \h \r 1</w:instrText>
            </w:r>
            <w:r w:rsidRPr="00EE1F8E">
              <w:rPr>
                <w:rFonts w:cs="Times New Roman"/>
                <w:sz w:val="20"/>
                <w:szCs w:val="20"/>
              </w:rPr>
              <w:fldChar w:fldCharType="end"/>
            </w:r>
            <w:r w:rsidR="006B716D" w:rsidRPr="00EE1F8E">
              <w:rPr>
                <w:rFonts w:cs="Times New Roman"/>
                <w:b/>
                <w:bCs/>
                <w:sz w:val="20"/>
                <w:szCs w:val="20"/>
              </w:rPr>
              <w:t>Motion to file a reply factum on appeal</w:t>
            </w:r>
          </w:p>
        </w:tc>
        <w:tc>
          <w:tcPr>
            <w:tcW w:w="1170" w:type="dxa"/>
          </w:tcPr>
          <w:p w:rsidR="006B716D" w:rsidRPr="00EE1F8E" w:rsidRDefault="006B716D" w:rsidP="00845150">
            <w:pPr>
              <w:tabs>
                <w:tab w:val="left" w:pos="-1440"/>
                <w:tab w:val="left" w:pos="-720"/>
              </w:tabs>
              <w:jc w:val="both"/>
              <w:rPr>
                <w:rFonts w:cs="Times New Roman"/>
                <w:sz w:val="20"/>
                <w:szCs w:val="20"/>
              </w:rPr>
            </w:pPr>
          </w:p>
          <w:p w:rsidR="006B716D" w:rsidRPr="00EE1F8E" w:rsidRDefault="006B716D" w:rsidP="00845150">
            <w:pPr>
              <w:tabs>
                <w:tab w:val="left" w:pos="-1440"/>
                <w:tab w:val="left" w:pos="-720"/>
              </w:tabs>
              <w:jc w:val="both"/>
              <w:rPr>
                <w:rFonts w:cs="Times New Roman"/>
                <w:sz w:val="20"/>
                <w:szCs w:val="20"/>
              </w:rPr>
            </w:pPr>
          </w:p>
          <w:p w:rsidR="006B716D" w:rsidRPr="00EE1F8E" w:rsidRDefault="006B716D" w:rsidP="00845150">
            <w:pPr>
              <w:tabs>
                <w:tab w:val="left" w:pos="-1440"/>
                <w:tab w:val="left" w:pos="-720"/>
              </w:tabs>
              <w:jc w:val="both"/>
              <w:rPr>
                <w:rFonts w:cs="Times New Roman"/>
                <w:sz w:val="20"/>
                <w:szCs w:val="20"/>
              </w:rPr>
            </w:pPr>
          </w:p>
        </w:tc>
        <w:tc>
          <w:tcPr>
            <w:tcW w:w="4327" w:type="dxa"/>
          </w:tcPr>
          <w:p w:rsidR="006B716D" w:rsidRPr="00EE1F8E" w:rsidRDefault="00BF59B3" w:rsidP="00845150">
            <w:pPr>
              <w:tabs>
                <w:tab w:val="left" w:pos="-1440"/>
                <w:tab w:val="left" w:pos="-720"/>
              </w:tabs>
              <w:jc w:val="both"/>
              <w:rPr>
                <w:rFonts w:cs="Times New Roman"/>
                <w:sz w:val="20"/>
                <w:szCs w:val="20"/>
                <w:lang w:val="fr-CA"/>
              </w:rPr>
            </w:pPr>
            <w:r w:rsidRPr="00EE1F8E">
              <w:rPr>
                <w:rFonts w:cs="Times New Roman"/>
                <w:sz w:val="20"/>
                <w:szCs w:val="20"/>
              </w:rPr>
              <w:fldChar w:fldCharType="begin"/>
            </w:r>
            <w:r w:rsidR="006B716D" w:rsidRPr="00EE1F8E">
              <w:rPr>
                <w:rFonts w:cs="Times New Roman"/>
                <w:sz w:val="20"/>
                <w:szCs w:val="20"/>
                <w:lang w:val="fr-CA"/>
              </w:rPr>
              <w:instrText xml:space="preserve"> SEQ CHAPTER \h \r 1</w:instrText>
            </w:r>
            <w:r w:rsidRPr="00EE1F8E">
              <w:rPr>
                <w:rFonts w:cs="Times New Roman"/>
                <w:sz w:val="20"/>
                <w:szCs w:val="20"/>
              </w:rPr>
              <w:fldChar w:fldCharType="end"/>
            </w:r>
            <w:r w:rsidRPr="00EE1F8E">
              <w:rPr>
                <w:rFonts w:cs="Times New Roman"/>
                <w:sz w:val="20"/>
                <w:szCs w:val="20"/>
              </w:rPr>
              <w:fldChar w:fldCharType="begin"/>
            </w:r>
            <w:r w:rsidR="006B716D" w:rsidRPr="00EE1F8E">
              <w:rPr>
                <w:rFonts w:cs="Times New Roman"/>
                <w:sz w:val="20"/>
                <w:szCs w:val="20"/>
                <w:lang w:val="fr-CA"/>
              </w:rPr>
              <w:instrText xml:space="preserve"> SEQ CHAPTER \h \r 1</w:instrText>
            </w:r>
            <w:r w:rsidRPr="00EE1F8E">
              <w:rPr>
                <w:rFonts w:cs="Times New Roman"/>
                <w:sz w:val="20"/>
                <w:szCs w:val="20"/>
              </w:rPr>
              <w:fldChar w:fldCharType="end"/>
            </w:r>
            <w:r w:rsidR="006B716D" w:rsidRPr="00EE1F8E">
              <w:rPr>
                <w:rFonts w:cs="Times New Roman"/>
                <w:b/>
                <w:bCs/>
                <w:sz w:val="20"/>
                <w:szCs w:val="20"/>
                <w:lang w:val="fr-CA"/>
              </w:rPr>
              <w:t>Requête en vue de déposer un mémoire en réplique concernant l’appel</w:t>
            </w:r>
            <w:r w:rsidR="006B716D" w:rsidRPr="00EE1F8E">
              <w:rPr>
                <w:rFonts w:cs="Times New Roman"/>
                <w:sz w:val="20"/>
                <w:szCs w:val="20"/>
                <w:lang w:val="fr-CA"/>
              </w:rPr>
              <w:t xml:space="preserve"> </w:t>
            </w:r>
            <w:r w:rsidRPr="00EE1F8E">
              <w:rPr>
                <w:rFonts w:cs="Times New Roman"/>
                <w:sz w:val="20"/>
                <w:szCs w:val="20"/>
              </w:rPr>
              <w:fldChar w:fldCharType="begin"/>
            </w:r>
            <w:r w:rsidR="006B716D" w:rsidRPr="00EE1F8E">
              <w:rPr>
                <w:rFonts w:cs="Times New Roman"/>
                <w:sz w:val="20"/>
                <w:szCs w:val="20"/>
                <w:lang w:val="fr-CA"/>
              </w:rPr>
              <w:instrText xml:space="preserve"> SEQ CHAPTER \h \r 1</w:instrText>
            </w:r>
            <w:r w:rsidRPr="00EE1F8E">
              <w:rPr>
                <w:rFonts w:cs="Times New Roman"/>
                <w:sz w:val="20"/>
                <w:szCs w:val="20"/>
              </w:rPr>
              <w:fldChar w:fldCharType="end"/>
            </w:r>
            <w:r w:rsidRPr="00EE1F8E">
              <w:rPr>
                <w:rFonts w:cs="Times New Roman"/>
                <w:sz w:val="20"/>
                <w:szCs w:val="20"/>
              </w:rPr>
              <w:fldChar w:fldCharType="begin"/>
            </w:r>
            <w:r w:rsidR="006B716D" w:rsidRPr="00EE1F8E">
              <w:rPr>
                <w:rFonts w:cs="Times New Roman"/>
                <w:sz w:val="20"/>
                <w:szCs w:val="20"/>
                <w:lang w:val="fr-CA"/>
              </w:rPr>
              <w:instrText xml:space="preserve"> SEQ CHAPTER \h \r 1</w:instrText>
            </w:r>
            <w:r w:rsidRPr="00EE1F8E">
              <w:rPr>
                <w:rFonts w:cs="Times New Roman"/>
                <w:sz w:val="20"/>
                <w:szCs w:val="20"/>
              </w:rPr>
              <w:fldChar w:fldCharType="end"/>
            </w:r>
          </w:p>
        </w:tc>
      </w:tr>
      <w:tr w:rsidR="006B716D" w:rsidRPr="00EE1F8E" w:rsidTr="00845150">
        <w:tc>
          <w:tcPr>
            <w:tcW w:w="4338" w:type="dxa"/>
          </w:tcPr>
          <w:p w:rsidR="006B716D" w:rsidRPr="00EE1F8E" w:rsidRDefault="006B716D" w:rsidP="00845150">
            <w:pPr>
              <w:tabs>
                <w:tab w:val="left" w:pos="-1440"/>
                <w:tab w:val="left" w:pos="-720"/>
              </w:tabs>
              <w:jc w:val="both"/>
              <w:rPr>
                <w:rFonts w:cs="Times New Roman"/>
                <w:sz w:val="20"/>
                <w:szCs w:val="20"/>
              </w:rPr>
            </w:pPr>
            <w:r w:rsidRPr="00EE1F8E">
              <w:rPr>
                <w:rFonts w:cs="Times New Roman"/>
                <w:sz w:val="20"/>
                <w:szCs w:val="20"/>
              </w:rPr>
              <w:t>Attorney General of Canada</w:t>
            </w:r>
          </w:p>
          <w:p w:rsidR="006B716D" w:rsidRPr="00EE1F8E" w:rsidRDefault="006B716D" w:rsidP="00845150">
            <w:pPr>
              <w:tabs>
                <w:tab w:val="left" w:pos="-1440"/>
                <w:tab w:val="left" w:pos="-720"/>
              </w:tabs>
              <w:jc w:val="both"/>
              <w:rPr>
                <w:rFonts w:cs="Times New Roman"/>
                <w:sz w:val="20"/>
                <w:szCs w:val="20"/>
              </w:rPr>
            </w:pPr>
          </w:p>
          <w:p w:rsidR="006B716D" w:rsidRPr="00EE1F8E" w:rsidRDefault="006B716D" w:rsidP="00845150">
            <w:pPr>
              <w:tabs>
                <w:tab w:val="left" w:pos="-1440"/>
                <w:tab w:val="left" w:pos="-720"/>
              </w:tabs>
              <w:jc w:val="both"/>
              <w:rPr>
                <w:rFonts w:cs="Times New Roman"/>
                <w:sz w:val="20"/>
                <w:szCs w:val="20"/>
              </w:rPr>
            </w:pPr>
            <w:r w:rsidRPr="00EE1F8E">
              <w:rPr>
                <w:rFonts w:cs="Times New Roman"/>
                <w:sz w:val="20"/>
                <w:szCs w:val="20"/>
              </w:rPr>
              <w:tab/>
              <w:t>v. (33981)</w:t>
            </w:r>
          </w:p>
          <w:p w:rsidR="006B716D" w:rsidRPr="00EE1F8E" w:rsidRDefault="006B716D" w:rsidP="00845150">
            <w:pPr>
              <w:tabs>
                <w:tab w:val="left" w:pos="-1440"/>
                <w:tab w:val="left" w:pos="-720"/>
              </w:tabs>
              <w:jc w:val="both"/>
              <w:rPr>
                <w:rFonts w:cs="Times New Roman"/>
                <w:sz w:val="20"/>
                <w:szCs w:val="20"/>
              </w:rPr>
            </w:pPr>
          </w:p>
          <w:p w:rsidR="006B716D" w:rsidRPr="00EE1F8E" w:rsidRDefault="006B716D" w:rsidP="00845150">
            <w:pPr>
              <w:tabs>
                <w:tab w:val="left" w:pos="-1440"/>
                <w:tab w:val="left" w:pos="-720"/>
              </w:tabs>
              <w:jc w:val="both"/>
              <w:rPr>
                <w:rFonts w:cs="Times New Roman"/>
                <w:sz w:val="20"/>
                <w:szCs w:val="20"/>
              </w:rPr>
            </w:pPr>
            <w:r w:rsidRPr="00EE1F8E">
              <w:rPr>
                <w:rFonts w:cs="Times New Roman"/>
                <w:sz w:val="20"/>
                <w:szCs w:val="20"/>
              </w:rPr>
              <w:t>Downtown Eastside Sex Workers United Against Violence Society et al. (B.C.)</w:t>
            </w:r>
          </w:p>
        </w:tc>
        <w:tc>
          <w:tcPr>
            <w:tcW w:w="1170" w:type="dxa"/>
          </w:tcPr>
          <w:p w:rsidR="006B716D" w:rsidRPr="00EE1F8E" w:rsidRDefault="006B716D" w:rsidP="00845150">
            <w:pPr>
              <w:tabs>
                <w:tab w:val="left" w:pos="-1440"/>
                <w:tab w:val="left" w:pos="-720"/>
              </w:tabs>
              <w:jc w:val="both"/>
              <w:rPr>
                <w:rFonts w:cs="Times New Roman"/>
                <w:sz w:val="20"/>
                <w:szCs w:val="20"/>
              </w:rPr>
            </w:pPr>
          </w:p>
        </w:tc>
        <w:tc>
          <w:tcPr>
            <w:tcW w:w="4327" w:type="dxa"/>
          </w:tcPr>
          <w:p w:rsidR="006B716D" w:rsidRPr="00EE1F8E" w:rsidRDefault="006B716D" w:rsidP="00845150">
            <w:pPr>
              <w:tabs>
                <w:tab w:val="left" w:pos="-1440"/>
                <w:tab w:val="left" w:pos="-720"/>
              </w:tabs>
              <w:jc w:val="both"/>
              <w:rPr>
                <w:rFonts w:cs="Times New Roman"/>
                <w:sz w:val="20"/>
                <w:szCs w:val="20"/>
              </w:rPr>
            </w:pPr>
          </w:p>
        </w:tc>
      </w:tr>
    </w:tbl>
    <w:p w:rsidR="006B716D" w:rsidRPr="00EE1F8E" w:rsidRDefault="006B716D" w:rsidP="006B716D">
      <w:pPr>
        <w:tabs>
          <w:tab w:val="left" w:pos="-1440"/>
          <w:tab w:val="left" w:pos="-720"/>
        </w:tabs>
        <w:jc w:val="both"/>
        <w:rPr>
          <w:rFonts w:cs="Times New Roman"/>
          <w:sz w:val="20"/>
          <w:szCs w:val="20"/>
        </w:rPr>
      </w:pPr>
    </w:p>
    <w:p w:rsidR="006B716D" w:rsidRPr="00EE1F8E" w:rsidRDefault="006B716D" w:rsidP="006B716D">
      <w:pPr>
        <w:tabs>
          <w:tab w:val="left" w:pos="-1440"/>
          <w:tab w:val="left" w:pos="-720"/>
        </w:tabs>
        <w:jc w:val="both"/>
        <w:rPr>
          <w:rFonts w:cs="Times New Roman"/>
          <w:sz w:val="20"/>
          <w:szCs w:val="20"/>
        </w:rPr>
      </w:pPr>
      <w:r w:rsidRPr="00EE1F8E">
        <w:rPr>
          <w:rFonts w:cs="Times New Roman"/>
          <w:b/>
          <w:sz w:val="20"/>
          <w:szCs w:val="20"/>
        </w:rPr>
        <w:t>DISMISSED / REJETÉE</w:t>
      </w:r>
    </w:p>
    <w:p w:rsidR="006B716D" w:rsidRPr="00EE1F8E" w:rsidRDefault="006B716D" w:rsidP="006B716D">
      <w:pPr>
        <w:tabs>
          <w:tab w:val="left" w:pos="-1440"/>
          <w:tab w:val="left" w:pos="-720"/>
        </w:tabs>
        <w:jc w:val="both"/>
        <w:rPr>
          <w:rFonts w:cs="Times New Roman"/>
          <w:sz w:val="20"/>
          <w:szCs w:val="20"/>
        </w:rPr>
      </w:pPr>
    </w:p>
    <w:p w:rsidR="006B716D" w:rsidRPr="00EE1F8E" w:rsidRDefault="006B716D" w:rsidP="006B716D">
      <w:pPr>
        <w:rPr>
          <w:rFonts w:cs="Times New Roman"/>
          <w:sz w:val="20"/>
          <w:szCs w:val="20"/>
        </w:rPr>
      </w:pPr>
      <w:r w:rsidRPr="00EE1F8E">
        <w:rPr>
          <w:rFonts w:cs="Times New Roman"/>
          <w:b/>
          <w:bCs/>
          <w:sz w:val="20"/>
          <w:szCs w:val="20"/>
        </w:rPr>
        <w:t>UPON APPLICATION</w:t>
      </w:r>
      <w:r w:rsidRPr="00EE1F8E">
        <w:rPr>
          <w:rFonts w:cs="Times New Roman"/>
          <w:sz w:val="20"/>
          <w:szCs w:val="20"/>
        </w:rPr>
        <w:t xml:space="preserve"> by the appellant for an order permitting the filing of a reply factum;</w:t>
      </w:r>
    </w:p>
    <w:p w:rsidR="006B716D" w:rsidRPr="00EE1F8E" w:rsidRDefault="006B716D" w:rsidP="006B716D">
      <w:pPr>
        <w:rPr>
          <w:rFonts w:cs="Times New Roman"/>
          <w:sz w:val="20"/>
          <w:szCs w:val="20"/>
        </w:rPr>
      </w:pPr>
    </w:p>
    <w:p w:rsidR="006B716D" w:rsidRPr="00EE1F8E" w:rsidRDefault="006B716D" w:rsidP="006B716D">
      <w:pPr>
        <w:rPr>
          <w:rFonts w:cs="Times New Roman"/>
          <w:sz w:val="20"/>
          <w:szCs w:val="20"/>
        </w:rPr>
      </w:pPr>
      <w:r w:rsidRPr="00EE1F8E">
        <w:rPr>
          <w:rFonts w:cs="Times New Roman"/>
          <w:b/>
          <w:bCs/>
          <w:sz w:val="20"/>
          <w:szCs w:val="20"/>
        </w:rPr>
        <w:t>AND THE MATERIAL FILED</w:t>
      </w:r>
      <w:r w:rsidRPr="00EE1F8E">
        <w:rPr>
          <w:rFonts w:cs="Times New Roman"/>
          <w:sz w:val="20"/>
          <w:szCs w:val="20"/>
        </w:rPr>
        <w:t xml:space="preserve"> having been read;</w:t>
      </w:r>
    </w:p>
    <w:p w:rsidR="006B716D" w:rsidRPr="00EE1F8E" w:rsidRDefault="006B716D" w:rsidP="006B716D">
      <w:pPr>
        <w:rPr>
          <w:rFonts w:cs="Times New Roman"/>
          <w:sz w:val="20"/>
          <w:szCs w:val="20"/>
        </w:rPr>
      </w:pPr>
    </w:p>
    <w:p w:rsidR="006B716D" w:rsidRPr="00EE1F8E" w:rsidRDefault="006B716D" w:rsidP="006B716D">
      <w:pPr>
        <w:rPr>
          <w:rFonts w:cs="Times New Roman"/>
          <w:b/>
          <w:bCs/>
          <w:sz w:val="20"/>
          <w:szCs w:val="20"/>
        </w:rPr>
      </w:pPr>
      <w:r w:rsidRPr="00EE1F8E">
        <w:rPr>
          <w:rFonts w:cs="Times New Roman"/>
          <w:b/>
          <w:bCs/>
          <w:sz w:val="20"/>
          <w:szCs w:val="20"/>
        </w:rPr>
        <w:t>IT IS HEREBY ORDERED THAT:</w:t>
      </w:r>
    </w:p>
    <w:p w:rsidR="006B716D" w:rsidRPr="00EE1F8E" w:rsidRDefault="006B716D" w:rsidP="006B716D">
      <w:pPr>
        <w:rPr>
          <w:rFonts w:cs="Times New Roman"/>
          <w:b/>
          <w:bCs/>
          <w:sz w:val="20"/>
          <w:szCs w:val="20"/>
        </w:rPr>
      </w:pPr>
    </w:p>
    <w:p w:rsidR="006B716D" w:rsidRPr="00EE1F8E" w:rsidRDefault="006B716D" w:rsidP="006B716D">
      <w:pPr>
        <w:rPr>
          <w:rFonts w:cs="Times New Roman"/>
          <w:sz w:val="20"/>
          <w:szCs w:val="20"/>
        </w:rPr>
      </w:pPr>
      <w:r w:rsidRPr="00EE1F8E">
        <w:rPr>
          <w:rFonts w:cs="Times New Roman"/>
          <w:sz w:val="20"/>
          <w:szCs w:val="20"/>
        </w:rPr>
        <w:t>The motion is dismissed without costs.</w:t>
      </w:r>
    </w:p>
    <w:p w:rsidR="006B716D" w:rsidRPr="00EE1F8E" w:rsidRDefault="006B716D" w:rsidP="006B716D">
      <w:pPr>
        <w:tabs>
          <w:tab w:val="left" w:pos="-1440"/>
          <w:tab w:val="left" w:pos="-720"/>
        </w:tabs>
        <w:jc w:val="both"/>
        <w:rPr>
          <w:rFonts w:cs="Times New Roman"/>
          <w:sz w:val="20"/>
          <w:szCs w:val="20"/>
        </w:rPr>
      </w:pPr>
    </w:p>
    <w:p w:rsidR="006B716D" w:rsidRPr="00EE1F8E" w:rsidRDefault="006B716D" w:rsidP="006B716D">
      <w:pPr>
        <w:tabs>
          <w:tab w:val="left" w:pos="-1440"/>
          <w:tab w:val="left" w:pos="-720"/>
        </w:tabs>
        <w:jc w:val="both"/>
        <w:rPr>
          <w:rFonts w:cs="Times New Roman"/>
          <w:sz w:val="20"/>
          <w:szCs w:val="20"/>
        </w:rPr>
      </w:pPr>
    </w:p>
    <w:p w:rsidR="006B716D" w:rsidRPr="00EE1F8E" w:rsidRDefault="006B716D" w:rsidP="006B716D">
      <w:pPr>
        <w:tabs>
          <w:tab w:val="left" w:pos="-1440"/>
          <w:tab w:val="left" w:pos="-720"/>
        </w:tabs>
        <w:jc w:val="both"/>
        <w:rPr>
          <w:rFonts w:cs="Times New Roman"/>
          <w:sz w:val="20"/>
          <w:szCs w:val="20"/>
        </w:rPr>
      </w:pPr>
    </w:p>
    <w:p w:rsidR="006B716D" w:rsidRPr="00EE1F8E" w:rsidRDefault="006B716D" w:rsidP="006B716D">
      <w:pPr>
        <w:rPr>
          <w:rFonts w:cs="Times New Roman"/>
          <w:sz w:val="20"/>
          <w:szCs w:val="20"/>
          <w:lang w:val="fr-CA"/>
        </w:rPr>
      </w:pPr>
      <w:r w:rsidRPr="00EE1F8E">
        <w:rPr>
          <w:rFonts w:cs="Times New Roman"/>
          <w:b/>
          <w:bCs/>
          <w:sz w:val="20"/>
          <w:szCs w:val="20"/>
          <w:lang w:val="fr-CA"/>
        </w:rPr>
        <w:t xml:space="preserve">À LA SUITE DE LA DEMANDE </w:t>
      </w:r>
      <w:r w:rsidRPr="00EE1F8E">
        <w:rPr>
          <w:rFonts w:cs="Times New Roman"/>
          <w:bCs/>
          <w:sz w:val="20"/>
          <w:szCs w:val="20"/>
          <w:lang w:val="fr-CA"/>
        </w:rPr>
        <w:t>présentée</w:t>
      </w:r>
      <w:r w:rsidRPr="00EE1F8E">
        <w:rPr>
          <w:rFonts w:cs="Times New Roman"/>
          <w:sz w:val="20"/>
          <w:szCs w:val="20"/>
          <w:lang w:val="fr-CA"/>
        </w:rPr>
        <w:t xml:space="preserve"> par l’appelant en vue de déposer un mémoire en réplique;</w:t>
      </w:r>
    </w:p>
    <w:p w:rsidR="006B716D" w:rsidRPr="00EE1F8E" w:rsidRDefault="006B716D" w:rsidP="006B716D">
      <w:pPr>
        <w:rPr>
          <w:rFonts w:cs="Times New Roman"/>
          <w:sz w:val="20"/>
          <w:szCs w:val="20"/>
          <w:lang w:val="fr-CA"/>
        </w:rPr>
      </w:pPr>
    </w:p>
    <w:p w:rsidR="006B716D" w:rsidRDefault="006B716D" w:rsidP="006B716D">
      <w:pPr>
        <w:rPr>
          <w:rFonts w:cs="Times New Roman"/>
          <w:sz w:val="20"/>
          <w:szCs w:val="20"/>
          <w:lang w:val="fr-CA"/>
        </w:rPr>
      </w:pPr>
      <w:r w:rsidRPr="00EE1F8E">
        <w:rPr>
          <w:rFonts w:cs="Times New Roman"/>
          <w:b/>
          <w:bCs/>
          <w:sz w:val="20"/>
          <w:szCs w:val="20"/>
          <w:lang w:val="fr-CA"/>
        </w:rPr>
        <w:t xml:space="preserve">ET APRÈS EXAMEN </w:t>
      </w:r>
      <w:r w:rsidRPr="00EE1F8E">
        <w:rPr>
          <w:rFonts w:cs="Times New Roman"/>
          <w:bCs/>
          <w:sz w:val="20"/>
          <w:szCs w:val="20"/>
          <w:lang w:val="fr-CA"/>
        </w:rPr>
        <w:t>des documents déposés</w:t>
      </w:r>
      <w:r w:rsidRPr="00EE1F8E">
        <w:rPr>
          <w:rFonts w:cs="Times New Roman"/>
          <w:sz w:val="20"/>
          <w:szCs w:val="20"/>
          <w:lang w:val="fr-CA"/>
        </w:rPr>
        <w:t>;</w:t>
      </w:r>
    </w:p>
    <w:p w:rsidR="003F2DE5" w:rsidRPr="00EE1F8E" w:rsidRDefault="003F2DE5" w:rsidP="006B716D">
      <w:pPr>
        <w:rPr>
          <w:rFonts w:cs="Times New Roman"/>
          <w:sz w:val="20"/>
          <w:szCs w:val="20"/>
          <w:lang w:val="fr-CA"/>
        </w:rPr>
      </w:pPr>
    </w:p>
    <w:p w:rsidR="006B716D" w:rsidRPr="00EE1F8E" w:rsidRDefault="006B716D" w:rsidP="006B716D">
      <w:pPr>
        <w:rPr>
          <w:rFonts w:cs="Times New Roman"/>
          <w:sz w:val="20"/>
          <w:szCs w:val="20"/>
          <w:lang w:val="fr-CA"/>
        </w:rPr>
      </w:pPr>
      <w:r w:rsidRPr="00EE1F8E">
        <w:rPr>
          <w:rFonts w:cs="Times New Roman"/>
          <w:sz w:val="20"/>
          <w:szCs w:val="20"/>
          <w:lang w:val="fr-CA"/>
        </w:rPr>
        <w:br w:type="page"/>
      </w:r>
    </w:p>
    <w:p w:rsidR="006B716D" w:rsidRPr="00EE1F8E" w:rsidRDefault="006B716D" w:rsidP="006B716D">
      <w:pPr>
        <w:rPr>
          <w:rFonts w:cs="Times New Roman"/>
          <w:b/>
          <w:bCs/>
          <w:sz w:val="20"/>
          <w:szCs w:val="20"/>
          <w:lang w:val="fr-CA"/>
        </w:rPr>
      </w:pPr>
      <w:r w:rsidRPr="00EE1F8E">
        <w:rPr>
          <w:rFonts w:cs="Times New Roman"/>
          <w:b/>
          <w:bCs/>
          <w:sz w:val="20"/>
          <w:szCs w:val="20"/>
          <w:lang w:val="fr-CA"/>
        </w:rPr>
        <w:lastRenderedPageBreak/>
        <w:t>IL EST ORDONNÉ CE QUI SUIT :</w:t>
      </w:r>
    </w:p>
    <w:p w:rsidR="006B716D" w:rsidRPr="00EE1F8E" w:rsidRDefault="006B716D" w:rsidP="006B716D">
      <w:pPr>
        <w:rPr>
          <w:rFonts w:cs="Times New Roman"/>
          <w:b/>
          <w:bCs/>
          <w:sz w:val="20"/>
          <w:szCs w:val="20"/>
          <w:lang w:val="fr-CA"/>
        </w:rPr>
      </w:pPr>
    </w:p>
    <w:p w:rsidR="006B716D" w:rsidRPr="00EE1F8E" w:rsidRDefault="006B716D" w:rsidP="006B716D">
      <w:pPr>
        <w:rPr>
          <w:rFonts w:cs="Times New Roman"/>
          <w:sz w:val="20"/>
          <w:szCs w:val="20"/>
          <w:lang w:val="fr-CA"/>
        </w:rPr>
      </w:pPr>
      <w:r w:rsidRPr="00EE1F8E">
        <w:rPr>
          <w:rFonts w:cs="Times New Roman"/>
          <w:sz w:val="20"/>
          <w:szCs w:val="20"/>
          <w:lang w:val="fr-CA"/>
        </w:rPr>
        <w:t>La requête est rejetée sans dépens.</w:t>
      </w:r>
    </w:p>
    <w:p w:rsidR="006B716D" w:rsidRPr="00EE1F8E" w:rsidRDefault="006B716D" w:rsidP="006B716D">
      <w:pPr>
        <w:tabs>
          <w:tab w:val="left" w:pos="-1440"/>
          <w:tab w:val="left" w:pos="-720"/>
        </w:tabs>
        <w:jc w:val="both"/>
        <w:rPr>
          <w:rFonts w:cs="Times New Roman"/>
          <w:sz w:val="20"/>
          <w:szCs w:val="20"/>
          <w:lang w:val="fr-CA"/>
        </w:rPr>
      </w:pPr>
    </w:p>
    <w:p w:rsidR="006B716D" w:rsidRPr="00EE1F8E" w:rsidRDefault="00BF59B3" w:rsidP="006B716D">
      <w:pPr>
        <w:tabs>
          <w:tab w:val="left" w:pos="-1440"/>
          <w:tab w:val="left" w:pos="-720"/>
        </w:tabs>
        <w:jc w:val="both"/>
        <w:rPr>
          <w:rFonts w:cs="Times New Roman"/>
          <w:sz w:val="20"/>
          <w:szCs w:val="20"/>
          <w:lang w:val="fr-CA"/>
        </w:rPr>
      </w:pPr>
      <w:r w:rsidRPr="00BF59B3">
        <w:rPr>
          <w:rFonts w:cs="Times New Roman"/>
          <w:sz w:val="20"/>
          <w:szCs w:val="20"/>
          <w:lang w:val="fr-CA"/>
        </w:rPr>
        <w:pict>
          <v:rect id="_x0000_i1059" style="width:2in;height:1pt" o:hrpct="0" o:hralign="center" o:hrstd="t" o:hrnoshade="t" o:hr="t" fillcolor="black [3213]" stroked="f"/>
        </w:pict>
      </w:r>
    </w:p>
    <w:p w:rsidR="006B716D" w:rsidRPr="00EE1F8E" w:rsidRDefault="006B716D" w:rsidP="006B716D">
      <w:pPr>
        <w:tabs>
          <w:tab w:val="left" w:pos="-1440"/>
          <w:tab w:val="left" w:pos="-720"/>
        </w:tabs>
        <w:jc w:val="both"/>
        <w:rPr>
          <w:rFonts w:cs="Times New Roman"/>
          <w:sz w:val="20"/>
          <w:szCs w:val="20"/>
          <w:lang w:val="fr-CA"/>
        </w:rPr>
      </w:pPr>
    </w:p>
    <w:p w:rsidR="006B716D" w:rsidRPr="00EE1F8E" w:rsidRDefault="006B716D" w:rsidP="006B716D">
      <w:pPr>
        <w:tabs>
          <w:tab w:val="left" w:pos="-1440"/>
          <w:tab w:val="left" w:pos="-720"/>
        </w:tabs>
        <w:jc w:val="both"/>
        <w:rPr>
          <w:rFonts w:cs="Times New Roman"/>
          <w:sz w:val="20"/>
          <w:szCs w:val="20"/>
        </w:rPr>
      </w:pPr>
      <w:r w:rsidRPr="00EE1F8E">
        <w:rPr>
          <w:rFonts w:cs="Times New Roman"/>
          <w:sz w:val="20"/>
          <w:szCs w:val="20"/>
        </w:rPr>
        <w:t>12.01.2012</w:t>
      </w:r>
    </w:p>
    <w:p w:rsidR="006B716D" w:rsidRPr="00EE1F8E" w:rsidRDefault="006B716D" w:rsidP="006B716D">
      <w:pPr>
        <w:tabs>
          <w:tab w:val="left" w:pos="-1440"/>
          <w:tab w:val="left" w:pos="-720"/>
        </w:tabs>
        <w:jc w:val="both"/>
        <w:rPr>
          <w:rFonts w:cs="Times New Roman"/>
          <w:sz w:val="20"/>
          <w:szCs w:val="20"/>
        </w:rPr>
      </w:pPr>
    </w:p>
    <w:p w:rsidR="006B716D" w:rsidRPr="00EE1F8E" w:rsidRDefault="006B716D" w:rsidP="006B716D">
      <w:pPr>
        <w:jc w:val="both"/>
        <w:rPr>
          <w:rFonts w:cs="Times New Roman"/>
          <w:sz w:val="20"/>
          <w:szCs w:val="20"/>
          <w:lang w:val="fr-CA"/>
        </w:rPr>
      </w:pPr>
      <w:r w:rsidRPr="00EE1F8E">
        <w:rPr>
          <w:rFonts w:cs="Times New Roman"/>
          <w:sz w:val="20"/>
          <w:szCs w:val="20"/>
          <w:lang w:val="fr-CA"/>
        </w:rPr>
        <w:t>Before / Devant:   CROMWELL J. / LE JUGE CROMWELL</w:t>
      </w:r>
    </w:p>
    <w:p w:rsidR="006B716D" w:rsidRPr="00EE1F8E" w:rsidRDefault="006B716D" w:rsidP="006B716D">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6B716D" w:rsidRPr="00C5295A" w:rsidTr="00845150">
        <w:tc>
          <w:tcPr>
            <w:tcW w:w="4338" w:type="dxa"/>
            <w:gridSpan w:val="2"/>
          </w:tcPr>
          <w:p w:rsidR="006B716D" w:rsidRPr="00EE1F8E" w:rsidRDefault="00BF59B3" w:rsidP="00845150">
            <w:pPr>
              <w:jc w:val="both"/>
              <w:rPr>
                <w:rFonts w:cs="Times New Roman"/>
                <w:b/>
                <w:sz w:val="20"/>
                <w:szCs w:val="20"/>
              </w:rPr>
            </w:pPr>
            <w:r w:rsidRPr="00EE1F8E">
              <w:rPr>
                <w:rFonts w:cs="Times New Roman"/>
                <w:sz w:val="20"/>
                <w:szCs w:val="20"/>
              </w:rPr>
              <w:fldChar w:fldCharType="begin"/>
            </w:r>
            <w:r w:rsidR="006B716D" w:rsidRPr="00EE1F8E">
              <w:rPr>
                <w:rFonts w:cs="Times New Roman"/>
                <w:sz w:val="20"/>
                <w:szCs w:val="20"/>
              </w:rPr>
              <w:instrText xml:space="preserve"> SEQ CHAPTER \h \r 1</w:instrText>
            </w:r>
            <w:r w:rsidRPr="00EE1F8E">
              <w:rPr>
                <w:rFonts w:cs="Times New Roman"/>
                <w:sz w:val="20"/>
                <w:szCs w:val="20"/>
              </w:rPr>
              <w:fldChar w:fldCharType="end"/>
            </w:r>
            <w:r w:rsidR="006B716D" w:rsidRPr="00EE1F8E">
              <w:rPr>
                <w:rFonts w:cs="Times New Roman"/>
                <w:b/>
                <w:bCs/>
                <w:sz w:val="20"/>
                <w:szCs w:val="20"/>
              </w:rPr>
              <w:t>Motion for an extension of time and motions for leave to intervene</w:t>
            </w:r>
            <w:r w:rsidRPr="00EE1F8E">
              <w:rPr>
                <w:rFonts w:cs="Times New Roman"/>
                <w:sz w:val="20"/>
                <w:szCs w:val="20"/>
              </w:rPr>
              <w:fldChar w:fldCharType="begin"/>
            </w:r>
            <w:r w:rsidR="006B716D" w:rsidRPr="00EE1F8E">
              <w:rPr>
                <w:rFonts w:cs="Times New Roman"/>
                <w:sz w:val="20"/>
                <w:szCs w:val="20"/>
              </w:rPr>
              <w:instrText xml:space="preserve"> SEQ CHAPTER \h \r 1</w:instrText>
            </w:r>
            <w:r w:rsidRPr="00EE1F8E">
              <w:rPr>
                <w:rFonts w:cs="Times New Roman"/>
                <w:sz w:val="20"/>
                <w:szCs w:val="20"/>
              </w:rPr>
              <w:fldChar w:fldCharType="end"/>
            </w:r>
          </w:p>
        </w:tc>
        <w:tc>
          <w:tcPr>
            <w:tcW w:w="1170" w:type="dxa"/>
          </w:tcPr>
          <w:p w:rsidR="006B716D" w:rsidRPr="00EE1F8E" w:rsidRDefault="006B716D" w:rsidP="00845150">
            <w:pPr>
              <w:rPr>
                <w:rFonts w:cs="Times New Roman"/>
                <w:sz w:val="20"/>
                <w:szCs w:val="20"/>
              </w:rPr>
            </w:pPr>
          </w:p>
          <w:p w:rsidR="006B716D" w:rsidRPr="00EE1F8E" w:rsidRDefault="006B716D" w:rsidP="00845150">
            <w:pPr>
              <w:rPr>
                <w:rFonts w:cs="Times New Roman"/>
                <w:sz w:val="20"/>
                <w:szCs w:val="20"/>
              </w:rPr>
            </w:pPr>
          </w:p>
          <w:p w:rsidR="006B716D" w:rsidRPr="00EE1F8E" w:rsidRDefault="006B716D" w:rsidP="00845150">
            <w:pPr>
              <w:rPr>
                <w:rFonts w:cs="Times New Roman"/>
                <w:sz w:val="20"/>
                <w:szCs w:val="20"/>
              </w:rPr>
            </w:pPr>
          </w:p>
        </w:tc>
        <w:tc>
          <w:tcPr>
            <w:tcW w:w="4327" w:type="dxa"/>
          </w:tcPr>
          <w:p w:rsidR="006B716D" w:rsidRPr="00EE1F8E" w:rsidRDefault="00BF59B3" w:rsidP="00845150">
            <w:pPr>
              <w:jc w:val="both"/>
              <w:rPr>
                <w:rFonts w:cs="Times New Roman"/>
                <w:b/>
                <w:sz w:val="20"/>
                <w:szCs w:val="20"/>
                <w:lang w:val="fr-CA"/>
              </w:rPr>
            </w:pPr>
            <w:r w:rsidRPr="00EE1F8E">
              <w:rPr>
                <w:rFonts w:cs="Times New Roman"/>
                <w:sz w:val="20"/>
                <w:szCs w:val="20"/>
              </w:rPr>
              <w:fldChar w:fldCharType="begin"/>
            </w:r>
            <w:r w:rsidR="006B716D" w:rsidRPr="00EE1F8E">
              <w:rPr>
                <w:rFonts w:cs="Times New Roman"/>
                <w:sz w:val="20"/>
                <w:szCs w:val="20"/>
                <w:lang w:val="fr-CA"/>
              </w:rPr>
              <w:instrText xml:space="preserve"> SEQ CHAPTER \h \r 1</w:instrText>
            </w:r>
            <w:r w:rsidRPr="00EE1F8E">
              <w:rPr>
                <w:rFonts w:cs="Times New Roman"/>
                <w:sz w:val="20"/>
                <w:szCs w:val="20"/>
              </w:rPr>
              <w:fldChar w:fldCharType="end"/>
            </w:r>
            <w:r w:rsidR="006B716D" w:rsidRPr="00EE1F8E">
              <w:rPr>
                <w:rFonts w:cs="Times New Roman"/>
                <w:b/>
                <w:bCs/>
                <w:sz w:val="20"/>
                <w:szCs w:val="20"/>
                <w:lang w:val="fr-CA"/>
              </w:rPr>
              <w:t>Requête en prorogation de délai et requêtes en autorisation d'intervenir</w:t>
            </w:r>
            <w:r w:rsidRPr="00EE1F8E">
              <w:rPr>
                <w:rFonts w:cs="Times New Roman"/>
                <w:sz w:val="20"/>
                <w:szCs w:val="20"/>
              </w:rPr>
              <w:fldChar w:fldCharType="begin"/>
            </w:r>
            <w:r w:rsidR="006B716D" w:rsidRPr="00EE1F8E">
              <w:rPr>
                <w:rFonts w:cs="Times New Roman"/>
                <w:sz w:val="20"/>
                <w:szCs w:val="20"/>
                <w:lang w:val="fr-CA"/>
              </w:rPr>
              <w:instrText xml:space="preserve"> SEQ CHAPTER \h \r 1</w:instrText>
            </w:r>
            <w:r w:rsidRPr="00EE1F8E">
              <w:rPr>
                <w:rFonts w:cs="Times New Roman"/>
                <w:sz w:val="20"/>
                <w:szCs w:val="20"/>
              </w:rPr>
              <w:fldChar w:fldCharType="end"/>
            </w:r>
          </w:p>
        </w:tc>
      </w:tr>
      <w:tr w:rsidR="006B716D" w:rsidRPr="00EE1F8E" w:rsidTr="00845150">
        <w:tc>
          <w:tcPr>
            <w:tcW w:w="1368" w:type="dxa"/>
          </w:tcPr>
          <w:p w:rsidR="006B716D" w:rsidRPr="00EE1F8E" w:rsidRDefault="006B716D" w:rsidP="00845150">
            <w:pPr>
              <w:rPr>
                <w:rFonts w:cs="Times New Roman"/>
                <w:sz w:val="20"/>
                <w:szCs w:val="20"/>
              </w:rPr>
            </w:pPr>
            <w:r w:rsidRPr="00EE1F8E">
              <w:rPr>
                <w:rFonts w:cs="Times New Roman"/>
                <w:sz w:val="20"/>
                <w:szCs w:val="20"/>
              </w:rPr>
              <w:t>BY / PAR</w:t>
            </w:r>
          </w:p>
        </w:tc>
        <w:tc>
          <w:tcPr>
            <w:tcW w:w="2970" w:type="dxa"/>
          </w:tcPr>
          <w:p w:rsidR="006B716D" w:rsidRPr="00EE1F8E" w:rsidRDefault="006B716D" w:rsidP="00845150">
            <w:pPr>
              <w:rPr>
                <w:rFonts w:cs="Times New Roman"/>
                <w:sz w:val="20"/>
                <w:szCs w:val="20"/>
              </w:rPr>
            </w:pPr>
            <w:r w:rsidRPr="00EE1F8E">
              <w:rPr>
                <w:rFonts w:cs="Times New Roman"/>
                <w:sz w:val="20"/>
                <w:szCs w:val="20"/>
              </w:rPr>
              <w:t>Attorney General of Alberta;</w:t>
            </w:r>
          </w:p>
        </w:tc>
        <w:tc>
          <w:tcPr>
            <w:tcW w:w="1170" w:type="dxa"/>
          </w:tcPr>
          <w:p w:rsidR="006B716D" w:rsidRPr="00EE1F8E" w:rsidRDefault="006B716D" w:rsidP="00845150">
            <w:pPr>
              <w:rPr>
                <w:rFonts w:cs="Times New Roman"/>
                <w:sz w:val="20"/>
                <w:szCs w:val="20"/>
              </w:rPr>
            </w:pPr>
          </w:p>
        </w:tc>
        <w:tc>
          <w:tcPr>
            <w:tcW w:w="4327" w:type="dxa"/>
          </w:tcPr>
          <w:p w:rsidR="006B716D" w:rsidRPr="00EE1F8E" w:rsidRDefault="006B716D" w:rsidP="00845150">
            <w:pPr>
              <w:rPr>
                <w:rFonts w:cs="Times New Roman"/>
                <w:sz w:val="20"/>
                <w:szCs w:val="20"/>
              </w:rPr>
            </w:pPr>
          </w:p>
        </w:tc>
      </w:tr>
      <w:tr w:rsidR="006B716D" w:rsidRPr="00C5295A" w:rsidTr="00845150">
        <w:tc>
          <w:tcPr>
            <w:tcW w:w="1368" w:type="dxa"/>
          </w:tcPr>
          <w:p w:rsidR="006B716D" w:rsidRPr="00EE1F8E" w:rsidRDefault="006B716D" w:rsidP="00845150">
            <w:pPr>
              <w:rPr>
                <w:rFonts w:cs="Times New Roman"/>
                <w:sz w:val="20"/>
                <w:szCs w:val="20"/>
              </w:rPr>
            </w:pPr>
          </w:p>
        </w:tc>
        <w:tc>
          <w:tcPr>
            <w:tcW w:w="2970" w:type="dxa"/>
          </w:tcPr>
          <w:p w:rsidR="006B716D" w:rsidRPr="00EE1F8E" w:rsidRDefault="006B716D" w:rsidP="00845150">
            <w:pPr>
              <w:rPr>
                <w:rFonts w:cs="Times New Roman"/>
                <w:sz w:val="20"/>
                <w:szCs w:val="20"/>
                <w:lang w:val="fr-CA"/>
              </w:rPr>
            </w:pPr>
            <w:r w:rsidRPr="00EE1F8E">
              <w:rPr>
                <w:rFonts w:cs="Times New Roman"/>
                <w:sz w:val="20"/>
                <w:szCs w:val="20"/>
                <w:lang w:val="fr-CA"/>
              </w:rPr>
              <w:t>Institut National de santé publique du Québec;</w:t>
            </w:r>
          </w:p>
        </w:tc>
        <w:tc>
          <w:tcPr>
            <w:tcW w:w="1170" w:type="dxa"/>
          </w:tcPr>
          <w:p w:rsidR="006B716D" w:rsidRPr="00EE1F8E" w:rsidRDefault="006B716D" w:rsidP="00845150">
            <w:pPr>
              <w:rPr>
                <w:rFonts w:cs="Times New Roman"/>
                <w:sz w:val="20"/>
                <w:szCs w:val="20"/>
                <w:lang w:val="fr-CA"/>
              </w:rPr>
            </w:pPr>
          </w:p>
        </w:tc>
        <w:tc>
          <w:tcPr>
            <w:tcW w:w="4327" w:type="dxa"/>
          </w:tcPr>
          <w:p w:rsidR="006B716D" w:rsidRPr="00EE1F8E" w:rsidRDefault="006B716D" w:rsidP="00845150">
            <w:pPr>
              <w:rPr>
                <w:rFonts w:cs="Times New Roman"/>
                <w:sz w:val="20"/>
                <w:szCs w:val="20"/>
                <w:lang w:val="fr-CA"/>
              </w:rPr>
            </w:pPr>
          </w:p>
        </w:tc>
      </w:tr>
      <w:tr w:rsidR="006B716D" w:rsidRPr="00C5295A" w:rsidTr="00845150">
        <w:tc>
          <w:tcPr>
            <w:tcW w:w="1368" w:type="dxa"/>
          </w:tcPr>
          <w:p w:rsidR="006B716D" w:rsidRPr="00EE1F8E" w:rsidRDefault="006B716D" w:rsidP="00845150">
            <w:pPr>
              <w:rPr>
                <w:rFonts w:cs="Times New Roman"/>
                <w:sz w:val="20"/>
                <w:szCs w:val="20"/>
                <w:lang w:val="fr-CA"/>
              </w:rPr>
            </w:pPr>
          </w:p>
        </w:tc>
        <w:tc>
          <w:tcPr>
            <w:tcW w:w="2970" w:type="dxa"/>
          </w:tcPr>
          <w:p w:rsidR="006B716D" w:rsidRPr="00EE1F8E" w:rsidRDefault="006B716D" w:rsidP="00845150">
            <w:pPr>
              <w:rPr>
                <w:rFonts w:cs="Times New Roman"/>
                <w:sz w:val="20"/>
                <w:szCs w:val="20"/>
                <w:lang w:val="fr-CA"/>
              </w:rPr>
            </w:pPr>
            <w:r w:rsidRPr="00EE1F8E">
              <w:rPr>
                <w:rFonts w:cs="Times New Roman"/>
                <w:sz w:val="20"/>
                <w:szCs w:val="20"/>
                <w:lang w:val="fr-CA"/>
              </w:rPr>
              <w:t>Association des Avocats de la Défense de Montréal</w:t>
            </w:r>
          </w:p>
        </w:tc>
        <w:tc>
          <w:tcPr>
            <w:tcW w:w="1170" w:type="dxa"/>
          </w:tcPr>
          <w:p w:rsidR="006B716D" w:rsidRPr="00EE1F8E" w:rsidRDefault="006B716D" w:rsidP="00845150">
            <w:pPr>
              <w:rPr>
                <w:rFonts w:cs="Times New Roman"/>
                <w:sz w:val="20"/>
                <w:szCs w:val="20"/>
                <w:lang w:val="fr-CA"/>
              </w:rPr>
            </w:pPr>
          </w:p>
        </w:tc>
        <w:tc>
          <w:tcPr>
            <w:tcW w:w="4327" w:type="dxa"/>
          </w:tcPr>
          <w:p w:rsidR="006B716D" w:rsidRPr="00EE1F8E" w:rsidRDefault="006B716D" w:rsidP="00845150">
            <w:pPr>
              <w:rPr>
                <w:rFonts w:cs="Times New Roman"/>
                <w:sz w:val="20"/>
                <w:szCs w:val="20"/>
                <w:lang w:val="fr-CA"/>
              </w:rPr>
            </w:pPr>
          </w:p>
        </w:tc>
      </w:tr>
      <w:tr w:rsidR="006B716D" w:rsidRPr="00C5295A" w:rsidTr="00845150">
        <w:tc>
          <w:tcPr>
            <w:tcW w:w="1368" w:type="dxa"/>
          </w:tcPr>
          <w:p w:rsidR="006B716D" w:rsidRPr="00EE1F8E" w:rsidRDefault="006B716D" w:rsidP="00845150">
            <w:pPr>
              <w:rPr>
                <w:rFonts w:cs="Times New Roman"/>
                <w:sz w:val="20"/>
                <w:szCs w:val="20"/>
                <w:lang w:val="fr-CA"/>
              </w:rPr>
            </w:pPr>
          </w:p>
        </w:tc>
        <w:tc>
          <w:tcPr>
            <w:tcW w:w="2970" w:type="dxa"/>
          </w:tcPr>
          <w:p w:rsidR="006B716D" w:rsidRPr="00EE1F8E" w:rsidRDefault="006B716D" w:rsidP="00845150">
            <w:pPr>
              <w:rPr>
                <w:rFonts w:cs="Times New Roman"/>
                <w:sz w:val="20"/>
                <w:szCs w:val="20"/>
                <w:lang w:val="fr-CA"/>
              </w:rPr>
            </w:pPr>
          </w:p>
        </w:tc>
        <w:tc>
          <w:tcPr>
            <w:tcW w:w="1170" w:type="dxa"/>
          </w:tcPr>
          <w:p w:rsidR="006B716D" w:rsidRPr="00EE1F8E" w:rsidRDefault="006B716D" w:rsidP="00845150">
            <w:pPr>
              <w:rPr>
                <w:rFonts w:cs="Times New Roman"/>
                <w:sz w:val="20"/>
                <w:szCs w:val="20"/>
                <w:lang w:val="fr-CA"/>
              </w:rPr>
            </w:pPr>
          </w:p>
        </w:tc>
        <w:tc>
          <w:tcPr>
            <w:tcW w:w="4327" w:type="dxa"/>
          </w:tcPr>
          <w:p w:rsidR="006B716D" w:rsidRPr="00EE1F8E" w:rsidRDefault="006B716D" w:rsidP="00845150">
            <w:pPr>
              <w:rPr>
                <w:rFonts w:cs="Times New Roman"/>
                <w:sz w:val="20"/>
                <w:szCs w:val="20"/>
                <w:lang w:val="fr-CA"/>
              </w:rPr>
            </w:pPr>
          </w:p>
        </w:tc>
      </w:tr>
      <w:tr w:rsidR="006B716D" w:rsidRPr="00EE1F8E" w:rsidTr="00845150">
        <w:tc>
          <w:tcPr>
            <w:tcW w:w="1368" w:type="dxa"/>
          </w:tcPr>
          <w:p w:rsidR="006B716D" w:rsidRPr="00EE1F8E" w:rsidRDefault="006B716D" w:rsidP="00845150">
            <w:pPr>
              <w:rPr>
                <w:rFonts w:cs="Times New Roman"/>
                <w:sz w:val="20"/>
                <w:szCs w:val="20"/>
              </w:rPr>
            </w:pPr>
            <w:r w:rsidRPr="00EE1F8E">
              <w:rPr>
                <w:rFonts w:cs="Times New Roman"/>
                <w:sz w:val="20"/>
                <w:szCs w:val="20"/>
              </w:rPr>
              <w:t>IN / DANS :</w:t>
            </w:r>
          </w:p>
        </w:tc>
        <w:tc>
          <w:tcPr>
            <w:tcW w:w="2970" w:type="dxa"/>
          </w:tcPr>
          <w:p w:rsidR="006B716D" w:rsidRPr="00EE1F8E" w:rsidRDefault="006B716D" w:rsidP="00845150">
            <w:pPr>
              <w:rPr>
                <w:rFonts w:cs="Times New Roman"/>
                <w:sz w:val="20"/>
                <w:szCs w:val="20"/>
              </w:rPr>
            </w:pPr>
            <w:r w:rsidRPr="00EE1F8E">
              <w:rPr>
                <w:rFonts w:cs="Times New Roman"/>
                <w:sz w:val="20"/>
                <w:szCs w:val="20"/>
              </w:rPr>
              <w:t xml:space="preserve">Her Majesty the Queen </w:t>
            </w:r>
          </w:p>
          <w:p w:rsidR="006B716D" w:rsidRPr="00EE1F8E" w:rsidRDefault="006B716D" w:rsidP="00845150">
            <w:pPr>
              <w:rPr>
                <w:rFonts w:cs="Times New Roman"/>
                <w:sz w:val="20"/>
                <w:szCs w:val="20"/>
              </w:rPr>
            </w:pPr>
          </w:p>
        </w:tc>
        <w:tc>
          <w:tcPr>
            <w:tcW w:w="1170" w:type="dxa"/>
          </w:tcPr>
          <w:p w:rsidR="006B716D" w:rsidRPr="00EE1F8E" w:rsidRDefault="006B716D" w:rsidP="00845150">
            <w:pPr>
              <w:rPr>
                <w:rFonts w:cs="Times New Roman"/>
                <w:sz w:val="20"/>
                <w:szCs w:val="20"/>
              </w:rPr>
            </w:pPr>
          </w:p>
        </w:tc>
        <w:tc>
          <w:tcPr>
            <w:tcW w:w="4327" w:type="dxa"/>
          </w:tcPr>
          <w:p w:rsidR="006B716D" w:rsidRPr="00EE1F8E" w:rsidRDefault="006B716D" w:rsidP="00845150">
            <w:pPr>
              <w:rPr>
                <w:rFonts w:cs="Times New Roman"/>
                <w:sz w:val="20"/>
                <w:szCs w:val="20"/>
              </w:rPr>
            </w:pPr>
          </w:p>
        </w:tc>
      </w:tr>
      <w:tr w:rsidR="006B716D" w:rsidRPr="00EE1F8E" w:rsidTr="00845150">
        <w:tc>
          <w:tcPr>
            <w:tcW w:w="1368" w:type="dxa"/>
          </w:tcPr>
          <w:p w:rsidR="006B716D" w:rsidRPr="00EE1F8E" w:rsidRDefault="006B716D" w:rsidP="00845150">
            <w:pPr>
              <w:rPr>
                <w:rFonts w:cs="Times New Roman"/>
                <w:sz w:val="20"/>
                <w:szCs w:val="20"/>
              </w:rPr>
            </w:pPr>
          </w:p>
        </w:tc>
        <w:tc>
          <w:tcPr>
            <w:tcW w:w="2970" w:type="dxa"/>
          </w:tcPr>
          <w:p w:rsidR="006B716D" w:rsidRPr="00EE1F8E" w:rsidRDefault="006B716D" w:rsidP="00845150">
            <w:pPr>
              <w:rPr>
                <w:rFonts w:cs="Times New Roman"/>
                <w:sz w:val="20"/>
                <w:szCs w:val="20"/>
              </w:rPr>
            </w:pPr>
            <w:r w:rsidRPr="00EE1F8E">
              <w:rPr>
                <w:rFonts w:cs="Times New Roman"/>
                <w:sz w:val="20"/>
                <w:szCs w:val="20"/>
              </w:rPr>
              <w:tab/>
              <w:t>v. (33976)</w:t>
            </w:r>
          </w:p>
          <w:p w:rsidR="006B716D" w:rsidRPr="00EE1F8E" w:rsidRDefault="006B716D" w:rsidP="00845150">
            <w:pPr>
              <w:rPr>
                <w:rFonts w:cs="Times New Roman"/>
                <w:sz w:val="20"/>
                <w:szCs w:val="20"/>
              </w:rPr>
            </w:pPr>
          </w:p>
        </w:tc>
        <w:tc>
          <w:tcPr>
            <w:tcW w:w="1170" w:type="dxa"/>
          </w:tcPr>
          <w:p w:rsidR="006B716D" w:rsidRPr="00EE1F8E" w:rsidRDefault="006B716D" w:rsidP="00845150">
            <w:pPr>
              <w:rPr>
                <w:rFonts w:cs="Times New Roman"/>
                <w:sz w:val="20"/>
                <w:szCs w:val="20"/>
              </w:rPr>
            </w:pPr>
          </w:p>
        </w:tc>
        <w:tc>
          <w:tcPr>
            <w:tcW w:w="4327" w:type="dxa"/>
          </w:tcPr>
          <w:p w:rsidR="006B716D" w:rsidRPr="00EE1F8E" w:rsidRDefault="006B716D" w:rsidP="00845150">
            <w:pPr>
              <w:rPr>
                <w:rFonts w:cs="Times New Roman"/>
                <w:sz w:val="20"/>
                <w:szCs w:val="20"/>
              </w:rPr>
            </w:pPr>
          </w:p>
        </w:tc>
      </w:tr>
      <w:tr w:rsidR="006B716D" w:rsidRPr="00EE1F8E" w:rsidTr="00845150">
        <w:tc>
          <w:tcPr>
            <w:tcW w:w="1368" w:type="dxa"/>
          </w:tcPr>
          <w:p w:rsidR="006B716D" w:rsidRPr="00EE1F8E" w:rsidRDefault="006B716D" w:rsidP="00845150">
            <w:pPr>
              <w:rPr>
                <w:rFonts w:cs="Times New Roman"/>
                <w:sz w:val="20"/>
                <w:szCs w:val="20"/>
              </w:rPr>
            </w:pPr>
          </w:p>
        </w:tc>
        <w:tc>
          <w:tcPr>
            <w:tcW w:w="2970" w:type="dxa"/>
          </w:tcPr>
          <w:p w:rsidR="006B716D" w:rsidRPr="00EE1F8E" w:rsidRDefault="006B716D" w:rsidP="00845150">
            <w:pPr>
              <w:jc w:val="both"/>
              <w:rPr>
                <w:rFonts w:cs="Times New Roman"/>
                <w:sz w:val="20"/>
                <w:szCs w:val="20"/>
              </w:rPr>
            </w:pPr>
            <w:r w:rsidRPr="00EE1F8E">
              <w:rPr>
                <w:rFonts w:cs="Times New Roman"/>
                <w:sz w:val="20"/>
                <w:szCs w:val="20"/>
              </w:rPr>
              <w:t>Clato Lual Mabior (Crim.) (Man.)</w:t>
            </w:r>
          </w:p>
        </w:tc>
        <w:tc>
          <w:tcPr>
            <w:tcW w:w="1170" w:type="dxa"/>
          </w:tcPr>
          <w:p w:rsidR="006B716D" w:rsidRPr="00EE1F8E" w:rsidRDefault="006B716D" w:rsidP="00845150">
            <w:pPr>
              <w:rPr>
                <w:rFonts w:cs="Times New Roman"/>
                <w:sz w:val="20"/>
                <w:szCs w:val="20"/>
              </w:rPr>
            </w:pPr>
          </w:p>
        </w:tc>
        <w:tc>
          <w:tcPr>
            <w:tcW w:w="4327" w:type="dxa"/>
          </w:tcPr>
          <w:p w:rsidR="006B716D" w:rsidRPr="00EE1F8E" w:rsidRDefault="006B716D" w:rsidP="00845150">
            <w:pPr>
              <w:rPr>
                <w:rFonts w:cs="Times New Roman"/>
                <w:sz w:val="20"/>
                <w:szCs w:val="20"/>
              </w:rPr>
            </w:pPr>
          </w:p>
        </w:tc>
      </w:tr>
      <w:tr w:rsidR="006B716D" w:rsidRPr="00EE1F8E" w:rsidTr="00845150">
        <w:tc>
          <w:tcPr>
            <w:tcW w:w="1368" w:type="dxa"/>
          </w:tcPr>
          <w:p w:rsidR="006B716D" w:rsidRPr="00EE1F8E" w:rsidRDefault="006B716D" w:rsidP="00845150">
            <w:pPr>
              <w:rPr>
                <w:rFonts w:cs="Times New Roman"/>
                <w:sz w:val="20"/>
                <w:szCs w:val="20"/>
              </w:rPr>
            </w:pPr>
          </w:p>
        </w:tc>
        <w:tc>
          <w:tcPr>
            <w:tcW w:w="2970" w:type="dxa"/>
          </w:tcPr>
          <w:p w:rsidR="006B716D" w:rsidRPr="00EE1F8E" w:rsidRDefault="006B716D" w:rsidP="00845150">
            <w:pPr>
              <w:jc w:val="both"/>
              <w:rPr>
                <w:rFonts w:cs="Times New Roman"/>
                <w:sz w:val="20"/>
                <w:szCs w:val="20"/>
              </w:rPr>
            </w:pPr>
          </w:p>
        </w:tc>
        <w:tc>
          <w:tcPr>
            <w:tcW w:w="1170" w:type="dxa"/>
          </w:tcPr>
          <w:p w:rsidR="006B716D" w:rsidRPr="00EE1F8E" w:rsidRDefault="006B716D" w:rsidP="00845150">
            <w:pPr>
              <w:rPr>
                <w:rFonts w:cs="Times New Roman"/>
                <w:sz w:val="20"/>
                <w:szCs w:val="20"/>
              </w:rPr>
            </w:pPr>
          </w:p>
        </w:tc>
        <w:tc>
          <w:tcPr>
            <w:tcW w:w="4327" w:type="dxa"/>
          </w:tcPr>
          <w:p w:rsidR="006B716D" w:rsidRPr="00EE1F8E" w:rsidRDefault="006B716D" w:rsidP="00845150">
            <w:pPr>
              <w:rPr>
                <w:rFonts w:cs="Times New Roman"/>
                <w:sz w:val="20"/>
                <w:szCs w:val="20"/>
              </w:rPr>
            </w:pPr>
          </w:p>
        </w:tc>
      </w:tr>
      <w:tr w:rsidR="006B716D" w:rsidRPr="00EE1F8E" w:rsidTr="00845150">
        <w:tc>
          <w:tcPr>
            <w:tcW w:w="1368" w:type="dxa"/>
          </w:tcPr>
          <w:p w:rsidR="006B716D" w:rsidRPr="00EE1F8E" w:rsidRDefault="006B716D" w:rsidP="00845150">
            <w:pPr>
              <w:rPr>
                <w:rFonts w:cs="Times New Roman"/>
                <w:sz w:val="20"/>
                <w:szCs w:val="20"/>
              </w:rPr>
            </w:pPr>
          </w:p>
        </w:tc>
        <w:tc>
          <w:tcPr>
            <w:tcW w:w="2970" w:type="dxa"/>
          </w:tcPr>
          <w:p w:rsidR="006B716D" w:rsidRPr="00EE1F8E" w:rsidRDefault="006B716D" w:rsidP="00845150">
            <w:pPr>
              <w:jc w:val="both"/>
              <w:rPr>
                <w:rFonts w:cs="Times New Roman"/>
                <w:sz w:val="20"/>
                <w:szCs w:val="20"/>
              </w:rPr>
            </w:pPr>
            <w:r w:rsidRPr="00EE1F8E">
              <w:rPr>
                <w:rFonts w:cs="Times New Roman"/>
                <w:sz w:val="20"/>
                <w:szCs w:val="20"/>
              </w:rPr>
              <w:t>- and between -</w:t>
            </w:r>
          </w:p>
        </w:tc>
        <w:tc>
          <w:tcPr>
            <w:tcW w:w="1170" w:type="dxa"/>
          </w:tcPr>
          <w:p w:rsidR="006B716D" w:rsidRPr="00EE1F8E" w:rsidRDefault="006B716D" w:rsidP="00845150">
            <w:pPr>
              <w:rPr>
                <w:rFonts w:cs="Times New Roman"/>
                <w:sz w:val="20"/>
                <w:szCs w:val="20"/>
              </w:rPr>
            </w:pPr>
          </w:p>
        </w:tc>
        <w:tc>
          <w:tcPr>
            <w:tcW w:w="4327" w:type="dxa"/>
          </w:tcPr>
          <w:p w:rsidR="006B716D" w:rsidRPr="00EE1F8E" w:rsidRDefault="006B716D" w:rsidP="00845150">
            <w:pPr>
              <w:rPr>
                <w:rFonts w:cs="Times New Roman"/>
                <w:sz w:val="20"/>
                <w:szCs w:val="20"/>
              </w:rPr>
            </w:pPr>
          </w:p>
        </w:tc>
      </w:tr>
      <w:tr w:rsidR="006B716D" w:rsidRPr="00EE1F8E" w:rsidTr="00845150">
        <w:tc>
          <w:tcPr>
            <w:tcW w:w="1368" w:type="dxa"/>
          </w:tcPr>
          <w:p w:rsidR="006B716D" w:rsidRPr="00EE1F8E" w:rsidRDefault="006B716D" w:rsidP="00845150">
            <w:pPr>
              <w:rPr>
                <w:rFonts w:cs="Times New Roman"/>
                <w:sz w:val="20"/>
                <w:szCs w:val="20"/>
              </w:rPr>
            </w:pPr>
          </w:p>
        </w:tc>
        <w:tc>
          <w:tcPr>
            <w:tcW w:w="2970" w:type="dxa"/>
          </w:tcPr>
          <w:p w:rsidR="006B716D" w:rsidRPr="00EE1F8E" w:rsidRDefault="006B716D" w:rsidP="00845150">
            <w:pPr>
              <w:jc w:val="both"/>
              <w:rPr>
                <w:rFonts w:cs="Times New Roman"/>
                <w:sz w:val="20"/>
                <w:szCs w:val="20"/>
              </w:rPr>
            </w:pPr>
          </w:p>
        </w:tc>
        <w:tc>
          <w:tcPr>
            <w:tcW w:w="1170" w:type="dxa"/>
          </w:tcPr>
          <w:p w:rsidR="006B716D" w:rsidRPr="00EE1F8E" w:rsidRDefault="006B716D" w:rsidP="00845150">
            <w:pPr>
              <w:rPr>
                <w:rFonts w:cs="Times New Roman"/>
                <w:sz w:val="20"/>
                <w:szCs w:val="20"/>
              </w:rPr>
            </w:pPr>
          </w:p>
        </w:tc>
        <w:tc>
          <w:tcPr>
            <w:tcW w:w="4327" w:type="dxa"/>
          </w:tcPr>
          <w:p w:rsidR="006B716D" w:rsidRPr="00EE1F8E" w:rsidRDefault="006B716D" w:rsidP="00845150">
            <w:pPr>
              <w:rPr>
                <w:rFonts w:cs="Times New Roman"/>
                <w:sz w:val="20"/>
                <w:szCs w:val="20"/>
              </w:rPr>
            </w:pPr>
          </w:p>
        </w:tc>
      </w:tr>
      <w:tr w:rsidR="006B716D" w:rsidRPr="00EE1F8E" w:rsidTr="00845150">
        <w:tc>
          <w:tcPr>
            <w:tcW w:w="1368" w:type="dxa"/>
          </w:tcPr>
          <w:p w:rsidR="006B716D" w:rsidRPr="00EE1F8E" w:rsidRDefault="006B716D" w:rsidP="00845150">
            <w:pPr>
              <w:rPr>
                <w:rFonts w:cs="Times New Roman"/>
                <w:sz w:val="20"/>
                <w:szCs w:val="20"/>
              </w:rPr>
            </w:pPr>
          </w:p>
        </w:tc>
        <w:tc>
          <w:tcPr>
            <w:tcW w:w="2970" w:type="dxa"/>
          </w:tcPr>
          <w:p w:rsidR="006B716D" w:rsidRPr="00EE1F8E" w:rsidRDefault="006B716D" w:rsidP="00845150">
            <w:pPr>
              <w:rPr>
                <w:rFonts w:cs="Times New Roman"/>
                <w:sz w:val="20"/>
                <w:szCs w:val="20"/>
              </w:rPr>
            </w:pPr>
            <w:r w:rsidRPr="00EE1F8E">
              <w:rPr>
                <w:rFonts w:cs="Times New Roman"/>
                <w:sz w:val="20"/>
                <w:szCs w:val="20"/>
              </w:rPr>
              <w:t>Sa Majesté la Reine</w:t>
            </w:r>
          </w:p>
          <w:p w:rsidR="006B716D" w:rsidRPr="00EE1F8E" w:rsidRDefault="006B716D" w:rsidP="00845150">
            <w:pPr>
              <w:jc w:val="both"/>
              <w:rPr>
                <w:rFonts w:cs="Times New Roman"/>
                <w:sz w:val="20"/>
                <w:szCs w:val="20"/>
              </w:rPr>
            </w:pPr>
          </w:p>
        </w:tc>
        <w:tc>
          <w:tcPr>
            <w:tcW w:w="1170" w:type="dxa"/>
          </w:tcPr>
          <w:p w:rsidR="006B716D" w:rsidRPr="00EE1F8E" w:rsidRDefault="006B716D" w:rsidP="00845150">
            <w:pPr>
              <w:rPr>
                <w:rFonts w:cs="Times New Roman"/>
                <w:sz w:val="20"/>
                <w:szCs w:val="20"/>
              </w:rPr>
            </w:pPr>
          </w:p>
        </w:tc>
        <w:tc>
          <w:tcPr>
            <w:tcW w:w="4327" w:type="dxa"/>
          </w:tcPr>
          <w:p w:rsidR="006B716D" w:rsidRPr="00EE1F8E" w:rsidRDefault="006B716D" w:rsidP="00845150">
            <w:pPr>
              <w:rPr>
                <w:rFonts w:cs="Times New Roman"/>
                <w:sz w:val="20"/>
                <w:szCs w:val="20"/>
              </w:rPr>
            </w:pPr>
          </w:p>
        </w:tc>
      </w:tr>
      <w:tr w:rsidR="006B716D" w:rsidRPr="00EE1F8E" w:rsidTr="00845150">
        <w:tc>
          <w:tcPr>
            <w:tcW w:w="1368" w:type="dxa"/>
          </w:tcPr>
          <w:p w:rsidR="006B716D" w:rsidRPr="00EE1F8E" w:rsidRDefault="006B716D" w:rsidP="00845150">
            <w:pPr>
              <w:rPr>
                <w:rFonts w:cs="Times New Roman"/>
                <w:sz w:val="20"/>
                <w:szCs w:val="20"/>
              </w:rPr>
            </w:pPr>
          </w:p>
        </w:tc>
        <w:tc>
          <w:tcPr>
            <w:tcW w:w="2970" w:type="dxa"/>
          </w:tcPr>
          <w:p w:rsidR="006B716D" w:rsidRPr="00EE1F8E" w:rsidRDefault="006B716D" w:rsidP="00845150">
            <w:pPr>
              <w:jc w:val="both"/>
              <w:rPr>
                <w:rFonts w:cs="Times New Roman"/>
                <w:sz w:val="20"/>
                <w:szCs w:val="20"/>
              </w:rPr>
            </w:pPr>
            <w:r w:rsidRPr="00EE1F8E">
              <w:rPr>
                <w:rFonts w:cs="Times New Roman"/>
                <w:sz w:val="20"/>
                <w:szCs w:val="20"/>
              </w:rPr>
              <w:tab/>
              <w:t>c. (34094)</w:t>
            </w:r>
          </w:p>
          <w:p w:rsidR="006B716D" w:rsidRPr="00EE1F8E" w:rsidRDefault="006B716D" w:rsidP="00845150">
            <w:pPr>
              <w:jc w:val="both"/>
              <w:rPr>
                <w:rFonts w:cs="Times New Roman"/>
                <w:sz w:val="20"/>
                <w:szCs w:val="20"/>
              </w:rPr>
            </w:pPr>
          </w:p>
        </w:tc>
        <w:tc>
          <w:tcPr>
            <w:tcW w:w="1170" w:type="dxa"/>
          </w:tcPr>
          <w:p w:rsidR="006B716D" w:rsidRPr="00EE1F8E" w:rsidRDefault="006B716D" w:rsidP="00845150">
            <w:pPr>
              <w:rPr>
                <w:rFonts w:cs="Times New Roman"/>
                <w:sz w:val="20"/>
                <w:szCs w:val="20"/>
              </w:rPr>
            </w:pPr>
          </w:p>
        </w:tc>
        <w:tc>
          <w:tcPr>
            <w:tcW w:w="4327" w:type="dxa"/>
          </w:tcPr>
          <w:p w:rsidR="006B716D" w:rsidRPr="00EE1F8E" w:rsidRDefault="006B716D" w:rsidP="00845150">
            <w:pPr>
              <w:rPr>
                <w:rFonts w:cs="Times New Roman"/>
                <w:sz w:val="20"/>
                <w:szCs w:val="20"/>
              </w:rPr>
            </w:pPr>
          </w:p>
        </w:tc>
      </w:tr>
      <w:tr w:rsidR="006B716D" w:rsidRPr="00EE1F8E" w:rsidTr="00845150">
        <w:tc>
          <w:tcPr>
            <w:tcW w:w="1368" w:type="dxa"/>
          </w:tcPr>
          <w:p w:rsidR="006B716D" w:rsidRPr="00EE1F8E" w:rsidRDefault="006B716D" w:rsidP="00845150">
            <w:pPr>
              <w:rPr>
                <w:rFonts w:cs="Times New Roman"/>
                <w:sz w:val="20"/>
                <w:szCs w:val="20"/>
              </w:rPr>
            </w:pPr>
          </w:p>
        </w:tc>
        <w:tc>
          <w:tcPr>
            <w:tcW w:w="2970" w:type="dxa"/>
          </w:tcPr>
          <w:p w:rsidR="006B716D" w:rsidRPr="00EE1F8E" w:rsidRDefault="006B716D" w:rsidP="00845150">
            <w:pPr>
              <w:jc w:val="both"/>
              <w:rPr>
                <w:rFonts w:cs="Times New Roman"/>
                <w:sz w:val="20"/>
                <w:szCs w:val="20"/>
              </w:rPr>
            </w:pPr>
            <w:r w:rsidRPr="00EE1F8E">
              <w:rPr>
                <w:rFonts w:cs="Times New Roman"/>
                <w:sz w:val="20"/>
                <w:szCs w:val="20"/>
              </w:rPr>
              <w:t>D.C. (Crim.) (Qc)</w:t>
            </w:r>
          </w:p>
        </w:tc>
        <w:tc>
          <w:tcPr>
            <w:tcW w:w="1170" w:type="dxa"/>
          </w:tcPr>
          <w:p w:rsidR="006B716D" w:rsidRPr="00EE1F8E" w:rsidRDefault="006B716D" w:rsidP="00845150">
            <w:pPr>
              <w:rPr>
                <w:rFonts w:cs="Times New Roman"/>
                <w:sz w:val="20"/>
                <w:szCs w:val="20"/>
              </w:rPr>
            </w:pPr>
          </w:p>
        </w:tc>
        <w:tc>
          <w:tcPr>
            <w:tcW w:w="4327" w:type="dxa"/>
          </w:tcPr>
          <w:p w:rsidR="006B716D" w:rsidRPr="00EE1F8E" w:rsidRDefault="006B716D" w:rsidP="00845150">
            <w:pPr>
              <w:rPr>
                <w:rFonts w:cs="Times New Roman"/>
                <w:sz w:val="20"/>
                <w:szCs w:val="20"/>
              </w:rPr>
            </w:pPr>
          </w:p>
        </w:tc>
      </w:tr>
    </w:tbl>
    <w:p w:rsidR="006B716D" w:rsidRPr="00EE1F8E" w:rsidRDefault="006B716D" w:rsidP="006B716D">
      <w:pPr>
        <w:jc w:val="both"/>
        <w:rPr>
          <w:rFonts w:cs="Times New Roman"/>
          <w:sz w:val="20"/>
          <w:szCs w:val="20"/>
        </w:rPr>
      </w:pPr>
    </w:p>
    <w:p w:rsidR="006B716D" w:rsidRPr="00EE1F8E" w:rsidRDefault="006B716D" w:rsidP="006B716D">
      <w:pPr>
        <w:tabs>
          <w:tab w:val="left" w:pos="-1440"/>
          <w:tab w:val="left" w:pos="-720"/>
        </w:tabs>
        <w:jc w:val="both"/>
        <w:rPr>
          <w:rFonts w:cs="Times New Roman"/>
          <w:sz w:val="20"/>
          <w:szCs w:val="20"/>
        </w:rPr>
      </w:pPr>
      <w:r w:rsidRPr="00EE1F8E">
        <w:rPr>
          <w:rFonts w:cs="Times New Roman"/>
          <w:b/>
          <w:sz w:val="20"/>
          <w:szCs w:val="20"/>
        </w:rPr>
        <w:t>GRANTED / ACCORDÉES</w:t>
      </w:r>
    </w:p>
    <w:p w:rsidR="006B716D" w:rsidRPr="00EE1F8E" w:rsidRDefault="006B716D" w:rsidP="006B716D">
      <w:pPr>
        <w:tabs>
          <w:tab w:val="left" w:pos="-1440"/>
          <w:tab w:val="left" w:pos="-720"/>
        </w:tabs>
        <w:jc w:val="both"/>
        <w:rPr>
          <w:rFonts w:cs="Times New Roman"/>
          <w:sz w:val="20"/>
          <w:szCs w:val="20"/>
        </w:rPr>
      </w:pPr>
    </w:p>
    <w:p w:rsidR="006B716D" w:rsidRPr="00EE1F8E" w:rsidRDefault="006B716D" w:rsidP="006B716D">
      <w:pPr>
        <w:spacing w:line="211" w:lineRule="auto"/>
        <w:jc w:val="both"/>
        <w:rPr>
          <w:rFonts w:cs="Times New Roman"/>
          <w:i/>
          <w:sz w:val="20"/>
          <w:szCs w:val="20"/>
        </w:rPr>
      </w:pPr>
      <w:r w:rsidRPr="00EE1F8E">
        <w:rPr>
          <w:rFonts w:cs="Times New Roman"/>
          <w:b/>
          <w:bCs/>
          <w:sz w:val="20"/>
          <w:szCs w:val="20"/>
        </w:rPr>
        <w:t xml:space="preserve">UPON APPLICATION </w:t>
      </w:r>
      <w:r w:rsidRPr="00EE1F8E">
        <w:rPr>
          <w:rFonts w:cs="Times New Roman"/>
          <w:sz w:val="20"/>
          <w:szCs w:val="20"/>
        </w:rPr>
        <w:t xml:space="preserve">by the Attorney General of Alberta for leave to intervene in the appeal </w:t>
      </w:r>
      <w:r w:rsidRPr="00EE1F8E">
        <w:rPr>
          <w:rFonts w:cs="Times New Roman"/>
          <w:i/>
          <w:sz w:val="20"/>
          <w:szCs w:val="20"/>
        </w:rPr>
        <w:t xml:space="preserve">Her Majesty the Queen v. D.C. </w:t>
      </w:r>
      <w:r w:rsidRPr="00EE1F8E">
        <w:rPr>
          <w:rFonts w:cs="Times New Roman"/>
          <w:sz w:val="20"/>
          <w:szCs w:val="20"/>
        </w:rPr>
        <w:t>(34094);</w:t>
      </w:r>
    </w:p>
    <w:p w:rsidR="006B716D" w:rsidRPr="00EE1F8E" w:rsidRDefault="006B716D" w:rsidP="006B716D">
      <w:pPr>
        <w:spacing w:line="233" w:lineRule="auto"/>
        <w:jc w:val="both"/>
        <w:rPr>
          <w:rFonts w:cs="Times New Roman"/>
          <w:sz w:val="20"/>
          <w:szCs w:val="20"/>
        </w:rPr>
      </w:pPr>
    </w:p>
    <w:p w:rsidR="006B716D" w:rsidRPr="00EE1F8E" w:rsidRDefault="006B716D" w:rsidP="006B716D">
      <w:pPr>
        <w:spacing w:line="233" w:lineRule="auto"/>
        <w:jc w:val="both"/>
        <w:rPr>
          <w:rFonts w:cs="Times New Roman"/>
          <w:bCs/>
          <w:sz w:val="20"/>
          <w:szCs w:val="20"/>
        </w:rPr>
      </w:pPr>
      <w:r w:rsidRPr="00EE1F8E">
        <w:rPr>
          <w:rFonts w:cs="Times New Roman"/>
          <w:b/>
          <w:sz w:val="20"/>
          <w:szCs w:val="20"/>
        </w:rPr>
        <w:t>AND</w:t>
      </w:r>
      <w:r w:rsidRPr="00EE1F8E">
        <w:rPr>
          <w:rFonts w:cs="Times New Roman"/>
          <w:sz w:val="20"/>
          <w:szCs w:val="20"/>
        </w:rPr>
        <w:t xml:space="preserve"> </w:t>
      </w:r>
      <w:r w:rsidRPr="00EE1F8E">
        <w:rPr>
          <w:rFonts w:cs="Times New Roman"/>
          <w:b/>
          <w:bCs/>
          <w:sz w:val="20"/>
          <w:szCs w:val="20"/>
        </w:rPr>
        <w:t xml:space="preserve">UPON APPLICATIONS </w:t>
      </w:r>
      <w:r w:rsidRPr="00EE1F8E">
        <w:rPr>
          <w:rFonts w:cs="Times New Roman"/>
          <w:bCs/>
          <w:sz w:val="20"/>
          <w:szCs w:val="20"/>
        </w:rPr>
        <w:t xml:space="preserve">by </w:t>
      </w:r>
      <w:r w:rsidRPr="00EE1F8E">
        <w:rPr>
          <w:rFonts w:cs="Times New Roman"/>
          <w:sz w:val="20"/>
          <w:szCs w:val="20"/>
        </w:rPr>
        <w:t xml:space="preserve">Institut National de santé publique du Québec and by Association des Avocats de la Défense de Montréal for an extension of time and for leave to intervene in the appeals </w:t>
      </w:r>
      <w:r w:rsidRPr="00EE1F8E">
        <w:rPr>
          <w:rFonts w:cs="Times New Roman"/>
          <w:i/>
          <w:sz w:val="20"/>
          <w:szCs w:val="20"/>
          <w:lang w:eastAsia="fr-FR"/>
        </w:rPr>
        <w:t>Her Majesty the Queen v. Clato Lual Mabior</w:t>
      </w:r>
      <w:r w:rsidRPr="00EE1F8E">
        <w:rPr>
          <w:rFonts w:cs="Times New Roman"/>
          <w:sz w:val="20"/>
          <w:szCs w:val="20"/>
        </w:rPr>
        <w:t xml:space="preserve"> (33976) and </w:t>
      </w:r>
      <w:r w:rsidRPr="00EE1F8E">
        <w:rPr>
          <w:rFonts w:cs="Times New Roman"/>
          <w:i/>
          <w:sz w:val="20"/>
          <w:szCs w:val="20"/>
        </w:rPr>
        <w:t xml:space="preserve">Her Majesty the Queen v. D.C. </w:t>
      </w:r>
      <w:r w:rsidRPr="00EE1F8E">
        <w:rPr>
          <w:rFonts w:cs="Times New Roman"/>
          <w:sz w:val="20"/>
          <w:szCs w:val="20"/>
        </w:rPr>
        <w:t>(34094)</w:t>
      </w:r>
    </w:p>
    <w:p w:rsidR="006B716D" w:rsidRPr="00EE1F8E" w:rsidRDefault="006B716D" w:rsidP="006B716D">
      <w:pPr>
        <w:spacing w:line="233" w:lineRule="auto"/>
        <w:jc w:val="both"/>
        <w:rPr>
          <w:rFonts w:cs="Times New Roman"/>
          <w:b/>
          <w:bCs/>
          <w:sz w:val="20"/>
          <w:szCs w:val="20"/>
        </w:rPr>
      </w:pPr>
    </w:p>
    <w:p w:rsidR="006B716D" w:rsidRPr="00EE1F8E" w:rsidRDefault="006B716D" w:rsidP="006B716D">
      <w:pPr>
        <w:spacing w:line="233" w:lineRule="auto"/>
        <w:jc w:val="both"/>
        <w:rPr>
          <w:rFonts w:cs="Times New Roman"/>
          <w:sz w:val="20"/>
          <w:szCs w:val="20"/>
        </w:rPr>
      </w:pPr>
      <w:r w:rsidRPr="00EE1F8E">
        <w:rPr>
          <w:rFonts w:cs="Times New Roman"/>
          <w:b/>
          <w:bCs/>
          <w:sz w:val="20"/>
          <w:szCs w:val="20"/>
        </w:rPr>
        <w:t>AND THE MATERIAL FILED</w:t>
      </w:r>
      <w:r w:rsidRPr="00EE1F8E">
        <w:rPr>
          <w:rFonts w:cs="Times New Roman"/>
          <w:sz w:val="20"/>
          <w:szCs w:val="20"/>
        </w:rPr>
        <w:t xml:space="preserve"> having been read;</w:t>
      </w:r>
    </w:p>
    <w:p w:rsidR="006B716D" w:rsidRPr="00EE1F8E" w:rsidRDefault="006B716D" w:rsidP="006B716D">
      <w:pPr>
        <w:spacing w:line="233" w:lineRule="auto"/>
        <w:jc w:val="both"/>
        <w:rPr>
          <w:rFonts w:cs="Times New Roman"/>
          <w:sz w:val="20"/>
          <w:szCs w:val="20"/>
        </w:rPr>
      </w:pPr>
    </w:p>
    <w:p w:rsidR="006B716D" w:rsidRPr="00EE1F8E" w:rsidRDefault="006B716D" w:rsidP="006B716D">
      <w:pPr>
        <w:spacing w:line="233" w:lineRule="auto"/>
        <w:jc w:val="both"/>
        <w:rPr>
          <w:rFonts w:cs="Times New Roman"/>
          <w:sz w:val="20"/>
          <w:szCs w:val="20"/>
        </w:rPr>
      </w:pPr>
      <w:r w:rsidRPr="00EE1F8E">
        <w:rPr>
          <w:rFonts w:cs="Times New Roman"/>
          <w:b/>
          <w:bCs/>
          <w:sz w:val="20"/>
          <w:szCs w:val="20"/>
        </w:rPr>
        <w:t>IT IS HEREBY ORDERED THAT:</w:t>
      </w:r>
    </w:p>
    <w:p w:rsidR="006B716D" w:rsidRPr="00EE1F8E" w:rsidRDefault="006B716D" w:rsidP="006B716D">
      <w:pPr>
        <w:spacing w:line="233" w:lineRule="auto"/>
        <w:jc w:val="both"/>
        <w:rPr>
          <w:rFonts w:cs="Times New Roman"/>
          <w:sz w:val="20"/>
          <w:szCs w:val="20"/>
        </w:rPr>
      </w:pPr>
    </w:p>
    <w:p w:rsidR="006B716D" w:rsidRPr="00EE1F8E" w:rsidRDefault="006B716D" w:rsidP="006B716D">
      <w:pPr>
        <w:spacing w:line="211" w:lineRule="auto"/>
        <w:jc w:val="both"/>
        <w:rPr>
          <w:rFonts w:cs="Times New Roman"/>
          <w:sz w:val="20"/>
          <w:szCs w:val="20"/>
        </w:rPr>
      </w:pPr>
      <w:r w:rsidRPr="00EE1F8E">
        <w:rPr>
          <w:rFonts w:cs="Times New Roman"/>
          <w:sz w:val="20"/>
          <w:szCs w:val="20"/>
        </w:rPr>
        <w:t xml:space="preserve">The motion for leave to intervene of the Attorney General of Alberta is granted and the said intervener shall be entitled to serve and file a factum not to exceed 10 pages in length in the appeal of </w:t>
      </w:r>
      <w:r w:rsidRPr="00EE1F8E">
        <w:rPr>
          <w:rFonts w:cs="Times New Roman"/>
          <w:i/>
          <w:sz w:val="20"/>
          <w:szCs w:val="20"/>
        </w:rPr>
        <w:t xml:space="preserve">Her Majesty the Queen v. D.C. </w:t>
      </w:r>
      <w:r w:rsidRPr="00EE1F8E">
        <w:rPr>
          <w:rFonts w:cs="Times New Roman"/>
          <w:sz w:val="20"/>
          <w:szCs w:val="20"/>
        </w:rPr>
        <w:t>(34094) on or before January 24, 2012;</w:t>
      </w:r>
    </w:p>
    <w:p w:rsidR="006B716D" w:rsidRPr="00EE1F8E" w:rsidRDefault="006B716D" w:rsidP="006B716D">
      <w:pPr>
        <w:spacing w:line="233" w:lineRule="auto"/>
        <w:jc w:val="both"/>
        <w:rPr>
          <w:rFonts w:cs="Times New Roman"/>
          <w:sz w:val="20"/>
          <w:szCs w:val="20"/>
        </w:rPr>
      </w:pPr>
    </w:p>
    <w:p w:rsidR="006B716D" w:rsidRPr="00EE1F8E" w:rsidRDefault="006B716D" w:rsidP="006B716D">
      <w:pPr>
        <w:spacing w:line="233" w:lineRule="auto"/>
        <w:jc w:val="both"/>
        <w:rPr>
          <w:rFonts w:cs="Times New Roman"/>
          <w:sz w:val="20"/>
          <w:szCs w:val="20"/>
        </w:rPr>
      </w:pPr>
      <w:r w:rsidRPr="00EE1F8E">
        <w:rPr>
          <w:rFonts w:cs="Times New Roman"/>
          <w:sz w:val="20"/>
          <w:szCs w:val="20"/>
        </w:rPr>
        <w:t>The motions for an extension of time and for leave to intervene of</w:t>
      </w:r>
      <w:r w:rsidRPr="00EE1F8E">
        <w:rPr>
          <w:rFonts w:cs="Times New Roman"/>
          <w:bCs/>
          <w:sz w:val="20"/>
          <w:szCs w:val="20"/>
        </w:rPr>
        <w:t xml:space="preserve"> the Institut </w:t>
      </w:r>
      <w:r w:rsidRPr="00EE1F8E">
        <w:rPr>
          <w:rFonts w:cs="Times New Roman"/>
          <w:sz w:val="20"/>
          <w:szCs w:val="20"/>
        </w:rPr>
        <w:t xml:space="preserve">National de santé publique du Québec and the Association des Avocats de la Défense de Montréal are granted and the said interveners shall each be entitled to serve and file a single factum not to exceed 10 pages in length in the appeals </w:t>
      </w:r>
      <w:r w:rsidRPr="00EE1F8E">
        <w:rPr>
          <w:rFonts w:cs="Times New Roman"/>
          <w:i/>
          <w:sz w:val="20"/>
          <w:szCs w:val="20"/>
          <w:lang w:eastAsia="fr-FR"/>
        </w:rPr>
        <w:t>Her Majesty the Queen v. Clato Lual Mabior</w:t>
      </w:r>
      <w:r w:rsidRPr="00EE1F8E">
        <w:rPr>
          <w:rFonts w:cs="Times New Roman"/>
          <w:sz w:val="20"/>
          <w:szCs w:val="20"/>
        </w:rPr>
        <w:t xml:space="preserve"> (33976) and </w:t>
      </w:r>
      <w:r w:rsidRPr="00EE1F8E">
        <w:rPr>
          <w:rFonts w:cs="Times New Roman"/>
          <w:i/>
          <w:sz w:val="20"/>
          <w:szCs w:val="20"/>
        </w:rPr>
        <w:t xml:space="preserve">Her Majesty the Queen v. D.C. </w:t>
      </w:r>
      <w:r w:rsidRPr="00EE1F8E">
        <w:rPr>
          <w:rFonts w:cs="Times New Roman"/>
          <w:sz w:val="20"/>
          <w:szCs w:val="20"/>
        </w:rPr>
        <w:t>(34094) on or before January 24, 2012;</w:t>
      </w:r>
    </w:p>
    <w:p w:rsidR="006B716D" w:rsidRPr="00EE1F8E" w:rsidRDefault="006B716D" w:rsidP="006B716D">
      <w:pPr>
        <w:spacing w:line="233" w:lineRule="auto"/>
        <w:jc w:val="both"/>
        <w:rPr>
          <w:rFonts w:cs="Times New Roman"/>
          <w:sz w:val="20"/>
          <w:szCs w:val="20"/>
        </w:rPr>
      </w:pPr>
    </w:p>
    <w:p w:rsidR="006B716D" w:rsidRPr="00EE1F8E" w:rsidRDefault="006B716D" w:rsidP="006B716D">
      <w:pPr>
        <w:spacing w:line="233" w:lineRule="auto"/>
        <w:jc w:val="both"/>
        <w:rPr>
          <w:rFonts w:cs="Times New Roman"/>
          <w:sz w:val="20"/>
          <w:szCs w:val="20"/>
        </w:rPr>
      </w:pPr>
      <w:r w:rsidRPr="00EE1F8E">
        <w:rPr>
          <w:rFonts w:cs="Times New Roman"/>
          <w:sz w:val="20"/>
          <w:szCs w:val="20"/>
        </w:rPr>
        <w:lastRenderedPageBreak/>
        <w:t>The requests to present oral argument are deferred to a date following receipt and consideration of the written arguments of the parties and the interveners.</w:t>
      </w:r>
    </w:p>
    <w:p w:rsidR="006B716D" w:rsidRPr="00EE1F8E" w:rsidRDefault="006B716D" w:rsidP="006B716D">
      <w:pPr>
        <w:spacing w:line="233" w:lineRule="auto"/>
        <w:jc w:val="both"/>
        <w:rPr>
          <w:rFonts w:cs="Times New Roman"/>
          <w:sz w:val="20"/>
          <w:szCs w:val="20"/>
        </w:rPr>
      </w:pPr>
    </w:p>
    <w:p w:rsidR="006B716D" w:rsidRPr="00EE1F8E" w:rsidRDefault="006B716D" w:rsidP="006B716D">
      <w:pPr>
        <w:spacing w:line="233" w:lineRule="auto"/>
        <w:jc w:val="both"/>
        <w:rPr>
          <w:rFonts w:cs="Times New Roman"/>
          <w:sz w:val="20"/>
          <w:szCs w:val="20"/>
        </w:rPr>
      </w:pPr>
      <w:r w:rsidRPr="00EE1F8E">
        <w:rPr>
          <w:rFonts w:cs="Times New Roman"/>
          <w:sz w:val="20"/>
          <w:szCs w:val="20"/>
        </w:rPr>
        <w:t>The interveners shall not be entitled to raise new issues or to adduce further evidence or otherwise to supplement the record of the parties.</w:t>
      </w:r>
    </w:p>
    <w:p w:rsidR="006B716D" w:rsidRPr="00EE1F8E" w:rsidRDefault="006B716D" w:rsidP="006B716D">
      <w:pPr>
        <w:spacing w:line="233" w:lineRule="auto"/>
        <w:jc w:val="both"/>
        <w:rPr>
          <w:rFonts w:cs="Times New Roman"/>
          <w:sz w:val="20"/>
          <w:szCs w:val="20"/>
        </w:rPr>
      </w:pPr>
    </w:p>
    <w:p w:rsidR="006B716D" w:rsidRPr="00EE1F8E" w:rsidRDefault="006B716D" w:rsidP="006B716D">
      <w:pPr>
        <w:spacing w:line="233" w:lineRule="auto"/>
        <w:jc w:val="both"/>
        <w:rPr>
          <w:rFonts w:cs="Times New Roman"/>
          <w:sz w:val="20"/>
          <w:szCs w:val="20"/>
        </w:rPr>
      </w:pPr>
      <w:r w:rsidRPr="00EE1F8E">
        <w:rPr>
          <w:rFonts w:cs="Times New Roman"/>
          <w:sz w:val="20"/>
          <w:szCs w:val="20"/>
        </w:rPr>
        <w:t>Pursuant to Rule 59(1)(</w:t>
      </w:r>
      <w:r w:rsidRPr="00EE1F8E">
        <w:rPr>
          <w:rFonts w:cs="Times New Roman"/>
          <w:i/>
          <w:iCs/>
          <w:sz w:val="20"/>
          <w:szCs w:val="20"/>
        </w:rPr>
        <w:t>a</w:t>
      </w:r>
      <w:r w:rsidRPr="00EE1F8E">
        <w:rPr>
          <w:rFonts w:cs="Times New Roman"/>
          <w:sz w:val="20"/>
          <w:szCs w:val="20"/>
        </w:rPr>
        <w:t xml:space="preserve">) of the </w:t>
      </w:r>
      <w:r w:rsidRPr="00EE1F8E">
        <w:rPr>
          <w:rFonts w:cs="Times New Roman"/>
          <w:i/>
          <w:iCs/>
          <w:sz w:val="20"/>
          <w:szCs w:val="20"/>
        </w:rPr>
        <w:t>Rules of the Supreme Court of Canada</w:t>
      </w:r>
      <w:r w:rsidRPr="00EE1F8E">
        <w:rPr>
          <w:rFonts w:cs="Times New Roman"/>
          <w:sz w:val="20"/>
          <w:szCs w:val="20"/>
        </w:rPr>
        <w:t>, the interveners shall pay to the appellants and respondents any additional disbursements occasioned to the appellants and respondents by their interventions.</w:t>
      </w:r>
    </w:p>
    <w:p w:rsidR="006B716D" w:rsidRPr="00EE1F8E" w:rsidRDefault="006B716D" w:rsidP="006B716D">
      <w:pPr>
        <w:spacing w:line="233" w:lineRule="auto"/>
        <w:jc w:val="both"/>
        <w:rPr>
          <w:rFonts w:cs="Times New Roman"/>
          <w:sz w:val="20"/>
          <w:szCs w:val="20"/>
        </w:rPr>
      </w:pPr>
    </w:p>
    <w:p w:rsidR="006B716D" w:rsidRPr="00EE1F8E" w:rsidRDefault="006B716D" w:rsidP="006B716D">
      <w:pPr>
        <w:spacing w:line="233" w:lineRule="auto"/>
        <w:jc w:val="both"/>
        <w:rPr>
          <w:rFonts w:cs="Times New Roman"/>
          <w:sz w:val="20"/>
          <w:szCs w:val="20"/>
        </w:rPr>
      </w:pPr>
    </w:p>
    <w:p w:rsidR="006B716D" w:rsidRPr="00EE1F8E" w:rsidRDefault="006B716D" w:rsidP="006B716D">
      <w:pPr>
        <w:spacing w:line="233" w:lineRule="auto"/>
        <w:jc w:val="both"/>
        <w:rPr>
          <w:rFonts w:cs="Times New Roman"/>
          <w:sz w:val="20"/>
          <w:szCs w:val="20"/>
        </w:rPr>
      </w:pPr>
    </w:p>
    <w:p w:rsidR="006B716D" w:rsidRPr="00EE1F8E" w:rsidRDefault="006B716D" w:rsidP="006B716D">
      <w:pPr>
        <w:jc w:val="both"/>
        <w:rPr>
          <w:rFonts w:cs="Times New Roman"/>
          <w:sz w:val="20"/>
          <w:szCs w:val="20"/>
          <w:lang w:val="fr-CA"/>
        </w:rPr>
      </w:pPr>
      <w:r w:rsidRPr="00EE1F8E">
        <w:rPr>
          <w:rFonts w:cs="Times New Roman"/>
          <w:b/>
          <w:bCs/>
          <w:sz w:val="20"/>
          <w:szCs w:val="20"/>
          <w:lang w:val="fr-CA"/>
        </w:rPr>
        <w:t>À LA SUITE DE LA DEMANDE</w:t>
      </w:r>
      <w:r w:rsidRPr="00EE1F8E">
        <w:rPr>
          <w:rFonts w:cs="Times New Roman"/>
          <w:sz w:val="20"/>
          <w:szCs w:val="20"/>
          <w:lang w:val="fr-CA"/>
        </w:rPr>
        <w:t xml:space="preserve"> présentée par le Procureur général de l’Alberta en vue d'intervenir dans l'appel</w:t>
      </w:r>
      <w:r w:rsidRPr="00EE1F8E">
        <w:rPr>
          <w:rFonts w:cs="Times New Roman"/>
          <w:i/>
          <w:iCs/>
          <w:sz w:val="20"/>
          <w:szCs w:val="20"/>
          <w:lang w:val="fr-CA"/>
        </w:rPr>
        <w:t xml:space="preserve"> Sa Majesté la Reine c.</w:t>
      </w:r>
      <w:r w:rsidRPr="00EE1F8E">
        <w:rPr>
          <w:rFonts w:cs="Times New Roman"/>
          <w:sz w:val="20"/>
          <w:szCs w:val="20"/>
          <w:lang w:val="fr-CA"/>
        </w:rPr>
        <w:t xml:space="preserve"> </w:t>
      </w:r>
      <w:r w:rsidRPr="00EE1F8E">
        <w:rPr>
          <w:rFonts w:cs="Times New Roman"/>
          <w:i/>
          <w:iCs/>
          <w:sz w:val="20"/>
          <w:szCs w:val="20"/>
          <w:lang w:val="fr-CA"/>
        </w:rPr>
        <w:t xml:space="preserve">D.C. </w:t>
      </w:r>
      <w:r w:rsidRPr="00EE1F8E">
        <w:rPr>
          <w:rFonts w:cs="Times New Roman"/>
          <w:sz w:val="20"/>
          <w:szCs w:val="20"/>
          <w:lang w:val="fr-CA"/>
        </w:rPr>
        <w:t>(34094);</w:t>
      </w:r>
    </w:p>
    <w:p w:rsidR="006B716D" w:rsidRPr="00EE1F8E" w:rsidRDefault="006B716D" w:rsidP="006B716D">
      <w:pPr>
        <w:rPr>
          <w:rFonts w:cs="Times New Roman"/>
          <w:sz w:val="20"/>
          <w:szCs w:val="20"/>
          <w:lang w:val="fr-CA"/>
        </w:rPr>
      </w:pPr>
    </w:p>
    <w:p w:rsidR="006B716D" w:rsidRPr="00EE1F8E" w:rsidRDefault="006B716D" w:rsidP="006B716D">
      <w:pPr>
        <w:jc w:val="both"/>
        <w:rPr>
          <w:rFonts w:cs="Times New Roman"/>
          <w:sz w:val="20"/>
          <w:szCs w:val="20"/>
          <w:lang w:val="fr-CA"/>
        </w:rPr>
      </w:pPr>
      <w:r w:rsidRPr="00EE1F8E">
        <w:rPr>
          <w:rFonts w:cs="Times New Roman"/>
          <w:b/>
          <w:bCs/>
          <w:sz w:val="20"/>
          <w:szCs w:val="20"/>
          <w:lang w:val="fr-CA"/>
        </w:rPr>
        <w:t>ET À LA SUITE DES DEMANDES</w:t>
      </w:r>
      <w:r w:rsidRPr="00EE1F8E">
        <w:rPr>
          <w:rFonts w:cs="Times New Roman"/>
          <w:sz w:val="20"/>
          <w:szCs w:val="20"/>
          <w:lang w:val="fr-CA"/>
        </w:rPr>
        <w:t xml:space="preserve"> présentées par l’Institut National de santé publique du Québec et par l’Association des Avocats de la Défense de Montréal en prorogation de délai et en vue d'intervenir dans les appels </w:t>
      </w:r>
      <w:r w:rsidRPr="00EE1F8E">
        <w:rPr>
          <w:rFonts w:cs="Times New Roman"/>
          <w:i/>
          <w:iCs/>
          <w:sz w:val="20"/>
          <w:szCs w:val="20"/>
          <w:lang w:val="fr-CA"/>
        </w:rPr>
        <w:t xml:space="preserve">Sa Majesté la Reine c. Clato Lual Mabior </w:t>
      </w:r>
      <w:r w:rsidRPr="00EE1F8E">
        <w:rPr>
          <w:rFonts w:cs="Times New Roman"/>
          <w:iCs/>
          <w:sz w:val="20"/>
          <w:szCs w:val="20"/>
          <w:lang w:val="fr-CA"/>
        </w:rPr>
        <w:t>(33976</w:t>
      </w:r>
      <w:r w:rsidRPr="00EE1F8E">
        <w:rPr>
          <w:rFonts w:cs="Times New Roman"/>
          <w:sz w:val="20"/>
          <w:szCs w:val="20"/>
          <w:lang w:val="fr-CA"/>
        </w:rPr>
        <w:t xml:space="preserve">) et </w:t>
      </w:r>
      <w:r w:rsidRPr="00EE1F8E">
        <w:rPr>
          <w:rFonts w:cs="Times New Roman"/>
          <w:i/>
          <w:iCs/>
          <w:sz w:val="20"/>
          <w:szCs w:val="20"/>
          <w:lang w:val="fr-CA"/>
        </w:rPr>
        <w:t>Sa Majesté la Reine c.</w:t>
      </w:r>
      <w:r w:rsidRPr="00EE1F8E">
        <w:rPr>
          <w:rFonts w:cs="Times New Roman"/>
          <w:sz w:val="20"/>
          <w:szCs w:val="20"/>
          <w:lang w:val="fr-CA"/>
        </w:rPr>
        <w:t xml:space="preserve"> </w:t>
      </w:r>
      <w:r w:rsidRPr="00EE1F8E">
        <w:rPr>
          <w:rFonts w:cs="Times New Roman"/>
          <w:i/>
          <w:iCs/>
          <w:sz w:val="20"/>
          <w:szCs w:val="20"/>
          <w:lang w:val="fr-CA"/>
        </w:rPr>
        <w:t>D.C.</w:t>
      </w:r>
      <w:r w:rsidRPr="00EE1F8E">
        <w:rPr>
          <w:rFonts w:cs="Times New Roman"/>
          <w:sz w:val="20"/>
          <w:szCs w:val="20"/>
          <w:lang w:val="fr-CA"/>
        </w:rPr>
        <w:t>(34094);</w:t>
      </w:r>
    </w:p>
    <w:p w:rsidR="006B716D" w:rsidRPr="00EE1F8E" w:rsidRDefault="006B716D" w:rsidP="006B716D">
      <w:pPr>
        <w:rPr>
          <w:rFonts w:cs="Times New Roman"/>
          <w:sz w:val="20"/>
          <w:szCs w:val="20"/>
          <w:lang w:val="fr-CA"/>
        </w:rPr>
      </w:pPr>
    </w:p>
    <w:p w:rsidR="006B716D" w:rsidRPr="00EE1F8E" w:rsidRDefault="006B716D" w:rsidP="006B716D">
      <w:pPr>
        <w:rPr>
          <w:rFonts w:cs="Times New Roman"/>
          <w:sz w:val="20"/>
          <w:szCs w:val="20"/>
          <w:lang w:val="fr-CA"/>
        </w:rPr>
      </w:pPr>
      <w:r w:rsidRPr="00EE1F8E">
        <w:rPr>
          <w:rFonts w:cs="Times New Roman"/>
          <w:b/>
          <w:bCs/>
          <w:sz w:val="20"/>
          <w:szCs w:val="20"/>
          <w:lang w:val="fr-CA"/>
        </w:rPr>
        <w:t>ET APRÈS EXAMEN</w:t>
      </w:r>
      <w:r w:rsidRPr="00EE1F8E">
        <w:rPr>
          <w:rFonts w:cs="Times New Roman"/>
          <w:sz w:val="20"/>
          <w:szCs w:val="20"/>
          <w:lang w:val="fr-CA"/>
        </w:rPr>
        <w:t xml:space="preserve"> des documents déposés;</w:t>
      </w:r>
    </w:p>
    <w:p w:rsidR="006B716D" w:rsidRPr="00EE1F8E" w:rsidRDefault="006B716D" w:rsidP="006B716D">
      <w:pPr>
        <w:rPr>
          <w:rFonts w:cs="Times New Roman"/>
          <w:sz w:val="20"/>
          <w:szCs w:val="20"/>
          <w:lang w:val="fr-CA"/>
        </w:rPr>
      </w:pPr>
    </w:p>
    <w:p w:rsidR="006B716D" w:rsidRPr="00EE1F8E" w:rsidRDefault="006B716D" w:rsidP="006B716D">
      <w:pPr>
        <w:rPr>
          <w:rFonts w:cs="Times New Roman"/>
          <w:sz w:val="20"/>
          <w:szCs w:val="20"/>
          <w:lang w:val="fr-CA"/>
        </w:rPr>
      </w:pPr>
      <w:r w:rsidRPr="00EE1F8E">
        <w:rPr>
          <w:rFonts w:cs="Times New Roman"/>
          <w:b/>
          <w:bCs/>
          <w:sz w:val="20"/>
          <w:szCs w:val="20"/>
          <w:lang w:val="fr-CA"/>
        </w:rPr>
        <w:t xml:space="preserve">IL EST ORDONNÉ CE QUI SUIT : </w:t>
      </w:r>
    </w:p>
    <w:p w:rsidR="006B716D" w:rsidRPr="00EE1F8E" w:rsidRDefault="006B716D" w:rsidP="006B716D">
      <w:pPr>
        <w:rPr>
          <w:rFonts w:cs="Times New Roman"/>
          <w:sz w:val="20"/>
          <w:szCs w:val="20"/>
          <w:lang w:val="fr-CA"/>
        </w:rPr>
      </w:pPr>
    </w:p>
    <w:p w:rsidR="006B716D" w:rsidRPr="00EE1F8E" w:rsidRDefault="006B716D" w:rsidP="006B716D">
      <w:pPr>
        <w:jc w:val="both"/>
        <w:rPr>
          <w:rFonts w:cs="Times New Roman"/>
          <w:sz w:val="20"/>
          <w:szCs w:val="20"/>
          <w:lang w:val="fr-CA"/>
        </w:rPr>
      </w:pPr>
      <w:r w:rsidRPr="00EE1F8E">
        <w:rPr>
          <w:rFonts w:cs="Times New Roman"/>
          <w:sz w:val="20"/>
          <w:szCs w:val="20"/>
          <w:lang w:val="fr-CA"/>
        </w:rPr>
        <w:t>La requête en autorisation d’intervenir présentée par le Procureur général de l’Alberta est accueillie. L’intervenant aura le droit de signifier et déposer un mémoire d'au plus 10 pages dans l'appel</w:t>
      </w:r>
      <w:r w:rsidRPr="00EE1F8E">
        <w:rPr>
          <w:rFonts w:cs="Times New Roman"/>
          <w:i/>
          <w:iCs/>
          <w:sz w:val="20"/>
          <w:szCs w:val="20"/>
          <w:lang w:val="fr-CA"/>
        </w:rPr>
        <w:t xml:space="preserve"> Sa Majesté la Reine c.</w:t>
      </w:r>
      <w:r w:rsidRPr="00EE1F8E">
        <w:rPr>
          <w:rFonts w:cs="Times New Roman"/>
          <w:sz w:val="20"/>
          <w:szCs w:val="20"/>
          <w:lang w:val="fr-CA"/>
        </w:rPr>
        <w:t xml:space="preserve"> </w:t>
      </w:r>
      <w:r w:rsidRPr="00EE1F8E">
        <w:rPr>
          <w:rFonts w:cs="Times New Roman"/>
          <w:i/>
          <w:iCs/>
          <w:sz w:val="20"/>
          <w:szCs w:val="20"/>
          <w:lang w:val="fr-CA"/>
        </w:rPr>
        <w:t xml:space="preserve">D.C. </w:t>
      </w:r>
      <w:r w:rsidRPr="00EE1F8E">
        <w:rPr>
          <w:rFonts w:cs="Times New Roman"/>
          <w:sz w:val="20"/>
          <w:szCs w:val="20"/>
          <w:lang w:val="fr-CA"/>
        </w:rPr>
        <w:t>(34094) le ou avant le 24 janvier 2012;</w:t>
      </w:r>
    </w:p>
    <w:p w:rsidR="006B716D" w:rsidRPr="00EE1F8E" w:rsidRDefault="006B716D" w:rsidP="006B716D">
      <w:pPr>
        <w:rPr>
          <w:rFonts w:cs="Times New Roman"/>
          <w:i/>
          <w:iCs/>
          <w:sz w:val="20"/>
          <w:szCs w:val="20"/>
          <w:lang w:val="fr-CA"/>
        </w:rPr>
      </w:pPr>
    </w:p>
    <w:p w:rsidR="006B716D" w:rsidRPr="00EE1F8E" w:rsidRDefault="006B716D" w:rsidP="006B716D">
      <w:pPr>
        <w:jc w:val="both"/>
        <w:rPr>
          <w:rFonts w:cs="Times New Roman"/>
          <w:sz w:val="20"/>
          <w:szCs w:val="20"/>
          <w:lang w:val="fr-CA"/>
        </w:rPr>
      </w:pPr>
      <w:r w:rsidRPr="00EE1F8E">
        <w:rPr>
          <w:rFonts w:cs="Times New Roman"/>
          <w:sz w:val="20"/>
          <w:szCs w:val="20"/>
          <w:lang w:val="fr-CA"/>
        </w:rPr>
        <w:t xml:space="preserve">Les requêtes en prorogation de délai et en autorisation d'intervenir présentées par l’Institut National de santé publique du Québec et par l’Association des Avocats de la Défense de Montréal sont accueillies. Ces intervenants auront le droit de signifier et déposer chacun un seul mémoire d'au plus 10 pages dans les appels </w:t>
      </w:r>
      <w:r w:rsidRPr="00EE1F8E">
        <w:rPr>
          <w:rFonts w:cs="Times New Roman"/>
          <w:i/>
          <w:iCs/>
          <w:sz w:val="20"/>
          <w:szCs w:val="20"/>
          <w:lang w:val="fr-CA"/>
        </w:rPr>
        <w:t xml:space="preserve">Sa Majesté la Reine c. Clato Lual Mabior </w:t>
      </w:r>
      <w:r w:rsidRPr="00EE1F8E">
        <w:rPr>
          <w:rFonts w:cs="Times New Roman"/>
          <w:iCs/>
          <w:sz w:val="20"/>
          <w:szCs w:val="20"/>
          <w:lang w:val="fr-CA"/>
        </w:rPr>
        <w:t>(33976</w:t>
      </w:r>
      <w:r w:rsidRPr="00EE1F8E">
        <w:rPr>
          <w:rFonts w:cs="Times New Roman"/>
          <w:sz w:val="20"/>
          <w:szCs w:val="20"/>
          <w:lang w:val="fr-CA"/>
        </w:rPr>
        <w:t xml:space="preserve">) et </w:t>
      </w:r>
      <w:r w:rsidRPr="00EE1F8E">
        <w:rPr>
          <w:rFonts w:cs="Times New Roman"/>
          <w:i/>
          <w:iCs/>
          <w:sz w:val="20"/>
          <w:szCs w:val="20"/>
          <w:lang w:val="fr-CA"/>
        </w:rPr>
        <w:t>Sa Majesté la Reine c.</w:t>
      </w:r>
      <w:r w:rsidRPr="00EE1F8E">
        <w:rPr>
          <w:rFonts w:cs="Times New Roman"/>
          <w:sz w:val="20"/>
          <w:szCs w:val="20"/>
          <w:lang w:val="fr-CA"/>
        </w:rPr>
        <w:t xml:space="preserve"> </w:t>
      </w:r>
      <w:r w:rsidRPr="00EE1F8E">
        <w:rPr>
          <w:rFonts w:cs="Times New Roman"/>
          <w:i/>
          <w:iCs/>
          <w:sz w:val="20"/>
          <w:szCs w:val="20"/>
          <w:lang w:val="fr-CA"/>
        </w:rPr>
        <w:t>D.C.</w:t>
      </w:r>
      <w:r w:rsidRPr="00EE1F8E">
        <w:rPr>
          <w:rFonts w:cs="Times New Roman"/>
          <w:sz w:val="20"/>
          <w:szCs w:val="20"/>
          <w:lang w:val="fr-CA"/>
        </w:rPr>
        <w:t>(34094) le ou avant le 24 janvier 2012;</w:t>
      </w:r>
    </w:p>
    <w:p w:rsidR="006B716D" w:rsidRPr="00EE1F8E" w:rsidRDefault="006B716D" w:rsidP="006B716D">
      <w:pPr>
        <w:jc w:val="both"/>
        <w:rPr>
          <w:rFonts w:cs="Times New Roman"/>
          <w:sz w:val="20"/>
          <w:szCs w:val="20"/>
          <w:lang w:val="fr-CA"/>
        </w:rPr>
      </w:pPr>
    </w:p>
    <w:p w:rsidR="006B716D" w:rsidRPr="00EE1F8E" w:rsidRDefault="006B716D" w:rsidP="006B716D">
      <w:pPr>
        <w:jc w:val="both"/>
        <w:rPr>
          <w:rFonts w:cs="Times New Roman"/>
          <w:sz w:val="20"/>
          <w:szCs w:val="20"/>
          <w:lang w:val="fr-CA"/>
        </w:rPr>
      </w:pPr>
      <w:r w:rsidRPr="00EE1F8E">
        <w:rPr>
          <w:rFonts w:cs="Times New Roman"/>
          <w:sz w:val="20"/>
          <w:szCs w:val="20"/>
          <w:lang w:val="fr-CA"/>
        </w:rPr>
        <w:t>La décision sur les demandes en vue de présenter une plaidoirie orale sera rendue après réception et examen des arguments écrits des parties et des intervenants.</w:t>
      </w:r>
    </w:p>
    <w:p w:rsidR="006B716D" w:rsidRPr="00EE1F8E" w:rsidRDefault="006B716D" w:rsidP="006B716D">
      <w:pPr>
        <w:rPr>
          <w:rFonts w:cs="Times New Roman"/>
          <w:sz w:val="20"/>
          <w:szCs w:val="20"/>
          <w:lang w:val="fr-CA"/>
        </w:rPr>
      </w:pPr>
    </w:p>
    <w:p w:rsidR="006B716D" w:rsidRPr="00EE1F8E" w:rsidRDefault="006B716D" w:rsidP="006B716D">
      <w:pPr>
        <w:jc w:val="both"/>
        <w:rPr>
          <w:rFonts w:cs="Times New Roman"/>
          <w:sz w:val="20"/>
          <w:szCs w:val="20"/>
          <w:lang w:val="fr-CA"/>
        </w:rPr>
      </w:pPr>
      <w:r w:rsidRPr="00EE1F8E">
        <w:rPr>
          <w:rFonts w:cs="Times New Roman"/>
          <w:sz w:val="20"/>
          <w:szCs w:val="20"/>
          <w:lang w:val="fr-CA"/>
        </w:rPr>
        <w:t>Les intervenants n'ont pas le droit de soulever de nouvelles questions, de produire d'autres éléments de preuve ni de compléter de quelque autre façon le dossier des parties.</w:t>
      </w:r>
    </w:p>
    <w:p w:rsidR="006B716D" w:rsidRPr="00EE1F8E" w:rsidRDefault="006B716D" w:rsidP="006B716D">
      <w:pPr>
        <w:rPr>
          <w:rFonts w:cs="Times New Roman"/>
          <w:sz w:val="20"/>
          <w:szCs w:val="20"/>
          <w:lang w:val="fr-CA"/>
        </w:rPr>
      </w:pPr>
    </w:p>
    <w:p w:rsidR="006B716D" w:rsidRPr="00EE1F8E" w:rsidRDefault="006B716D" w:rsidP="006B716D">
      <w:pPr>
        <w:jc w:val="both"/>
        <w:rPr>
          <w:rFonts w:cs="Times New Roman"/>
          <w:sz w:val="20"/>
          <w:szCs w:val="20"/>
          <w:lang w:val="fr-CA"/>
        </w:rPr>
      </w:pPr>
      <w:r w:rsidRPr="00EE1F8E">
        <w:rPr>
          <w:rFonts w:cs="Times New Roman"/>
          <w:sz w:val="20"/>
          <w:szCs w:val="20"/>
          <w:lang w:val="fr-CA"/>
        </w:rPr>
        <w:t>Conformément à l'alinéa 59(1)</w:t>
      </w:r>
      <w:r w:rsidRPr="00EE1F8E">
        <w:rPr>
          <w:rFonts w:cs="Times New Roman"/>
          <w:i/>
          <w:iCs/>
          <w:sz w:val="20"/>
          <w:szCs w:val="20"/>
          <w:lang w:val="fr-CA"/>
        </w:rPr>
        <w:t>a</w:t>
      </w:r>
      <w:r w:rsidRPr="00EE1F8E">
        <w:rPr>
          <w:rFonts w:cs="Times New Roman"/>
          <w:sz w:val="20"/>
          <w:szCs w:val="20"/>
          <w:lang w:val="fr-CA"/>
        </w:rPr>
        <w:t xml:space="preserve">) des </w:t>
      </w:r>
      <w:r w:rsidRPr="00EE1F8E">
        <w:rPr>
          <w:rFonts w:cs="Times New Roman"/>
          <w:i/>
          <w:iCs/>
          <w:sz w:val="20"/>
          <w:szCs w:val="20"/>
          <w:lang w:val="fr-CA"/>
        </w:rPr>
        <w:t>Règles de la Cour suprême du Canada</w:t>
      </w:r>
      <w:r w:rsidRPr="00EE1F8E">
        <w:rPr>
          <w:rFonts w:cs="Times New Roman"/>
          <w:sz w:val="20"/>
          <w:szCs w:val="20"/>
          <w:lang w:val="fr-CA"/>
        </w:rPr>
        <w:t>, les intervenants paieront aux appelantes et aux intimés tous débours supplémentaires résultant de leur intervention.</w:t>
      </w:r>
    </w:p>
    <w:p w:rsidR="006B716D" w:rsidRPr="00EE1F8E" w:rsidRDefault="006B716D" w:rsidP="006B716D">
      <w:pPr>
        <w:tabs>
          <w:tab w:val="left" w:pos="-1440"/>
          <w:tab w:val="left" w:pos="-720"/>
        </w:tabs>
        <w:jc w:val="both"/>
        <w:rPr>
          <w:rFonts w:cs="Times New Roman"/>
          <w:sz w:val="20"/>
          <w:szCs w:val="20"/>
          <w:lang w:val="fr-CA"/>
        </w:rPr>
      </w:pPr>
    </w:p>
    <w:p w:rsidR="006B716D" w:rsidRPr="00EE1F8E" w:rsidRDefault="006B716D" w:rsidP="006B716D">
      <w:pPr>
        <w:tabs>
          <w:tab w:val="left" w:pos="-1440"/>
          <w:tab w:val="left" w:pos="-720"/>
        </w:tabs>
        <w:spacing w:line="-19" w:lineRule="auto"/>
        <w:jc w:val="both"/>
        <w:rPr>
          <w:rFonts w:cs="Times New Roman"/>
          <w:sz w:val="20"/>
          <w:szCs w:val="20"/>
          <w:lang w:val="fr-CA"/>
        </w:rPr>
      </w:pPr>
    </w:p>
    <w:p w:rsidR="006B716D" w:rsidRPr="00EE1F8E" w:rsidRDefault="00BF59B3" w:rsidP="006B716D">
      <w:pPr>
        <w:tabs>
          <w:tab w:val="left" w:pos="-1440"/>
          <w:tab w:val="left" w:pos="-720"/>
        </w:tabs>
        <w:jc w:val="both"/>
        <w:rPr>
          <w:rFonts w:cs="Times New Roman"/>
          <w:sz w:val="20"/>
          <w:szCs w:val="20"/>
        </w:rPr>
      </w:pPr>
      <w:r w:rsidRPr="00BF59B3">
        <w:rPr>
          <w:rFonts w:cs="Times New Roman"/>
          <w:sz w:val="20"/>
          <w:szCs w:val="20"/>
          <w:lang w:val="fr-CA"/>
        </w:rPr>
        <w:pict>
          <v:rect id="_x0000_i1060" style="width:2in;height:1pt" o:hrpct="0" o:hralign="center" o:hrstd="t" o:hrnoshade="t" o:hr="t" fillcolor="black [3213]" stroked="f"/>
        </w:pict>
      </w:r>
    </w:p>
    <w:p w:rsidR="006B716D" w:rsidRPr="00EE1F8E" w:rsidRDefault="006B716D" w:rsidP="006B716D">
      <w:pPr>
        <w:rPr>
          <w:rFonts w:cs="Times New Roman"/>
          <w:sz w:val="20"/>
          <w:szCs w:val="20"/>
        </w:rPr>
      </w:pPr>
    </w:p>
    <w:p w:rsidR="0010587F" w:rsidRPr="003B3977" w:rsidRDefault="0010587F" w:rsidP="0010587F">
      <w:pPr>
        <w:tabs>
          <w:tab w:val="left" w:pos="-1440"/>
          <w:tab w:val="left" w:pos="-720"/>
        </w:tabs>
        <w:jc w:val="both"/>
        <w:rPr>
          <w:sz w:val="20"/>
          <w:szCs w:val="20"/>
          <w:lang w:val="fr-CA"/>
        </w:rPr>
      </w:pP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C5295A"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10587F" w:rsidP="003B3977">
            <w:pPr>
              <w:rPr>
                <w:sz w:val="20"/>
                <w:szCs w:val="20"/>
              </w:rPr>
            </w:pPr>
            <w:r w:rsidRPr="003B3977">
              <w:rPr>
                <w:sz w:val="20"/>
                <w:szCs w:val="20"/>
              </w:rPr>
              <w:t>06.0</w:t>
            </w:r>
            <w:r w:rsidR="00ED3AD1">
              <w:rPr>
                <w:sz w:val="20"/>
                <w:szCs w:val="20"/>
              </w:rPr>
              <w:t>1</w:t>
            </w:r>
            <w:r w:rsidRPr="003B3977">
              <w:rPr>
                <w:sz w:val="20"/>
                <w:szCs w:val="20"/>
              </w:rPr>
              <w:t>.201</w:t>
            </w:r>
            <w:r w:rsidR="00ED3AD1">
              <w:rPr>
                <w:sz w:val="20"/>
                <w:szCs w:val="20"/>
              </w:rPr>
              <w:t>2</w:t>
            </w:r>
          </w:p>
          <w:p w:rsidR="0010587F" w:rsidRPr="003B3977" w:rsidRDefault="0010587F" w:rsidP="003B3977">
            <w:pPr>
              <w:rPr>
                <w:sz w:val="20"/>
                <w:szCs w:val="20"/>
              </w:rPr>
            </w:pPr>
          </w:p>
          <w:p w:rsidR="0010587F" w:rsidRPr="003B3977" w:rsidRDefault="00ED3AD1" w:rsidP="003B3977">
            <w:pPr>
              <w:rPr>
                <w:b/>
                <w:sz w:val="20"/>
                <w:szCs w:val="20"/>
              </w:rPr>
            </w:pPr>
            <w:r>
              <w:rPr>
                <w:b/>
                <w:sz w:val="20"/>
                <w:szCs w:val="20"/>
              </w:rPr>
              <w:t>Muhsen Ahemed Ramadan Agraira</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(34</w:t>
            </w:r>
            <w:r w:rsidR="00ED3AD1">
              <w:rPr>
                <w:b/>
                <w:sz w:val="20"/>
                <w:szCs w:val="20"/>
              </w:rPr>
              <w:t>258</w:t>
            </w:r>
            <w:r w:rsidRPr="003B3977">
              <w:rPr>
                <w:b/>
                <w:sz w:val="20"/>
                <w:szCs w:val="20"/>
              </w:rPr>
              <w:t>)</w:t>
            </w:r>
          </w:p>
          <w:p w:rsidR="0010587F" w:rsidRPr="003B3977" w:rsidRDefault="0010587F" w:rsidP="003B3977">
            <w:pPr>
              <w:rPr>
                <w:b/>
                <w:sz w:val="20"/>
                <w:szCs w:val="20"/>
              </w:rPr>
            </w:pPr>
          </w:p>
          <w:p w:rsidR="0010587F" w:rsidRPr="003B3977" w:rsidRDefault="00ED3AD1" w:rsidP="003B3977">
            <w:pPr>
              <w:rPr>
                <w:b/>
                <w:sz w:val="20"/>
                <w:szCs w:val="20"/>
              </w:rPr>
            </w:pPr>
            <w:r>
              <w:rPr>
                <w:b/>
                <w:sz w:val="20"/>
                <w:szCs w:val="20"/>
              </w:rPr>
              <w:t>Minister of Public Safety and Emerg</w:t>
            </w:r>
            <w:r w:rsidR="0010587F" w:rsidRPr="003B3977">
              <w:rPr>
                <w:b/>
                <w:sz w:val="20"/>
                <w:szCs w:val="20"/>
              </w:rPr>
              <w:t>en</w:t>
            </w:r>
            <w:r>
              <w:rPr>
                <w:b/>
                <w:sz w:val="20"/>
                <w:szCs w:val="20"/>
              </w:rPr>
              <w:t>cy Preparedness</w:t>
            </w:r>
            <w:r w:rsidR="0010587F" w:rsidRPr="003B3977">
              <w:rPr>
                <w:b/>
                <w:sz w:val="20"/>
                <w:szCs w:val="20"/>
              </w:rPr>
              <w:t xml:space="preserve"> (</w:t>
            </w:r>
            <w:r>
              <w:rPr>
                <w:b/>
                <w:sz w:val="20"/>
                <w:szCs w:val="20"/>
              </w:rPr>
              <w:t>F.C</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ED3AD1">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BF59B3" w:rsidP="003B3977">
            <w:pPr>
              <w:rPr>
                <w:sz w:val="20"/>
                <w:szCs w:val="20"/>
                <w:lang w:val="fr-CA"/>
              </w:rPr>
            </w:pPr>
            <w:r w:rsidRPr="00BF59B3">
              <w:rPr>
                <w:sz w:val="20"/>
                <w:szCs w:val="20"/>
                <w:lang w:val="fr-CA"/>
              </w:rPr>
              <w:pict>
                <v:rect id="_x0000_i1063"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ED3AD1" w:rsidRDefault="00ED3AD1" w:rsidP="003B3977">
            <w:pPr>
              <w:rPr>
                <w:sz w:val="20"/>
                <w:szCs w:val="20"/>
                <w:lang w:val="fr-CA"/>
              </w:rPr>
            </w:pPr>
            <w:r w:rsidRPr="00ED3AD1">
              <w:rPr>
                <w:sz w:val="20"/>
                <w:szCs w:val="20"/>
                <w:lang w:val="fr-CA"/>
              </w:rPr>
              <w:t>12</w:t>
            </w:r>
            <w:r w:rsidR="0010587F" w:rsidRPr="00ED3AD1">
              <w:rPr>
                <w:sz w:val="20"/>
                <w:szCs w:val="20"/>
                <w:lang w:val="fr-CA"/>
              </w:rPr>
              <w:t>.0</w:t>
            </w:r>
            <w:r w:rsidRPr="00ED3AD1">
              <w:rPr>
                <w:sz w:val="20"/>
                <w:szCs w:val="20"/>
                <w:lang w:val="fr-CA"/>
              </w:rPr>
              <w:t>1</w:t>
            </w:r>
            <w:r w:rsidR="0010587F" w:rsidRPr="00ED3AD1">
              <w:rPr>
                <w:sz w:val="20"/>
                <w:szCs w:val="20"/>
                <w:lang w:val="fr-CA"/>
              </w:rPr>
              <w:t>.201</w:t>
            </w:r>
            <w:r w:rsidRPr="00ED3AD1">
              <w:rPr>
                <w:sz w:val="20"/>
                <w:szCs w:val="20"/>
                <w:lang w:val="fr-CA"/>
              </w:rPr>
              <w:t>2</w:t>
            </w:r>
          </w:p>
          <w:p w:rsidR="0010587F" w:rsidRPr="00ED3AD1" w:rsidRDefault="0010587F" w:rsidP="003B3977">
            <w:pPr>
              <w:rPr>
                <w:sz w:val="20"/>
                <w:szCs w:val="20"/>
                <w:lang w:val="fr-CA"/>
              </w:rPr>
            </w:pPr>
          </w:p>
          <w:p w:rsidR="0010587F" w:rsidRPr="00ED3AD1" w:rsidRDefault="00ED3AD1" w:rsidP="003B3977">
            <w:pPr>
              <w:rPr>
                <w:b/>
                <w:sz w:val="20"/>
                <w:szCs w:val="20"/>
                <w:lang w:val="fr-CA"/>
              </w:rPr>
            </w:pPr>
            <w:r w:rsidRPr="00ED3AD1">
              <w:rPr>
                <w:b/>
                <w:sz w:val="20"/>
                <w:szCs w:val="20"/>
                <w:lang w:val="fr-CA"/>
              </w:rPr>
              <w:t>Pierre Lévesque</w:t>
            </w:r>
          </w:p>
          <w:p w:rsidR="0010587F" w:rsidRPr="00ED3AD1" w:rsidRDefault="0010587F" w:rsidP="003B3977">
            <w:pPr>
              <w:rPr>
                <w:b/>
                <w:sz w:val="20"/>
                <w:szCs w:val="20"/>
                <w:lang w:val="fr-CA"/>
              </w:rPr>
            </w:pPr>
          </w:p>
          <w:p w:rsidR="0010587F" w:rsidRPr="00ED3AD1" w:rsidRDefault="0010587F" w:rsidP="003B3977">
            <w:pPr>
              <w:rPr>
                <w:b/>
                <w:sz w:val="20"/>
                <w:szCs w:val="20"/>
                <w:lang w:val="fr-CA"/>
              </w:rPr>
            </w:pPr>
            <w:r w:rsidRPr="00ED3AD1">
              <w:rPr>
                <w:b/>
                <w:sz w:val="20"/>
                <w:szCs w:val="20"/>
                <w:lang w:val="fr-CA"/>
              </w:rPr>
              <w:tab/>
            </w:r>
            <w:r w:rsidR="00ED3AD1" w:rsidRPr="00ED3AD1">
              <w:rPr>
                <w:b/>
                <w:sz w:val="20"/>
                <w:szCs w:val="20"/>
                <w:lang w:val="fr-CA"/>
              </w:rPr>
              <w:t>c</w:t>
            </w:r>
            <w:r w:rsidRPr="00ED3AD1">
              <w:rPr>
                <w:b/>
                <w:sz w:val="20"/>
                <w:szCs w:val="20"/>
                <w:lang w:val="fr-CA"/>
              </w:rPr>
              <w:t>. (3</w:t>
            </w:r>
            <w:r w:rsidR="00ED3AD1" w:rsidRPr="00ED3AD1">
              <w:rPr>
                <w:b/>
                <w:sz w:val="20"/>
                <w:szCs w:val="20"/>
                <w:lang w:val="fr-CA"/>
              </w:rPr>
              <w:t>44</w:t>
            </w:r>
            <w:r w:rsidRPr="00ED3AD1">
              <w:rPr>
                <w:b/>
                <w:sz w:val="20"/>
                <w:szCs w:val="20"/>
                <w:lang w:val="fr-CA"/>
              </w:rPr>
              <w:t>17)</w:t>
            </w:r>
          </w:p>
          <w:p w:rsidR="0010587F" w:rsidRPr="00ED3AD1" w:rsidRDefault="0010587F" w:rsidP="003B3977">
            <w:pPr>
              <w:rPr>
                <w:b/>
                <w:sz w:val="20"/>
                <w:szCs w:val="20"/>
                <w:lang w:val="fr-CA"/>
              </w:rPr>
            </w:pPr>
          </w:p>
          <w:p w:rsidR="0010587F" w:rsidRPr="003B3977" w:rsidRDefault="00ED3AD1" w:rsidP="003B3977">
            <w:pPr>
              <w:rPr>
                <w:b/>
                <w:sz w:val="20"/>
                <w:szCs w:val="20"/>
                <w:lang w:val="fr-CA"/>
              </w:rPr>
            </w:pPr>
            <w:r>
              <w:rPr>
                <w:b/>
                <w:sz w:val="20"/>
                <w:szCs w:val="20"/>
                <w:lang w:val="fr-CA"/>
              </w:rPr>
              <w:t>Sa Majesté la Reine</w:t>
            </w:r>
            <w:r w:rsidR="0010587F" w:rsidRPr="003B3977">
              <w:rPr>
                <w:b/>
                <w:sz w:val="20"/>
                <w:szCs w:val="20"/>
                <w:lang w:val="fr-CA"/>
              </w:rPr>
              <w:t xml:space="preserve"> (</w:t>
            </w:r>
            <w:r>
              <w:rPr>
                <w:b/>
                <w:sz w:val="20"/>
                <w:szCs w:val="20"/>
                <w:lang w:val="fr-CA"/>
              </w:rPr>
              <w:t>Qc</w:t>
            </w:r>
            <w:r w:rsidR="0010587F" w:rsidRPr="003B3977">
              <w:rPr>
                <w:b/>
                <w:sz w:val="20"/>
                <w:szCs w:val="20"/>
                <w:lang w:val="fr-CA"/>
              </w:rPr>
              <w:t>)</w:t>
            </w:r>
          </w:p>
          <w:p w:rsidR="0010587F" w:rsidRPr="003B3977" w:rsidRDefault="0010587F" w:rsidP="003B3977">
            <w:pPr>
              <w:rPr>
                <w:sz w:val="20"/>
                <w:szCs w:val="20"/>
                <w:lang w:val="fr-CA"/>
              </w:rPr>
            </w:pPr>
          </w:p>
          <w:p w:rsidR="0010587F" w:rsidRPr="003B3977" w:rsidRDefault="0010587F" w:rsidP="003B3977">
            <w:pPr>
              <w:rPr>
                <w:sz w:val="20"/>
                <w:szCs w:val="20"/>
              </w:rPr>
            </w:pPr>
            <w:r w:rsidRPr="003B3977">
              <w:rPr>
                <w:sz w:val="20"/>
                <w:szCs w:val="20"/>
              </w:rPr>
              <w:t>(A</w:t>
            </w:r>
            <w:r w:rsidR="00ED3AD1">
              <w:rPr>
                <w:sz w:val="20"/>
                <w:szCs w:val="20"/>
              </w:rPr>
              <w:t>ut</w:t>
            </w:r>
            <w:r w:rsidRPr="003B3977">
              <w:rPr>
                <w:sz w:val="20"/>
                <w:szCs w:val="20"/>
              </w:rPr>
              <w:t>o</w:t>
            </w:r>
            <w:r w:rsidR="00ED3AD1">
              <w:rPr>
                <w:sz w:val="20"/>
                <w:szCs w:val="20"/>
              </w:rPr>
              <w:t>r</w:t>
            </w:r>
            <w:r w:rsidRPr="003B3977">
              <w:rPr>
                <w:sz w:val="20"/>
                <w:szCs w:val="20"/>
              </w:rPr>
              <w:t>i</w:t>
            </w:r>
            <w:r w:rsidR="00ED3AD1">
              <w:rPr>
                <w:sz w:val="20"/>
                <w:szCs w:val="20"/>
              </w:rPr>
              <w:t>sa</w:t>
            </w:r>
            <w:r w:rsidRPr="003B3977">
              <w:rPr>
                <w:sz w:val="20"/>
                <w:szCs w:val="20"/>
              </w:rPr>
              <w:t>t</w:t>
            </w:r>
            <w:r w:rsidR="00ED3AD1">
              <w:rPr>
                <w:sz w:val="20"/>
                <w:szCs w:val="20"/>
              </w:rPr>
              <w:t>ion</w:t>
            </w:r>
            <w:r w:rsidRPr="003B3977">
              <w:rPr>
                <w:sz w:val="20"/>
                <w:szCs w:val="20"/>
              </w:rPr>
              <w:t>)</w:t>
            </w:r>
          </w:p>
          <w:p w:rsidR="0010587F" w:rsidRPr="003B3977" w:rsidRDefault="0010587F" w:rsidP="003B3977">
            <w:pPr>
              <w:rPr>
                <w:sz w:val="20"/>
                <w:szCs w:val="20"/>
              </w:rPr>
            </w:pPr>
          </w:p>
          <w:p w:rsidR="0010587F" w:rsidRPr="003B3977" w:rsidRDefault="00BF59B3" w:rsidP="003B3977">
            <w:pPr>
              <w:rPr>
                <w:sz w:val="20"/>
                <w:szCs w:val="20"/>
              </w:rPr>
            </w:pPr>
            <w:r w:rsidRPr="00BF59B3">
              <w:rPr>
                <w:sz w:val="20"/>
                <w:szCs w:val="20"/>
                <w:lang w:val="fr-CA"/>
              </w:rPr>
              <w:pict>
                <v:rect id="_x0000_i1064"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10587F" w:rsidRPr="00E32A86" w:rsidRDefault="0010587F" w:rsidP="003B3977">
            <w:pPr>
              <w:rPr>
                <w:sz w:val="20"/>
                <w:szCs w:val="20"/>
                <w:lang w:val="fr-CA"/>
              </w:rPr>
            </w:pPr>
            <w:r w:rsidRPr="00E32A86">
              <w:rPr>
                <w:sz w:val="20"/>
                <w:szCs w:val="20"/>
                <w:lang w:val="fr-CA"/>
              </w:rPr>
              <w:t>1</w:t>
            </w:r>
            <w:r w:rsidR="00E32A86" w:rsidRPr="00E32A86">
              <w:rPr>
                <w:sz w:val="20"/>
                <w:szCs w:val="20"/>
                <w:lang w:val="fr-CA"/>
              </w:rPr>
              <w:t>6</w:t>
            </w:r>
            <w:r w:rsidRPr="00E32A86">
              <w:rPr>
                <w:sz w:val="20"/>
                <w:szCs w:val="20"/>
                <w:lang w:val="fr-CA"/>
              </w:rPr>
              <w:t>.0</w:t>
            </w:r>
            <w:r w:rsidR="00E32A86" w:rsidRPr="00E32A86">
              <w:rPr>
                <w:sz w:val="20"/>
                <w:szCs w:val="20"/>
                <w:lang w:val="fr-CA"/>
              </w:rPr>
              <w:t>1</w:t>
            </w:r>
            <w:r w:rsidRPr="00E32A86">
              <w:rPr>
                <w:sz w:val="20"/>
                <w:szCs w:val="20"/>
                <w:lang w:val="fr-CA"/>
              </w:rPr>
              <w:t>.201</w:t>
            </w:r>
            <w:r w:rsidR="00E32A86" w:rsidRPr="00E32A86">
              <w:rPr>
                <w:sz w:val="20"/>
                <w:szCs w:val="20"/>
                <w:lang w:val="fr-CA"/>
              </w:rPr>
              <w:t>2</w:t>
            </w:r>
          </w:p>
          <w:p w:rsidR="0010587F" w:rsidRPr="00E32A86" w:rsidRDefault="0010587F" w:rsidP="003B3977">
            <w:pPr>
              <w:rPr>
                <w:sz w:val="20"/>
                <w:szCs w:val="20"/>
                <w:lang w:val="fr-CA"/>
              </w:rPr>
            </w:pPr>
          </w:p>
          <w:p w:rsidR="0010587F" w:rsidRPr="00E32A86" w:rsidRDefault="00E32A86" w:rsidP="003B3977">
            <w:pPr>
              <w:rPr>
                <w:b/>
                <w:sz w:val="20"/>
                <w:szCs w:val="20"/>
                <w:lang w:val="fr-CA"/>
              </w:rPr>
            </w:pPr>
            <w:r w:rsidRPr="00E32A86">
              <w:rPr>
                <w:b/>
                <w:sz w:val="20"/>
                <w:szCs w:val="20"/>
                <w:lang w:val="fr-CA"/>
              </w:rPr>
              <w:t xml:space="preserve">Agence du </w:t>
            </w:r>
            <w:r>
              <w:rPr>
                <w:b/>
                <w:sz w:val="20"/>
                <w:szCs w:val="20"/>
                <w:lang w:val="fr-CA"/>
              </w:rPr>
              <w:t>R</w:t>
            </w:r>
            <w:r w:rsidRPr="00E32A86">
              <w:rPr>
                <w:b/>
                <w:sz w:val="20"/>
                <w:szCs w:val="20"/>
                <w:lang w:val="fr-CA"/>
              </w:rPr>
              <w:t>evenu du Québec</w:t>
            </w:r>
          </w:p>
          <w:p w:rsidR="0010587F" w:rsidRPr="00E32A86" w:rsidRDefault="0010587F" w:rsidP="003B3977">
            <w:pPr>
              <w:rPr>
                <w:b/>
                <w:sz w:val="20"/>
                <w:szCs w:val="20"/>
                <w:lang w:val="fr-CA"/>
              </w:rPr>
            </w:pPr>
          </w:p>
          <w:p w:rsidR="0010587F" w:rsidRPr="00E32A86" w:rsidRDefault="0010587F" w:rsidP="003B3977">
            <w:pPr>
              <w:rPr>
                <w:b/>
                <w:sz w:val="20"/>
                <w:szCs w:val="20"/>
                <w:lang w:val="fr-CA"/>
              </w:rPr>
            </w:pPr>
            <w:r w:rsidRPr="00E32A86">
              <w:rPr>
                <w:b/>
                <w:sz w:val="20"/>
                <w:szCs w:val="20"/>
                <w:lang w:val="fr-CA"/>
              </w:rPr>
              <w:tab/>
            </w:r>
            <w:r w:rsidR="00E32A86" w:rsidRPr="00E32A86">
              <w:rPr>
                <w:b/>
                <w:sz w:val="20"/>
                <w:szCs w:val="20"/>
                <w:lang w:val="fr-CA"/>
              </w:rPr>
              <w:t>c</w:t>
            </w:r>
            <w:r w:rsidRPr="00E32A86">
              <w:rPr>
                <w:b/>
                <w:sz w:val="20"/>
                <w:szCs w:val="20"/>
                <w:lang w:val="fr-CA"/>
              </w:rPr>
              <w:t>. (3</w:t>
            </w:r>
            <w:r w:rsidR="00E32A86">
              <w:rPr>
                <w:b/>
                <w:sz w:val="20"/>
                <w:szCs w:val="20"/>
                <w:lang w:val="fr-CA"/>
              </w:rPr>
              <w:t>4</w:t>
            </w:r>
            <w:r w:rsidRPr="00E32A86">
              <w:rPr>
                <w:b/>
                <w:sz w:val="20"/>
                <w:szCs w:val="20"/>
                <w:lang w:val="fr-CA"/>
              </w:rPr>
              <w:t>39</w:t>
            </w:r>
            <w:r w:rsidR="00E32A86">
              <w:rPr>
                <w:b/>
                <w:sz w:val="20"/>
                <w:szCs w:val="20"/>
                <w:lang w:val="fr-CA"/>
              </w:rPr>
              <w:t>3</w:t>
            </w:r>
            <w:r w:rsidRPr="00E32A86">
              <w:rPr>
                <w:b/>
                <w:sz w:val="20"/>
                <w:szCs w:val="20"/>
                <w:lang w:val="fr-CA"/>
              </w:rPr>
              <w:t>)</w:t>
            </w:r>
          </w:p>
          <w:p w:rsidR="0010587F" w:rsidRPr="00E32A86" w:rsidRDefault="0010587F" w:rsidP="003B3977">
            <w:pPr>
              <w:rPr>
                <w:b/>
                <w:sz w:val="20"/>
                <w:szCs w:val="20"/>
                <w:lang w:val="fr-CA"/>
              </w:rPr>
            </w:pPr>
          </w:p>
          <w:p w:rsidR="0010587F" w:rsidRPr="00E32A86" w:rsidRDefault="00E32A86" w:rsidP="003B3977">
            <w:pPr>
              <w:rPr>
                <w:b/>
                <w:sz w:val="20"/>
                <w:szCs w:val="20"/>
                <w:lang w:val="fr-CA"/>
              </w:rPr>
            </w:pPr>
            <w:r w:rsidRPr="00E32A86">
              <w:rPr>
                <w:b/>
                <w:sz w:val="20"/>
                <w:szCs w:val="20"/>
                <w:lang w:val="fr-CA"/>
              </w:rPr>
              <w:t>Agenc</w:t>
            </w:r>
            <w:r w:rsidR="0010587F" w:rsidRPr="00E32A86">
              <w:rPr>
                <w:b/>
                <w:sz w:val="20"/>
                <w:szCs w:val="20"/>
                <w:lang w:val="fr-CA"/>
              </w:rPr>
              <w:t>e</w:t>
            </w:r>
            <w:r w:rsidRPr="00E32A86">
              <w:rPr>
                <w:b/>
                <w:sz w:val="20"/>
                <w:szCs w:val="20"/>
                <w:lang w:val="fr-CA"/>
              </w:rPr>
              <w:t xml:space="preserve"> du </w:t>
            </w:r>
            <w:r>
              <w:rPr>
                <w:b/>
                <w:sz w:val="20"/>
                <w:szCs w:val="20"/>
                <w:lang w:val="fr-CA"/>
              </w:rPr>
              <w:t>R</w:t>
            </w:r>
            <w:r w:rsidRPr="00E32A86">
              <w:rPr>
                <w:b/>
                <w:sz w:val="20"/>
                <w:szCs w:val="20"/>
                <w:lang w:val="fr-CA"/>
              </w:rPr>
              <w:t>evenu du Ca</w:t>
            </w:r>
            <w:r w:rsidR="0010587F" w:rsidRPr="00E32A86">
              <w:rPr>
                <w:b/>
                <w:sz w:val="20"/>
                <w:szCs w:val="20"/>
                <w:lang w:val="fr-CA"/>
              </w:rPr>
              <w:t>n</w:t>
            </w:r>
            <w:r w:rsidRPr="00E32A86">
              <w:rPr>
                <w:b/>
                <w:sz w:val="20"/>
                <w:szCs w:val="20"/>
                <w:lang w:val="fr-CA"/>
              </w:rPr>
              <w:t>ada</w:t>
            </w:r>
            <w:r w:rsidR="0010587F" w:rsidRPr="00E32A86">
              <w:rPr>
                <w:b/>
                <w:sz w:val="20"/>
                <w:szCs w:val="20"/>
                <w:lang w:val="fr-CA"/>
              </w:rPr>
              <w:t xml:space="preserve"> </w:t>
            </w:r>
            <w:r w:rsidR="005F4E0D">
              <w:rPr>
                <w:b/>
                <w:sz w:val="20"/>
                <w:szCs w:val="20"/>
                <w:lang w:val="fr-CA"/>
              </w:rPr>
              <w:t xml:space="preserve">et autres </w:t>
            </w:r>
            <w:r w:rsidR="0010587F" w:rsidRPr="00E32A86">
              <w:rPr>
                <w:b/>
                <w:sz w:val="20"/>
                <w:szCs w:val="20"/>
                <w:lang w:val="fr-CA"/>
              </w:rPr>
              <w:t>(</w:t>
            </w:r>
            <w:r>
              <w:rPr>
                <w:b/>
                <w:sz w:val="20"/>
                <w:szCs w:val="20"/>
                <w:lang w:val="fr-CA"/>
              </w:rPr>
              <w:t>Qc</w:t>
            </w:r>
            <w:r w:rsidR="0010587F" w:rsidRPr="00E32A86">
              <w:rPr>
                <w:b/>
                <w:sz w:val="20"/>
                <w:szCs w:val="20"/>
                <w:lang w:val="fr-CA"/>
              </w:rPr>
              <w:t>)</w:t>
            </w:r>
          </w:p>
          <w:p w:rsidR="0010587F" w:rsidRPr="00E32A86" w:rsidRDefault="0010587F" w:rsidP="003B3977">
            <w:pPr>
              <w:rPr>
                <w:sz w:val="20"/>
                <w:szCs w:val="20"/>
                <w:lang w:val="fr-CA"/>
              </w:rPr>
            </w:pPr>
          </w:p>
          <w:p w:rsidR="0010587F" w:rsidRPr="003B3977" w:rsidRDefault="0010587F" w:rsidP="003B3977">
            <w:pPr>
              <w:rPr>
                <w:sz w:val="20"/>
                <w:szCs w:val="20"/>
              </w:rPr>
            </w:pPr>
            <w:r w:rsidRPr="003B3977">
              <w:rPr>
                <w:sz w:val="20"/>
                <w:szCs w:val="20"/>
              </w:rPr>
              <w:t>(</w:t>
            </w:r>
            <w:r w:rsidR="00E32A86">
              <w:rPr>
                <w:sz w:val="20"/>
                <w:szCs w:val="20"/>
              </w:rPr>
              <w:t>Autorisation</w:t>
            </w:r>
            <w:r w:rsidRPr="003B3977">
              <w:rPr>
                <w:sz w:val="20"/>
                <w:szCs w:val="20"/>
              </w:rPr>
              <w:t>)</w:t>
            </w:r>
          </w:p>
          <w:p w:rsidR="0010587F" w:rsidRPr="003B3977" w:rsidRDefault="0010587F" w:rsidP="003B3977">
            <w:pPr>
              <w:rPr>
                <w:sz w:val="20"/>
                <w:szCs w:val="20"/>
              </w:rPr>
            </w:pPr>
          </w:p>
          <w:p w:rsidR="0010587F" w:rsidRPr="003B3977" w:rsidRDefault="00BF59B3" w:rsidP="003B3977">
            <w:pPr>
              <w:rPr>
                <w:sz w:val="20"/>
                <w:szCs w:val="20"/>
              </w:rPr>
            </w:pPr>
            <w:r w:rsidRPr="00BF59B3">
              <w:rPr>
                <w:sz w:val="20"/>
                <w:szCs w:val="20"/>
                <w:lang w:val="fr-CA"/>
              </w:rPr>
              <w:pict>
                <v:rect id="_x0000_i1065"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523F41" w:rsidRDefault="00E32A86" w:rsidP="003B3977">
            <w:pPr>
              <w:rPr>
                <w:sz w:val="20"/>
                <w:szCs w:val="20"/>
                <w:lang w:val="fr-CA"/>
              </w:rPr>
            </w:pPr>
            <w:r w:rsidRPr="00523F41">
              <w:rPr>
                <w:sz w:val="20"/>
                <w:szCs w:val="20"/>
                <w:lang w:val="fr-CA"/>
              </w:rPr>
              <w:t>17</w:t>
            </w:r>
            <w:r w:rsidR="0010587F" w:rsidRPr="00523F41">
              <w:rPr>
                <w:sz w:val="20"/>
                <w:szCs w:val="20"/>
                <w:lang w:val="fr-CA"/>
              </w:rPr>
              <w:t>.0</w:t>
            </w:r>
            <w:r w:rsidRPr="00523F41">
              <w:rPr>
                <w:sz w:val="20"/>
                <w:szCs w:val="20"/>
                <w:lang w:val="fr-CA"/>
              </w:rPr>
              <w:t>1</w:t>
            </w:r>
            <w:r w:rsidR="0010587F" w:rsidRPr="00523F41">
              <w:rPr>
                <w:sz w:val="20"/>
                <w:szCs w:val="20"/>
                <w:lang w:val="fr-CA"/>
              </w:rPr>
              <w:t>.201</w:t>
            </w:r>
            <w:r w:rsidRPr="00523F41">
              <w:rPr>
                <w:sz w:val="20"/>
                <w:szCs w:val="20"/>
                <w:lang w:val="fr-CA"/>
              </w:rPr>
              <w:t>2</w:t>
            </w:r>
          </w:p>
          <w:p w:rsidR="0010587F" w:rsidRPr="00523F41" w:rsidRDefault="0010587F" w:rsidP="003B3977">
            <w:pPr>
              <w:rPr>
                <w:sz w:val="20"/>
                <w:szCs w:val="20"/>
                <w:lang w:val="fr-CA"/>
              </w:rPr>
            </w:pPr>
          </w:p>
          <w:p w:rsidR="0010587F" w:rsidRPr="00523F41" w:rsidRDefault="00E32A86" w:rsidP="003B3977">
            <w:pPr>
              <w:rPr>
                <w:b/>
                <w:sz w:val="20"/>
                <w:szCs w:val="20"/>
                <w:lang w:val="fr-CA"/>
              </w:rPr>
            </w:pPr>
            <w:r w:rsidRPr="00523F41">
              <w:rPr>
                <w:b/>
                <w:sz w:val="20"/>
                <w:szCs w:val="20"/>
                <w:lang w:val="fr-CA"/>
              </w:rPr>
              <w:t xml:space="preserve">Brian Cuthbertson et al. </w:t>
            </w:r>
          </w:p>
          <w:p w:rsidR="0010587F" w:rsidRPr="00523F41" w:rsidRDefault="0010587F" w:rsidP="003B3977">
            <w:pPr>
              <w:rPr>
                <w:b/>
                <w:sz w:val="20"/>
                <w:szCs w:val="20"/>
                <w:lang w:val="fr-CA"/>
              </w:rPr>
            </w:pPr>
          </w:p>
          <w:p w:rsidR="0010587F" w:rsidRPr="00523F41" w:rsidRDefault="0010587F" w:rsidP="003B3977">
            <w:pPr>
              <w:rPr>
                <w:b/>
                <w:sz w:val="20"/>
                <w:szCs w:val="20"/>
                <w:lang w:val="fr-CA"/>
              </w:rPr>
            </w:pPr>
            <w:r w:rsidRPr="00523F41">
              <w:rPr>
                <w:b/>
                <w:sz w:val="20"/>
                <w:szCs w:val="20"/>
                <w:lang w:val="fr-CA"/>
              </w:rPr>
              <w:tab/>
              <w:t>v. (3</w:t>
            </w:r>
            <w:r w:rsidR="00E32A86" w:rsidRPr="00523F41">
              <w:rPr>
                <w:b/>
                <w:sz w:val="20"/>
                <w:szCs w:val="20"/>
                <w:lang w:val="fr-CA"/>
              </w:rPr>
              <w:t>4</w:t>
            </w:r>
            <w:r w:rsidRPr="00523F41">
              <w:rPr>
                <w:b/>
                <w:sz w:val="20"/>
                <w:szCs w:val="20"/>
                <w:lang w:val="fr-CA"/>
              </w:rPr>
              <w:t>36</w:t>
            </w:r>
            <w:r w:rsidR="00E32A86" w:rsidRPr="00523F41">
              <w:rPr>
                <w:b/>
                <w:sz w:val="20"/>
                <w:szCs w:val="20"/>
                <w:lang w:val="fr-CA"/>
              </w:rPr>
              <w:t>2</w:t>
            </w:r>
            <w:r w:rsidRPr="00523F41">
              <w:rPr>
                <w:b/>
                <w:sz w:val="20"/>
                <w:szCs w:val="20"/>
                <w:lang w:val="fr-CA"/>
              </w:rPr>
              <w:t>)</w:t>
            </w:r>
          </w:p>
          <w:p w:rsidR="0010587F" w:rsidRPr="00523F41" w:rsidRDefault="0010587F" w:rsidP="003B3977">
            <w:pPr>
              <w:rPr>
                <w:b/>
                <w:sz w:val="20"/>
                <w:szCs w:val="20"/>
                <w:lang w:val="fr-CA"/>
              </w:rPr>
            </w:pPr>
          </w:p>
          <w:p w:rsidR="0010587F" w:rsidRPr="003B3977" w:rsidRDefault="00E32A86" w:rsidP="003B3977">
            <w:pPr>
              <w:rPr>
                <w:b/>
                <w:sz w:val="20"/>
                <w:szCs w:val="20"/>
              </w:rPr>
            </w:pPr>
            <w:r>
              <w:rPr>
                <w:b/>
                <w:sz w:val="20"/>
                <w:szCs w:val="20"/>
              </w:rPr>
              <w:t>Hassan Rasouli by his Litigation Guardian and Substitute Decision Maker, Parichehr Salasel</w:t>
            </w:r>
            <w:r w:rsidR="0010587F" w:rsidRPr="003B3977">
              <w:rPr>
                <w:b/>
                <w:sz w:val="20"/>
                <w:szCs w:val="20"/>
              </w:rPr>
              <w:t xml:space="preserve"> (</w:t>
            </w:r>
            <w:r>
              <w:rPr>
                <w:b/>
                <w:sz w:val="20"/>
                <w:szCs w:val="20"/>
              </w:rPr>
              <w:t>Ont</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(By Leave)</w:t>
            </w:r>
          </w:p>
          <w:p w:rsidR="0010587F" w:rsidRPr="003B3977" w:rsidRDefault="0010587F" w:rsidP="003B3977">
            <w:pPr>
              <w:rPr>
                <w:sz w:val="20"/>
                <w:szCs w:val="20"/>
              </w:rPr>
            </w:pPr>
          </w:p>
          <w:p w:rsidR="0010587F" w:rsidRPr="003B3977" w:rsidRDefault="00BF59B3" w:rsidP="003B3977">
            <w:pPr>
              <w:rPr>
                <w:sz w:val="20"/>
                <w:szCs w:val="20"/>
              </w:rPr>
            </w:pPr>
            <w:r w:rsidRPr="00BF59B3">
              <w:rPr>
                <w:sz w:val="20"/>
                <w:szCs w:val="20"/>
                <w:lang w:val="fr-CA"/>
              </w:rPr>
              <w:pict>
                <v:rect id="_x0000_i1066"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C5295A"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Default="00732DB7" w:rsidP="00732DB7">
      <w:pPr>
        <w:widowControl w:val="0"/>
        <w:rPr>
          <w:sz w:val="20"/>
          <w:szCs w:val="20"/>
          <w:lang w:val="fr-CA"/>
        </w:rPr>
      </w:pPr>
    </w:p>
    <w:p w:rsidR="00B41053" w:rsidRPr="00D25A61" w:rsidRDefault="00B41053" w:rsidP="00B41053">
      <w:pPr>
        <w:widowControl w:val="0"/>
        <w:rPr>
          <w:sz w:val="20"/>
          <w:szCs w:val="20"/>
          <w:lang w:val="fr-CA"/>
        </w:rPr>
      </w:pPr>
      <w:r w:rsidRPr="00D25A61">
        <w:rPr>
          <w:sz w:val="20"/>
          <w:szCs w:val="20"/>
          <w:lang w:val="fr-CA"/>
        </w:rPr>
        <w:t>12.01.2012</w:t>
      </w:r>
    </w:p>
    <w:p w:rsidR="00B41053" w:rsidRPr="00D25A61" w:rsidRDefault="00B41053" w:rsidP="00B41053">
      <w:pPr>
        <w:widowControl w:val="0"/>
        <w:rPr>
          <w:sz w:val="20"/>
          <w:szCs w:val="20"/>
          <w:lang w:val="fr-CA"/>
        </w:rPr>
      </w:pPr>
    </w:p>
    <w:p w:rsidR="00B41053" w:rsidRPr="00E311F7" w:rsidRDefault="00B41053" w:rsidP="00B41053">
      <w:pPr>
        <w:widowControl w:val="0"/>
        <w:ind w:left="720" w:hanging="720"/>
        <w:rPr>
          <w:rFonts w:eastAsia="Calibri" w:cs="Times New Roman"/>
          <w:sz w:val="20"/>
          <w:szCs w:val="20"/>
          <w:u w:val="single"/>
          <w:lang w:val="fr-CA"/>
        </w:rPr>
      </w:pPr>
      <w:r w:rsidRPr="00E311F7">
        <w:rPr>
          <w:rFonts w:eastAsia="Calibri" w:cs="Times New Roman"/>
          <w:sz w:val="20"/>
          <w:szCs w:val="20"/>
          <w:lang w:val="fr-CA"/>
        </w:rPr>
        <w:t xml:space="preserve">Coram: </w:t>
      </w:r>
      <w:r w:rsidRPr="00E311F7">
        <w:rPr>
          <w:rFonts w:eastAsia="Calibri" w:cs="Times New Roman"/>
          <w:sz w:val="20"/>
          <w:szCs w:val="20"/>
          <w:lang w:val="fr-CA"/>
        </w:rPr>
        <w:tab/>
      </w:r>
      <w:r w:rsidRPr="00E311F7">
        <w:rPr>
          <w:rFonts w:eastAsia="Calibri" w:cs="Times New Roman"/>
          <w:sz w:val="20"/>
          <w:szCs w:val="20"/>
          <w:u w:val="single"/>
          <w:lang w:val="fr-CA"/>
        </w:rPr>
        <w:t>Les juges LeBel, Deschamps, Abella, Rothstein, Cromwell, Moldaver et Karakatsanis</w:t>
      </w:r>
    </w:p>
    <w:p w:rsidR="00B41053" w:rsidRPr="00D25A61" w:rsidRDefault="00B41053" w:rsidP="00B41053">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B41053" w:rsidRPr="00C5295A" w:rsidTr="009E58D9">
        <w:tc>
          <w:tcPr>
            <w:tcW w:w="4380" w:type="dxa"/>
            <w:tcMar>
              <w:left w:w="0" w:type="dxa"/>
              <w:right w:w="0" w:type="dxa"/>
            </w:tcMar>
          </w:tcPr>
          <w:p w:rsidR="00B41053" w:rsidRPr="00962EDB" w:rsidRDefault="00B41053" w:rsidP="009E58D9">
            <w:pPr>
              <w:widowControl w:val="0"/>
              <w:jc w:val="both"/>
              <w:rPr>
                <w:b/>
                <w:sz w:val="20"/>
                <w:szCs w:val="20"/>
                <w:lang w:val="fr-CA"/>
              </w:rPr>
            </w:pPr>
            <w:r w:rsidRPr="00962EDB">
              <w:rPr>
                <w:b/>
                <w:sz w:val="20"/>
                <w:szCs w:val="20"/>
                <w:lang w:val="fr-CA"/>
              </w:rPr>
              <w:t>Banque Toronto-Dominion</w:t>
            </w:r>
          </w:p>
          <w:p w:rsidR="00B41053" w:rsidRPr="00962EDB" w:rsidRDefault="00B41053" w:rsidP="009E58D9">
            <w:pPr>
              <w:widowControl w:val="0"/>
              <w:jc w:val="both"/>
              <w:rPr>
                <w:b/>
                <w:sz w:val="20"/>
                <w:szCs w:val="20"/>
                <w:lang w:val="fr-CA"/>
              </w:rPr>
            </w:pPr>
          </w:p>
          <w:p w:rsidR="00B41053" w:rsidRPr="00962EDB" w:rsidRDefault="00B41053" w:rsidP="009E58D9">
            <w:pPr>
              <w:widowControl w:val="0"/>
              <w:ind w:left="720"/>
              <w:jc w:val="both"/>
              <w:rPr>
                <w:b/>
                <w:sz w:val="20"/>
                <w:szCs w:val="20"/>
                <w:lang w:val="fr-CA"/>
              </w:rPr>
            </w:pPr>
            <w:r w:rsidRPr="00962EDB">
              <w:rPr>
                <w:b/>
                <w:sz w:val="20"/>
                <w:szCs w:val="20"/>
                <w:lang w:val="fr-CA"/>
              </w:rPr>
              <w:t>c. (33878)</w:t>
            </w:r>
          </w:p>
          <w:p w:rsidR="00B41053" w:rsidRPr="00962EDB" w:rsidRDefault="00B41053" w:rsidP="009E58D9">
            <w:pPr>
              <w:widowControl w:val="0"/>
              <w:ind w:left="720"/>
              <w:jc w:val="both"/>
              <w:rPr>
                <w:b/>
                <w:sz w:val="20"/>
                <w:szCs w:val="20"/>
                <w:lang w:val="fr-CA"/>
              </w:rPr>
            </w:pPr>
          </w:p>
          <w:p w:rsidR="00B41053" w:rsidRPr="00C82859" w:rsidRDefault="00B41053" w:rsidP="009E58D9">
            <w:pPr>
              <w:widowControl w:val="0"/>
              <w:jc w:val="both"/>
              <w:rPr>
                <w:sz w:val="20"/>
                <w:szCs w:val="20"/>
              </w:rPr>
            </w:pPr>
            <w:r w:rsidRPr="00962EDB">
              <w:rPr>
                <w:b/>
                <w:sz w:val="20"/>
                <w:szCs w:val="20"/>
                <w:lang w:val="fr-CA"/>
              </w:rPr>
              <w:t xml:space="preserve">Sa Majesté la Reine (C.F.) </w:t>
            </w:r>
            <w:r w:rsidRPr="00C82859">
              <w:rPr>
                <w:b/>
                <w:sz w:val="20"/>
                <w:szCs w:val="20"/>
              </w:rPr>
              <w:t>(Civil</w:t>
            </w:r>
            <w:r>
              <w:rPr>
                <w:b/>
                <w:sz w:val="20"/>
                <w:szCs w:val="20"/>
              </w:rPr>
              <w:t>e</w:t>
            </w:r>
            <w:r w:rsidRPr="00C82859">
              <w:rPr>
                <w:b/>
                <w:sz w:val="20"/>
                <w:szCs w:val="20"/>
              </w:rPr>
              <w:t>) (</w:t>
            </w:r>
            <w:r>
              <w:rPr>
                <w:b/>
                <w:sz w:val="20"/>
                <w:szCs w:val="20"/>
              </w:rPr>
              <w:t>Autoris</w:t>
            </w:r>
            <w:r w:rsidRPr="00C82859">
              <w:rPr>
                <w:b/>
                <w:sz w:val="20"/>
                <w:szCs w:val="20"/>
              </w:rPr>
              <w:t>a</w:t>
            </w:r>
            <w:r>
              <w:rPr>
                <w:b/>
                <w:sz w:val="20"/>
                <w:szCs w:val="20"/>
              </w:rPr>
              <w:t>tion</w:t>
            </w:r>
            <w:r w:rsidRPr="00C82859">
              <w:rPr>
                <w:b/>
                <w:sz w:val="20"/>
                <w:szCs w:val="20"/>
              </w:rPr>
              <w:t>)</w:t>
            </w:r>
          </w:p>
        </w:tc>
        <w:tc>
          <w:tcPr>
            <w:tcW w:w="720" w:type="dxa"/>
            <w:tcMar>
              <w:left w:w="0" w:type="dxa"/>
              <w:right w:w="0" w:type="dxa"/>
            </w:tcMar>
          </w:tcPr>
          <w:p w:rsidR="00B41053" w:rsidRPr="00C82859" w:rsidRDefault="00B41053" w:rsidP="009E58D9">
            <w:pPr>
              <w:widowControl w:val="0"/>
              <w:jc w:val="center"/>
              <w:rPr>
                <w:sz w:val="20"/>
                <w:szCs w:val="20"/>
              </w:rPr>
            </w:pPr>
          </w:p>
        </w:tc>
        <w:tc>
          <w:tcPr>
            <w:tcW w:w="4380" w:type="dxa"/>
            <w:tcMar>
              <w:left w:w="0" w:type="dxa"/>
              <w:right w:w="0" w:type="dxa"/>
            </w:tcMar>
          </w:tcPr>
          <w:p w:rsidR="00B41053" w:rsidRPr="00A32C29" w:rsidRDefault="00B41053" w:rsidP="009E58D9">
            <w:pPr>
              <w:jc w:val="both"/>
              <w:rPr>
                <w:sz w:val="20"/>
                <w:szCs w:val="20"/>
                <w:lang w:val="fr-CA"/>
              </w:rPr>
            </w:pPr>
            <w:r w:rsidRPr="00A32C29">
              <w:rPr>
                <w:sz w:val="20"/>
                <w:szCs w:val="20"/>
                <w:lang w:val="fr-CA"/>
              </w:rPr>
              <w:t>Éric Potvin</w:t>
            </w:r>
            <w:r>
              <w:rPr>
                <w:sz w:val="20"/>
                <w:szCs w:val="20"/>
                <w:lang w:val="fr-CA"/>
              </w:rPr>
              <w:t xml:space="preserve"> et </w:t>
            </w:r>
            <w:r w:rsidRPr="00A32C29">
              <w:rPr>
                <w:sz w:val="20"/>
                <w:szCs w:val="20"/>
                <w:lang w:val="fr-CA"/>
              </w:rPr>
              <w:t>André Rousseau</w:t>
            </w:r>
            <w:r>
              <w:rPr>
                <w:sz w:val="20"/>
                <w:szCs w:val="20"/>
                <w:lang w:val="fr-CA"/>
              </w:rPr>
              <w:t xml:space="preserve"> p</w:t>
            </w:r>
            <w:r w:rsidRPr="00A32C29">
              <w:rPr>
                <w:sz w:val="20"/>
                <w:szCs w:val="20"/>
                <w:lang w:val="fr-CA"/>
              </w:rPr>
              <w:t>our l’appelante.</w:t>
            </w:r>
          </w:p>
          <w:p w:rsidR="00B41053" w:rsidRPr="00A32C29" w:rsidRDefault="00B41053" w:rsidP="009E58D9">
            <w:pPr>
              <w:jc w:val="both"/>
              <w:rPr>
                <w:sz w:val="20"/>
                <w:szCs w:val="20"/>
                <w:lang w:val="fr-CA"/>
              </w:rPr>
            </w:pPr>
          </w:p>
          <w:p w:rsidR="00B41053" w:rsidRPr="00D25A61" w:rsidRDefault="00B41053" w:rsidP="009E58D9">
            <w:pPr>
              <w:widowControl w:val="0"/>
              <w:jc w:val="both"/>
              <w:rPr>
                <w:sz w:val="20"/>
                <w:szCs w:val="20"/>
                <w:lang w:val="fr-CA"/>
              </w:rPr>
            </w:pPr>
            <w:r w:rsidRPr="00A32C29">
              <w:rPr>
                <w:sz w:val="20"/>
                <w:szCs w:val="20"/>
                <w:lang w:val="fr-CA"/>
              </w:rPr>
              <w:t>Christian Boutin</w:t>
            </w:r>
            <w:r>
              <w:rPr>
                <w:sz w:val="20"/>
                <w:szCs w:val="20"/>
                <w:lang w:val="fr-CA"/>
              </w:rPr>
              <w:t xml:space="preserve"> et </w:t>
            </w:r>
            <w:r w:rsidRPr="00A32C29">
              <w:rPr>
                <w:sz w:val="20"/>
                <w:szCs w:val="20"/>
                <w:lang w:val="fr-CA"/>
              </w:rPr>
              <w:t>Pier-Olivier Julien</w:t>
            </w:r>
            <w:r>
              <w:rPr>
                <w:sz w:val="20"/>
                <w:szCs w:val="20"/>
                <w:lang w:val="fr-CA"/>
              </w:rPr>
              <w:t xml:space="preserve"> p</w:t>
            </w:r>
            <w:r w:rsidRPr="00A32C29">
              <w:rPr>
                <w:sz w:val="20"/>
                <w:szCs w:val="20"/>
                <w:lang w:val="fr-CA"/>
              </w:rPr>
              <w:t>our l’intimée.</w:t>
            </w:r>
          </w:p>
        </w:tc>
      </w:tr>
    </w:tbl>
    <w:p w:rsidR="00B41053" w:rsidRDefault="00B41053" w:rsidP="00B41053">
      <w:pPr>
        <w:widowControl w:val="0"/>
        <w:rPr>
          <w:sz w:val="20"/>
          <w:szCs w:val="20"/>
          <w:lang w:val="fr-CA"/>
        </w:rPr>
      </w:pPr>
    </w:p>
    <w:p w:rsidR="00B41053" w:rsidRPr="00E311F7" w:rsidRDefault="00B41053" w:rsidP="00B41053">
      <w:pPr>
        <w:widowControl w:val="0"/>
        <w:rPr>
          <w:rFonts w:eastAsia="Calibri" w:cs="Times New Roman"/>
          <w:b/>
          <w:sz w:val="20"/>
          <w:szCs w:val="20"/>
        </w:rPr>
      </w:pPr>
      <w:r w:rsidRPr="00E311F7">
        <w:rPr>
          <w:rFonts w:eastAsia="Calibri" w:cs="Times New Roman"/>
          <w:b/>
          <w:sz w:val="20"/>
          <w:szCs w:val="20"/>
        </w:rPr>
        <w:t>DISMISSED WITHOUT COSTS / REJETÉ SANS DÉPENS</w:t>
      </w:r>
    </w:p>
    <w:p w:rsidR="00B41053" w:rsidRDefault="00B41053" w:rsidP="00B41053">
      <w:pPr>
        <w:widowControl w:val="0"/>
        <w:rPr>
          <w:sz w:val="20"/>
          <w:szCs w:val="20"/>
          <w:lang w:val="fr-CA"/>
        </w:rPr>
      </w:pPr>
    </w:p>
    <w:p w:rsidR="00B41053" w:rsidRPr="002748E0" w:rsidRDefault="00B41053" w:rsidP="00B41053">
      <w:pPr>
        <w:widowControl w:val="0"/>
        <w:rPr>
          <w:b/>
          <w:sz w:val="20"/>
          <w:szCs w:val="20"/>
          <w:lang w:val="fr-CA"/>
        </w:rPr>
      </w:pPr>
      <w:r>
        <w:rPr>
          <w:b/>
          <w:sz w:val="20"/>
          <w:szCs w:val="20"/>
          <w:lang w:val="fr-CA"/>
        </w:rPr>
        <w:t>2012 SCC 1 / 2012 CSC 1</w:t>
      </w:r>
    </w:p>
    <w:p w:rsidR="00B41053" w:rsidRDefault="00B41053" w:rsidP="00B41053">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B41053" w:rsidRPr="00692795" w:rsidTr="009E58D9">
        <w:tc>
          <w:tcPr>
            <w:tcW w:w="4380" w:type="dxa"/>
            <w:tcMar>
              <w:left w:w="0" w:type="dxa"/>
              <w:right w:w="0" w:type="dxa"/>
            </w:tcMar>
          </w:tcPr>
          <w:p w:rsidR="00B41053" w:rsidRPr="00581009" w:rsidRDefault="00B41053" w:rsidP="009E58D9">
            <w:pPr>
              <w:widowControl w:val="0"/>
              <w:jc w:val="both"/>
              <w:rPr>
                <w:b/>
                <w:sz w:val="20"/>
                <w:szCs w:val="20"/>
                <w:u w:val="single"/>
                <w:lang w:val="fr-CA"/>
              </w:rPr>
            </w:pPr>
            <w:r w:rsidRPr="00581009">
              <w:rPr>
                <w:b/>
                <w:sz w:val="20"/>
                <w:szCs w:val="20"/>
                <w:u w:val="single"/>
                <w:lang w:val="fr-CA"/>
              </w:rPr>
              <w:t>JUG</w:t>
            </w:r>
            <w:r w:rsidR="00581009" w:rsidRPr="00581009">
              <w:rPr>
                <w:b/>
                <w:sz w:val="20"/>
                <w:szCs w:val="20"/>
                <w:u w:val="single"/>
                <w:lang w:val="fr-CA"/>
              </w:rPr>
              <w:t>E</w:t>
            </w:r>
            <w:r w:rsidRPr="00581009">
              <w:rPr>
                <w:b/>
                <w:sz w:val="20"/>
                <w:szCs w:val="20"/>
                <w:u w:val="single"/>
                <w:lang w:val="fr-CA"/>
              </w:rPr>
              <w:t>MENT</w:t>
            </w:r>
            <w:r w:rsidR="00581009" w:rsidRPr="00581009">
              <w:rPr>
                <w:b/>
                <w:sz w:val="20"/>
                <w:szCs w:val="20"/>
                <w:u w:val="single"/>
                <w:lang w:val="fr-CA"/>
              </w:rPr>
              <w:t xml:space="preserve"> </w:t>
            </w:r>
            <w:r w:rsidRPr="00581009">
              <w:rPr>
                <w:b/>
                <w:sz w:val="20"/>
                <w:szCs w:val="20"/>
                <w:u w:val="single"/>
                <w:lang w:val="fr-CA"/>
              </w:rPr>
              <w:t>:</w:t>
            </w:r>
          </w:p>
          <w:p w:rsidR="00B41053" w:rsidRPr="00581009" w:rsidRDefault="00B41053" w:rsidP="009E58D9">
            <w:pPr>
              <w:widowControl w:val="0"/>
              <w:jc w:val="both"/>
              <w:rPr>
                <w:b/>
                <w:sz w:val="20"/>
                <w:szCs w:val="20"/>
                <w:lang w:val="fr-CA"/>
              </w:rPr>
            </w:pPr>
          </w:p>
          <w:p w:rsidR="00581009" w:rsidRPr="00581009" w:rsidRDefault="00581009" w:rsidP="00581009">
            <w:pPr>
              <w:jc w:val="both"/>
              <w:rPr>
                <w:sz w:val="20"/>
                <w:szCs w:val="20"/>
                <w:lang w:val="fr-CA"/>
              </w:rPr>
            </w:pPr>
            <w:r w:rsidRPr="00581009">
              <w:rPr>
                <w:sz w:val="20"/>
                <w:szCs w:val="20"/>
                <w:lang w:val="fr-CA"/>
              </w:rPr>
              <w:t>L’appel interjeté contre l’arrêt de la Cour d’appel fédérale, numéro A-490-09, 2010 CAF 174, en date du 30 juin 2010, a été entendu aujourd’hui et le jugement suivant a été rendu oralement :</w:t>
            </w:r>
          </w:p>
          <w:p w:rsidR="00581009" w:rsidRPr="00581009" w:rsidRDefault="00581009" w:rsidP="00581009">
            <w:pPr>
              <w:jc w:val="center"/>
              <w:rPr>
                <w:sz w:val="20"/>
                <w:szCs w:val="20"/>
                <w:lang w:val="fr-CA"/>
              </w:rPr>
            </w:pPr>
          </w:p>
          <w:p w:rsidR="00581009" w:rsidRPr="00581009" w:rsidRDefault="00581009" w:rsidP="00581009">
            <w:pPr>
              <w:jc w:val="center"/>
              <w:rPr>
                <w:sz w:val="20"/>
                <w:szCs w:val="20"/>
                <w:lang w:val="fr-CA"/>
              </w:rPr>
            </w:pPr>
          </w:p>
          <w:p w:rsidR="00B41053" w:rsidRPr="00C1697B" w:rsidRDefault="00581009" w:rsidP="00581009">
            <w:pPr>
              <w:jc w:val="both"/>
              <w:rPr>
                <w:b/>
                <w:sz w:val="20"/>
                <w:szCs w:val="20"/>
              </w:rPr>
            </w:pPr>
            <w:r w:rsidRPr="0041506B">
              <w:rPr>
                <w:smallCaps/>
                <w:sz w:val="20"/>
                <w:szCs w:val="20"/>
                <w:lang w:val="fr-FR"/>
              </w:rPr>
              <w:t>Le juge LeBel</w:t>
            </w:r>
            <w:r w:rsidRPr="0041506B">
              <w:rPr>
                <w:sz w:val="20"/>
                <w:szCs w:val="20"/>
                <w:lang w:val="fr-FR"/>
              </w:rPr>
              <w:t xml:space="preserve"> — Nous sommes d’accord avec les motifs exposés par le juge No</w:t>
            </w:r>
            <w:r w:rsidRPr="0041506B">
              <w:rPr>
                <w:rFonts w:cs="Times New Roman"/>
                <w:sz w:val="20"/>
                <w:szCs w:val="20"/>
                <w:lang w:val="fr-FR"/>
              </w:rPr>
              <w:t>ë</w:t>
            </w:r>
            <w:r w:rsidRPr="0041506B">
              <w:rPr>
                <w:sz w:val="20"/>
                <w:szCs w:val="20"/>
                <w:lang w:val="fr-FR"/>
              </w:rPr>
              <w:t>l de la Cour d’appel fédérale. En conséquence, l’appel est rejeté sans dépens.</w:t>
            </w:r>
          </w:p>
        </w:tc>
        <w:tc>
          <w:tcPr>
            <w:tcW w:w="720" w:type="dxa"/>
            <w:tcMar>
              <w:left w:w="0" w:type="dxa"/>
              <w:right w:w="0" w:type="dxa"/>
            </w:tcMar>
          </w:tcPr>
          <w:p w:rsidR="00B41053" w:rsidRPr="00C1697B" w:rsidRDefault="00B41053" w:rsidP="009E58D9">
            <w:pPr>
              <w:widowControl w:val="0"/>
              <w:jc w:val="center"/>
              <w:rPr>
                <w:sz w:val="20"/>
                <w:szCs w:val="20"/>
              </w:rPr>
            </w:pPr>
          </w:p>
        </w:tc>
        <w:tc>
          <w:tcPr>
            <w:tcW w:w="4380" w:type="dxa"/>
            <w:tcMar>
              <w:left w:w="0" w:type="dxa"/>
              <w:right w:w="0" w:type="dxa"/>
            </w:tcMar>
          </w:tcPr>
          <w:p w:rsidR="00B41053" w:rsidRPr="00581009" w:rsidRDefault="00B41053" w:rsidP="009E58D9">
            <w:pPr>
              <w:widowControl w:val="0"/>
              <w:jc w:val="both"/>
              <w:rPr>
                <w:b/>
                <w:sz w:val="20"/>
                <w:szCs w:val="20"/>
                <w:u w:val="single"/>
              </w:rPr>
            </w:pPr>
            <w:r w:rsidRPr="00581009">
              <w:rPr>
                <w:b/>
                <w:sz w:val="20"/>
                <w:szCs w:val="20"/>
                <w:u w:val="single"/>
              </w:rPr>
              <w:t>JU</w:t>
            </w:r>
            <w:r w:rsidR="00581009" w:rsidRPr="00581009">
              <w:rPr>
                <w:b/>
                <w:sz w:val="20"/>
                <w:szCs w:val="20"/>
                <w:u w:val="single"/>
              </w:rPr>
              <w:t>D</w:t>
            </w:r>
            <w:r w:rsidRPr="00581009">
              <w:rPr>
                <w:b/>
                <w:sz w:val="20"/>
                <w:szCs w:val="20"/>
                <w:u w:val="single"/>
              </w:rPr>
              <w:t>GEMENT:</w:t>
            </w:r>
          </w:p>
          <w:p w:rsidR="00B41053" w:rsidRPr="00581009" w:rsidRDefault="00B41053" w:rsidP="009E58D9">
            <w:pPr>
              <w:widowControl w:val="0"/>
              <w:jc w:val="both"/>
              <w:rPr>
                <w:sz w:val="20"/>
                <w:szCs w:val="20"/>
              </w:rPr>
            </w:pPr>
          </w:p>
          <w:p w:rsidR="00581009" w:rsidRPr="0041506B" w:rsidRDefault="00581009" w:rsidP="00581009">
            <w:pPr>
              <w:jc w:val="both"/>
              <w:rPr>
                <w:sz w:val="20"/>
                <w:szCs w:val="20"/>
              </w:rPr>
            </w:pPr>
            <w:r w:rsidRPr="0041506B">
              <w:rPr>
                <w:sz w:val="20"/>
                <w:szCs w:val="20"/>
              </w:rPr>
              <w:t xml:space="preserve">The appeal from the judgment of the </w:t>
            </w:r>
            <w:r w:rsidRPr="0041506B">
              <w:rPr>
                <w:sz w:val="20"/>
                <w:szCs w:val="20"/>
                <w:lang w:val="en-US"/>
              </w:rPr>
              <w:t>Federal Court of Appeal</w:t>
            </w:r>
            <w:r w:rsidRPr="0041506B">
              <w:rPr>
                <w:sz w:val="20"/>
                <w:szCs w:val="20"/>
              </w:rPr>
              <w:t xml:space="preserve">, Number </w:t>
            </w:r>
            <w:r w:rsidRPr="0041506B">
              <w:rPr>
                <w:sz w:val="20"/>
                <w:szCs w:val="20"/>
                <w:lang w:val="en-US"/>
              </w:rPr>
              <w:t>A-490-09, 2010 FCA 174</w:t>
            </w:r>
            <w:r w:rsidRPr="0041506B">
              <w:rPr>
                <w:sz w:val="20"/>
                <w:szCs w:val="20"/>
              </w:rPr>
              <w:t xml:space="preserve">, dated </w:t>
            </w:r>
            <w:r w:rsidRPr="0041506B">
              <w:rPr>
                <w:sz w:val="20"/>
                <w:szCs w:val="20"/>
                <w:lang w:val="en-US"/>
              </w:rPr>
              <w:t>June 30, 2010</w:t>
            </w:r>
            <w:r w:rsidRPr="0041506B">
              <w:rPr>
                <w:sz w:val="20"/>
                <w:szCs w:val="20"/>
              </w:rPr>
              <w:t>, was heard this day and the following judgment was rendered orally:</w:t>
            </w:r>
          </w:p>
          <w:p w:rsidR="00581009" w:rsidRPr="0041506B" w:rsidRDefault="00581009" w:rsidP="00581009">
            <w:pPr>
              <w:jc w:val="center"/>
              <w:rPr>
                <w:sz w:val="20"/>
                <w:szCs w:val="20"/>
              </w:rPr>
            </w:pPr>
          </w:p>
          <w:p w:rsidR="00581009" w:rsidRPr="0041506B" w:rsidRDefault="00581009" w:rsidP="00581009">
            <w:pPr>
              <w:jc w:val="both"/>
              <w:rPr>
                <w:sz w:val="20"/>
                <w:szCs w:val="20"/>
              </w:rPr>
            </w:pPr>
          </w:p>
          <w:p w:rsidR="00B41053" w:rsidRPr="00C1697B" w:rsidRDefault="00581009" w:rsidP="00581009">
            <w:pPr>
              <w:jc w:val="both"/>
              <w:rPr>
                <w:sz w:val="20"/>
                <w:szCs w:val="20"/>
                <w:lang w:val="fr-CA"/>
              </w:rPr>
            </w:pPr>
            <w:r w:rsidRPr="0041506B">
              <w:rPr>
                <w:smallCaps/>
                <w:sz w:val="20"/>
                <w:szCs w:val="20"/>
              </w:rPr>
              <w:t xml:space="preserve">LeBel J. </w:t>
            </w:r>
            <w:r w:rsidRPr="0041506B">
              <w:rPr>
                <w:sz w:val="20"/>
                <w:szCs w:val="20"/>
              </w:rPr>
              <w:t>— We agree with the reasons of Noël J.A. of the Federal Court of Appeal.  The appeal is accordingly dismissed without costs.</w:t>
            </w:r>
          </w:p>
        </w:tc>
      </w:tr>
    </w:tbl>
    <w:p w:rsidR="00B41053" w:rsidRPr="00D25A61" w:rsidRDefault="00B41053" w:rsidP="00B41053">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B41053" w:rsidRPr="000B0C4B" w:rsidTr="009E58D9">
        <w:trPr>
          <w:cantSplit/>
        </w:trPr>
        <w:tc>
          <w:tcPr>
            <w:tcW w:w="4380" w:type="dxa"/>
            <w:tcMar>
              <w:left w:w="0" w:type="dxa"/>
              <w:right w:w="0" w:type="dxa"/>
            </w:tcMar>
          </w:tcPr>
          <w:p w:rsidR="00581009" w:rsidRPr="00CC4D84" w:rsidRDefault="00581009" w:rsidP="00581009">
            <w:pPr>
              <w:widowControl w:val="0"/>
              <w:jc w:val="both"/>
              <w:rPr>
                <w:b/>
                <w:sz w:val="20"/>
                <w:szCs w:val="20"/>
                <w:u w:val="single"/>
                <w:lang w:val="fr-CA"/>
              </w:rPr>
            </w:pPr>
            <w:r w:rsidRPr="00CC4D84">
              <w:rPr>
                <w:b/>
                <w:sz w:val="20"/>
                <w:szCs w:val="20"/>
                <w:u w:val="single"/>
                <w:lang w:val="fr-CA"/>
              </w:rPr>
              <w:t>Nature de la cause :</w:t>
            </w:r>
          </w:p>
          <w:p w:rsidR="00581009" w:rsidRPr="00581009" w:rsidRDefault="00581009" w:rsidP="009E58D9">
            <w:pPr>
              <w:widowControl w:val="0"/>
              <w:jc w:val="both"/>
              <w:rPr>
                <w:b/>
                <w:sz w:val="20"/>
                <w:szCs w:val="20"/>
                <w:lang w:val="fr-CA"/>
              </w:rPr>
            </w:pPr>
          </w:p>
          <w:p w:rsidR="00B41053" w:rsidRPr="00C1697B" w:rsidRDefault="00581009" w:rsidP="00581009">
            <w:pPr>
              <w:widowControl w:val="0"/>
              <w:jc w:val="both"/>
              <w:rPr>
                <w:b/>
                <w:sz w:val="20"/>
                <w:szCs w:val="20"/>
              </w:rPr>
            </w:pPr>
            <w:r w:rsidRPr="00D36253">
              <w:rPr>
                <w:sz w:val="20"/>
                <w:szCs w:val="20"/>
                <w:lang w:val="fr-CA"/>
              </w:rPr>
              <w:t xml:space="preserve">Législation </w:t>
            </w:r>
            <w:r w:rsidRPr="00D36253">
              <w:rPr>
                <w:sz w:val="20"/>
                <w:szCs w:val="20"/>
                <w:lang w:val="fr-CA"/>
              </w:rPr>
              <w:noBreakHyphen/>
              <w:t xml:space="preserve"> Interprétation </w:t>
            </w:r>
            <w:r w:rsidRPr="00D36253">
              <w:rPr>
                <w:sz w:val="20"/>
                <w:szCs w:val="20"/>
                <w:lang w:val="fr-CA"/>
              </w:rPr>
              <w:noBreakHyphen/>
              <w:t xml:space="preserve"> Montant de TPS perçue par une compagnie déposé dans un compte de banque </w:t>
            </w:r>
            <w:r w:rsidRPr="00D36253">
              <w:rPr>
                <w:sz w:val="20"/>
                <w:szCs w:val="20"/>
                <w:lang w:val="fr-CA"/>
              </w:rPr>
              <w:noBreakHyphen/>
              <w:t xml:space="preserve"> Avis ministériel de saisie</w:t>
            </w:r>
            <w:r w:rsidRPr="00D36253">
              <w:rPr>
                <w:sz w:val="20"/>
                <w:szCs w:val="20"/>
                <w:lang w:val="fr-CA"/>
              </w:rPr>
              <w:noBreakHyphen/>
              <w:t xml:space="preserve">arrêt  </w:t>
            </w:r>
            <w:r w:rsidRPr="00D36253">
              <w:rPr>
                <w:sz w:val="20"/>
                <w:szCs w:val="20"/>
                <w:lang w:val="fr-CA"/>
              </w:rPr>
              <w:noBreakHyphen/>
              <w:t xml:space="preserve"> Avis d’intention de faillite deux semaines plus tard </w:t>
            </w:r>
            <w:r w:rsidRPr="00D36253">
              <w:rPr>
                <w:sz w:val="20"/>
                <w:szCs w:val="20"/>
                <w:lang w:val="fr-CA"/>
              </w:rPr>
              <w:noBreakHyphen/>
              <w:t xml:space="preserve"> Avis de surseoir donné à la banque par le syndic de faillite </w:t>
            </w:r>
            <w:r w:rsidRPr="00D36253">
              <w:rPr>
                <w:sz w:val="20"/>
                <w:szCs w:val="20"/>
                <w:lang w:val="fr-CA"/>
              </w:rPr>
              <w:noBreakHyphen/>
              <w:t xml:space="preserve"> Avis de surseoir respecté </w:t>
            </w:r>
            <w:r w:rsidRPr="00D36253">
              <w:rPr>
                <w:sz w:val="20"/>
                <w:szCs w:val="20"/>
                <w:lang w:val="fr-CA"/>
              </w:rPr>
              <w:noBreakHyphen/>
              <w:t xml:space="preserve"> Avis de cotisation </w:t>
            </w:r>
            <w:r w:rsidRPr="00D36253">
              <w:rPr>
                <w:sz w:val="20"/>
                <w:szCs w:val="20"/>
                <w:lang w:val="fr-CA"/>
              </w:rPr>
              <w:noBreakHyphen/>
              <w:t xml:space="preserve"> La Couronne est</w:t>
            </w:r>
            <w:r w:rsidRPr="00D36253">
              <w:rPr>
                <w:sz w:val="20"/>
                <w:szCs w:val="20"/>
                <w:lang w:val="fr-CA"/>
              </w:rPr>
              <w:noBreakHyphen/>
              <w:t>elle propriétaire du montant de TPS ayant fait l’objet d’un avis de saisie</w:t>
            </w:r>
            <w:r w:rsidRPr="00D36253">
              <w:rPr>
                <w:sz w:val="20"/>
                <w:szCs w:val="20"/>
                <w:lang w:val="fr-CA"/>
              </w:rPr>
              <w:noBreakHyphen/>
              <w:t xml:space="preserve">arrêt avant la faillite? </w:t>
            </w:r>
            <w:r w:rsidRPr="00D36253">
              <w:rPr>
                <w:sz w:val="20"/>
                <w:szCs w:val="20"/>
                <w:lang w:val="fr-CA"/>
              </w:rPr>
              <w:noBreakHyphen/>
              <w:t xml:space="preserve"> Quels sont les droits de la couronne quant à l’opposabilité face aux syndics et aux créanciers garanties des demandes formelles de paiement signifiées avant la faillite, mais non réglées lors de la faillite? </w:t>
            </w:r>
            <w:r w:rsidRPr="00D36253">
              <w:rPr>
                <w:sz w:val="20"/>
                <w:szCs w:val="20"/>
                <w:lang w:val="fr-CA"/>
              </w:rPr>
              <w:noBreakHyphen/>
              <w:t xml:space="preserve"> Les tribunaux inférieurs ont</w:t>
            </w:r>
            <w:r w:rsidRPr="00D36253">
              <w:rPr>
                <w:sz w:val="20"/>
                <w:szCs w:val="20"/>
                <w:lang w:val="fr-CA"/>
              </w:rPr>
              <w:noBreakHyphen/>
              <w:t xml:space="preserve">ils commis une erreur en concluant que le par. 70(1) de la Loi sur la faillite et l’insolvabilité ne vient pas faire échec au transfert de propriété prévu au par. 317(3) de la Loi sur la taxe d’accise? </w:t>
            </w:r>
            <w:r w:rsidRPr="00D36253">
              <w:rPr>
                <w:sz w:val="20"/>
                <w:szCs w:val="20"/>
                <w:lang w:val="fr-CA"/>
              </w:rPr>
              <w:noBreakHyphen/>
              <w:t xml:space="preserve"> </w:t>
            </w:r>
            <w:r w:rsidRPr="00D36253">
              <w:rPr>
                <w:i/>
                <w:sz w:val="20"/>
                <w:szCs w:val="20"/>
                <w:lang w:val="fr-CA"/>
              </w:rPr>
              <w:t>Loi sur la faillite et l’insolvabilité</w:t>
            </w:r>
            <w:r w:rsidRPr="00D36253">
              <w:rPr>
                <w:sz w:val="20"/>
                <w:szCs w:val="20"/>
                <w:lang w:val="fr-CA"/>
              </w:rPr>
              <w:t>, L.R.C. 1985 ch. B</w:t>
            </w:r>
            <w:r w:rsidRPr="00D36253">
              <w:rPr>
                <w:sz w:val="20"/>
                <w:szCs w:val="20"/>
                <w:lang w:val="fr-CA"/>
              </w:rPr>
              <w:noBreakHyphen/>
              <w:t xml:space="preserve">3, par. 67(2), 70(1) </w:t>
            </w:r>
            <w:r w:rsidRPr="00D36253">
              <w:rPr>
                <w:sz w:val="20"/>
                <w:szCs w:val="20"/>
                <w:lang w:val="fr-CA"/>
              </w:rPr>
              <w:noBreakHyphen/>
              <w:t xml:space="preserve"> </w:t>
            </w:r>
            <w:r w:rsidRPr="00D36253">
              <w:rPr>
                <w:i/>
                <w:sz w:val="20"/>
                <w:szCs w:val="20"/>
                <w:lang w:val="fr-CA"/>
              </w:rPr>
              <w:t>Loi sur la taxe d’accise</w:t>
            </w:r>
            <w:r w:rsidRPr="00D36253">
              <w:rPr>
                <w:sz w:val="20"/>
                <w:szCs w:val="20"/>
                <w:lang w:val="fr-CA"/>
              </w:rPr>
              <w:t>, L.R.C. 1985, ch. E</w:t>
            </w:r>
            <w:r w:rsidRPr="00D36253">
              <w:rPr>
                <w:sz w:val="20"/>
                <w:szCs w:val="20"/>
                <w:lang w:val="fr-CA"/>
              </w:rPr>
              <w:noBreakHyphen/>
              <w:t>15, par. 317(3).</w:t>
            </w:r>
          </w:p>
        </w:tc>
        <w:tc>
          <w:tcPr>
            <w:tcW w:w="720" w:type="dxa"/>
            <w:tcMar>
              <w:left w:w="0" w:type="dxa"/>
              <w:right w:w="0" w:type="dxa"/>
            </w:tcMar>
          </w:tcPr>
          <w:p w:rsidR="00B41053" w:rsidRPr="00C1697B" w:rsidRDefault="00B41053" w:rsidP="009E58D9">
            <w:pPr>
              <w:widowControl w:val="0"/>
              <w:jc w:val="center"/>
              <w:rPr>
                <w:sz w:val="20"/>
                <w:szCs w:val="20"/>
              </w:rPr>
            </w:pPr>
          </w:p>
        </w:tc>
        <w:tc>
          <w:tcPr>
            <w:tcW w:w="4380" w:type="dxa"/>
            <w:tcMar>
              <w:left w:w="0" w:type="dxa"/>
              <w:right w:w="0" w:type="dxa"/>
            </w:tcMar>
          </w:tcPr>
          <w:p w:rsidR="00581009" w:rsidRPr="00CC4D84" w:rsidRDefault="00581009" w:rsidP="00581009">
            <w:pPr>
              <w:widowControl w:val="0"/>
              <w:jc w:val="both"/>
              <w:rPr>
                <w:b/>
                <w:sz w:val="20"/>
                <w:szCs w:val="20"/>
                <w:u w:val="single"/>
              </w:rPr>
            </w:pPr>
            <w:r w:rsidRPr="00CC4D84">
              <w:rPr>
                <w:b/>
                <w:sz w:val="20"/>
                <w:szCs w:val="20"/>
                <w:u w:val="single"/>
              </w:rPr>
              <w:t>Nature of the case:</w:t>
            </w:r>
          </w:p>
          <w:p w:rsidR="00B41053" w:rsidRPr="00581009" w:rsidRDefault="00B41053" w:rsidP="009E58D9">
            <w:pPr>
              <w:widowControl w:val="0"/>
              <w:jc w:val="both"/>
              <w:rPr>
                <w:sz w:val="20"/>
                <w:szCs w:val="20"/>
              </w:rPr>
            </w:pPr>
          </w:p>
          <w:p w:rsidR="00B41053" w:rsidRPr="00581009" w:rsidRDefault="00581009" w:rsidP="009E58D9">
            <w:pPr>
              <w:widowControl w:val="0"/>
              <w:jc w:val="both"/>
              <w:rPr>
                <w:sz w:val="20"/>
                <w:szCs w:val="20"/>
              </w:rPr>
            </w:pPr>
            <w:r w:rsidRPr="00B66439">
              <w:rPr>
                <w:sz w:val="20"/>
                <w:szCs w:val="20"/>
              </w:rPr>
              <w:t xml:space="preserve">Legislation </w:t>
            </w:r>
            <w:r w:rsidRPr="00B66439">
              <w:rPr>
                <w:sz w:val="20"/>
                <w:szCs w:val="20"/>
              </w:rPr>
              <w:noBreakHyphen/>
              <w:t xml:space="preserve"> Interpretation </w:t>
            </w:r>
            <w:r w:rsidRPr="00B66439">
              <w:rPr>
                <w:sz w:val="20"/>
                <w:szCs w:val="20"/>
              </w:rPr>
              <w:noBreakHyphen/>
              <w:t xml:space="preserve"> GST amount collected by company deposited in bank account </w:t>
            </w:r>
            <w:r w:rsidRPr="00B66439">
              <w:rPr>
                <w:sz w:val="20"/>
                <w:szCs w:val="20"/>
              </w:rPr>
              <w:noBreakHyphen/>
              <w:t xml:space="preserve"> Requirement to pay sent by Minister </w:t>
            </w:r>
            <w:r w:rsidRPr="00B66439">
              <w:rPr>
                <w:sz w:val="20"/>
                <w:szCs w:val="20"/>
              </w:rPr>
              <w:noBreakHyphen/>
              <w:t xml:space="preserve"> Notice of intention to make proposal filed two weeks later </w:t>
            </w:r>
            <w:r w:rsidRPr="00B66439">
              <w:rPr>
                <w:sz w:val="20"/>
                <w:szCs w:val="20"/>
              </w:rPr>
              <w:noBreakHyphen/>
              <w:t xml:space="preserve"> Notice of stay sent to bank by trustee in bankruptcy </w:t>
            </w:r>
            <w:r w:rsidRPr="00B66439">
              <w:rPr>
                <w:sz w:val="20"/>
                <w:szCs w:val="20"/>
              </w:rPr>
              <w:noBreakHyphen/>
              <w:t xml:space="preserve"> Notice of stay complied with </w:t>
            </w:r>
            <w:r w:rsidRPr="00B66439">
              <w:rPr>
                <w:sz w:val="20"/>
                <w:szCs w:val="20"/>
              </w:rPr>
              <w:noBreakHyphen/>
              <w:t xml:space="preserve"> Notice of assessment </w:t>
            </w:r>
            <w:r w:rsidRPr="00B66439">
              <w:rPr>
                <w:sz w:val="20"/>
                <w:szCs w:val="20"/>
              </w:rPr>
              <w:noBreakHyphen/>
              <w:t xml:space="preserve"> Whether Crown is owner of GST amount in respect of which notice of garnishment issued prior to bankruptcy </w:t>
            </w:r>
            <w:r w:rsidRPr="00B66439">
              <w:rPr>
                <w:sz w:val="20"/>
                <w:szCs w:val="20"/>
              </w:rPr>
              <w:noBreakHyphen/>
              <w:t xml:space="preserve"> Whether Crown entitled to set requirement to pay up against trustees and secured creditors if it served before bankruptcy but not executed at time of bankruptcy </w:t>
            </w:r>
            <w:r w:rsidRPr="00B66439">
              <w:rPr>
                <w:sz w:val="20"/>
                <w:szCs w:val="20"/>
              </w:rPr>
              <w:noBreakHyphen/>
              <w:t xml:space="preserve"> Whether courts below erred in holding that s. 70(1) of </w:t>
            </w:r>
            <w:r w:rsidRPr="00B66439">
              <w:rPr>
                <w:i/>
                <w:sz w:val="20"/>
                <w:szCs w:val="20"/>
              </w:rPr>
              <w:t>Bankruptcy and Insolvency Act</w:t>
            </w:r>
            <w:r w:rsidRPr="00B66439">
              <w:rPr>
                <w:sz w:val="20"/>
                <w:szCs w:val="20"/>
              </w:rPr>
              <w:t xml:space="preserve"> does not override transfer of ownership provided for in s. 317(3) of </w:t>
            </w:r>
            <w:r w:rsidRPr="00B66439">
              <w:rPr>
                <w:i/>
                <w:sz w:val="20"/>
                <w:szCs w:val="20"/>
              </w:rPr>
              <w:t>Excise Tax Act</w:t>
            </w:r>
            <w:r w:rsidRPr="00B66439">
              <w:rPr>
                <w:sz w:val="20"/>
                <w:szCs w:val="20"/>
              </w:rPr>
              <w:t xml:space="preserve"> </w:t>
            </w:r>
            <w:r w:rsidRPr="00B66439">
              <w:rPr>
                <w:sz w:val="20"/>
                <w:szCs w:val="20"/>
              </w:rPr>
              <w:noBreakHyphen/>
              <w:t xml:space="preserve"> </w:t>
            </w:r>
            <w:r w:rsidRPr="00B66439">
              <w:rPr>
                <w:i/>
                <w:sz w:val="20"/>
                <w:szCs w:val="20"/>
              </w:rPr>
              <w:t>Bankruptcy and Insolvency Act</w:t>
            </w:r>
            <w:r w:rsidRPr="00B66439">
              <w:rPr>
                <w:sz w:val="20"/>
                <w:szCs w:val="20"/>
              </w:rPr>
              <w:t>, R.S.C. 1985, c. B</w:t>
            </w:r>
            <w:r w:rsidRPr="00B66439">
              <w:rPr>
                <w:sz w:val="20"/>
                <w:szCs w:val="20"/>
              </w:rPr>
              <w:noBreakHyphen/>
              <w:t xml:space="preserve">3, ss. 67(2), 70(1) </w:t>
            </w:r>
            <w:r w:rsidRPr="00B66439">
              <w:rPr>
                <w:sz w:val="20"/>
                <w:szCs w:val="20"/>
              </w:rPr>
              <w:noBreakHyphen/>
              <w:t xml:space="preserve"> </w:t>
            </w:r>
            <w:r w:rsidRPr="00B66439">
              <w:rPr>
                <w:i/>
                <w:sz w:val="20"/>
                <w:szCs w:val="20"/>
              </w:rPr>
              <w:t>Excise Tax Act</w:t>
            </w:r>
            <w:r w:rsidRPr="00B66439">
              <w:rPr>
                <w:sz w:val="20"/>
                <w:szCs w:val="20"/>
              </w:rPr>
              <w:t>, R.S.C. 1985, c. E</w:t>
            </w:r>
            <w:r w:rsidRPr="00B66439">
              <w:rPr>
                <w:sz w:val="20"/>
                <w:szCs w:val="20"/>
              </w:rPr>
              <w:noBreakHyphen/>
              <w:t>15, s. 317(3).</w:t>
            </w:r>
          </w:p>
        </w:tc>
      </w:tr>
    </w:tbl>
    <w:p w:rsidR="00B41053" w:rsidRPr="00581009" w:rsidRDefault="00B41053" w:rsidP="00B41053">
      <w:pPr>
        <w:widowControl w:val="0"/>
        <w:rPr>
          <w:sz w:val="20"/>
          <w:szCs w:val="20"/>
        </w:rPr>
      </w:pPr>
    </w:p>
    <w:p w:rsidR="00B41053" w:rsidRDefault="00BF59B3" w:rsidP="00B41053">
      <w:pPr>
        <w:widowControl w:val="0"/>
        <w:rPr>
          <w:sz w:val="20"/>
          <w:szCs w:val="20"/>
          <w:lang w:val="fr-CA"/>
        </w:rPr>
      </w:pPr>
      <w:r w:rsidRPr="00BF59B3">
        <w:rPr>
          <w:sz w:val="20"/>
          <w:szCs w:val="20"/>
          <w:lang w:val="fr-CA"/>
        </w:rPr>
        <w:pict>
          <v:rect id="_x0000_i1069" style="width:2in;height:1pt" o:hrpct="0" o:hralign="center" o:hrstd="t" o:hrnoshade="t" o:hr="t" fillcolor="black [3213]" stroked="f"/>
        </w:pict>
      </w:r>
    </w:p>
    <w:p w:rsidR="00B41053" w:rsidRDefault="00B41053" w:rsidP="00732DB7">
      <w:pPr>
        <w:widowControl w:val="0"/>
        <w:rPr>
          <w:sz w:val="20"/>
          <w:szCs w:val="20"/>
          <w:lang w:val="fr-CA"/>
        </w:rPr>
      </w:pPr>
    </w:p>
    <w:p w:rsidR="00D87D9F" w:rsidRDefault="00D87D9F">
      <w:pPr>
        <w:rPr>
          <w:sz w:val="20"/>
          <w:szCs w:val="20"/>
        </w:rPr>
      </w:pPr>
      <w:r>
        <w:rPr>
          <w:sz w:val="20"/>
          <w:szCs w:val="20"/>
        </w:rPr>
        <w:br w:type="page"/>
      </w:r>
    </w:p>
    <w:p w:rsidR="00B41053" w:rsidRPr="007A0347" w:rsidRDefault="009E58D9" w:rsidP="00732DB7">
      <w:pPr>
        <w:widowControl w:val="0"/>
        <w:rPr>
          <w:sz w:val="20"/>
          <w:szCs w:val="20"/>
        </w:rPr>
      </w:pPr>
      <w:r w:rsidRPr="007A0347">
        <w:rPr>
          <w:sz w:val="20"/>
          <w:szCs w:val="20"/>
        </w:rPr>
        <w:lastRenderedPageBreak/>
        <w:t>13.01.2012</w:t>
      </w:r>
    </w:p>
    <w:p w:rsidR="009E58D9" w:rsidRPr="007A0347" w:rsidRDefault="009E58D9" w:rsidP="00732DB7">
      <w:pPr>
        <w:widowControl w:val="0"/>
        <w:rPr>
          <w:sz w:val="20"/>
          <w:szCs w:val="20"/>
        </w:rPr>
      </w:pPr>
    </w:p>
    <w:p w:rsidR="00CF516D" w:rsidRPr="00800A23" w:rsidRDefault="00CF516D" w:rsidP="00CF516D">
      <w:pPr>
        <w:widowControl w:val="0"/>
        <w:ind w:left="720" w:hanging="720"/>
        <w:rPr>
          <w:rFonts w:eastAsia="Calibri" w:cs="Times New Roman"/>
          <w:sz w:val="20"/>
          <w:szCs w:val="20"/>
          <w:u w:val="single"/>
        </w:rPr>
      </w:pPr>
      <w:r w:rsidRPr="00800A23">
        <w:rPr>
          <w:rFonts w:eastAsia="Calibri" w:cs="Times New Roman"/>
          <w:sz w:val="20"/>
          <w:szCs w:val="20"/>
        </w:rPr>
        <w:t xml:space="preserve">Coram: </w:t>
      </w:r>
      <w:r w:rsidRPr="00800A23">
        <w:rPr>
          <w:rFonts w:eastAsia="Calibri" w:cs="Times New Roman"/>
          <w:sz w:val="20"/>
          <w:szCs w:val="20"/>
        </w:rPr>
        <w:tab/>
      </w:r>
      <w:r w:rsidRPr="00800A23">
        <w:rPr>
          <w:rFonts w:eastAsia="Calibri" w:cs="Times New Roman"/>
          <w:sz w:val="20"/>
          <w:szCs w:val="20"/>
          <w:u w:val="single"/>
        </w:rPr>
        <w:t>McLachlin C.J. and Deschamps, Abella, Rothstein, Cromwell, Moldaver and Karakatsanis JJ.</w:t>
      </w:r>
    </w:p>
    <w:p w:rsidR="009E58D9" w:rsidRPr="00CF516D" w:rsidRDefault="009E58D9"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9E58D9" w:rsidRPr="009E58D9" w:rsidTr="009E58D9">
        <w:tc>
          <w:tcPr>
            <w:tcW w:w="4380" w:type="dxa"/>
            <w:tcMar>
              <w:left w:w="0" w:type="dxa"/>
              <w:right w:w="0" w:type="dxa"/>
            </w:tcMar>
          </w:tcPr>
          <w:p w:rsidR="009E58D9" w:rsidRPr="009E58D9" w:rsidRDefault="009E58D9" w:rsidP="009E58D9">
            <w:pPr>
              <w:widowControl w:val="0"/>
              <w:jc w:val="both"/>
              <w:rPr>
                <w:b/>
                <w:sz w:val="20"/>
                <w:szCs w:val="20"/>
              </w:rPr>
            </w:pPr>
            <w:r w:rsidRPr="009E58D9">
              <w:rPr>
                <w:b/>
                <w:sz w:val="20"/>
                <w:szCs w:val="20"/>
              </w:rPr>
              <w:t>Her Majesty the Queen</w:t>
            </w:r>
          </w:p>
          <w:p w:rsidR="009E58D9" w:rsidRPr="009E58D9" w:rsidRDefault="009E58D9" w:rsidP="009E58D9">
            <w:pPr>
              <w:widowControl w:val="0"/>
              <w:jc w:val="both"/>
              <w:rPr>
                <w:b/>
                <w:sz w:val="20"/>
                <w:szCs w:val="20"/>
              </w:rPr>
            </w:pPr>
          </w:p>
          <w:p w:rsidR="009E58D9" w:rsidRPr="007A0347" w:rsidRDefault="009E58D9" w:rsidP="009E58D9">
            <w:pPr>
              <w:widowControl w:val="0"/>
              <w:ind w:left="720"/>
              <w:jc w:val="both"/>
              <w:rPr>
                <w:b/>
                <w:sz w:val="20"/>
                <w:szCs w:val="20"/>
              </w:rPr>
            </w:pPr>
            <w:r w:rsidRPr="007A0347">
              <w:rPr>
                <w:b/>
                <w:sz w:val="20"/>
                <w:szCs w:val="20"/>
              </w:rPr>
              <w:t>v (33874)</w:t>
            </w:r>
          </w:p>
          <w:p w:rsidR="009E58D9" w:rsidRPr="007A0347" w:rsidRDefault="009E58D9" w:rsidP="009E58D9">
            <w:pPr>
              <w:widowControl w:val="0"/>
              <w:ind w:left="720"/>
              <w:jc w:val="both"/>
              <w:rPr>
                <w:b/>
                <w:sz w:val="20"/>
                <w:szCs w:val="20"/>
              </w:rPr>
            </w:pPr>
          </w:p>
          <w:p w:rsidR="009E58D9" w:rsidRPr="009E58D9" w:rsidRDefault="009E58D9" w:rsidP="009E58D9">
            <w:pPr>
              <w:widowControl w:val="0"/>
              <w:jc w:val="both"/>
              <w:rPr>
                <w:sz w:val="20"/>
                <w:szCs w:val="20"/>
              </w:rPr>
            </w:pPr>
            <w:r w:rsidRPr="009E58D9">
              <w:rPr>
                <w:b/>
                <w:sz w:val="20"/>
                <w:szCs w:val="20"/>
              </w:rPr>
              <w:t>GlaxoSmithKline (F.C.) (Civil) (By Leave)</w:t>
            </w:r>
          </w:p>
        </w:tc>
        <w:tc>
          <w:tcPr>
            <w:tcW w:w="720" w:type="dxa"/>
            <w:tcMar>
              <w:left w:w="0" w:type="dxa"/>
              <w:right w:w="0" w:type="dxa"/>
            </w:tcMar>
          </w:tcPr>
          <w:p w:rsidR="009E58D9" w:rsidRPr="009E58D9" w:rsidRDefault="009E58D9" w:rsidP="009E58D9">
            <w:pPr>
              <w:widowControl w:val="0"/>
              <w:jc w:val="center"/>
              <w:rPr>
                <w:sz w:val="20"/>
                <w:szCs w:val="20"/>
              </w:rPr>
            </w:pPr>
          </w:p>
        </w:tc>
        <w:tc>
          <w:tcPr>
            <w:tcW w:w="4380" w:type="dxa"/>
            <w:tcMar>
              <w:left w:w="0" w:type="dxa"/>
              <w:right w:w="0" w:type="dxa"/>
            </w:tcMar>
          </w:tcPr>
          <w:p w:rsidR="00803A2A" w:rsidRPr="00F77E9A" w:rsidRDefault="00803A2A" w:rsidP="00803A2A">
            <w:pPr>
              <w:jc w:val="both"/>
              <w:rPr>
                <w:sz w:val="20"/>
                <w:szCs w:val="20"/>
              </w:rPr>
            </w:pPr>
            <w:r w:rsidRPr="00F77E9A">
              <w:rPr>
                <w:sz w:val="20"/>
                <w:szCs w:val="20"/>
              </w:rPr>
              <w:t>Wendy Burnham</w:t>
            </w:r>
            <w:r>
              <w:rPr>
                <w:sz w:val="20"/>
                <w:szCs w:val="20"/>
              </w:rPr>
              <w:t xml:space="preserve">, </w:t>
            </w:r>
            <w:r w:rsidRPr="00F77E9A">
              <w:rPr>
                <w:sz w:val="20"/>
                <w:szCs w:val="20"/>
              </w:rPr>
              <w:t>Eric Noble</w:t>
            </w:r>
            <w:r>
              <w:rPr>
                <w:sz w:val="20"/>
                <w:szCs w:val="20"/>
              </w:rPr>
              <w:t xml:space="preserve"> and </w:t>
            </w:r>
            <w:r w:rsidRPr="00F77E9A">
              <w:rPr>
                <w:sz w:val="20"/>
                <w:szCs w:val="20"/>
              </w:rPr>
              <w:t>Karen Janke-Curliss</w:t>
            </w:r>
            <w:r>
              <w:rPr>
                <w:sz w:val="20"/>
                <w:szCs w:val="20"/>
              </w:rPr>
              <w:t xml:space="preserve"> f</w:t>
            </w:r>
            <w:r w:rsidRPr="00F77E9A">
              <w:rPr>
                <w:sz w:val="20"/>
                <w:szCs w:val="20"/>
              </w:rPr>
              <w:t xml:space="preserve">or the </w:t>
            </w:r>
            <w:r>
              <w:rPr>
                <w:sz w:val="20"/>
                <w:szCs w:val="20"/>
              </w:rPr>
              <w:t>a</w:t>
            </w:r>
            <w:r w:rsidRPr="00F77E9A">
              <w:rPr>
                <w:sz w:val="20"/>
                <w:szCs w:val="20"/>
              </w:rPr>
              <w:t>ppellant/</w:t>
            </w:r>
            <w:r>
              <w:rPr>
                <w:sz w:val="20"/>
                <w:szCs w:val="20"/>
              </w:rPr>
              <w:t>r</w:t>
            </w:r>
            <w:r w:rsidRPr="00F77E9A">
              <w:rPr>
                <w:sz w:val="20"/>
                <w:szCs w:val="20"/>
              </w:rPr>
              <w:t>espondent on cross-appeal</w:t>
            </w:r>
            <w:r>
              <w:rPr>
                <w:sz w:val="20"/>
                <w:szCs w:val="20"/>
              </w:rPr>
              <w:t>.</w:t>
            </w:r>
          </w:p>
          <w:p w:rsidR="00803A2A" w:rsidRPr="00F77E9A" w:rsidRDefault="00803A2A" w:rsidP="00803A2A">
            <w:pPr>
              <w:jc w:val="both"/>
              <w:rPr>
                <w:sz w:val="20"/>
                <w:szCs w:val="20"/>
              </w:rPr>
            </w:pPr>
          </w:p>
          <w:p w:rsidR="009E58D9" w:rsidRPr="009E58D9" w:rsidRDefault="00803A2A" w:rsidP="00803A2A">
            <w:pPr>
              <w:widowControl w:val="0"/>
              <w:jc w:val="both"/>
              <w:rPr>
                <w:sz w:val="20"/>
                <w:szCs w:val="20"/>
              </w:rPr>
            </w:pPr>
            <w:r w:rsidRPr="00F77E9A">
              <w:rPr>
                <w:sz w:val="20"/>
                <w:szCs w:val="20"/>
              </w:rPr>
              <w:t>Al Meghji</w:t>
            </w:r>
            <w:r>
              <w:rPr>
                <w:sz w:val="20"/>
                <w:szCs w:val="20"/>
              </w:rPr>
              <w:t xml:space="preserve">, </w:t>
            </w:r>
            <w:r w:rsidRPr="00F77E9A">
              <w:rPr>
                <w:sz w:val="20"/>
                <w:szCs w:val="20"/>
              </w:rPr>
              <w:t>Joseph M. Steiner</w:t>
            </w:r>
            <w:r>
              <w:rPr>
                <w:sz w:val="20"/>
                <w:szCs w:val="20"/>
              </w:rPr>
              <w:t xml:space="preserve">, </w:t>
            </w:r>
            <w:r w:rsidRPr="00F77E9A">
              <w:rPr>
                <w:sz w:val="20"/>
                <w:szCs w:val="20"/>
              </w:rPr>
              <w:t>Amanda Heale</w:t>
            </w:r>
            <w:r>
              <w:rPr>
                <w:sz w:val="20"/>
                <w:szCs w:val="20"/>
              </w:rPr>
              <w:t xml:space="preserve"> and </w:t>
            </w:r>
            <w:r w:rsidRPr="00F77E9A">
              <w:rPr>
                <w:sz w:val="20"/>
                <w:szCs w:val="20"/>
              </w:rPr>
              <w:t>Pooja Samtani</w:t>
            </w:r>
            <w:r>
              <w:rPr>
                <w:sz w:val="20"/>
                <w:szCs w:val="20"/>
              </w:rPr>
              <w:t xml:space="preserve"> f</w:t>
            </w:r>
            <w:r w:rsidRPr="00F77E9A">
              <w:rPr>
                <w:sz w:val="20"/>
                <w:szCs w:val="20"/>
              </w:rPr>
              <w:t xml:space="preserve">or the </w:t>
            </w:r>
            <w:r>
              <w:rPr>
                <w:sz w:val="20"/>
                <w:szCs w:val="20"/>
              </w:rPr>
              <w:t>r</w:t>
            </w:r>
            <w:r w:rsidRPr="00F77E9A">
              <w:rPr>
                <w:sz w:val="20"/>
                <w:szCs w:val="20"/>
              </w:rPr>
              <w:t>espondent/</w:t>
            </w:r>
            <w:r>
              <w:rPr>
                <w:sz w:val="20"/>
                <w:szCs w:val="20"/>
              </w:rPr>
              <w:t>a</w:t>
            </w:r>
            <w:r w:rsidRPr="00F77E9A">
              <w:rPr>
                <w:sz w:val="20"/>
                <w:szCs w:val="20"/>
              </w:rPr>
              <w:t>ppellant on cross-appeal</w:t>
            </w:r>
            <w:r>
              <w:rPr>
                <w:sz w:val="20"/>
                <w:szCs w:val="20"/>
              </w:rPr>
              <w:t>.</w:t>
            </w:r>
          </w:p>
        </w:tc>
      </w:tr>
    </w:tbl>
    <w:p w:rsidR="009E58D9" w:rsidRPr="009E58D9" w:rsidRDefault="009E58D9" w:rsidP="009E58D9">
      <w:pPr>
        <w:widowControl w:val="0"/>
        <w:rPr>
          <w:sz w:val="20"/>
          <w:szCs w:val="20"/>
        </w:rPr>
      </w:pPr>
    </w:p>
    <w:p w:rsidR="009E58D9" w:rsidRPr="0085476B" w:rsidRDefault="009E58D9" w:rsidP="009E58D9">
      <w:pPr>
        <w:widowControl w:val="0"/>
        <w:rPr>
          <w:sz w:val="20"/>
          <w:szCs w:val="20"/>
        </w:rPr>
      </w:pPr>
      <w:r w:rsidRPr="0085476B">
        <w:rPr>
          <w:b/>
          <w:sz w:val="20"/>
          <w:szCs w:val="20"/>
        </w:rPr>
        <w:t xml:space="preserve">RESERVED / </w:t>
      </w:r>
      <w:r w:rsidRPr="0085476B">
        <w:rPr>
          <w:b/>
          <w:sz w:val="20"/>
          <w:szCs w:val="20"/>
          <w:lang w:val="fr-CA"/>
        </w:rPr>
        <w:t>EN DÉLIBÉRÉ</w:t>
      </w:r>
    </w:p>
    <w:p w:rsidR="009E58D9" w:rsidRPr="00D25A61" w:rsidRDefault="009E58D9" w:rsidP="009E58D9">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9E58D9" w:rsidRPr="00C5295A" w:rsidTr="009E58D9">
        <w:trPr>
          <w:cantSplit/>
        </w:trPr>
        <w:tc>
          <w:tcPr>
            <w:tcW w:w="4380" w:type="dxa"/>
            <w:tcMar>
              <w:left w:w="0" w:type="dxa"/>
              <w:right w:w="0" w:type="dxa"/>
            </w:tcMar>
          </w:tcPr>
          <w:p w:rsidR="009E58D9" w:rsidRPr="00CC4D84" w:rsidRDefault="009E58D9" w:rsidP="009E58D9">
            <w:pPr>
              <w:widowControl w:val="0"/>
              <w:jc w:val="both"/>
              <w:rPr>
                <w:b/>
                <w:sz w:val="20"/>
                <w:szCs w:val="20"/>
                <w:u w:val="single"/>
              </w:rPr>
            </w:pPr>
            <w:r w:rsidRPr="00CC4D84">
              <w:rPr>
                <w:b/>
                <w:sz w:val="20"/>
                <w:szCs w:val="20"/>
                <w:u w:val="single"/>
              </w:rPr>
              <w:t>Nature of the case:</w:t>
            </w:r>
          </w:p>
          <w:p w:rsidR="009E58D9" w:rsidRPr="00C1697B" w:rsidRDefault="009E58D9" w:rsidP="009E58D9">
            <w:pPr>
              <w:widowControl w:val="0"/>
              <w:jc w:val="both"/>
              <w:rPr>
                <w:b/>
                <w:sz w:val="20"/>
                <w:szCs w:val="20"/>
              </w:rPr>
            </w:pPr>
          </w:p>
          <w:p w:rsidR="009E58D9" w:rsidRPr="00C1697B" w:rsidRDefault="00803A2A" w:rsidP="009E58D9">
            <w:pPr>
              <w:widowControl w:val="0"/>
              <w:jc w:val="both"/>
              <w:rPr>
                <w:b/>
                <w:sz w:val="20"/>
                <w:szCs w:val="20"/>
              </w:rPr>
            </w:pPr>
            <w:r w:rsidRPr="00A673BD">
              <w:rPr>
                <w:sz w:val="20"/>
                <w:szCs w:val="20"/>
              </w:rPr>
              <w:t xml:space="preserve">Taxation </w:t>
            </w:r>
            <w:r w:rsidRPr="00A673BD">
              <w:rPr>
                <w:sz w:val="20"/>
                <w:szCs w:val="20"/>
              </w:rPr>
              <w:noBreakHyphen/>
              <w:t xml:space="preserve"> Income tax </w:t>
            </w:r>
            <w:r w:rsidRPr="00A673BD">
              <w:rPr>
                <w:sz w:val="20"/>
                <w:szCs w:val="20"/>
              </w:rPr>
              <w:noBreakHyphen/>
              <w:t xml:space="preserve"> Assessment </w:t>
            </w:r>
            <w:r w:rsidRPr="00A673BD">
              <w:rPr>
                <w:sz w:val="20"/>
                <w:szCs w:val="20"/>
              </w:rPr>
              <w:noBreakHyphen/>
              <w:t xml:space="preserve"> Transfer prices </w:t>
            </w:r>
            <w:r w:rsidRPr="00A673BD">
              <w:rPr>
                <w:sz w:val="20"/>
                <w:szCs w:val="20"/>
              </w:rPr>
              <w:noBreakHyphen/>
              <w:t xml:space="preserve"> Appeals </w:t>
            </w:r>
            <w:r w:rsidRPr="00A673BD">
              <w:rPr>
                <w:sz w:val="20"/>
                <w:szCs w:val="20"/>
              </w:rPr>
              <w:noBreakHyphen/>
              <w:t xml:space="preserve"> Minister of National Revenue reassessing taxpayer by increasing its income on basis that taxpayer had overpaid non</w:t>
            </w:r>
            <w:r w:rsidRPr="00A673BD">
              <w:rPr>
                <w:sz w:val="20"/>
                <w:szCs w:val="20"/>
              </w:rPr>
              <w:noBreakHyphen/>
              <w:t xml:space="preserve">arm’s length supplier for purchase of drug ingredient </w:t>
            </w:r>
            <w:r w:rsidRPr="00A673BD">
              <w:rPr>
                <w:sz w:val="20"/>
                <w:szCs w:val="20"/>
              </w:rPr>
              <w:noBreakHyphen/>
              <w:t xml:space="preserve"> Whether the Federal Court of Appeal erred by applying the reasonable business person test to the interpretation of s. 69(2) of the </w:t>
            </w:r>
            <w:r w:rsidRPr="00A673BD">
              <w:rPr>
                <w:i/>
                <w:sz w:val="20"/>
                <w:szCs w:val="20"/>
              </w:rPr>
              <w:t>Income Tax Act</w:t>
            </w:r>
            <w:r w:rsidRPr="00A673BD">
              <w:rPr>
                <w:sz w:val="20"/>
                <w:szCs w:val="20"/>
              </w:rPr>
              <w:t xml:space="preserve"> </w:t>
            </w:r>
            <w:r w:rsidRPr="00A673BD">
              <w:rPr>
                <w:sz w:val="20"/>
                <w:szCs w:val="20"/>
              </w:rPr>
              <w:noBreakHyphen/>
              <w:t xml:space="preserve"> Whether the Federal Court of Appeal erred in interpreting s. 69(2) by failing to apply the arm’s length principle on a transaction</w:t>
            </w:r>
            <w:r w:rsidRPr="00A673BD">
              <w:rPr>
                <w:sz w:val="20"/>
                <w:szCs w:val="20"/>
              </w:rPr>
              <w:noBreakHyphen/>
              <w:t>by</w:t>
            </w:r>
            <w:r w:rsidRPr="00A673BD">
              <w:rPr>
                <w:sz w:val="20"/>
                <w:szCs w:val="20"/>
              </w:rPr>
              <w:noBreakHyphen/>
              <w:t xml:space="preserve">transaction basis and on the basis that members of the multinational group are operating as separate entities </w:t>
            </w:r>
            <w:r w:rsidRPr="00A673BD">
              <w:rPr>
                <w:sz w:val="20"/>
                <w:szCs w:val="20"/>
              </w:rPr>
              <w:noBreakHyphen/>
              <w:t xml:space="preserve"> Whether the Federal Court of Appeal erred in ordering that the matter be returned to the trial judge for further determination </w:t>
            </w:r>
            <w:r w:rsidRPr="00A673BD">
              <w:rPr>
                <w:sz w:val="20"/>
                <w:szCs w:val="20"/>
              </w:rPr>
              <w:noBreakHyphen/>
              <w:t xml:space="preserve"> </w:t>
            </w:r>
            <w:r w:rsidRPr="00A673BD">
              <w:rPr>
                <w:i/>
                <w:sz w:val="20"/>
                <w:szCs w:val="20"/>
              </w:rPr>
              <w:t>Income Tax Act</w:t>
            </w:r>
            <w:r w:rsidRPr="00A673BD">
              <w:rPr>
                <w:sz w:val="20"/>
                <w:szCs w:val="20"/>
              </w:rPr>
              <w:t>, R.S.C. 1985 (5</w:t>
            </w:r>
            <w:r w:rsidRPr="00A673BD">
              <w:rPr>
                <w:sz w:val="20"/>
                <w:szCs w:val="20"/>
                <w:vertAlign w:val="superscript"/>
              </w:rPr>
              <w:t>th</w:t>
            </w:r>
            <w:r w:rsidRPr="00A673BD">
              <w:rPr>
                <w:sz w:val="20"/>
                <w:szCs w:val="20"/>
              </w:rPr>
              <w:t> Supp.), c. 1, s. 69(2).</w:t>
            </w:r>
          </w:p>
        </w:tc>
        <w:tc>
          <w:tcPr>
            <w:tcW w:w="720" w:type="dxa"/>
            <w:tcMar>
              <w:left w:w="0" w:type="dxa"/>
              <w:right w:w="0" w:type="dxa"/>
            </w:tcMar>
          </w:tcPr>
          <w:p w:rsidR="009E58D9" w:rsidRPr="00C1697B" w:rsidRDefault="009E58D9" w:rsidP="009E58D9">
            <w:pPr>
              <w:widowControl w:val="0"/>
              <w:jc w:val="center"/>
              <w:rPr>
                <w:sz w:val="20"/>
                <w:szCs w:val="20"/>
              </w:rPr>
            </w:pPr>
          </w:p>
        </w:tc>
        <w:tc>
          <w:tcPr>
            <w:tcW w:w="4380" w:type="dxa"/>
            <w:tcMar>
              <w:left w:w="0" w:type="dxa"/>
              <w:right w:w="0" w:type="dxa"/>
            </w:tcMar>
          </w:tcPr>
          <w:p w:rsidR="009E58D9" w:rsidRPr="00CC4D84" w:rsidRDefault="009E58D9" w:rsidP="009E58D9">
            <w:pPr>
              <w:widowControl w:val="0"/>
              <w:jc w:val="both"/>
              <w:rPr>
                <w:b/>
                <w:sz w:val="20"/>
                <w:szCs w:val="20"/>
                <w:u w:val="single"/>
                <w:lang w:val="fr-CA"/>
              </w:rPr>
            </w:pPr>
            <w:r w:rsidRPr="00CC4D84">
              <w:rPr>
                <w:b/>
                <w:sz w:val="20"/>
                <w:szCs w:val="20"/>
                <w:u w:val="single"/>
                <w:lang w:val="fr-CA"/>
              </w:rPr>
              <w:t>Nature de la cause :</w:t>
            </w:r>
          </w:p>
          <w:p w:rsidR="009E58D9" w:rsidRPr="00C1697B" w:rsidRDefault="009E58D9" w:rsidP="009E58D9">
            <w:pPr>
              <w:widowControl w:val="0"/>
              <w:jc w:val="both"/>
              <w:rPr>
                <w:sz w:val="20"/>
                <w:szCs w:val="20"/>
                <w:lang w:val="fr-CA"/>
              </w:rPr>
            </w:pPr>
          </w:p>
          <w:p w:rsidR="009E58D9" w:rsidRPr="00C1697B" w:rsidRDefault="00803A2A" w:rsidP="009E58D9">
            <w:pPr>
              <w:widowControl w:val="0"/>
              <w:jc w:val="both"/>
              <w:rPr>
                <w:sz w:val="20"/>
                <w:szCs w:val="20"/>
                <w:lang w:val="fr-CA"/>
              </w:rPr>
            </w:pPr>
            <w:r w:rsidRPr="00055EFC">
              <w:rPr>
                <w:sz w:val="20"/>
                <w:szCs w:val="20"/>
                <w:lang w:val="fr-CA"/>
              </w:rPr>
              <w:t xml:space="preserve">Droit fiscal </w:t>
            </w:r>
            <w:r w:rsidRPr="00055EFC">
              <w:rPr>
                <w:sz w:val="20"/>
                <w:szCs w:val="20"/>
                <w:lang w:val="fr-CA"/>
              </w:rPr>
              <w:noBreakHyphen/>
              <w:t xml:space="preserve"> Impôt sur le revenu </w:t>
            </w:r>
            <w:r w:rsidRPr="00055EFC">
              <w:rPr>
                <w:sz w:val="20"/>
                <w:szCs w:val="20"/>
                <w:lang w:val="fr-CA"/>
              </w:rPr>
              <w:noBreakHyphen/>
              <w:t xml:space="preserve"> Cotisation </w:t>
            </w:r>
            <w:r w:rsidRPr="00055EFC">
              <w:rPr>
                <w:sz w:val="20"/>
                <w:szCs w:val="20"/>
                <w:lang w:val="fr-CA"/>
              </w:rPr>
              <w:noBreakHyphen/>
              <w:t xml:space="preserve"> Prix de transfert </w:t>
            </w:r>
            <w:r w:rsidRPr="00055EFC">
              <w:rPr>
                <w:sz w:val="20"/>
                <w:szCs w:val="20"/>
                <w:lang w:val="fr-CA"/>
              </w:rPr>
              <w:noBreakHyphen/>
              <w:t xml:space="preserve"> Appels </w:t>
            </w:r>
            <w:r w:rsidRPr="00055EFC">
              <w:rPr>
                <w:sz w:val="20"/>
                <w:szCs w:val="20"/>
                <w:lang w:val="fr-CA"/>
              </w:rPr>
              <w:noBreakHyphen/>
              <w:t xml:space="preserve"> Le ministre du Revenu national a établi de nouvelles cotisations à l’égard d’une contribuable en augmentant son revenu au motif qu’elle avait payé en trop le fournisseur avec lequel elle avait un lien de dépendance pour l’achat d’un ingrédient de médicament </w:t>
            </w:r>
            <w:r w:rsidRPr="00055EFC">
              <w:rPr>
                <w:sz w:val="20"/>
                <w:szCs w:val="20"/>
                <w:lang w:val="fr-CA"/>
              </w:rPr>
              <w:noBreakHyphen/>
              <w:t xml:space="preserve"> La Cour d’appel fédérale a</w:t>
            </w:r>
            <w:r w:rsidRPr="00055EFC">
              <w:rPr>
                <w:sz w:val="20"/>
                <w:szCs w:val="20"/>
                <w:lang w:val="fr-CA"/>
              </w:rPr>
              <w:noBreakHyphen/>
              <w:t>t</w:t>
            </w:r>
            <w:r w:rsidRPr="00055EFC">
              <w:rPr>
                <w:sz w:val="20"/>
                <w:szCs w:val="20"/>
                <w:lang w:val="fr-CA"/>
              </w:rPr>
              <w:noBreakHyphen/>
              <w:t xml:space="preserve">elle eu tort d’appliquer le critère de l’homme ou de la femme d’affaires raisonnable à l’interprétation du par. 69(2) de la </w:t>
            </w:r>
            <w:r w:rsidRPr="00055EFC">
              <w:rPr>
                <w:i/>
                <w:sz w:val="20"/>
                <w:szCs w:val="20"/>
                <w:lang w:val="fr-CA"/>
              </w:rPr>
              <w:t>Loi de l’impôt sur le revenu</w:t>
            </w:r>
            <w:r w:rsidRPr="00055EFC">
              <w:rPr>
                <w:sz w:val="20"/>
                <w:szCs w:val="20"/>
                <w:lang w:val="fr-CA"/>
              </w:rPr>
              <w:t xml:space="preserve">? </w:t>
            </w:r>
            <w:r w:rsidRPr="00055EFC">
              <w:rPr>
                <w:sz w:val="20"/>
                <w:szCs w:val="20"/>
                <w:lang w:val="fr-CA"/>
              </w:rPr>
              <w:noBreakHyphen/>
              <w:t xml:space="preserve"> La Cour d’appel fédérale a</w:t>
            </w:r>
            <w:r w:rsidRPr="00055EFC">
              <w:rPr>
                <w:sz w:val="20"/>
                <w:szCs w:val="20"/>
                <w:lang w:val="fr-CA"/>
              </w:rPr>
              <w:noBreakHyphen/>
              <w:t>t</w:t>
            </w:r>
            <w:r w:rsidRPr="00055EFC">
              <w:rPr>
                <w:sz w:val="20"/>
                <w:szCs w:val="20"/>
                <w:lang w:val="fr-CA"/>
              </w:rPr>
              <w:noBreakHyphen/>
              <w:t xml:space="preserve">elle commis une erreur dans l’interprétation du par. 69(2) en n’appliquant pas le principe du lien de dépendance opération par opération et compte tenu du fait que les membres du groupe multinational fonctionnent comme des entités distinctes? </w:t>
            </w:r>
            <w:r w:rsidRPr="00055EFC">
              <w:rPr>
                <w:sz w:val="20"/>
                <w:szCs w:val="20"/>
                <w:lang w:val="fr-CA"/>
              </w:rPr>
              <w:noBreakHyphen/>
              <w:t xml:space="preserve"> La Cour d’appel fédérale a</w:t>
            </w:r>
            <w:r w:rsidRPr="00055EFC">
              <w:rPr>
                <w:sz w:val="20"/>
                <w:szCs w:val="20"/>
                <w:lang w:val="fr-CA"/>
              </w:rPr>
              <w:noBreakHyphen/>
              <w:t>t</w:t>
            </w:r>
            <w:r w:rsidRPr="00055EFC">
              <w:rPr>
                <w:sz w:val="20"/>
                <w:szCs w:val="20"/>
                <w:lang w:val="fr-CA"/>
              </w:rPr>
              <w:noBreakHyphen/>
              <w:t xml:space="preserve">elle eu tort de renvoyer l’affaire au juge de première instance pour qu’il statue de nouveau? </w:t>
            </w:r>
            <w:r w:rsidRPr="00055EFC">
              <w:rPr>
                <w:sz w:val="20"/>
                <w:szCs w:val="20"/>
                <w:lang w:val="fr-CA"/>
              </w:rPr>
              <w:noBreakHyphen/>
              <w:t xml:space="preserve"> </w:t>
            </w:r>
            <w:r w:rsidRPr="00055EFC">
              <w:rPr>
                <w:i/>
                <w:iCs/>
                <w:sz w:val="20"/>
                <w:szCs w:val="20"/>
                <w:lang w:val="fr-CA"/>
              </w:rPr>
              <w:t>Loi de l’impôt sur le revenu</w:t>
            </w:r>
            <w:r w:rsidRPr="00055EFC">
              <w:rPr>
                <w:sz w:val="20"/>
                <w:szCs w:val="20"/>
                <w:lang w:val="fr-CA"/>
              </w:rPr>
              <w:t>, L.R.C. 1985 (5</w:t>
            </w:r>
            <w:r w:rsidRPr="00055EFC">
              <w:rPr>
                <w:sz w:val="20"/>
                <w:szCs w:val="20"/>
                <w:vertAlign w:val="superscript"/>
                <w:lang w:val="fr-CA"/>
              </w:rPr>
              <w:t>e</w:t>
            </w:r>
            <w:r w:rsidRPr="00055EFC">
              <w:rPr>
                <w:sz w:val="20"/>
                <w:szCs w:val="20"/>
                <w:lang w:val="fr-CA"/>
              </w:rPr>
              <w:t xml:space="preserve"> suppl.), ch. 1, par. 69(2).</w:t>
            </w:r>
          </w:p>
        </w:tc>
      </w:tr>
    </w:tbl>
    <w:p w:rsidR="009E58D9" w:rsidRDefault="009E58D9" w:rsidP="009E58D9">
      <w:pPr>
        <w:widowControl w:val="0"/>
        <w:rPr>
          <w:sz w:val="20"/>
          <w:szCs w:val="20"/>
          <w:lang w:val="fr-CA"/>
        </w:rPr>
      </w:pPr>
    </w:p>
    <w:p w:rsidR="009E58D9" w:rsidRDefault="00BF59B3" w:rsidP="00732DB7">
      <w:pPr>
        <w:widowControl w:val="0"/>
        <w:rPr>
          <w:sz w:val="20"/>
          <w:szCs w:val="20"/>
          <w:lang w:val="fr-CA"/>
        </w:rPr>
      </w:pPr>
      <w:r w:rsidRPr="00BF59B3">
        <w:rPr>
          <w:sz w:val="20"/>
          <w:szCs w:val="20"/>
          <w:lang w:val="fr-CA"/>
        </w:rPr>
        <w:pict>
          <v:rect id="_x0000_i1070" style="width:2in;height:1pt" o:hrpct="0" o:hralign="center" o:hrstd="t" o:hrnoshade="t" o:hr="t" fillcolor="black [3213]" stroked="f"/>
        </w:pict>
      </w:r>
    </w:p>
    <w:p w:rsidR="009E58D9" w:rsidRDefault="009E58D9" w:rsidP="00732DB7">
      <w:pPr>
        <w:widowControl w:val="0"/>
        <w:rPr>
          <w:sz w:val="20"/>
          <w:szCs w:val="20"/>
          <w:lang w:val="fr-CA"/>
        </w:rPr>
      </w:pPr>
    </w:p>
    <w:p w:rsidR="00732DB7" w:rsidRPr="00C50A5C" w:rsidRDefault="00803A2A" w:rsidP="00732DB7">
      <w:pPr>
        <w:widowControl w:val="0"/>
        <w:rPr>
          <w:sz w:val="20"/>
          <w:szCs w:val="20"/>
        </w:rPr>
      </w:pPr>
      <w:r>
        <w:rPr>
          <w:sz w:val="20"/>
          <w:szCs w:val="20"/>
        </w:rPr>
        <w:t>16</w:t>
      </w:r>
      <w:r w:rsidR="00732DB7" w:rsidRPr="00C50A5C">
        <w:rPr>
          <w:sz w:val="20"/>
          <w:szCs w:val="20"/>
        </w:rPr>
        <w:t>.0</w:t>
      </w:r>
      <w:r>
        <w:rPr>
          <w:sz w:val="20"/>
          <w:szCs w:val="20"/>
        </w:rPr>
        <w:t>1</w:t>
      </w:r>
      <w:r w:rsidR="00732DB7" w:rsidRPr="00C50A5C">
        <w:rPr>
          <w:sz w:val="20"/>
          <w:szCs w:val="20"/>
        </w:rPr>
        <w:t>.201</w:t>
      </w:r>
      <w:r>
        <w:rPr>
          <w:sz w:val="20"/>
          <w:szCs w:val="20"/>
        </w:rPr>
        <w:t>2</w:t>
      </w:r>
    </w:p>
    <w:p w:rsidR="00732DB7" w:rsidRDefault="00732DB7" w:rsidP="00732DB7">
      <w:pPr>
        <w:widowControl w:val="0"/>
        <w:rPr>
          <w:sz w:val="20"/>
          <w:szCs w:val="20"/>
        </w:rPr>
      </w:pPr>
    </w:p>
    <w:p w:rsidR="00803A2A" w:rsidRPr="00294971" w:rsidRDefault="00803A2A" w:rsidP="00803A2A">
      <w:pPr>
        <w:widowControl w:val="0"/>
        <w:ind w:left="720" w:hanging="720"/>
        <w:rPr>
          <w:rFonts w:eastAsia="Calibri" w:cs="Times New Roman"/>
          <w:sz w:val="20"/>
          <w:szCs w:val="20"/>
          <w:u w:val="single"/>
        </w:rPr>
      </w:pPr>
      <w:r w:rsidRPr="00294971">
        <w:rPr>
          <w:rFonts w:eastAsia="Calibri" w:cs="Times New Roman"/>
          <w:sz w:val="20"/>
          <w:szCs w:val="20"/>
        </w:rPr>
        <w:t xml:space="preserve">Coram: </w:t>
      </w:r>
      <w:r w:rsidRPr="00294971">
        <w:rPr>
          <w:rFonts w:eastAsia="Calibri" w:cs="Times New Roman"/>
          <w:sz w:val="20"/>
          <w:szCs w:val="20"/>
        </w:rPr>
        <w:tab/>
      </w:r>
      <w:r w:rsidRPr="00294971">
        <w:rPr>
          <w:rFonts w:eastAsia="Calibri" w:cs="Times New Roman"/>
          <w:sz w:val="20"/>
          <w:szCs w:val="20"/>
          <w:u w:val="single"/>
        </w:rPr>
        <w:t>McLachlin C.J. and LeBel, Deschamps, Fish, Abella, Rothstein, Cromwell, Moldaver and Karakatsanis JJ.</w:t>
      </w:r>
    </w:p>
    <w:p w:rsidR="00732DB7" w:rsidRPr="00C50A5C" w:rsidRDefault="00732DB7" w:rsidP="00732DB7">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732DB7" w:rsidRPr="00C50A5C" w:rsidTr="00697C62">
        <w:tc>
          <w:tcPr>
            <w:tcW w:w="4380" w:type="dxa"/>
            <w:tcMar>
              <w:left w:w="0" w:type="dxa"/>
              <w:right w:w="0" w:type="dxa"/>
            </w:tcMar>
          </w:tcPr>
          <w:p w:rsidR="00803A2A" w:rsidRDefault="00803A2A" w:rsidP="00803A2A">
            <w:pPr>
              <w:widowControl w:val="0"/>
              <w:jc w:val="both"/>
              <w:rPr>
                <w:b/>
                <w:sz w:val="20"/>
                <w:szCs w:val="20"/>
              </w:rPr>
            </w:pPr>
            <w:r w:rsidRPr="00294971">
              <w:rPr>
                <w:rFonts w:eastAsia="Calibri" w:cs="Times New Roman"/>
                <w:b/>
                <w:sz w:val="20"/>
                <w:szCs w:val="20"/>
              </w:rPr>
              <w:t>Alliance of Canadian Cinema, Television &amp; Radio Artists et al.</w:t>
            </w:r>
          </w:p>
          <w:p w:rsidR="00803A2A" w:rsidRDefault="00803A2A" w:rsidP="00803A2A">
            <w:pPr>
              <w:widowControl w:val="0"/>
              <w:jc w:val="both"/>
              <w:rPr>
                <w:b/>
                <w:sz w:val="20"/>
                <w:szCs w:val="20"/>
              </w:rPr>
            </w:pPr>
          </w:p>
          <w:p w:rsidR="00803A2A" w:rsidRDefault="00803A2A" w:rsidP="00803A2A">
            <w:pPr>
              <w:widowControl w:val="0"/>
              <w:jc w:val="both"/>
              <w:rPr>
                <w:b/>
                <w:sz w:val="20"/>
                <w:szCs w:val="20"/>
              </w:rPr>
            </w:pPr>
            <w:r>
              <w:rPr>
                <w:b/>
                <w:sz w:val="20"/>
                <w:szCs w:val="20"/>
              </w:rPr>
              <w:tab/>
            </w:r>
            <w:r w:rsidRPr="00294971">
              <w:rPr>
                <w:rFonts w:eastAsia="Calibri" w:cs="Times New Roman"/>
                <w:b/>
                <w:sz w:val="20"/>
                <w:szCs w:val="20"/>
              </w:rPr>
              <w:t xml:space="preserve">v. </w:t>
            </w:r>
            <w:r>
              <w:rPr>
                <w:b/>
                <w:sz w:val="20"/>
                <w:szCs w:val="20"/>
              </w:rPr>
              <w:t>(33884)</w:t>
            </w:r>
          </w:p>
          <w:p w:rsidR="00803A2A" w:rsidRDefault="00803A2A" w:rsidP="00803A2A">
            <w:pPr>
              <w:widowControl w:val="0"/>
              <w:jc w:val="both"/>
              <w:rPr>
                <w:b/>
                <w:sz w:val="20"/>
                <w:szCs w:val="20"/>
              </w:rPr>
            </w:pPr>
          </w:p>
          <w:p w:rsidR="00732DB7" w:rsidRPr="00803A2A" w:rsidRDefault="00803A2A" w:rsidP="00803A2A">
            <w:pPr>
              <w:widowControl w:val="0"/>
              <w:jc w:val="both"/>
              <w:rPr>
                <w:sz w:val="20"/>
                <w:szCs w:val="20"/>
              </w:rPr>
            </w:pPr>
            <w:r w:rsidRPr="00294971">
              <w:rPr>
                <w:rFonts w:eastAsia="Calibri" w:cs="Times New Roman"/>
                <w:b/>
                <w:sz w:val="20"/>
                <w:szCs w:val="20"/>
              </w:rPr>
              <w:t>Bell Alliant Regional Communications, LP et al. (F.C.) (Civil) (By Leave)</w:t>
            </w:r>
          </w:p>
        </w:tc>
        <w:tc>
          <w:tcPr>
            <w:tcW w:w="720" w:type="dxa"/>
            <w:tcMar>
              <w:left w:w="0" w:type="dxa"/>
              <w:right w:w="0" w:type="dxa"/>
            </w:tcMar>
          </w:tcPr>
          <w:p w:rsidR="00732DB7" w:rsidRPr="00803A2A" w:rsidRDefault="00732DB7" w:rsidP="00732DB7">
            <w:pPr>
              <w:widowControl w:val="0"/>
              <w:jc w:val="center"/>
              <w:rPr>
                <w:sz w:val="20"/>
                <w:szCs w:val="20"/>
              </w:rPr>
            </w:pPr>
          </w:p>
        </w:tc>
        <w:tc>
          <w:tcPr>
            <w:tcW w:w="4380" w:type="dxa"/>
            <w:tcMar>
              <w:left w:w="0" w:type="dxa"/>
              <w:right w:w="0" w:type="dxa"/>
            </w:tcMar>
          </w:tcPr>
          <w:p w:rsidR="00845150" w:rsidRPr="00285CF0" w:rsidRDefault="00845150" w:rsidP="00845150">
            <w:pPr>
              <w:jc w:val="both"/>
              <w:rPr>
                <w:sz w:val="20"/>
                <w:szCs w:val="20"/>
              </w:rPr>
            </w:pPr>
            <w:r w:rsidRPr="00285CF0">
              <w:rPr>
                <w:sz w:val="20"/>
                <w:szCs w:val="20"/>
              </w:rPr>
              <w:t>Thomas G. Heintzman, Q.C.</w:t>
            </w:r>
            <w:r>
              <w:rPr>
                <w:sz w:val="20"/>
                <w:szCs w:val="20"/>
              </w:rPr>
              <w:t xml:space="preserve"> and </w:t>
            </w:r>
            <w:r w:rsidRPr="00285CF0">
              <w:rPr>
                <w:sz w:val="20"/>
                <w:szCs w:val="20"/>
              </w:rPr>
              <w:t>Bram D. Abramson</w:t>
            </w:r>
            <w:r>
              <w:rPr>
                <w:sz w:val="20"/>
                <w:szCs w:val="20"/>
              </w:rPr>
              <w:t xml:space="preserve"> f</w:t>
            </w:r>
            <w:r w:rsidRPr="00285CF0">
              <w:rPr>
                <w:sz w:val="20"/>
                <w:szCs w:val="20"/>
              </w:rPr>
              <w:t xml:space="preserve">or the </w:t>
            </w:r>
            <w:r>
              <w:rPr>
                <w:sz w:val="20"/>
                <w:szCs w:val="20"/>
              </w:rPr>
              <w:t>a</w:t>
            </w:r>
            <w:r w:rsidRPr="00285CF0">
              <w:rPr>
                <w:sz w:val="20"/>
                <w:szCs w:val="20"/>
              </w:rPr>
              <w:t>ppellants.</w:t>
            </w:r>
          </w:p>
          <w:p w:rsidR="00845150" w:rsidRPr="00285CF0" w:rsidRDefault="00845150" w:rsidP="00845150">
            <w:pPr>
              <w:jc w:val="both"/>
              <w:rPr>
                <w:sz w:val="20"/>
                <w:szCs w:val="20"/>
              </w:rPr>
            </w:pPr>
          </w:p>
          <w:p w:rsidR="00845150" w:rsidRPr="00285CF0" w:rsidRDefault="00845150" w:rsidP="00845150">
            <w:pPr>
              <w:jc w:val="both"/>
              <w:rPr>
                <w:sz w:val="20"/>
                <w:szCs w:val="20"/>
              </w:rPr>
            </w:pPr>
            <w:r w:rsidRPr="00285CF0">
              <w:rPr>
                <w:sz w:val="20"/>
                <w:szCs w:val="20"/>
              </w:rPr>
              <w:t>John B. Laskin</w:t>
            </w:r>
            <w:r>
              <w:rPr>
                <w:sz w:val="20"/>
                <w:szCs w:val="20"/>
              </w:rPr>
              <w:t xml:space="preserve">, </w:t>
            </w:r>
            <w:r w:rsidRPr="00285CF0">
              <w:rPr>
                <w:sz w:val="20"/>
                <w:szCs w:val="20"/>
              </w:rPr>
              <w:t>Yousuf Aftab</w:t>
            </w:r>
            <w:r>
              <w:rPr>
                <w:sz w:val="20"/>
                <w:szCs w:val="20"/>
              </w:rPr>
              <w:t xml:space="preserve"> and </w:t>
            </w:r>
            <w:r w:rsidRPr="00285CF0">
              <w:rPr>
                <w:sz w:val="20"/>
                <w:szCs w:val="20"/>
              </w:rPr>
              <w:t>Nicole Mantini</w:t>
            </w:r>
            <w:r>
              <w:rPr>
                <w:sz w:val="20"/>
                <w:szCs w:val="20"/>
              </w:rPr>
              <w:t xml:space="preserve"> f</w:t>
            </w:r>
            <w:r w:rsidRPr="00285CF0">
              <w:rPr>
                <w:sz w:val="20"/>
                <w:szCs w:val="20"/>
              </w:rPr>
              <w:t xml:space="preserve">or the </w:t>
            </w:r>
            <w:r>
              <w:rPr>
                <w:sz w:val="20"/>
                <w:szCs w:val="20"/>
              </w:rPr>
              <w:t>r</w:t>
            </w:r>
            <w:r w:rsidRPr="00285CF0">
              <w:rPr>
                <w:sz w:val="20"/>
                <w:szCs w:val="20"/>
              </w:rPr>
              <w:t>espondents</w:t>
            </w:r>
            <w:r>
              <w:rPr>
                <w:sz w:val="20"/>
                <w:szCs w:val="20"/>
              </w:rPr>
              <w:t xml:space="preserve"> </w:t>
            </w:r>
            <w:r w:rsidRPr="00285CF0">
              <w:rPr>
                <w:sz w:val="20"/>
                <w:szCs w:val="20"/>
              </w:rPr>
              <w:t xml:space="preserve">Bell Aliant Regional Communications, </w:t>
            </w:r>
            <w:r>
              <w:rPr>
                <w:sz w:val="20"/>
                <w:szCs w:val="20"/>
              </w:rPr>
              <w:t>Inc.</w:t>
            </w:r>
            <w:r w:rsidRPr="00285CF0">
              <w:rPr>
                <w:sz w:val="20"/>
                <w:szCs w:val="20"/>
              </w:rPr>
              <w:t xml:space="preserve"> et al.</w:t>
            </w:r>
          </w:p>
          <w:p w:rsidR="00845150" w:rsidRPr="00285CF0" w:rsidRDefault="00845150" w:rsidP="00845150">
            <w:pPr>
              <w:jc w:val="both"/>
              <w:rPr>
                <w:sz w:val="20"/>
                <w:szCs w:val="20"/>
              </w:rPr>
            </w:pPr>
          </w:p>
          <w:p w:rsidR="00732DB7" w:rsidRPr="00C50A5C" w:rsidRDefault="00845150" w:rsidP="00845150">
            <w:pPr>
              <w:widowControl w:val="0"/>
              <w:jc w:val="both"/>
              <w:rPr>
                <w:sz w:val="20"/>
                <w:szCs w:val="20"/>
              </w:rPr>
            </w:pPr>
            <w:r w:rsidRPr="00285CF0">
              <w:rPr>
                <w:sz w:val="20"/>
                <w:szCs w:val="20"/>
              </w:rPr>
              <w:t>Nicholas Peter McHaffie</w:t>
            </w:r>
            <w:r>
              <w:rPr>
                <w:sz w:val="20"/>
                <w:szCs w:val="20"/>
              </w:rPr>
              <w:t xml:space="preserve"> and </w:t>
            </w:r>
            <w:r w:rsidRPr="00285CF0">
              <w:rPr>
                <w:sz w:val="20"/>
                <w:szCs w:val="20"/>
              </w:rPr>
              <w:t>Dean Shaikh</w:t>
            </w:r>
            <w:r>
              <w:rPr>
                <w:sz w:val="20"/>
                <w:szCs w:val="20"/>
              </w:rPr>
              <w:t xml:space="preserve"> f</w:t>
            </w:r>
            <w:r w:rsidRPr="00285CF0">
              <w:rPr>
                <w:sz w:val="20"/>
                <w:szCs w:val="20"/>
              </w:rPr>
              <w:t xml:space="preserve">or the </w:t>
            </w:r>
            <w:r>
              <w:rPr>
                <w:sz w:val="20"/>
                <w:szCs w:val="20"/>
              </w:rPr>
              <w:t>r</w:t>
            </w:r>
            <w:r w:rsidRPr="00285CF0">
              <w:rPr>
                <w:sz w:val="20"/>
                <w:szCs w:val="20"/>
              </w:rPr>
              <w:t>espondent</w:t>
            </w:r>
            <w:r>
              <w:rPr>
                <w:sz w:val="20"/>
                <w:szCs w:val="20"/>
              </w:rPr>
              <w:t xml:space="preserve"> </w:t>
            </w:r>
            <w:r w:rsidRPr="00285CF0">
              <w:rPr>
                <w:sz w:val="20"/>
                <w:szCs w:val="20"/>
              </w:rPr>
              <w:t>Shaw Communications Inc.</w:t>
            </w:r>
          </w:p>
        </w:tc>
      </w:tr>
    </w:tbl>
    <w:p w:rsidR="00C1697B" w:rsidRDefault="00C1697B" w:rsidP="00C1697B">
      <w:pPr>
        <w:widowControl w:val="0"/>
      </w:pPr>
    </w:p>
    <w:p w:rsidR="00FA276E" w:rsidRDefault="00FA276E">
      <w:pPr>
        <w:rPr>
          <w:b/>
          <w:sz w:val="20"/>
          <w:szCs w:val="20"/>
        </w:rPr>
      </w:pPr>
      <w:r>
        <w:rPr>
          <w:b/>
          <w:sz w:val="20"/>
          <w:szCs w:val="20"/>
        </w:rPr>
        <w:br w:type="page"/>
      </w:r>
    </w:p>
    <w:p w:rsidR="00C1697B" w:rsidRPr="0085476B" w:rsidRDefault="00C1697B" w:rsidP="00C1697B">
      <w:pPr>
        <w:widowControl w:val="0"/>
        <w:rPr>
          <w:sz w:val="20"/>
          <w:szCs w:val="20"/>
        </w:rPr>
      </w:pPr>
      <w:r w:rsidRPr="0085476B">
        <w:rPr>
          <w:b/>
          <w:sz w:val="20"/>
          <w:szCs w:val="20"/>
        </w:rPr>
        <w:lastRenderedPageBreak/>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tblPr>
      <w:tblGrid>
        <w:gridCol w:w="4380"/>
        <w:gridCol w:w="720"/>
        <w:gridCol w:w="4380"/>
      </w:tblGrid>
      <w:tr w:rsidR="00C1697B" w:rsidRPr="007A0347" w:rsidTr="003E090E">
        <w:trPr>
          <w:cantSplit/>
        </w:trPr>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C1697B" w:rsidRPr="00C1697B" w:rsidRDefault="00881B18" w:rsidP="00C1697B">
            <w:pPr>
              <w:widowControl w:val="0"/>
              <w:jc w:val="both"/>
              <w:rPr>
                <w:b/>
                <w:sz w:val="20"/>
                <w:szCs w:val="20"/>
              </w:rPr>
            </w:pPr>
            <w:r w:rsidRPr="00042B49">
              <w:rPr>
                <w:sz w:val="20"/>
                <w:szCs w:val="20"/>
              </w:rPr>
              <w:t xml:space="preserve">Communications law </w:t>
            </w:r>
            <w:r w:rsidRPr="00042B49">
              <w:rPr>
                <w:sz w:val="20"/>
                <w:szCs w:val="20"/>
              </w:rPr>
              <w:noBreakHyphen/>
              <w:t xml:space="preserve"> Broadcasting </w:t>
            </w:r>
            <w:r w:rsidRPr="00042B49">
              <w:rPr>
                <w:sz w:val="20"/>
                <w:szCs w:val="20"/>
              </w:rPr>
              <w:noBreakHyphen/>
              <w:t xml:space="preserve"> Reference </w:t>
            </w:r>
            <w:r w:rsidRPr="00042B49">
              <w:rPr>
                <w:sz w:val="20"/>
                <w:szCs w:val="20"/>
              </w:rPr>
              <w:noBreakHyphen/>
              <w:t xml:space="preserve"> Whether retail internet service providers (“ISPs”) carry on, in whole or in part, “broadcasting undertakings” subject to the </w:t>
            </w:r>
            <w:r w:rsidRPr="00042B49">
              <w:rPr>
                <w:i/>
                <w:sz w:val="20"/>
                <w:szCs w:val="20"/>
              </w:rPr>
              <w:t>Broadcasting Act</w:t>
            </w:r>
            <w:r w:rsidRPr="00042B49">
              <w:rPr>
                <w:sz w:val="20"/>
                <w:szCs w:val="20"/>
              </w:rPr>
              <w:t xml:space="preserve"> when, in their role as ISPs, they provide access through the Internet to “broadcasting” requested by end</w:t>
            </w:r>
            <w:r w:rsidRPr="00042B49">
              <w:rPr>
                <w:sz w:val="20"/>
                <w:szCs w:val="20"/>
              </w:rPr>
              <w:noBreakHyphen/>
              <w:t xml:space="preserve">users </w:t>
            </w:r>
            <w:r w:rsidRPr="00042B49">
              <w:rPr>
                <w:sz w:val="20"/>
                <w:szCs w:val="20"/>
              </w:rPr>
              <w:noBreakHyphen/>
              <w:t xml:space="preserve"> Whether the Federal Court of Appeal erred in law in its interpretation of the word “transmission” in s. 2 of the </w:t>
            </w:r>
            <w:r w:rsidRPr="00042B49">
              <w:rPr>
                <w:i/>
                <w:sz w:val="20"/>
                <w:szCs w:val="20"/>
              </w:rPr>
              <w:t>Broadcasting Act</w:t>
            </w:r>
            <w:r w:rsidRPr="00042B49">
              <w:rPr>
                <w:sz w:val="20"/>
                <w:szCs w:val="20"/>
              </w:rPr>
              <w:t xml:space="preserve"> </w:t>
            </w:r>
            <w:r w:rsidRPr="00042B49">
              <w:rPr>
                <w:sz w:val="20"/>
                <w:szCs w:val="20"/>
              </w:rPr>
              <w:noBreakHyphen/>
              <w:t xml:space="preserve"> Whether the Federal Court of Appeal erred in holding that retail ISPs do not carry on “broadcasting undertakings” by reason of policy or considerations other than the wording of s. 2 of the </w:t>
            </w:r>
            <w:r w:rsidRPr="00042B49">
              <w:rPr>
                <w:i/>
                <w:sz w:val="20"/>
                <w:szCs w:val="20"/>
              </w:rPr>
              <w:t>Broadcasting Act</w:t>
            </w:r>
            <w:r w:rsidRPr="00042B49">
              <w:rPr>
                <w:sz w:val="20"/>
                <w:szCs w:val="20"/>
              </w:rPr>
              <w:t xml:space="preserve"> </w:t>
            </w:r>
            <w:r w:rsidRPr="00042B49">
              <w:rPr>
                <w:sz w:val="20"/>
                <w:szCs w:val="20"/>
              </w:rPr>
              <w:noBreakHyphen/>
              <w:t xml:space="preserve"> </w:t>
            </w:r>
            <w:r w:rsidRPr="00042B49">
              <w:rPr>
                <w:i/>
                <w:sz w:val="20"/>
                <w:szCs w:val="20"/>
              </w:rPr>
              <w:t>Broadcasting Act</w:t>
            </w:r>
            <w:r w:rsidRPr="00042B49">
              <w:rPr>
                <w:sz w:val="20"/>
                <w:szCs w:val="20"/>
              </w:rPr>
              <w:t>, S.C. 1991, c. 11.</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881B18" w:rsidP="00C1697B">
            <w:pPr>
              <w:widowControl w:val="0"/>
              <w:jc w:val="both"/>
              <w:rPr>
                <w:sz w:val="20"/>
                <w:szCs w:val="20"/>
                <w:lang w:val="fr-CA"/>
              </w:rPr>
            </w:pPr>
            <w:r w:rsidRPr="00395176">
              <w:rPr>
                <w:sz w:val="20"/>
                <w:szCs w:val="20"/>
                <w:lang w:val="fr-CA"/>
              </w:rPr>
              <w:t xml:space="preserve">Droit des communications </w:t>
            </w:r>
            <w:r w:rsidRPr="00395176">
              <w:rPr>
                <w:sz w:val="20"/>
                <w:szCs w:val="20"/>
                <w:lang w:val="fr-CA"/>
              </w:rPr>
              <w:noBreakHyphen/>
              <w:t xml:space="preserve"> Radiodiffusion </w:t>
            </w:r>
            <w:r w:rsidRPr="00395176">
              <w:rPr>
                <w:sz w:val="20"/>
                <w:szCs w:val="20"/>
                <w:lang w:val="fr-CA"/>
              </w:rPr>
              <w:noBreakHyphen/>
              <w:t xml:space="preserve"> Renvoi </w:t>
            </w:r>
            <w:r w:rsidRPr="00395176">
              <w:rPr>
                <w:sz w:val="20"/>
                <w:szCs w:val="20"/>
                <w:lang w:val="fr-CA"/>
              </w:rPr>
              <w:noBreakHyphen/>
              <w:t xml:space="preserve"> Les fournisseurs de services Internet (« FSI ») de détail exploitent</w:t>
            </w:r>
            <w:r w:rsidRPr="00395176">
              <w:rPr>
                <w:sz w:val="20"/>
                <w:szCs w:val="20"/>
                <w:lang w:val="fr-CA"/>
              </w:rPr>
              <w:noBreakHyphen/>
              <w:t xml:space="preserve">ils, en tout ou en partie, des « entreprises de radiodiffusion » assujetties à la </w:t>
            </w:r>
            <w:r w:rsidRPr="00395176">
              <w:rPr>
                <w:i/>
                <w:sz w:val="20"/>
                <w:szCs w:val="20"/>
                <w:lang w:val="fr-CA"/>
              </w:rPr>
              <w:t>Loi sur la radiodiffusion</w:t>
            </w:r>
            <w:r w:rsidRPr="00395176">
              <w:rPr>
                <w:sz w:val="20"/>
                <w:szCs w:val="20"/>
                <w:lang w:val="fr-CA"/>
              </w:rPr>
              <w:t xml:space="preserve">, lorsque, conformément à leur rôle comme FSI, ils fournissent l’accès par Internet à la « radiodiffusion » demandée par les utilisateurs finaux? </w:t>
            </w:r>
            <w:r w:rsidRPr="00395176">
              <w:rPr>
                <w:sz w:val="20"/>
                <w:szCs w:val="20"/>
                <w:lang w:val="fr-CA"/>
              </w:rPr>
              <w:noBreakHyphen/>
              <w:t xml:space="preserve"> La Cour d’appel fédérale a</w:t>
            </w:r>
            <w:r w:rsidRPr="00395176">
              <w:rPr>
                <w:sz w:val="20"/>
                <w:szCs w:val="20"/>
                <w:lang w:val="fr-CA"/>
              </w:rPr>
              <w:noBreakHyphen/>
              <w:t>t</w:t>
            </w:r>
            <w:r w:rsidRPr="00395176">
              <w:rPr>
                <w:sz w:val="20"/>
                <w:szCs w:val="20"/>
                <w:lang w:val="fr-CA"/>
              </w:rPr>
              <w:noBreakHyphen/>
              <w:t xml:space="preserve">elle commis une erreur de droit dans son interprétation de l’art. 2 de la </w:t>
            </w:r>
            <w:r w:rsidRPr="00395176">
              <w:rPr>
                <w:i/>
                <w:sz w:val="20"/>
                <w:szCs w:val="20"/>
                <w:lang w:val="fr-CA"/>
              </w:rPr>
              <w:t>Loi sur la radiodiffusion</w:t>
            </w:r>
            <w:r w:rsidRPr="00395176">
              <w:rPr>
                <w:sz w:val="20"/>
                <w:szCs w:val="20"/>
                <w:lang w:val="fr-CA"/>
              </w:rPr>
              <w:t xml:space="preserve">? </w:t>
            </w:r>
            <w:r w:rsidRPr="00395176">
              <w:rPr>
                <w:sz w:val="20"/>
                <w:szCs w:val="20"/>
                <w:lang w:val="fr-CA"/>
              </w:rPr>
              <w:noBreakHyphen/>
              <w:t xml:space="preserve"> La Cour d’appel fédérale a</w:t>
            </w:r>
            <w:r w:rsidRPr="00395176">
              <w:rPr>
                <w:sz w:val="20"/>
                <w:szCs w:val="20"/>
                <w:lang w:val="fr-CA"/>
              </w:rPr>
              <w:noBreakHyphen/>
              <w:t>t</w:t>
            </w:r>
            <w:r w:rsidRPr="00395176">
              <w:rPr>
                <w:sz w:val="20"/>
                <w:szCs w:val="20"/>
                <w:lang w:val="fr-CA"/>
              </w:rPr>
              <w:noBreakHyphen/>
              <w:t xml:space="preserve">elle eu tort de statuer que les FSI de détail n’exploitent pas des « entreprises de radiodiffusion » en raison de politiques ou de considérations autres que l’article 2 de la </w:t>
            </w:r>
            <w:r w:rsidRPr="00395176">
              <w:rPr>
                <w:i/>
                <w:sz w:val="20"/>
                <w:szCs w:val="20"/>
                <w:lang w:val="fr-CA"/>
              </w:rPr>
              <w:t>Loi sur la radiodiffusion</w:t>
            </w:r>
            <w:r w:rsidRPr="00395176">
              <w:rPr>
                <w:sz w:val="20"/>
                <w:szCs w:val="20"/>
                <w:lang w:val="fr-CA"/>
              </w:rPr>
              <w:t xml:space="preserve">? </w:t>
            </w:r>
            <w:r w:rsidRPr="00395176">
              <w:rPr>
                <w:sz w:val="20"/>
                <w:szCs w:val="20"/>
                <w:lang w:val="fr-CA"/>
              </w:rPr>
              <w:noBreakHyphen/>
              <w:t xml:space="preserve"> </w:t>
            </w:r>
            <w:r w:rsidRPr="00395176">
              <w:rPr>
                <w:i/>
                <w:sz w:val="20"/>
                <w:szCs w:val="20"/>
                <w:lang w:val="fr-CA"/>
              </w:rPr>
              <w:t>Loi sur la radiodiffusion</w:t>
            </w:r>
            <w:r w:rsidRPr="00395176">
              <w:rPr>
                <w:sz w:val="20"/>
                <w:szCs w:val="20"/>
                <w:lang w:val="fr-CA"/>
              </w:rPr>
              <w:t>, L.C. 1991, ch. 11.</w:t>
            </w:r>
          </w:p>
        </w:tc>
      </w:tr>
    </w:tbl>
    <w:p w:rsidR="00732DB7" w:rsidRDefault="00732DB7" w:rsidP="00732DB7">
      <w:pPr>
        <w:widowControl w:val="0"/>
        <w:rPr>
          <w:sz w:val="20"/>
          <w:szCs w:val="20"/>
          <w:lang w:val="fr-CA"/>
        </w:rPr>
      </w:pPr>
    </w:p>
    <w:p w:rsidR="002A27D1" w:rsidRDefault="00BF59B3" w:rsidP="002A27D1">
      <w:pPr>
        <w:widowControl w:val="0"/>
        <w:rPr>
          <w:sz w:val="20"/>
          <w:szCs w:val="20"/>
        </w:rPr>
      </w:pPr>
      <w:r w:rsidRPr="00BF59B3">
        <w:rPr>
          <w:sz w:val="20"/>
          <w:szCs w:val="20"/>
          <w:lang w:val="fr-CA"/>
        </w:rPr>
        <w:pict>
          <v:rect id="_x0000_i1071" style="width:2in;height:1pt" o:hrpct="0" o:hralign="center" o:hrstd="t" o:hrnoshade="t" o:hr="t" fillcolor="black [3213]" stroked="f"/>
        </w:pict>
      </w:r>
    </w:p>
    <w:p w:rsidR="002A27D1" w:rsidRDefault="002A27D1" w:rsidP="002A27D1">
      <w:pPr>
        <w:widowControl w:val="0"/>
        <w:rPr>
          <w:sz w:val="20"/>
          <w:szCs w:val="20"/>
        </w:rPr>
      </w:pPr>
    </w:p>
    <w:p w:rsidR="00845150" w:rsidRPr="006149AA" w:rsidRDefault="00845150" w:rsidP="00845150">
      <w:pPr>
        <w:widowControl w:val="0"/>
        <w:rPr>
          <w:sz w:val="20"/>
          <w:szCs w:val="20"/>
          <w:lang w:val="fr-CA"/>
        </w:rPr>
      </w:pPr>
      <w:r w:rsidRPr="006149AA">
        <w:rPr>
          <w:sz w:val="20"/>
          <w:szCs w:val="20"/>
          <w:lang w:val="fr-CA"/>
        </w:rPr>
        <w:t>17.01.2012</w:t>
      </w:r>
    </w:p>
    <w:p w:rsidR="00845150" w:rsidRPr="006149AA" w:rsidRDefault="00845150" w:rsidP="00845150">
      <w:pPr>
        <w:widowControl w:val="0"/>
        <w:rPr>
          <w:sz w:val="20"/>
          <w:szCs w:val="20"/>
          <w:lang w:val="fr-CA"/>
        </w:rPr>
      </w:pPr>
    </w:p>
    <w:p w:rsidR="00845150" w:rsidRPr="00A74DA6" w:rsidRDefault="00845150" w:rsidP="00845150">
      <w:pPr>
        <w:widowControl w:val="0"/>
        <w:ind w:left="720" w:hanging="720"/>
        <w:rPr>
          <w:rFonts w:eastAsia="Calibri" w:cs="Times New Roman"/>
          <w:sz w:val="20"/>
          <w:szCs w:val="20"/>
          <w:u w:val="single"/>
          <w:lang w:val="fr-CA"/>
        </w:rPr>
      </w:pPr>
      <w:r w:rsidRPr="00A74DA6">
        <w:rPr>
          <w:rFonts w:eastAsia="Calibri" w:cs="Times New Roman"/>
          <w:sz w:val="20"/>
          <w:szCs w:val="20"/>
          <w:lang w:val="fr-CA"/>
        </w:rPr>
        <w:t xml:space="preserve">Coram: </w:t>
      </w:r>
      <w:r w:rsidRPr="00A74DA6">
        <w:rPr>
          <w:rFonts w:eastAsia="Calibri" w:cs="Times New Roman"/>
          <w:sz w:val="20"/>
          <w:szCs w:val="20"/>
          <w:lang w:val="fr-CA"/>
        </w:rPr>
        <w:tab/>
      </w:r>
      <w:r w:rsidRPr="00A74DA6">
        <w:rPr>
          <w:rFonts w:eastAsia="Calibri" w:cs="Times New Roman"/>
          <w:sz w:val="20"/>
          <w:szCs w:val="20"/>
          <w:u w:val="single"/>
          <w:lang w:val="fr-CA"/>
        </w:rPr>
        <w:t>La juge en chef McLachlin et les juges LeBel, Deschamps, Fish, Abella, Rothstein, Cromwell, Moldaver et Karakatsanis</w:t>
      </w:r>
    </w:p>
    <w:p w:rsidR="00845150" w:rsidRPr="006149AA" w:rsidRDefault="00845150" w:rsidP="00845150">
      <w:pPr>
        <w:widowControl w:val="0"/>
        <w:rPr>
          <w:b/>
          <w:sz w:val="20"/>
          <w:szCs w:val="20"/>
          <w:lang w:val="fr-CA"/>
        </w:rPr>
      </w:pPr>
    </w:p>
    <w:tbl>
      <w:tblPr>
        <w:tblW w:w="0" w:type="auto"/>
        <w:tblLayout w:type="fixed"/>
        <w:tblCellMar>
          <w:left w:w="0" w:type="dxa"/>
          <w:right w:w="0" w:type="dxa"/>
        </w:tblCellMar>
        <w:tblLook w:val="0000"/>
      </w:tblPr>
      <w:tblGrid>
        <w:gridCol w:w="4380"/>
        <w:gridCol w:w="720"/>
        <w:gridCol w:w="4380"/>
      </w:tblGrid>
      <w:tr w:rsidR="00845150" w:rsidRPr="002A0A8F" w:rsidTr="00845150">
        <w:tc>
          <w:tcPr>
            <w:tcW w:w="4380" w:type="dxa"/>
            <w:tcMar>
              <w:left w:w="0" w:type="dxa"/>
              <w:right w:w="0" w:type="dxa"/>
            </w:tcMar>
          </w:tcPr>
          <w:p w:rsidR="00845150" w:rsidRPr="006149AA" w:rsidRDefault="00845150" w:rsidP="00845150">
            <w:pPr>
              <w:widowControl w:val="0"/>
              <w:jc w:val="both"/>
              <w:rPr>
                <w:b/>
                <w:sz w:val="20"/>
                <w:szCs w:val="20"/>
                <w:lang w:val="fr-CA"/>
              </w:rPr>
            </w:pPr>
            <w:r w:rsidRPr="00A74DA6">
              <w:rPr>
                <w:rFonts w:eastAsia="Calibri" w:cs="Times New Roman"/>
                <w:b/>
                <w:sz w:val="20"/>
                <w:szCs w:val="20"/>
                <w:lang w:val="fr-CA"/>
              </w:rPr>
              <w:t>Tessier Ltée</w:t>
            </w:r>
          </w:p>
          <w:p w:rsidR="00845150" w:rsidRPr="006149AA" w:rsidRDefault="00845150" w:rsidP="00845150">
            <w:pPr>
              <w:widowControl w:val="0"/>
              <w:jc w:val="both"/>
              <w:rPr>
                <w:b/>
                <w:sz w:val="20"/>
                <w:szCs w:val="20"/>
                <w:lang w:val="fr-CA"/>
              </w:rPr>
            </w:pPr>
          </w:p>
          <w:p w:rsidR="00845150" w:rsidRPr="006149AA" w:rsidRDefault="00845150" w:rsidP="00845150">
            <w:pPr>
              <w:widowControl w:val="0"/>
              <w:jc w:val="both"/>
              <w:rPr>
                <w:b/>
                <w:sz w:val="20"/>
                <w:szCs w:val="20"/>
                <w:lang w:val="fr-CA"/>
              </w:rPr>
            </w:pPr>
            <w:r w:rsidRPr="006149AA">
              <w:rPr>
                <w:b/>
                <w:sz w:val="20"/>
                <w:szCs w:val="20"/>
                <w:lang w:val="fr-CA"/>
              </w:rPr>
              <w:tab/>
              <w:t>c</w:t>
            </w:r>
            <w:r w:rsidRPr="006149AA">
              <w:rPr>
                <w:rFonts w:eastAsia="Calibri" w:cs="Times New Roman"/>
                <w:b/>
                <w:sz w:val="20"/>
                <w:szCs w:val="20"/>
                <w:lang w:val="fr-CA"/>
              </w:rPr>
              <w:t xml:space="preserve">. </w:t>
            </w:r>
            <w:r w:rsidRPr="006149AA">
              <w:rPr>
                <w:b/>
                <w:sz w:val="20"/>
                <w:szCs w:val="20"/>
                <w:lang w:val="fr-CA"/>
              </w:rPr>
              <w:t>(33935)</w:t>
            </w:r>
          </w:p>
          <w:p w:rsidR="00845150" w:rsidRPr="006149AA" w:rsidRDefault="00845150" w:rsidP="00845150">
            <w:pPr>
              <w:widowControl w:val="0"/>
              <w:jc w:val="both"/>
              <w:rPr>
                <w:b/>
                <w:sz w:val="20"/>
                <w:szCs w:val="20"/>
                <w:lang w:val="fr-CA"/>
              </w:rPr>
            </w:pPr>
          </w:p>
          <w:p w:rsidR="00845150" w:rsidRPr="00845150" w:rsidRDefault="00845150" w:rsidP="00845150">
            <w:pPr>
              <w:widowControl w:val="0"/>
              <w:jc w:val="both"/>
              <w:rPr>
                <w:sz w:val="20"/>
                <w:szCs w:val="20"/>
                <w:lang w:val="fr-CA"/>
              </w:rPr>
            </w:pPr>
            <w:r w:rsidRPr="00A74DA6">
              <w:rPr>
                <w:rFonts w:eastAsia="Calibri" w:cs="Times New Roman"/>
                <w:b/>
                <w:sz w:val="20"/>
                <w:szCs w:val="20"/>
                <w:lang w:val="fr-CA"/>
              </w:rPr>
              <w:t>Commission de la santé et de la sécurité du travail (Qc) (Civile) (Autorisation)</w:t>
            </w:r>
          </w:p>
        </w:tc>
        <w:tc>
          <w:tcPr>
            <w:tcW w:w="720" w:type="dxa"/>
            <w:tcMar>
              <w:left w:w="0" w:type="dxa"/>
              <w:right w:w="0" w:type="dxa"/>
            </w:tcMar>
          </w:tcPr>
          <w:p w:rsidR="00845150" w:rsidRPr="00845150" w:rsidRDefault="00845150" w:rsidP="00845150">
            <w:pPr>
              <w:widowControl w:val="0"/>
              <w:jc w:val="center"/>
              <w:rPr>
                <w:sz w:val="20"/>
                <w:szCs w:val="20"/>
                <w:lang w:val="fr-CA"/>
              </w:rPr>
            </w:pPr>
          </w:p>
        </w:tc>
        <w:tc>
          <w:tcPr>
            <w:tcW w:w="4380" w:type="dxa"/>
            <w:tcMar>
              <w:left w:w="0" w:type="dxa"/>
              <w:right w:w="0" w:type="dxa"/>
            </w:tcMar>
          </w:tcPr>
          <w:p w:rsidR="002A0A8F" w:rsidRPr="00BF3B97" w:rsidRDefault="002A0A8F" w:rsidP="002A0A8F">
            <w:pPr>
              <w:jc w:val="both"/>
              <w:rPr>
                <w:sz w:val="20"/>
                <w:szCs w:val="20"/>
                <w:lang w:val="fr-CA"/>
              </w:rPr>
            </w:pPr>
            <w:r w:rsidRPr="00BF3B97">
              <w:rPr>
                <w:sz w:val="20"/>
                <w:szCs w:val="20"/>
                <w:lang w:val="fr-CA"/>
              </w:rPr>
              <w:t>André Asselin</w:t>
            </w:r>
            <w:r>
              <w:rPr>
                <w:sz w:val="20"/>
                <w:szCs w:val="20"/>
                <w:lang w:val="fr-CA"/>
              </w:rPr>
              <w:t xml:space="preserve">, </w:t>
            </w:r>
            <w:r w:rsidRPr="00BF3B97">
              <w:rPr>
                <w:sz w:val="20"/>
                <w:szCs w:val="20"/>
                <w:lang w:val="fr-CA"/>
              </w:rPr>
              <w:t>Sébastien Gobeil</w:t>
            </w:r>
            <w:r>
              <w:rPr>
                <w:sz w:val="20"/>
                <w:szCs w:val="20"/>
                <w:lang w:val="fr-CA"/>
              </w:rPr>
              <w:t xml:space="preserve"> et </w:t>
            </w:r>
            <w:r w:rsidRPr="00BF3B97">
              <w:rPr>
                <w:sz w:val="20"/>
                <w:szCs w:val="20"/>
                <w:lang w:val="fr-CA"/>
              </w:rPr>
              <w:t>Maxime-Arnaud Keable</w:t>
            </w:r>
            <w:r>
              <w:rPr>
                <w:sz w:val="20"/>
                <w:szCs w:val="20"/>
                <w:lang w:val="fr-CA"/>
              </w:rPr>
              <w:t xml:space="preserve"> p</w:t>
            </w:r>
            <w:r w:rsidRPr="00BF3B97">
              <w:rPr>
                <w:sz w:val="20"/>
                <w:szCs w:val="20"/>
                <w:lang w:val="fr-CA"/>
              </w:rPr>
              <w:t>our l’appelante</w:t>
            </w:r>
            <w:r>
              <w:rPr>
                <w:sz w:val="20"/>
                <w:szCs w:val="20"/>
                <w:lang w:val="fr-CA"/>
              </w:rPr>
              <w:t>.</w:t>
            </w:r>
          </w:p>
          <w:p w:rsidR="002A0A8F" w:rsidRPr="00BF3B97" w:rsidRDefault="002A0A8F" w:rsidP="002A0A8F">
            <w:pPr>
              <w:jc w:val="both"/>
              <w:rPr>
                <w:sz w:val="20"/>
                <w:szCs w:val="20"/>
                <w:lang w:val="fr-CA"/>
              </w:rPr>
            </w:pPr>
          </w:p>
          <w:p w:rsidR="002A0A8F" w:rsidRPr="00BF3B97" w:rsidRDefault="002A0A8F" w:rsidP="002A0A8F">
            <w:pPr>
              <w:jc w:val="both"/>
              <w:rPr>
                <w:sz w:val="20"/>
                <w:szCs w:val="20"/>
                <w:lang w:val="fr-CA"/>
              </w:rPr>
            </w:pPr>
            <w:r w:rsidRPr="00BF3B97">
              <w:rPr>
                <w:sz w:val="20"/>
                <w:szCs w:val="20"/>
                <w:lang w:val="fr-CA"/>
              </w:rPr>
              <w:t>Pierre-Michel Lajeunesse</w:t>
            </w:r>
            <w:r>
              <w:rPr>
                <w:sz w:val="20"/>
                <w:szCs w:val="20"/>
                <w:lang w:val="fr-CA"/>
              </w:rPr>
              <w:t xml:space="preserve"> p</w:t>
            </w:r>
            <w:r w:rsidRPr="00BF3B97">
              <w:rPr>
                <w:sz w:val="20"/>
                <w:szCs w:val="20"/>
                <w:lang w:val="fr-CA"/>
              </w:rPr>
              <w:t>our l’intimée.</w:t>
            </w:r>
          </w:p>
          <w:p w:rsidR="002A0A8F" w:rsidRPr="00BF3B97" w:rsidRDefault="002A0A8F" w:rsidP="002A0A8F">
            <w:pPr>
              <w:jc w:val="both"/>
              <w:rPr>
                <w:sz w:val="20"/>
                <w:szCs w:val="20"/>
                <w:lang w:val="fr-CA"/>
              </w:rPr>
            </w:pPr>
          </w:p>
          <w:p w:rsidR="002A0A8F" w:rsidRPr="00BF3B97" w:rsidRDefault="002A0A8F" w:rsidP="002A0A8F">
            <w:pPr>
              <w:jc w:val="both"/>
              <w:rPr>
                <w:sz w:val="20"/>
                <w:szCs w:val="20"/>
                <w:lang w:val="en-US"/>
              </w:rPr>
            </w:pPr>
            <w:r w:rsidRPr="00BF3B97">
              <w:rPr>
                <w:sz w:val="20"/>
                <w:szCs w:val="20"/>
                <w:lang w:val="en-US"/>
              </w:rPr>
              <w:t>Robin K. Basu</w:t>
            </w:r>
            <w:r>
              <w:rPr>
                <w:sz w:val="20"/>
                <w:szCs w:val="20"/>
                <w:lang w:val="en-US"/>
              </w:rPr>
              <w:t xml:space="preserve"> and </w:t>
            </w:r>
            <w:r w:rsidRPr="00BF3B97">
              <w:rPr>
                <w:sz w:val="20"/>
                <w:szCs w:val="20"/>
                <w:lang w:val="en-US"/>
              </w:rPr>
              <w:t>Shannon M. Chace</w:t>
            </w:r>
            <w:r>
              <w:rPr>
                <w:sz w:val="20"/>
                <w:szCs w:val="20"/>
                <w:lang w:val="en-US"/>
              </w:rPr>
              <w:t xml:space="preserve"> f</w:t>
            </w:r>
            <w:r w:rsidRPr="00BF3B97">
              <w:rPr>
                <w:sz w:val="20"/>
                <w:szCs w:val="20"/>
                <w:lang w:val="en-US"/>
              </w:rPr>
              <w:t xml:space="preserve">or the </w:t>
            </w:r>
            <w:r>
              <w:rPr>
                <w:sz w:val="20"/>
                <w:szCs w:val="20"/>
                <w:lang w:val="en-US"/>
              </w:rPr>
              <w:t>i</w:t>
            </w:r>
            <w:r w:rsidRPr="00BF3B97">
              <w:rPr>
                <w:sz w:val="20"/>
                <w:szCs w:val="20"/>
                <w:lang w:val="en-US"/>
              </w:rPr>
              <w:t>ntervener</w:t>
            </w:r>
            <w:r>
              <w:rPr>
                <w:sz w:val="20"/>
                <w:szCs w:val="20"/>
                <w:lang w:val="en-US"/>
              </w:rPr>
              <w:t xml:space="preserve"> </w:t>
            </w:r>
            <w:r w:rsidRPr="00BF3B97">
              <w:rPr>
                <w:sz w:val="20"/>
                <w:szCs w:val="20"/>
                <w:lang w:val="en-US"/>
              </w:rPr>
              <w:t>Attorney General of Ontario</w:t>
            </w:r>
            <w:r>
              <w:rPr>
                <w:sz w:val="20"/>
                <w:szCs w:val="20"/>
                <w:lang w:val="en-US"/>
              </w:rPr>
              <w:t>.</w:t>
            </w:r>
          </w:p>
          <w:p w:rsidR="002A0A8F" w:rsidRPr="00BF3B97" w:rsidRDefault="002A0A8F" w:rsidP="002A0A8F">
            <w:pPr>
              <w:jc w:val="both"/>
              <w:rPr>
                <w:sz w:val="20"/>
                <w:szCs w:val="20"/>
                <w:lang w:val="en-US"/>
              </w:rPr>
            </w:pPr>
          </w:p>
          <w:p w:rsidR="002A0A8F" w:rsidRPr="00BF3B97" w:rsidRDefault="002A0A8F" w:rsidP="002A0A8F">
            <w:pPr>
              <w:jc w:val="both"/>
              <w:rPr>
                <w:sz w:val="20"/>
                <w:szCs w:val="20"/>
                <w:lang w:val="fr-CA"/>
              </w:rPr>
            </w:pPr>
            <w:r w:rsidRPr="00BF3B97">
              <w:rPr>
                <w:sz w:val="20"/>
                <w:szCs w:val="20"/>
                <w:lang w:val="fr-CA"/>
              </w:rPr>
              <w:t>Jean-Vincent Lacroix</w:t>
            </w:r>
            <w:r>
              <w:rPr>
                <w:sz w:val="20"/>
                <w:szCs w:val="20"/>
                <w:lang w:val="fr-CA"/>
              </w:rPr>
              <w:t xml:space="preserve"> po</w:t>
            </w:r>
            <w:r w:rsidRPr="00BF3B97">
              <w:rPr>
                <w:sz w:val="20"/>
                <w:szCs w:val="20"/>
                <w:lang w:val="fr-CA"/>
              </w:rPr>
              <w:t>ur l’intervenant</w:t>
            </w:r>
            <w:r>
              <w:rPr>
                <w:sz w:val="20"/>
                <w:szCs w:val="20"/>
                <w:lang w:val="fr-CA"/>
              </w:rPr>
              <w:t xml:space="preserve"> </w:t>
            </w:r>
            <w:r w:rsidRPr="00BF3B97">
              <w:rPr>
                <w:sz w:val="20"/>
                <w:szCs w:val="20"/>
                <w:lang w:val="fr-CA"/>
              </w:rPr>
              <w:t>Procureur général du Québec</w:t>
            </w:r>
            <w:r>
              <w:rPr>
                <w:sz w:val="20"/>
                <w:szCs w:val="20"/>
                <w:lang w:val="fr-CA"/>
              </w:rPr>
              <w:t>.</w:t>
            </w:r>
          </w:p>
          <w:p w:rsidR="002A0A8F" w:rsidRPr="00BF3B97" w:rsidRDefault="002A0A8F" w:rsidP="002A0A8F">
            <w:pPr>
              <w:jc w:val="both"/>
              <w:rPr>
                <w:sz w:val="20"/>
                <w:szCs w:val="20"/>
                <w:lang w:val="fr-CA"/>
              </w:rPr>
            </w:pPr>
          </w:p>
          <w:p w:rsidR="00845150" w:rsidRPr="002A0A8F" w:rsidRDefault="002A0A8F" w:rsidP="002A0A8F">
            <w:pPr>
              <w:widowControl w:val="0"/>
              <w:jc w:val="both"/>
              <w:rPr>
                <w:sz w:val="20"/>
                <w:szCs w:val="20"/>
              </w:rPr>
            </w:pPr>
            <w:r w:rsidRPr="00BF3B97">
              <w:rPr>
                <w:sz w:val="20"/>
                <w:szCs w:val="20"/>
                <w:lang w:val="en-US"/>
              </w:rPr>
              <w:t>Jonathan Penner</w:t>
            </w:r>
            <w:r>
              <w:rPr>
                <w:sz w:val="20"/>
                <w:szCs w:val="20"/>
                <w:lang w:val="en-US"/>
              </w:rPr>
              <w:t xml:space="preserve"> and </w:t>
            </w:r>
            <w:r w:rsidRPr="00BF3B97">
              <w:rPr>
                <w:sz w:val="20"/>
                <w:szCs w:val="20"/>
                <w:lang w:val="en-US"/>
              </w:rPr>
              <w:t>Freya Zaltz</w:t>
            </w:r>
            <w:r>
              <w:rPr>
                <w:sz w:val="20"/>
                <w:szCs w:val="20"/>
                <w:lang w:val="en-US"/>
              </w:rPr>
              <w:t xml:space="preserve"> f</w:t>
            </w:r>
            <w:r w:rsidRPr="00BF3B97">
              <w:rPr>
                <w:sz w:val="20"/>
                <w:szCs w:val="20"/>
                <w:lang w:val="en-US"/>
              </w:rPr>
              <w:t xml:space="preserve">or the </w:t>
            </w:r>
            <w:r>
              <w:rPr>
                <w:sz w:val="20"/>
                <w:szCs w:val="20"/>
                <w:lang w:val="en-US"/>
              </w:rPr>
              <w:t>i</w:t>
            </w:r>
            <w:r w:rsidRPr="00BF3B97">
              <w:rPr>
                <w:sz w:val="20"/>
                <w:szCs w:val="20"/>
                <w:lang w:val="en-US"/>
              </w:rPr>
              <w:t>ntervener</w:t>
            </w:r>
            <w:r>
              <w:rPr>
                <w:sz w:val="20"/>
                <w:szCs w:val="20"/>
                <w:lang w:val="en-US"/>
              </w:rPr>
              <w:t xml:space="preserve"> </w:t>
            </w:r>
            <w:r w:rsidRPr="00BF3B97">
              <w:rPr>
                <w:sz w:val="20"/>
                <w:szCs w:val="20"/>
                <w:lang w:val="en-US"/>
              </w:rPr>
              <w:t>Attorney General of British Columbia</w:t>
            </w:r>
            <w:r>
              <w:rPr>
                <w:sz w:val="20"/>
                <w:szCs w:val="20"/>
                <w:lang w:val="en-US"/>
              </w:rPr>
              <w:t>.</w:t>
            </w:r>
          </w:p>
        </w:tc>
      </w:tr>
    </w:tbl>
    <w:p w:rsidR="00845150" w:rsidRPr="002A0A8F" w:rsidRDefault="00845150" w:rsidP="00845150">
      <w:pPr>
        <w:widowControl w:val="0"/>
      </w:pPr>
    </w:p>
    <w:p w:rsidR="00845150" w:rsidRDefault="00845150" w:rsidP="00845150">
      <w:pPr>
        <w:widowControl w:val="0"/>
        <w:rPr>
          <w:b/>
          <w:sz w:val="20"/>
          <w:szCs w:val="20"/>
          <w:lang w:val="fr-CA"/>
        </w:rPr>
      </w:pPr>
      <w:r w:rsidRPr="0085476B">
        <w:rPr>
          <w:b/>
          <w:sz w:val="20"/>
          <w:szCs w:val="20"/>
        </w:rPr>
        <w:t xml:space="preserve">RESERVED / </w:t>
      </w:r>
      <w:r w:rsidRPr="0085476B">
        <w:rPr>
          <w:b/>
          <w:sz w:val="20"/>
          <w:szCs w:val="20"/>
          <w:lang w:val="fr-CA"/>
        </w:rPr>
        <w:t>EN DÉLIBÉRÉ</w:t>
      </w:r>
    </w:p>
    <w:p w:rsidR="00FA276E" w:rsidRPr="0085476B" w:rsidRDefault="00FA276E" w:rsidP="00845150">
      <w:pPr>
        <w:widowControl w:val="0"/>
        <w:rPr>
          <w:sz w:val="20"/>
          <w:szCs w:val="20"/>
        </w:rPr>
      </w:pPr>
    </w:p>
    <w:p w:rsidR="00FA276E" w:rsidRDefault="00FA276E">
      <w:r>
        <w:br w:type="page"/>
      </w:r>
    </w:p>
    <w:tbl>
      <w:tblPr>
        <w:tblW w:w="0" w:type="auto"/>
        <w:tblLayout w:type="fixed"/>
        <w:tblCellMar>
          <w:left w:w="0" w:type="dxa"/>
          <w:right w:w="0" w:type="dxa"/>
        </w:tblCellMar>
        <w:tblLook w:val="0000"/>
      </w:tblPr>
      <w:tblGrid>
        <w:gridCol w:w="4380"/>
        <w:gridCol w:w="720"/>
        <w:gridCol w:w="4380"/>
      </w:tblGrid>
      <w:tr w:rsidR="00845150" w:rsidRPr="007A0347" w:rsidTr="00845150">
        <w:tc>
          <w:tcPr>
            <w:tcW w:w="4380" w:type="dxa"/>
            <w:tcMar>
              <w:left w:w="0" w:type="dxa"/>
              <w:right w:w="0" w:type="dxa"/>
            </w:tcMar>
          </w:tcPr>
          <w:p w:rsidR="00FA276E" w:rsidRPr="00CC4D84" w:rsidRDefault="00FA276E" w:rsidP="00FA276E">
            <w:pPr>
              <w:widowControl w:val="0"/>
              <w:jc w:val="both"/>
              <w:rPr>
                <w:b/>
                <w:sz w:val="20"/>
                <w:szCs w:val="20"/>
                <w:u w:val="single"/>
                <w:lang w:val="fr-CA"/>
              </w:rPr>
            </w:pPr>
            <w:r w:rsidRPr="00CC4D84">
              <w:rPr>
                <w:b/>
                <w:sz w:val="20"/>
                <w:szCs w:val="20"/>
                <w:u w:val="single"/>
                <w:lang w:val="fr-CA"/>
              </w:rPr>
              <w:lastRenderedPageBreak/>
              <w:t>Nature de la cause :</w:t>
            </w:r>
          </w:p>
          <w:p w:rsidR="00FA276E" w:rsidRPr="00C1697B" w:rsidRDefault="00FA276E" w:rsidP="00FA276E">
            <w:pPr>
              <w:widowControl w:val="0"/>
              <w:jc w:val="both"/>
              <w:rPr>
                <w:sz w:val="20"/>
                <w:szCs w:val="20"/>
                <w:lang w:val="fr-CA"/>
              </w:rPr>
            </w:pPr>
          </w:p>
          <w:p w:rsidR="00845150" w:rsidRPr="00C1697B" w:rsidRDefault="00FA276E" w:rsidP="00FA276E">
            <w:pPr>
              <w:widowControl w:val="0"/>
              <w:jc w:val="both"/>
              <w:rPr>
                <w:b/>
                <w:sz w:val="20"/>
                <w:szCs w:val="20"/>
              </w:rPr>
            </w:pPr>
            <w:r w:rsidRPr="003D4584">
              <w:rPr>
                <w:sz w:val="20"/>
                <w:szCs w:val="20"/>
                <w:lang w:val="fr-CA"/>
              </w:rPr>
              <w:t xml:space="preserve">Droit constitutionnel </w:t>
            </w:r>
            <w:r w:rsidRPr="003D4584">
              <w:rPr>
                <w:sz w:val="20"/>
                <w:szCs w:val="20"/>
                <w:lang w:val="fr-CA"/>
              </w:rPr>
              <w:noBreakHyphen/>
              <w:t xml:space="preserve"> Partage des compétences </w:t>
            </w:r>
            <w:r w:rsidRPr="003D4584">
              <w:rPr>
                <w:sz w:val="20"/>
                <w:szCs w:val="20"/>
                <w:lang w:val="fr-CA"/>
              </w:rPr>
              <w:noBreakHyphen/>
              <w:t xml:space="preserve"> Relations de travail </w:t>
            </w:r>
            <w:r w:rsidRPr="003D4584">
              <w:rPr>
                <w:sz w:val="20"/>
                <w:szCs w:val="20"/>
                <w:lang w:val="fr-CA"/>
              </w:rPr>
              <w:noBreakHyphen/>
              <w:t xml:space="preserve"> Débardage </w:t>
            </w:r>
            <w:r w:rsidRPr="003D4584">
              <w:rPr>
                <w:sz w:val="20"/>
                <w:szCs w:val="20"/>
                <w:lang w:val="fr-CA"/>
              </w:rPr>
              <w:noBreakHyphen/>
              <w:t xml:space="preserve"> Société exerçant une seule entreprise et offrant de façon normale et habituelle des services de location de grues et de machinerie lourde au Québec ainsi que, dans une moindre mesure, des services de débardage </w:t>
            </w:r>
            <w:r w:rsidRPr="003D4584">
              <w:rPr>
                <w:sz w:val="20"/>
                <w:szCs w:val="20"/>
                <w:lang w:val="fr-CA"/>
              </w:rPr>
              <w:noBreakHyphen/>
              <w:t xml:space="preserve"> L’entreprise devait</w:t>
            </w:r>
            <w:r w:rsidRPr="003D4584">
              <w:rPr>
                <w:sz w:val="20"/>
                <w:szCs w:val="20"/>
                <w:lang w:val="fr-CA"/>
              </w:rPr>
              <w:noBreakHyphen/>
              <w:t xml:space="preserve">elle être qualifiée de fédérale? </w:t>
            </w:r>
            <w:r w:rsidRPr="003D4584">
              <w:rPr>
                <w:sz w:val="20"/>
                <w:szCs w:val="20"/>
                <w:lang w:val="fr-CA"/>
              </w:rPr>
              <w:noBreakHyphen/>
              <w:t xml:space="preserve"> </w:t>
            </w:r>
            <w:r w:rsidRPr="003D4584">
              <w:rPr>
                <w:i/>
                <w:sz w:val="20"/>
                <w:szCs w:val="20"/>
                <w:lang w:val="fr-CA"/>
              </w:rPr>
              <w:t>Loi constitutionnelle de 1867</w:t>
            </w:r>
            <w:r w:rsidRPr="003D4584">
              <w:rPr>
                <w:sz w:val="20"/>
                <w:szCs w:val="20"/>
                <w:lang w:val="fr-CA"/>
              </w:rPr>
              <w:t>, art. 91(1) et 92(10).</w:t>
            </w:r>
          </w:p>
        </w:tc>
        <w:tc>
          <w:tcPr>
            <w:tcW w:w="720" w:type="dxa"/>
            <w:tcMar>
              <w:left w:w="0" w:type="dxa"/>
              <w:right w:w="0" w:type="dxa"/>
            </w:tcMar>
          </w:tcPr>
          <w:p w:rsidR="00845150" w:rsidRPr="00C1697B" w:rsidRDefault="00845150" w:rsidP="00845150">
            <w:pPr>
              <w:widowControl w:val="0"/>
              <w:jc w:val="center"/>
              <w:rPr>
                <w:sz w:val="20"/>
                <w:szCs w:val="20"/>
              </w:rPr>
            </w:pPr>
          </w:p>
        </w:tc>
        <w:tc>
          <w:tcPr>
            <w:tcW w:w="4380" w:type="dxa"/>
            <w:tcMar>
              <w:left w:w="0" w:type="dxa"/>
              <w:right w:w="0" w:type="dxa"/>
            </w:tcMar>
          </w:tcPr>
          <w:p w:rsidR="00FA276E" w:rsidRPr="00CC4D84" w:rsidRDefault="00FA276E" w:rsidP="00FA276E">
            <w:pPr>
              <w:widowControl w:val="0"/>
              <w:jc w:val="both"/>
              <w:rPr>
                <w:b/>
                <w:sz w:val="20"/>
                <w:szCs w:val="20"/>
                <w:u w:val="single"/>
              </w:rPr>
            </w:pPr>
            <w:r w:rsidRPr="00CC4D84">
              <w:rPr>
                <w:b/>
                <w:sz w:val="20"/>
                <w:szCs w:val="20"/>
                <w:u w:val="single"/>
              </w:rPr>
              <w:t>Nature of the case:</w:t>
            </w:r>
          </w:p>
          <w:p w:rsidR="00FA276E" w:rsidRPr="00C1697B" w:rsidRDefault="00FA276E" w:rsidP="00FA276E">
            <w:pPr>
              <w:widowControl w:val="0"/>
              <w:jc w:val="both"/>
              <w:rPr>
                <w:b/>
                <w:sz w:val="20"/>
                <w:szCs w:val="20"/>
              </w:rPr>
            </w:pPr>
          </w:p>
          <w:p w:rsidR="00845150" w:rsidRPr="00FA276E" w:rsidRDefault="00FA276E" w:rsidP="00FA276E">
            <w:pPr>
              <w:widowControl w:val="0"/>
              <w:jc w:val="both"/>
              <w:rPr>
                <w:sz w:val="20"/>
                <w:szCs w:val="20"/>
              </w:rPr>
            </w:pPr>
            <w:r w:rsidRPr="00A521EF">
              <w:rPr>
                <w:sz w:val="20"/>
                <w:szCs w:val="20"/>
              </w:rPr>
              <w:t xml:space="preserve">Constitutional law </w:t>
            </w:r>
            <w:r w:rsidRPr="00A521EF">
              <w:rPr>
                <w:sz w:val="20"/>
                <w:szCs w:val="20"/>
              </w:rPr>
              <w:noBreakHyphen/>
              <w:t xml:space="preserve"> Division of powers </w:t>
            </w:r>
            <w:r w:rsidRPr="00A521EF">
              <w:rPr>
                <w:sz w:val="20"/>
                <w:szCs w:val="20"/>
              </w:rPr>
              <w:noBreakHyphen/>
              <w:t xml:space="preserve"> Labour relations </w:t>
            </w:r>
            <w:r w:rsidRPr="00A521EF">
              <w:rPr>
                <w:sz w:val="20"/>
                <w:szCs w:val="20"/>
              </w:rPr>
              <w:noBreakHyphen/>
              <w:t xml:space="preserve"> Stevedoring </w:t>
            </w:r>
            <w:r w:rsidRPr="00A521EF">
              <w:rPr>
                <w:sz w:val="20"/>
                <w:szCs w:val="20"/>
              </w:rPr>
              <w:noBreakHyphen/>
              <w:t xml:space="preserve"> Company carrying on single undertaking and normally and habitually providing crane and heavy equipment rental services in Quebec and, to lesser extent, stevedoring services </w:t>
            </w:r>
            <w:r w:rsidRPr="00A521EF">
              <w:rPr>
                <w:sz w:val="20"/>
                <w:szCs w:val="20"/>
              </w:rPr>
              <w:noBreakHyphen/>
              <w:t xml:space="preserve"> Whether undertaking should be characterized as federal </w:t>
            </w:r>
            <w:r w:rsidRPr="00A521EF">
              <w:rPr>
                <w:sz w:val="20"/>
                <w:szCs w:val="20"/>
              </w:rPr>
              <w:noBreakHyphen/>
              <w:t xml:space="preserve"> </w:t>
            </w:r>
            <w:r w:rsidRPr="00A521EF">
              <w:rPr>
                <w:i/>
                <w:sz w:val="20"/>
                <w:szCs w:val="20"/>
              </w:rPr>
              <w:t>Constitution Act, 1867</w:t>
            </w:r>
            <w:r w:rsidRPr="00A521EF">
              <w:rPr>
                <w:sz w:val="20"/>
                <w:szCs w:val="20"/>
              </w:rPr>
              <w:t>, ss. 91(10) and 92(10).</w:t>
            </w:r>
          </w:p>
        </w:tc>
      </w:tr>
    </w:tbl>
    <w:p w:rsidR="00845150" w:rsidRPr="00FA276E" w:rsidRDefault="00845150" w:rsidP="00845150">
      <w:pPr>
        <w:widowControl w:val="0"/>
        <w:rPr>
          <w:sz w:val="20"/>
          <w:szCs w:val="20"/>
        </w:rPr>
      </w:pPr>
    </w:p>
    <w:p w:rsidR="00845150" w:rsidRDefault="00BF59B3" w:rsidP="00845150">
      <w:pPr>
        <w:widowControl w:val="0"/>
        <w:rPr>
          <w:sz w:val="20"/>
          <w:szCs w:val="20"/>
        </w:rPr>
      </w:pPr>
      <w:r w:rsidRPr="00BF59B3">
        <w:rPr>
          <w:sz w:val="20"/>
          <w:szCs w:val="20"/>
          <w:lang w:val="fr-CA"/>
        </w:rPr>
        <w:pict>
          <v:rect id="_x0000_i1072" style="width:2in;height:1pt" o:hrpct="0" o:hralign="center" o:hrstd="t" o:hrnoshade="t" o:hr="t" fillcolor="black [3213]" stroked="f"/>
        </w:pict>
      </w:r>
    </w:p>
    <w:p w:rsidR="00845150" w:rsidRDefault="00845150" w:rsidP="00845150">
      <w:pPr>
        <w:widowControl w:val="0"/>
        <w:rPr>
          <w:sz w:val="20"/>
          <w:szCs w:val="20"/>
        </w:rPr>
      </w:pPr>
    </w:p>
    <w:p w:rsidR="002A0A8F" w:rsidRPr="006149AA" w:rsidRDefault="002A0A8F" w:rsidP="002A0A8F">
      <w:pPr>
        <w:widowControl w:val="0"/>
        <w:rPr>
          <w:sz w:val="20"/>
          <w:szCs w:val="20"/>
          <w:lang w:val="fr-CA"/>
        </w:rPr>
      </w:pPr>
      <w:r w:rsidRPr="006149AA">
        <w:rPr>
          <w:sz w:val="20"/>
          <w:szCs w:val="20"/>
          <w:lang w:val="fr-CA"/>
        </w:rPr>
        <w:t>1</w:t>
      </w:r>
      <w:r>
        <w:rPr>
          <w:sz w:val="20"/>
          <w:szCs w:val="20"/>
          <w:lang w:val="fr-CA"/>
        </w:rPr>
        <w:t>8</w:t>
      </w:r>
      <w:r w:rsidRPr="006149AA">
        <w:rPr>
          <w:sz w:val="20"/>
          <w:szCs w:val="20"/>
          <w:lang w:val="fr-CA"/>
        </w:rPr>
        <w:t>.01.2012</w:t>
      </w:r>
    </w:p>
    <w:p w:rsidR="002A0A8F" w:rsidRDefault="002A0A8F" w:rsidP="002A0A8F">
      <w:pPr>
        <w:widowControl w:val="0"/>
        <w:rPr>
          <w:sz w:val="20"/>
          <w:szCs w:val="20"/>
          <w:lang w:val="fr-CA"/>
        </w:rPr>
      </w:pPr>
    </w:p>
    <w:p w:rsidR="00C95D4A" w:rsidRPr="00FA76ED" w:rsidRDefault="00C95D4A" w:rsidP="00C95D4A">
      <w:pPr>
        <w:widowControl w:val="0"/>
        <w:ind w:left="720" w:hanging="720"/>
        <w:rPr>
          <w:sz w:val="20"/>
          <w:szCs w:val="20"/>
          <w:u w:val="single"/>
          <w:lang w:val="fr-CA"/>
        </w:rPr>
      </w:pPr>
      <w:r w:rsidRPr="00FA76ED">
        <w:rPr>
          <w:sz w:val="20"/>
          <w:szCs w:val="20"/>
          <w:lang w:val="fr-CA"/>
        </w:rPr>
        <w:t xml:space="preserve">Coram: </w:t>
      </w:r>
      <w:r w:rsidRPr="00FA76ED">
        <w:rPr>
          <w:sz w:val="20"/>
          <w:szCs w:val="20"/>
          <w:lang w:val="fr-CA"/>
        </w:rPr>
        <w:tab/>
      </w:r>
      <w:r w:rsidRPr="00FA76ED">
        <w:rPr>
          <w:sz w:val="20"/>
          <w:szCs w:val="20"/>
          <w:u w:val="single"/>
          <w:lang w:val="fr-CA"/>
        </w:rPr>
        <w:t>La juge en chef McLachlin et les juges LeBel, Deschamps, Fish, Abella, Rothstein, Cromwell, Moldaver et Karakatsanis</w:t>
      </w:r>
    </w:p>
    <w:p w:rsidR="002A0A8F" w:rsidRPr="006149AA" w:rsidRDefault="002A0A8F" w:rsidP="002A0A8F">
      <w:pPr>
        <w:widowControl w:val="0"/>
        <w:rPr>
          <w:b/>
          <w:sz w:val="20"/>
          <w:szCs w:val="20"/>
          <w:lang w:val="fr-CA"/>
        </w:rPr>
      </w:pPr>
    </w:p>
    <w:tbl>
      <w:tblPr>
        <w:tblW w:w="0" w:type="auto"/>
        <w:tblLayout w:type="fixed"/>
        <w:tblCellMar>
          <w:left w:w="0" w:type="dxa"/>
          <w:right w:w="0" w:type="dxa"/>
        </w:tblCellMar>
        <w:tblLook w:val="0000"/>
      </w:tblPr>
      <w:tblGrid>
        <w:gridCol w:w="4380"/>
        <w:gridCol w:w="720"/>
        <w:gridCol w:w="4380"/>
      </w:tblGrid>
      <w:tr w:rsidR="002A0A8F" w:rsidRPr="00D97717" w:rsidTr="006E63EA">
        <w:tc>
          <w:tcPr>
            <w:tcW w:w="4380" w:type="dxa"/>
            <w:tcMar>
              <w:left w:w="0" w:type="dxa"/>
              <w:right w:w="0" w:type="dxa"/>
            </w:tcMar>
          </w:tcPr>
          <w:p w:rsidR="002A0A8F" w:rsidRPr="006149AA" w:rsidRDefault="002A0A8F" w:rsidP="006E63EA">
            <w:pPr>
              <w:widowControl w:val="0"/>
              <w:jc w:val="both"/>
              <w:rPr>
                <w:b/>
                <w:sz w:val="20"/>
                <w:szCs w:val="20"/>
                <w:lang w:val="fr-CA"/>
              </w:rPr>
            </w:pPr>
            <w:r>
              <w:rPr>
                <w:rFonts w:eastAsia="Calibri" w:cs="Times New Roman"/>
                <w:b/>
                <w:sz w:val="20"/>
                <w:szCs w:val="20"/>
                <w:lang w:val="fr-CA"/>
              </w:rPr>
              <w:t>Procureur général du Québec et autres</w:t>
            </w:r>
          </w:p>
          <w:p w:rsidR="002A0A8F" w:rsidRPr="006149AA" w:rsidRDefault="002A0A8F" w:rsidP="006E63EA">
            <w:pPr>
              <w:widowControl w:val="0"/>
              <w:jc w:val="both"/>
              <w:rPr>
                <w:b/>
                <w:sz w:val="20"/>
                <w:szCs w:val="20"/>
                <w:lang w:val="fr-CA"/>
              </w:rPr>
            </w:pPr>
          </w:p>
          <w:p w:rsidR="002A0A8F" w:rsidRPr="006149AA" w:rsidRDefault="002A0A8F" w:rsidP="006E63EA">
            <w:pPr>
              <w:widowControl w:val="0"/>
              <w:jc w:val="both"/>
              <w:rPr>
                <w:b/>
                <w:sz w:val="20"/>
                <w:szCs w:val="20"/>
                <w:lang w:val="fr-CA"/>
              </w:rPr>
            </w:pPr>
            <w:r w:rsidRPr="006149AA">
              <w:rPr>
                <w:b/>
                <w:sz w:val="20"/>
                <w:szCs w:val="20"/>
                <w:lang w:val="fr-CA"/>
              </w:rPr>
              <w:tab/>
              <w:t>c</w:t>
            </w:r>
            <w:r w:rsidRPr="006149AA">
              <w:rPr>
                <w:rFonts w:eastAsia="Calibri" w:cs="Times New Roman"/>
                <w:b/>
                <w:sz w:val="20"/>
                <w:szCs w:val="20"/>
                <w:lang w:val="fr-CA"/>
              </w:rPr>
              <w:t xml:space="preserve">. </w:t>
            </w:r>
            <w:r w:rsidRPr="006149AA">
              <w:rPr>
                <w:b/>
                <w:sz w:val="20"/>
                <w:szCs w:val="20"/>
                <w:lang w:val="fr-CA"/>
              </w:rPr>
              <w:t>(339</w:t>
            </w:r>
            <w:r>
              <w:rPr>
                <w:b/>
                <w:sz w:val="20"/>
                <w:szCs w:val="20"/>
                <w:lang w:val="fr-CA"/>
              </w:rPr>
              <w:t>90</w:t>
            </w:r>
            <w:r w:rsidRPr="006149AA">
              <w:rPr>
                <w:b/>
                <w:sz w:val="20"/>
                <w:szCs w:val="20"/>
                <w:lang w:val="fr-CA"/>
              </w:rPr>
              <w:t>)</w:t>
            </w:r>
          </w:p>
          <w:p w:rsidR="002A0A8F" w:rsidRPr="006149AA" w:rsidRDefault="002A0A8F" w:rsidP="006E63EA">
            <w:pPr>
              <w:widowControl w:val="0"/>
              <w:jc w:val="both"/>
              <w:rPr>
                <w:b/>
                <w:sz w:val="20"/>
                <w:szCs w:val="20"/>
                <w:lang w:val="fr-CA"/>
              </w:rPr>
            </w:pPr>
          </w:p>
          <w:p w:rsidR="002A0A8F" w:rsidRPr="00845150" w:rsidRDefault="002A0A8F" w:rsidP="002A0A8F">
            <w:pPr>
              <w:widowControl w:val="0"/>
              <w:jc w:val="both"/>
              <w:rPr>
                <w:sz w:val="20"/>
                <w:szCs w:val="20"/>
                <w:lang w:val="fr-CA"/>
              </w:rPr>
            </w:pPr>
            <w:r>
              <w:rPr>
                <w:rFonts w:eastAsia="Calibri" w:cs="Times New Roman"/>
                <w:b/>
                <w:sz w:val="20"/>
                <w:szCs w:val="20"/>
                <w:lang w:val="fr-CA"/>
              </w:rPr>
              <w:t xml:space="preserve">A et autres </w:t>
            </w:r>
            <w:r w:rsidRPr="00A74DA6">
              <w:rPr>
                <w:rFonts w:eastAsia="Calibri" w:cs="Times New Roman"/>
                <w:b/>
                <w:sz w:val="20"/>
                <w:szCs w:val="20"/>
                <w:lang w:val="fr-CA"/>
              </w:rPr>
              <w:t>(Qc) (Civile) (Autorisation)</w:t>
            </w:r>
          </w:p>
        </w:tc>
        <w:tc>
          <w:tcPr>
            <w:tcW w:w="720" w:type="dxa"/>
            <w:tcMar>
              <w:left w:w="0" w:type="dxa"/>
              <w:right w:w="0" w:type="dxa"/>
            </w:tcMar>
          </w:tcPr>
          <w:p w:rsidR="002A0A8F" w:rsidRPr="00845150" w:rsidRDefault="002A0A8F" w:rsidP="006E63EA">
            <w:pPr>
              <w:widowControl w:val="0"/>
              <w:jc w:val="center"/>
              <w:rPr>
                <w:sz w:val="20"/>
                <w:szCs w:val="20"/>
                <w:lang w:val="fr-CA"/>
              </w:rPr>
            </w:pPr>
          </w:p>
        </w:tc>
        <w:tc>
          <w:tcPr>
            <w:tcW w:w="4380" w:type="dxa"/>
            <w:tcMar>
              <w:left w:w="0" w:type="dxa"/>
              <w:right w:w="0" w:type="dxa"/>
            </w:tcMar>
          </w:tcPr>
          <w:p w:rsidR="00D97717" w:rsidRPr="00A75759" w:rsidRDefault="00D97717" w:rsidP="00D97717">
            <w:pPr>
              <w:tabs>
                <w:tab w:val="left" w:pos="-2970"/>
              </w:tabs>
              <w:jc w:val="both"/>
              <w:rPr>
                <w:sz w:val="20"/>
                <w:szCs w:val="20"/>
                <w:lang w:val="fr-CA"/>
              </w:rPr>
            </w:pPr>
            <w:r w:rsidRPr="00A75759">
              <w:rPr>
                <w:sz w:val="20"/>
                <w:szCs w:val="20"/>
                <w:lang w:val="fr-CA"/>
              </w:rPr>
              <w:t>Benoît Belleau</w:t>
            </w:r>
            <w:r>
              <w:rPr>
                <w:sz w:val="20"/>
                <w:szCs w:val="20"/>
                <w:lang w:val="fr-CA"/>
              </w:rPr>
              <w:t xml:space="preserve"> et </w:t>
            </w:r>
            <w:r w:rsidRPr="00A75759">
              <w:rPr>
                <w:sz w:val="20"/>
                <w:szCs w:val="20"/>
                <w:lang w:val="fr-CA"/>
              </w:rPr>
              <w:t>Hugo Jean</w:t>
            </w:r>
            <w:r>
              <w:rPr>
                <w:sz w:val="20"/>
                <w:szCs w:val="20"/>
                <w:lang w:val="fr-CA"/>
              </w:rPr>
              <w:t xml:space="preserve"> p</w:t>
            </w:r>
            <w:r w:rsidRPr="00A75759">
              <w:rPr>
                <w:sz w:val="20"/>
                <w:szCs w:val="20"/>
                <w:lang w:val="fr-CA"/>
              </w:rPr>
              <w:t>our l’appelant</w:t>
            </w:r>
            <w:r>
              <w:rPr>
                <w:sz w:val="20"/>
                <w:szCs w:val="20"/>
                <w:lang w:val="fr-CA"/>
              </w:rPr>
              <w:t xml:space="preserve"> </w:t>
            </w:r>
            <w:r w:rsidRPr="00A75759">
              <w:rPr>
                <w:sz w:val="20"/>
                <w:szCs w:val="20"/>
                <w:lang w:val="fr-CA"/>
              </w:rPr>
              <w:t>Procureur général du Québec</w:t>
            </w:r>
            <w:r>
              <w:rPr>
                <w:sz w:val="20"/>
                <w:szCs w:val="20"/>
                <w:lang w:val="fr-CA"/>
              </w:rPr>
              <w:t>.</w:t>
            </w:r>
          </w:p>
          <w:p w:rsidR="00D97717" w:rsidRPr="00A75759" w:rsidRDefault="00D97717" w:rsidP="00D97717">
            <w:pPr>
              <w:tabs>
                <w:tab w:val="left" w:pos="-2970"/>
              </w:tabs>
              <w:jc w:val="both"/>
              <w:rPr>
                <w:sz w:val="20"/>
                <w:szCs w:val="20"/>
                <w:lang w:val="fr-CA"/>
              </w:rPr>
            </w:pPr>
          </w:p>
          <w:p w:rsidR="00D97717" w:rsidRDefault="00D97717" w:rsidP="00D97717">
            <w:pPr>
              <w:tabs>
                <w:tab w:val="left" w:pos="-2970"/>
              </w:tabs>
              <w:jc w:val="both"/>
              <w:rPr>
                <w:sz w:val="20"/>
                <w:szCs w:val="20"/>
                <w:lang w:val="fr-CA"/>
              </w:rPr>
            </w:pPr>
            <w:r w:rsidRPr="00A75759">
              <w:rPr>
                <w:sz w:val="20"/>
                <w:szCs w:val="20"/>
                <w:lang w:val="fr-CA"/>
              </w:rPr>
              <w:t>Pierre Bienvenu</w:t>
            </w:r>
            <w:r>
              <w:rPr>
                <w:sz w:val="20"/>
                <w:szCs w:val="20"/>
                <w:lang w:val="fr-CA"/>
              </w:rPr>
              <w:t xml:space="preserve">, </w:t>
            </w:r>
            <w:r w:rsidRPr="00A75759">
              <w:rPr>
                <w:sz w:val="20"/>
                <w:szCs w:val="20"/>
                <w:lang w:val="fr-CA"/>
              </w:rPr>
              <w:t>Suzanne Pringle</w:t>
            </w:r>
            <w:r>
              <w:rPr>
                <w:sz w:val="20"/>
                <w:szCs w:val="20"/>
                <w:lang w:val="fr-CA"/>
              </w:rPr>
              <w:t xml:space="preserve">, </w:t>
            </w:r>
            <w:r w:rsidRPr="00A75759">
              <w:rPr>
                <w:sz w:val="20"/>
                <w:szCs w:val="20"/>
                <w:lang w:val="fr-CA"/>
              </w:rPr>
              <w:t>Catherine Martel</w:t>
            </w:r>
            <w:r>
              <w:rPr>
                <w:sz w:val="20"/>
                <w:szCs w:val="20"/>
                <w:lang w:val="fr-CA"/>
              </w:rPr>
              <w:t xml:space="preserve"> et </w:t>
            </w:r>
            <w:r w:rsidRPr="00A75759">
              <w:rPr>
                <w:sz w:val="20"/>
                <w:szCs w:val="20"/>
                <w:lang w:val="fr-CA"/>
              </w:rPr>
              <w:t>Azim Hussain</w:t>
            </w:r>
            <w:r>
              <w:rPr>
                <w:sz w:val="20"/>
                <w:szCs w:val="20"/>
                <w:lang w:val="fr-CA"/>
              </w:rPr>
              <w:t xml:space="preserve"> p</w:t>
            </w:r>
            <w:r w:rsidRPr="00A75759">
              <w:rPr>
                <w:sz w:val="20"/>
                <w:szCs w:val="20"/>
                <w:lang w:val="fr-CA"/>
              </w:rPr>
              <w:t>our l’appelant/intimé</w:t>
            </w:r>
            <w:r>
              <w:rPr>
                <w:sz w:val="20"/>
                <w:szCs w:val="20"/>
                <w:lang w:val="fr-CA"/>
              </w:rPr>
              <w:t xml:space="preserve"> </w:t>
            </w:r>
            <w:r w:rsidRPr="00A75759">
              <w:rPr>
                <w:sz w:val="20"/>
                <w:szCs w:val="20"/>
                <w:lang w:val="fr-CA"/>
              </w:rPr>
              <w:t>B</w:t>
            </w:r>
            <w:r>
              <w:rPr>
                <w:sz w:val="20"/>
                <w:szCs w:val="20"/>
                <w:lang w:val="fr-CA"/>
              </w:rPr>
              <w:t>.</w:t>
            </w:r>
          </w:p>
          <w:p w:rsidR="00D97717" w:rsidRPr="00A75759" w:rsidRDefault="00D97717" w:rsidP="00D97717">
            <w:pPr>
              <w:tabs>
                <w:tab w:val="left" w:pos="-2970"/>
              </w:tabs>
              <w:jc w:val="both"/>
              <w:rPr>
                <w:sz w:val="20"/>
                <w:szCs w:val="20"/>
                <w:lang w:val="fr-CA"/>
              </w:rPr>
            </w:pPr>
          </w:p>
          <w:p w:rsidR="00D97717" w:rsidRPr="00A75759" w:rsidRDefault="00D97717" w:rsidP="00D97717">
            <w:pPr>
              <w:tabs>
                <w:tab w:val="left" w:pos="-2970"/>
              </w:tabs>
              <w:jc w:val="both"/>
              <w:rPr>
                <w:sz w:val="20"/>
                <w:szCs w:val="20"/>
                <w:lang w:val="fr-CA"/>
              </w:rPr>
            </w:pPr>
            <w:r w:rsidRPr="00A75759">
              <w:rPr>
                <w:sz w:val="20"/>
                <w:szCs w:val="20"/>
                <w:lang w:val="fr-CA"/>
              </w:rPr>
              <w:t>Gaétan Migneault</w:t>
            </w:r>
            <w:r>
              <w:rPr>
                <w:sz w:val="20"/>
                <w:szCs w:val="20"/>
                <w:lang w:val="fr-CA"/>
              </w:rPr>
              <w:t xml:space="preserve"> p</w:t>
            </w:r>
            <w:r w:rsidRPr="00A75759">
              <w:rPr>
                <w:sz w:val="20"/>
                <w:szCs w:val="20"/>
                <w:lang w:val="fr-CA"/>
              </w:rPr>
              <w:t>our l’intervenant</w:t>
            </w:r>
            <w:r>
              <w:rPr>
                <w:sz w:val="20"/>
                <w:szCs w:val="20"/>
                <w:lang w:val="fr-CA"/>
              </w:rPr>
              <w:t xml:space="preserve"> </w:t>
            </w:r>
            <w:r w:rsidRPr="00A75759">
              <w:rPr>
                <w:sz w:val="20"/>
                <w:szCs w:val="20"/>
                <w:lang w:val="fr-CA"/>
              </w:rPr>
              <w:t>Procureur général du Nouveau-Brunswick</w:t>
            </w:r>
            <w:r>
              <w:rPr>
                <w:sz w:val="20"/>
                <w:szCs w:val="20"/>
                <w:lang w:val="fr-CA"/>
              </w:rPr>
              <w:t>.</w:t>
            </w:r>
          </w:p>
          <w:p w:rsidR="00D97717" w:rsidRPr="00A75759" w:rsidRDefault="00D97717" w:rsidP="00D97717">
            <w:pPr>
              <w:tabs>
                <w:tab w:val="left" w:pos="-2970"/>
              </w:tabs>
              <w:jc w:val="both"/>
              <w:rPr>
                <w:sz w:val="20"/>
                <w:szCs w:val="20"/>
                <w:lang w:val="fr-CA"/>
              </w:rPr>
            </w:pPr>
          </w:p>
          <w:p w:rsidR="00D97717" w:rsidRPr="00A75759" w:rsidRDefault="00D97717" w:rsidP="00D97717">
            <w:pPr>
              <w:tabs>
                <w:tab w:val="left" w:pos="-2970"/>
              </w:tabs>
              <w:jc w:val="both"/>
              <w:rPr>
                <w:sz w:val="20"/>
                <w:szCs w:val="20"/>
                <w:lang w:val="en-US"/>
              </w:rPr>
            </w:pPr>
            <w:r w:rsidRPr="00A75759">
              <w:rPr>
                <w:sz w:val="20"/>
                <w:szCs w:val="20"/>
                <w:lang w:val="en-US"/>
              </w:rPr>
              <w:t>Robert J. Normey</w:t>
            </w:r>
            <w:r>
              <w:rPr>
                <w:sz w:val="20"/>
                <w:szCs w:val="20"/>
                <w:lang w:val="en-US"/>
              </w:rPr>
              <w:t xml:space="preserve"> f</w:t>
            </w:r>
            <w:r w:rsidRPr="00A75759">
              <w:rPr>
                <w:sz w:val="20"/>
                <w:szCs w:val="20"/>
                <w:lang w:val="en-US"/>
              </w:rPr>
              <w:t xml:space="preserve">or the </w:t>
            </w:r>
            <w:r>
              <w:rPr>
                <w:sz w:val="20"/>
                <w:szCs w:val="20"/>
                <w:lang w:val="en-US"/>
              </w:rPr>
              <w:t>i</w:t>
            </w:r>
            <w:r w:rsidRPr="00A75759">
              <w:rPr>
                <w:sz w:val="20"/>
                <w:szCs w:val="20"/>
                <w:lang w:val="en-US"/>
              </w:rPr>
              <w:t>ntervener</w:t>
            </w:r>
            <w:r>
              <w:rPr>
                <w:sz w:val="20"/>
                <w:szCs w:val="20"/>
                <w:lang w:val="en-US"/>
              </w:rPr>
              <w:t xml:space="preserve"> </w:t>
            </w:r>
            <w:r w:rsidRPr="00A75759">
              <w:rPr>
                <w:sz w:val="20"/>
                <w:szCs w:val="20"/>
                <w:lang w:val="en-US"/>
              </w:rPr>
              <w:t>Attorney General of Alberta</w:t>
            </w:r>
            <w:r>
              <w:rPr>
                <w:sz w:val="20"/>
                <w:szCs w:val="20"/>
                <w:lang w:val="en-US"/>
              </w:rPr>
              <w:t>.</w:t>
            </w:r>
          </w:p>
          <w:p w:rsidR="00D97717" w:rsidRPr="00A75759" w:rsidRDefault="00D97717" w:rsidP="00D97717">
            <w:pPr>
              <w:tabs>
                <w:tab w:val="left" w:pos="-2970"/>
              </w:tabs>
              <w:jc w:val="both"/>
              <w:rPr>
                <w:sz w:val="20"/>
                <w:szCs w:val="20"/>
                <w:lang w:val="en-US"/>
              </w:rPr>
            </w:pPr>
          </w:p>
          <w:p w:rsidR="00D97717" w:rsidRDefault="00D97717" w:rsidP="00D97717">
            <w:pPr>
              <w:tabs>
                <w:tab w:val="left" w:pos="-2970"/>
              </w:tabs>
              <w:jc w:val="both"/>
              <w:rPr>
                <w:sz w:val="20"/>
                <w:szCs w:val="20"/>
                <w:lang w:val="fr-CA"/>
              </w:rPr>
            </w:pPr>
            <w:r w:rsidRPr="00A75759">
              <w:rPr>
                <w:sz w:val="20"/>
                <w:szCs w:val="20"/>
                <w:lang w:val="fr-CA"/>
              </w:rPr>
              <w:t>Guy J. Pratte</w:t>
            </w:r>
            <w:r>
              <w:rPr>
                <w:sz w:val="20"/>
                <w:szCs w:val="20"/>
                <w:lang w:val="fr-CA"/>
              </w:rPr>
              <w:t xml:space="preserve"> et</w:t>
            </w:r>
            <w:r w:rsidRPr="00A75759">
              <w:rPr>
                <w:sz w:val="20"/>
                <w:szCs w:val="20"/>
                <w:lang w:val="fr-CA"/>
              </w:rPr>
              <w:t xml:space="preserve"> Mark Phillips</w:t>
            </w:r>
            <w:r>
              <w:rPr>
                <w:sz w:val="20"/>
                <w:szCs w:val="20"/>
                <w:lang w:val="fr-CA"/>
              </w:rPr>
              <w:t xml:space="preserve"> p</w:t>
            </w:r>
            <w:r w:rsidRPr="00A75759">
              <w:rPr>
                <w:sz w:val="20"/>
                <w:szCs w:val="20"/>
                <w:lang w:val="fr-CA"/>
              </w:rPr>
              <w:t>our l’intimée/appelante A</w:t>
            </w:r>
            <w:r>
              <w:rPr>
                <w:sz w:val="20"/>
                <w:szCs w:val="20"/>
                <w:lang w:val="fr-CA"/>
              </w:rPr>
              <w:t>.</w:t>
            </w:r>
          </w:p>
          <w:p w:rsidR="00D97717" w:rsidRDefault="00D97717" w:rsidP="00D97717">
            <w:pPr>
              <w:tabs>
                <w:tab w:val="left" w:pos="-2970"/>
              </w:tabs>
              <w:jc w:val="both"/>
              <w:rPr>
                <w:sz w:val="20"/>
                <w:szCs w:val="20"/>
                <w:lang w:val="fr-CA"/>
              </w:rPr>
            </w:pPr>
          </w:p>
          <w:p w:rsidR="00D97717" w:rsidRPr="00A75759" w:rsidRDefault="00D97717" w:rsidP="00D97717">
            <w:pPr>
              <w:tabs>
                <w:tab w:val="left" w:pos="-2970"/>
              </w:tabs>
              <w:jc w:val="both"/>
              <w:rPr>
                <w:sz w:val="20"/>
                <w:szCs w:val="20"/>
                <w:lang w:val="fr-CA"/>
              </w:rPr>
            </w:pPr>
            <w:r w:rsidRPr="00A75759">
              <w:rPr>
                <w:sz w:val="20"/>
                <w:szCs w:val="20"/>
                <w:lang w:val="fr-CA"/>
              </w:rPr>
              <w:t>Jocelyn Verdon</w:t>
            </w:r>
            <w:r>
              <w:rPr>
                <w:sz w:val="20"/>
                <w:szCs w:val="20"/>
                <w:lang w:val="fr-CA"/>
              </w:rPr>
              <w:t xml:space="preserve">, </w:t>
            </w:r>
            <w:r w:rsidRPr="00A75759">
              <w:rPr>
                <w:sz w:val="20"/>
                <w:szCs w:val="20"/>
                <w:lang w:val="fr-CA"/>
              </w:rPr>
              <w:t>Dominique Goubau</w:t>
            </w:r>
            <w:r>
              <w:rPr>
                <w:sz w:val="20"/>
                <w:szCs w:val="20"/>
                <w:lang w:val="fr-CA"/>
              </w:rPr>
              <w:t xml:space="preserve"> et </w:t>
            </w:r>
            <w:r w:rsidRPr="00A75759">
              <w:rPr>
                <w:sz w:val="20"/>
                <w:szCs w:val="20"/>
                <w:lang w:val="fr-CA"/>
              </w:rPr>
              <w:t>Mireille Pélissier-Simard</w:t>
            </w:r>
            <w:r>
              <w:rPr>
                <w:sz w:val="20"/>
                <w:szCs w:val="20"/>
                <w:lang w:val="fr-CA"/>
              </w:rPr>
              <w:t xml:space="preserve"> p</w:t>
            </w:r>
            <w:r w:rsidRPr="00A75759">
              <w:rPr>
                <w:sz w:val="20"/>
                <w:szCs w:val="20"/>
                <w:lang w:val="fr-CA"/>
              </w:rPr>
              <w:t>our l’intervenante</w:t>
            </w:r>
            <w:r>
              <w:rPr>
                <w:sz w:val="20"/>
                <w:szCs w:val="20"/>
                <w:lang w:val="fr-CA"/>
              </w:rPr>
              <w:t xml:space="preserve"> </w:t>
            </w:r>
            <w:r w:rsidRPr="00A75759">
              <w:rPr>
                <w:sz w:val="20"/>
                <w:szCs w:val="20"/>
                <w:lang w:val="fr-CA"/>
              </w:rPr>
              <w:t>Fédération des associations de familles monoparentales et recomposées du Québec</w:t>
            </w:r>
            <w:r>
              <w:rPr>
                <w:sz w:val="20"/>
                <w:szCs w:val="20"/>
                <w:lang w:val="fr-CA"/>
              </w:rPr>
              <w:t>.</w:t>
            </w:r>
          </w:p>
          <w:p w:rsidR="00D97717" w:rsidRPr="00A75759" w:rsidRDefault="00D97717" w:rsidP="00D97717">
            <w:pPr>
              <w:tabs>
                <w:tab w:val="left" w:pos="-2970"/>
              </w:tabs>
              <w:jc w:val="both"/>
              <w:rPr>
                <w:sz w:val="20"/>
                <w:szCs w:val="20"/>
                <w:lang w:val="fr-CA"/>
              </w:rPr>
            </w:pPr>
          </w:p>
          <w:p w:rsidR="002A0A8F" w:rsidRPr="00D97717" w:rsidRDefault="00D97717" w:rsidP="00D97717">
            <w:pPr>
              <w:tabs>
                <w:tab w:val="left" w:pos="-2970"/>
              </w:tabs>
              <w:jc w:val="both"/>
              <w:rPr>
                <w:sz w:val="20"/>
                <w:szCs w:val="20"/>
                <w:lang w:val="en-US"/>
              </w:rPr>
            </w:pPr>
            <w:r w:rsidRPr="002D0FC3">
              <w:rPr>
                <w:sz w:val="20"/>
                <w:szCs w:val="20"/>
              </w:rPr>
              <w:t>Martha McCarthy</w:t>
            </w:r>
            <w:r w:rsidRPr="002D0FC3">
              <w:rPr>
                <w:sz w:val="20"/>
                <w:szCs w:val="20"/>
              </w:rPr>
              <w:tab/>
              <w:t xml:space="preserve"> </w:t>
            </w:r>
            <w:r>
              <w:rPr>
                <w:sz w:val="20"/>
                <w:szCs w:val="20"/>
              </w:rPr>
              <w:t>and</w:t>
            </w:r>
            <w:r w:rsidRPr="002D0FC3">
              <w:rPr>
                <w:sz w:val="20"/>
                <w:szCs w:val="20"/>
              </w:rPr>
              <w:t xml:space="preserve"> </w:t>
            </w:r>
            <w:r w:rsidRPr="00A75759">
              <w:rPr>
                <w:sz w:val="20"/>
                <w:szCs w:val="20"/>
                <w:lang w:val="en-US"/>
              </w:rPr>
              <w:t>Johanne Elizabeth O’Hanlon</w:t>
            </w:r>
            <w:r>
              <w:rPr>
                <w:sz w:val="20"/>
                <w:szCs w:val="20"/>
                <w:lang w:val="en-US"/>
              </w:rPr>
              <w:t xml:space="preserve"> f</w:t>
            </w:r>
            <w:r w:rsidRPr="002D0FC3">
              <w:rPr>
                <w:sz w:val="20"/>
                <w:szCs w:val="20"/>
              </w:rPr>
              <w:t xml:space="preserve">or the </w:t>
            </w:r>
            <w:r>
              <w:rPr>
                <w:sz w:val="20"/>
                <w:szCs w:val="20"/>
              </w:rPr>
              <w:t>i</w:t>
            </w:r>
            <w:r w:rsidRPr="002D0FC3">
              <w:rPr>
                <w:sz w:val="20"/>
                <w:szCs w:val="20"/>
              </w:rPr>
              <w:t>ntervener</w:t>
            </w:r>
            <w:r>
              <w:rPr>
                <w:sz w:val="20"/>
                <w:szCs w:val="20"/>
              </w:rPr>
              <w:t xml:space="preserve"> </w:t>
            </w:r>
            <w:r w:rsidRPr="00A75759">
              <w:rPr>
                <w:sz w:val="20"/>
                <w:szCs w:val="20"/>
                <w:lang w:val="en-US"/>
              </w:rPr>
              <w:t>Women's Legal Education and Action Fund</w:t>
            </w:r>
            <w:r>
              <w:rPr>
                <w:sz w:val="20"/>
                <w:szCs w:val="20"/>
                <w:lang w:val="en-US"/>
              </w:rPr>
              <w:t>.</w:t>
            </w:r>
          </w:p>
        </w:tc>
      </w:tr>
    </w:tbl>
    <w:p w:rsidR="002A0A8F" w:rsidRPr="00D97717" w:rsidRDefault="002A0A8F" w:rsidP="002A0A8F">
      <w:pPr>
        <w:widowControl w:val="0"/>
      </w:pPr>
    </w:p>
    <w:p w:rsidR="002A0A8F" w:rsidRPr="0085476B" w:rsidRDefault="002A0A8F" w:rsidP="002A0A8F">
      <w:pPr>
        <w:widowControl w:val="0"/>
        <w:rPr>
          <w:sz w:val="20"/>
          <w:szCs w:val="20"/>
        </w:rPr>
      </w:pPr>
      <w:r w:rsidRPr="0085476B">
        <w:rPr>
          <w:b/>
          <w:sz w:val="20"/>
          <w:szCs w:val="20"/>
        </w:rPr>
        <w:t xml:space="preserve">RESERVED / </w:t>
      </w:r>
      <w:r w:rsidRPr="0085476B">
        <w:rPr>
          <w:b/>
          <w:sz w:val="20"/>
          <w:szCs w:val="20"/>
          <w:lang w:val="fr-CA"/>
        </w:rPr>
        <w:t>EN DÉLIBÉRÉ</w:t>
      </w:r>
    </w:p>
    <w:p w:rsidR="002A0A8F" w:rsidRDefault="002A0A8F" w:rsidP="002A0A8F"/>
    <w:tbl>
      <w:tblPr>
        <w:tblW w:w="0" w:type="auto"/>
        <w:tblLayout w:type="fixed"/>
        <w:tblCellMar>
          <w:left w:w="0" w:type="dxa"/>
          <w:right w:w="0" w:type="dxa"/>
        </w:tblCellMar>
        <w:tblLook w:val="0000"/>
      </w:tblPr>
      <w:tblGrid>
        <w:gridCol w:w="4380"/>
        <w:gridCol w:w="720"/>
        <w:gridCol w:w="4380"/>
      </w:tblGrid>
      <w:tr w:rsidR="002A0A8F" w:rsidRPr="00FA276E" w:rsidTr="006E63EA">
        <w:tc>
          <w:tcPr>
            <w:tcW w:w="4380" w:type="dxa"/>
            <w:tcMar>
              <w:left w:w="0" w:type="dxa"/>
              <w:right w:w="0" w:type="dxa"/>
            </w:tcMar>
          </w:tcPr>
          <w:p w:rsidR="00FA276E" w:rsidRPr="00CC4D84" w:rsidRDefault="00FA276E" w:rsidP="00FA276E">
            <w:pPr>
              <w:widowControl w:val="0"/>
              <w:jc w:val="both"/>
              <w:rPr>
                <w:b/>
                <w:sz w:val="20"/>
                <w:szCs w:val="20"/>
                <w:u w:val="single"/>
                <w:lang w:val="fr-CA"/>
              </w:rPr>
            </w:pPr>
            <w:r w:rsidRPr="00CC4D84">
              <w:rPr>
                <w:b/>
                <w:sz w:val="20"/>
                <w:szCs w:val="20"/>
                <w:u w:val="single"/>
                <w:lang w:val="fr-CA"/>
              </w:rPr>
              <w:t>Nature de la cause :</w:t>
            </w:r>
          </w:p>
          <w:p w:rsidR="00FA276E" w:rsidRDefault="00FA276E" w:rsidP="00FA276E">
            <w:pPr>
              <w:widowControl w:val="0"/>
              <w:jc w:val="both"/>
              <w:rPr>
                <w:sz w:val="20"/>
                <w:szCs w:val="20"/>
                <w:lang w:val="fr-CA"/>
              </w:rPr>
            </w:pPr>
          </w:p>
          <w:p w:rsidR="002A0A8F" w:rsidRPr="00523F41" w:rsidRDefault="00FA276E" w:rsidP="00FA276E">
            <w:pPr>
              <w:widowControl w:val="0"/>
              <w:jc w:val="both"/>
              <w:rPr>
                <w:b/>
                <w:sz w:val="20"/>
                <w:szCs w:val="20"/>
                <w:lang w:val="fr-CA"/>
              </w:rPr>
            </w:pPr>
            <w:r w:rsidRPr="00022359">
              <w:rPr>
                <w:i/>
                <w:sz w:val="20"/>
                <w:szCs w:val="20"/>
                <w:lang w:val="fr-FR"/>
              </w:rPr>
              <w:t xml:space="preserve">Charte des droits </w:t>
            </w:r>
            <w:r w:rsidRPr="00022359">
              <w:rPr>
                <w:i/>
                <w:sz w:val="20"/>
                <w:szCs w:val="20"/>
                <w:lang w:val="fr-FR"/>
              </w:rPr>
              <w:noBreakHyphen/>
            </w:r>
            <w:r w:rsidRPr="00022359">
              <w:rPr>
                <w:sz w:val="20"/>
                <w:szCs w:val="20"/>
                <w:lang w:val="fr-FR"/>
              </w:rPr>
              <w:t xml:space="preserve"> Droit à l’égalité </w:t>
            </w:r>
            <w:r w:rsidRPr="00022359">
              <w:rPr>
                <w:i/>
                <w:sz w:val="20"/>
                <w:szCs w:val="20"/>
                <w:lang w:val="fr-FR"/>
              </w:rPr>
              <w:noBreakHyphen/>
            </w:r>
            <w:r w:rsidRPr="00022359">
              <w:rPr>
                <w:sz w:val="20"/>
                <w:szCs w:val="20"/>
                <w:lang w:val="fr-FR"/>
              </w:rPr>
              <w:t xml:space="preserve"> État matrimonial </w:t>
            </w:r>
            <w:r w:rsidRPr="00022359">
              <w:rPr>
                <w:i/>
                <w:sz w:val="20"/>
                <w:szCs w:val="20"/>
                <w:lang w:val="fr-FR"/>
              </w:rPr>
              <w:noBreakHyphen/>
            </w:r>
            <w:r w:rsidRPr="00022359">
              <w:rPr>
                <w:sz w:val="20"/>
                <w:szCs w:val="20"/>
                <w:lang w:val="fr-FR"/>
              </w:rPr>
              <w:t xml:space="preserve"> Réparation </w:t>
            </w:r>
            <w:r w:rsidRPr="00022359">
              <w:rPr>
                <w:i/>
                <w:sz w:val="20"/>
                <w:szCs w:val="20"/>
                <w:lang w:val="fr-FR"/>
              </w:rPr>
              <w:noBreakHyphen/>
            </w:r>
            <w:r w:rsidRPr="00022359">
              <w:rPr>
                <w:sz w:val="20"/>
                <w:szCs w:val="20"/>
                <w:lang w:val="fr-FR"/>
              </w:rPr>
              <w:t xml:space="preserve"> Droit de la famille </w:t>
            </w:r>
            <w:r w:rsidRPr="00022359">
              <w:rPr>
                <w:i/>
                <w:sz w:val="20"/>
                <w:szCs w:val="20"/>
                <w:lang w:val="fr-FR"/>
              </w:rPr>
              <w:noBreakHyphen/>
            </w:r>
            <w:r w:rsidRPr="00022359">
              <w:rPr>
                <w:sz w:val="20"/>
                <w:szCs w:val="20"/>
                <w:lang w:val="fr-FR"/>
              </w:rPr>
              <w:t xml:space="preserve"> Conjoints de fait </w:t>
            </w:r>
            <w:r w:rsidRPr="00022359">
              <w:rPr>
                <w:i/>
                <w:sz w:val="20"/>
                <w:szCs w:val="20"/>
                <w:lang w:val="fr-FR"/>
              </w:rPr>
              <w:noBreakHyphen/>
            </w:r>
            <w:r w:rsidRPr="00022359">
              <w:rPr>
                <w:sz w:val="20"/>
                <w:szCs w:val="20"/>
                <w:lang w:val="fr-FR"/>
              </w:rPr>
              <w:t xml:space="preserve"> Aliments </w:t>
            </w:r>
            <w:r w:rsidRPr="00022359">
              <w:rPr>
                <w:i/>
                <w:sz w:val="20"/>
                <w:szCs w:val="20"/>
                <w:lang w:val="fr-FR"/>
              </w:rPr>
              <w:noBreakHyphen/>
            </w:r>
            <w:r w:rsidRPr="00022359">
              <w:rPr>
                <w:sz w:val="20"/>
                <w:szCs w:val="20"/>
                <w:lang w:val="fr-FR"/>
              </w:rPr>
              <w:t xml:space="preserve"> Biens familiaux </w:t>
            </w:r>
            <w:r w:rsidRPr="00022359">
              <w:rPr>
                <w:i/>
                <w:sz w:val="20"/>
                <w:szCs w:val="20"/>
                <w:lang w:val="fr-FR"/>
              </w:rPr>
              <w:noBreakHyphen/>
            </w:r>
            <w:r w:rsidRPr="00022359">
              <w:rPr>
                <w:sz w:val="20"/>
                <w:szCs w:val="20"/>
                <w:lang w:val="fr-FR"/>
              </w:rPr>
              <w:t xml:space="preserve"> </w:t>
            </w:r>
            <w:r w:rsidRPr="006E63EA">
              <w:rPr>
                <w:sz w:val="20"/>
                <w:szCs w:val="20"/>
                <w:lang w:val="fr-CA"/>
              </w:rPr>
              <w:t xml:space="preserve">Les articles 401 à 430, 432, 433, 448 à 484 et 585 du </w:t>
            </w:r>
            <w:r w:rsidRPr="006E63EA">
              <w:rPr>
                <w:i/>
                <w:sz w:val="20"/>
                <w:szCs w:val="20"/>
                <w:lang w:val="fr-CA"/>
              </w:rPr>
              <w:t>Code civil du Québec</w:t>
            </w:r>
            <w:r w:rsidRPr="006E63EA">
              <w:rPr>
                <w:sz w:val="20"/>
                <w:szCs w:val="20"/>
                <w:lang w:val="fr-CA"/>
              </w:rPr>
              <w:t>, L.R.Q., ch. C</w:t>
            </w:r>
            <w:r w:rsidRPr="006E63EA">
              <w:rPr>
                <w:sz w:val="20"/>
                <w:szCs w:val="20"/>
                <w:lang w:val="fr-CA"/>
              </w:rPr>
              <w:noBreakHyphen/>
              <w:t>1991, contreviennent</w:t>
            </w:r>
            <w:r w:rsidRPr="006E63EA">
              <w:rPr>
                <w:sz w:val="20"/>
                <w:szCs w:val="20"/>
                <w:lang w:val="fr-CA"/>
              </w:rPr>
              <w:noBreakHyphen/>
              <w:t xml:space="preserve">ils au paragraphe 15(1) de la </w:t>
            </w:r>
            <w:r w:rsidRPr="006E63EA">
              <w:rPr>
                <w:i/>
                <w:sz w:val="20"/>
                <w:szCs w:val="20"/>
                <w:lang w:val="fr-CA"/>
              </w:rPr>
              <w:t>Charte canadienne des droits et libertés</w:t>
            </w:r>
            <w:r w:rsidRPr="006E63EA">
              <w:rPr>
                <w:sz w:val="20"/>
                <w:szCs w:val="20"/>
                <w:lang w:val="fr-CA"/>
              </w:rPr>
              <w:t>?</w:t>
            </w:r>
            <w:r w:rsidRPr="00022359">
              <w:rPr>
                <w:sz w:val="20"/>
                <w:szCs w:val="20"/>
                <w:lang w:val="fr-FR"/>
              </w:rPr>
              <w:t xml:space="preserve"> </w:t>
            </w:r>
            <w:r w:rsidRPr="00022359">
              <w:rPr>
                <w:i/>
                <w:sz w:val="20"/>
                <w:szCs w:val="20"/>
                <w:lang w:val="fr-FR"/>
              </w:rPr>
              <w:noBreakHyphen/>
              <w:t xml:space="preserve"> </w:t>
            </w:r>
            <w:r w:rsidRPr="006E63EA">
              <w:rPr>
                <w:sz w:val="20"/>
                <w:szCs w:val="20"/>
                <w:lang w:val="fr-CA"/>
              </w:rPr>
              <w:t>Dans l’affirmative, s’agit</w:t>
            </w:r>
            <w:r w:rsidRPr="006E63EA">
              <w:rPr>
                <w:sz w:val="20"/>
                <w:szCs w:val="20"/>
                <w:lang w:val="fr-CA"/>
              </w:rPr>
              <w:noBreakHyphen/>
              <w:t xml:space="preserve">il d’une limite raisonnable prescrite par une règle de droit dont la </w:t>
            </w:r>
            <w:r w:rsidRPr="006E63EA">
              <w:rPr>
                <w:sz w:val="20"/>
                <w:szCs w:val="20"/>
                <w:lang w:val="fr-CA"/>
              </w:rPr>
              <w:lastRenderedPageBreak/>
              <w:t xml:space="preserve">justification peut se démontrer dans le cadre d’une société libre et démocratique au sens de l’article premier de la </w:t>
            </w:r>
            <w:r w:rsidRPr="006E63EA">
              <w:rPr>
                <w:i/>
                <w:sz w:val="20"/>
                <w:szCs w:val="20"/>
                <w:lang w:val="fr-CA"/>
              </w:rPr>
              <w:t>Charte canadienne des droits et libertés</w:t>
            </w:r>
            <w:r w:rsidRPr="006E63EA">
              <w:rPr>
                <w:sz w:val="20"/>
                <w:szCs w:val="20"/>
                <w:lang w:val="fr-CA"/>
              </w:rPr>
              <w:t>?</w:t>
            </w:r>
            <w:r w:rsidRPr="00022359">
              <w:rPr>
                <w:sz w:val="20"/>
                <w:szCs w:val="20"/>
                <w:lang w:val="fr-FR"/>
              </w:rPr>
              <w:t xml:space="preserve"> </w:t>
            </w:r>
            <w:r w:rsidRPr="00022359">
              <w:rPr>
                <w:i/>
                <w:sz w:val="20"/>
                <w:szCs w:val="20"/>
                <w:lang w:val="fr-FR"/>
              </w:rPr>
              <w:noBreakHyphen/>
              <w:t xml:space="preserve"> </w:t>
            </w:r>
            <w:r w:rsidRPr="00022359">
              <w:rPr>
                <w:sz w:val="20"/>
                <w:szCs w:val="20"/>
                <w:lang w:val="fr-FR"/>
              </w:rPr>
              <w:t>La Cour d’appel a</w:t>
            </w:r>
            <w:r w:rsidRPr="00022359">
              <w:rPr>
                <w:sz w:val="20"/>
                <w:szCs w:val="20"/>
                <w:lang w:val="fr-FR"/>
              </w:rPr>
              <w:noBreakHyphen/>
              <w:t>t</w:t>
            </w:r>
            <w:r w:rsidRPr="00022359">
              <w:rPr>
                <w:sz w:val="20"/>
                <w:szCs w:val="20"/>
                <w:lang w:val="fr-FR"/>
              </w:rPr>
              <w:noBreakHyphen/>
              <w:t xml:space="preserve">elle erré dans le choix de la réparation, d’une part, en ne faisant pas bénéficier immédiatement l’ensemble des Québécois et Québécoises d’une réparation corrigeant de manière immédiate l’invalidité inconstitutionnelle en cause et, d’autre part, quant à la question de la réparation de la demanderesse? </w:t>
            </w:r>
            <w:r w:rsidRPr="00022359">
              <w:rPr>
                <w:i/>
                <w:sz w:val="20"/>
                <w:szCs w:val="20"/>
                <w:lang w:val="fr-FR"/>
              </w:rPr>
              <w:noBreakHyphen/>
            </w:r>
            <w:r w:rsidRPr="00022359">
              <w:rPr>
                <w:sz w:val="20"/>
                <w:szCs w:val="20"/>
                <w:lang w:val="fr-FR"/>
              </w:rPr>
              <w:t xml:space="preserve"> </w:t>
            </w:r>
            <w:r w:rsidRPr="00022359">
              <w:rPr>
                <w:i/>
                <w:sz w:val="20"/>
                <w:szCs w:val="20"/>
                <w:lang w:val="fr-FR"/>
              </w:rPr>
              <w:t>Code civil du Québec</w:t>
            </w:r>
            <w:r w:rsidRPr="00022359">
              <w:rPr>
                <w:sz w:val="20"/>
                <w:szCs w:val="20"/>
                <w:lang w:val="fr-FR"/>
              </w:rPr>
              <w:t>, L.R.Q., ch. C</w:t>
            </w:r>
            <w:r w:rsidRPr="00022359">
              <w:rPr>
                <w:sz w:val="20"/>
                <w:szCs w:val="20"/>
                <w:lang w:val="fr-FR"/>
              </w:rPr>
              <w:noBreakHyphen/>
              <w:t>1991, art. 401</w:t>
            </w:r>
            <w:r w:rsidRPr="00022359">
              <w:rPr>
                <w:sz w:val="20"/>
                <w:szCs w:val="20"/>
                <w:lang w:val="fr-FR"/>
              </w:rPr>
              <w:noBreakHyphen/>
              <w:t>430, 432</w:t>
            </w:r>
            <w:r w:rsidRPr="00022359">
              <w:rPr>
                <w:sz w:val="20"/>
                <w:szCs w:val="20"/>
                <w:lang w:val="fr-FR"/>
              </w:rPr>
              <w:noBreakHyphen/>
              <w:t>433, 448</w:t>
            </w:r>
            <w:r w:rsidRPr="00022359">
              <w:rPr>
                <w:sz w:val="20"/>
                <w:szCs w:val="20"/>
                <w:lang w:val="fr-FR"/>
              </w:rPr>
              <w:noBreakHyphen/>
              <w:t xml:space="preserve">484, 585 </w:t>
            </w:r>
            <w:r w:rsidRPr="00022359">
              <w:rPr>
                <w:i/>
                <w:sz w:val="20"/>
                <w:szCs w:val="20"/>
                <w:lang w:val="fr-FR"/>
              </w:rPr>
              <w:noBreakHyphen/>
            </w:r>
            <w:r w:rsidRPr="00022359">
              <w:rPr>
                <w:sz w:val="20"/>
                <w:szCs w:val="20"/>
                <w:lang w:val="fr-FR"/>
              </w:rPr>
              <w:t xml:space="preserve"> </w:t>
            </w:r>
            <w:r w:rsidRPr="00022359">
              <w:rPr>
                <w:i/>
                <w:sz w:val="20"/>
                <w:szCs w:val="20"/>
                <w:lang w:val="fr-FR"/>
              </w:rPr>
              <w:t>Charte canadienne des droits et libertés</w:t>
            </w:r>
            <w:r w:rsidRPr="00022359">
              <w:rPr>
                <w:sz w:val="20"/>
                <w:szCs w:val="20"/>
                <w:lang w:val="fr-FR"/>
              </w:rPr>
              <w:t>, art. 1, 15(1), 24(1).</w:t>
            </w:r>
          </w:p>
        </w:tc>
        <w:tc>
          <w:tcPr>
            <w:tcW w:w="720" w:type="dxa"/>
            <w:tcMar>
              <w:left w:w="0" w:type="dxa"/>
              <w:right w:w="0" w:type="dxa"/>
            </w:tcMar>
          </w:tcPr>
          <w:p w:rsidR="002A0A8F" w:rsidRPr="00523F41" w:rsidRDefault="002A0A8F" w:rsidP="006E63EA">
            <w:pPr>
              <w:widowControl w:val="0"/>
              <w:jc w:val="center"/>
              <w:rPr>
                <w:sz w:val="20"/>
                <w:szCs w:val="20"/>
                <w:lang w:val="fr-CA"/>
              </w:rPr>
            </w:pPr>
          </w:p>
        </w:tc>
        <w:tc>
          <w:tcPr>
            <w:tcW w:w="4380" w:type="dxa"/>
            <w:tcMar>
              <w:left w:w="0" w:type="dxa"/>
              <w:right w:w="0" w:type="dxa"/>
            </w:tcMar>
          </w:tcPr>
          <w:p w:rsidR="00FA276E" w:rsidRPr="00CC4D84" w:rsidRDefault="00FA276E" w:rsidP="00FA276E">
            <w:pPr>
              <w:widowControl w:val="0"/>
              <w:jc w:val="both"/>
              <w:rPr>
                <w:b/>
                <w:sz w:val="20"/>
                <w:szCs w:val="20"/>
                <w:u w:val="single"/>
              </w:rPr>
            </w:pPr>
            <w:r w:rsidRPr="00CC4D84">
              <w:rPr>
                <w:b/>
                <w:sz w:val="20"/>
                <w:szCs w:val="20"/>
                <w:u w:val="single"/>
              </w:rPr>
              <w:t>Nature of the case:</w:t>
            </w:r>
          </w:p>
          <w:p w:rsidR="00FA276E" w:rsidRPr="00C1697B" w:rsidRDefault="00FA276E" w:rsidP="00FA276E">
            <w:pPr>
              <w:widowControl w:val="0"/>
              <w:jc w:val="both"/>
              <w:rPr>
                <w:b/>
                <w:sz w:val="20"/>
                <w:szCs w:val="20"/>
              </w:rPr>
            </w:pPr>
          </w:p>
          <w:p w:rsidR="006E63EA" w:rsidRPr="00FA276E" w:rsidRDefault="00FA276E" w:rsidP="00FA276E">
            <w:pPr>
              <w:widowControl w:val="0"/>
              <w:jc w:val="both"/>
              <w:rPr>
                <w:sz w:val="20"/>
                <w:szCs w:val="20"/>
              </w:rPr>
            </w:pPr>
            <w:r w:rsidRPr="003222E9">
              <w:rPr>
                <w:i/>
                <w:sz w:val="20"/>
                <w:szCs w:val="20"/>
              </w:rPr>
              <w:t>Charter of Rights</w:t>
            </w:r>
            <w:r w:rsidRPr="003222E9">
              <w:rPr>
                <w:sz w:val="20"/>
                <w:szCs w:val="20"/>
              </w:rPr>
              <w:t xml:space="preserve"> </w:t>
            </w:r>
            <w:r w:rsidRPr="003222E9">
              <w:rPr>
                <w:sz w:val="20"/>
                <w:szCs w:val="20"/>
              </w:rPr>
              <w:noBreakHyphen/>
              <w:t xml:space="preserve"> Right to equality </w:t>
            </w:r>
            <w:r w:rsidRPr="003222E9">
              <w:rPr>
                <w:sz w:val="20"/>
                <w:szCs w:val="20"/>
              </w:rPr>
              <w:noBreakHyphen/>
              <w:t xml:space="preserve"> Marital status </w:t>
            </w:r>
            <w:r w:rsidRPr="003222E9">
              <w:rPr>
                <w:sz w:val="20"/>
                <w:szCs w:val="20"/>
              </w:rPr>
              <w:noBreakHyphen/>
              <w:t xml:space="preserve"> Remedy </w:t>
            </w:r>
            <w:r w:rsidRPr="003222E9">
              <w:rPr>
                <w:sz w:val="20"/>
                <w:szCs w:val="20"/>
              </w:rPr>
              <w:noBreakHyphen/>
              <w:t xml:space="preserve"> Family law </w:t>
            </w:r>
            <w:r w:rsidRPr="003222E9">
              <w:rPr>
                <w:sz w:val="20"/>
                <w:szCs w:val="20"/>
              </w:rPr>
              <w:noBreakHyphen/>
              <w:t xml:space="preserve"> </w:t>
            </w:r>
            <w:r w:rsidRPr="003222E9">
              <w:rPr>
                <w:i/>
                <w:sz w:val="20"/>
                <w:szCs w:val="20"/>
              </w:rPr>
              <w:t>De facto</w:t>
            </w:r>
            <w:r w:rsidRPr="003222E9">
              <w:rPr>
                <w:sz w:val="20"/>
                <w:szCs w:val="20"/>
              </w:rPr>
              <w:t xml:space="preserve"> spouses </w:t>
            </w:r>
            <w:r w:rsidRPr="003222E9">
              <w:rPr>
                <w:sz w:val="20"/>
                <w:szCs w:val="20"/>
              </w:rPr>
              <w:noBreakHyphen/>
              <w:t xml:space="preserve"> Support </w:t>
            </w:r>
            <w:r w:rsidRPr="003222E9">
              <w:rPr>
                <w:sz w:val="20"/>
                <w:szCs w:val="20"/>
              </w:rPr>
              <w:noBreakHyphen/>
              <w:t xml:space="preserve"> Family assets</w:t>
            </w:r>
            <w:r w:rsidRPr="003222E9">
              <w:rPr>
                <w:i/>
                <w:sz w:val="20"/>
                <w:szCs w:val="20"/>
              </w:rPr>
              <w:t xml:space="preserve"> </w:t>
            </w:r>
            <w:r w:rsidRPr="003222E9">
              <w:rPr>
                <w:i/>
                <w:sz w:val="20"/>
                <w:szCs w:val="20"/>
              </w:rPr>
              <w:noBreakHyphen/>
            </w:r>
            <w:r w:rsidRPr="003222E9">
              <w:rPr>
                <w:sz w:val="20"/>
                <w:szCs w:val="20"/>
              </w:rPr>
              <w:t xml:space="preserve"> Whether arts. 401 to 430, 432, 433, 448 to 484 and 585 of </w:t>
            </w:r>
            <w:r w:rsidRPr="003222E9">
              <w:rPr>
                <w:i/>
                <w:sz w:val="20"/>
                <w:szCs w:val="20"/>
              </w:rPr>
              <w:t>Civil Code of Québec</w:t>
            </w:r>
            <w:r w:rsidRPr="003222E9">
              <w:rPr>
                <w:sz w:val="20"/>
                <w:szCs w:val="20"/>
              </w:rPr>
              <w:t xml:space="preserve">, S.Q. 1991, c. 64, infringe s. 15(1) of </w:t>
            </w:r>
            <w:r w:rsidRPr="003222E9">
              <w:rPr>
                <w:i/>
                <w:sz w:val="20"/>
                <w:szCs w:val="20"/>
              </w:rPr>
              <w:t xml:space="preserve">Canadian Charter of Rights and Freedoms </w:t>
            </w:r>
            <w:r w:rsidRPr="003222E9">
              <w:rPr>
                <w:i/>
                <w:sz w:val="20"/>
                <w:szCs w:val="20"/>
              </w:rPr>
              <w:noBreakHyphen/>
              <w:t xml:space="preserve"> </w:t>
            </w:r>
            <w:r w:rsidRPr="003222E9">
              <w:rPr>
                <w:sz w:val="20"/>
                <w:szCs w:val="20"/>
              </w:rPr>
              <w:t xml:space="preserve">If so, whether infringement is reasonable limit prescribed by law that can be demonstrably justified in free and democratic society </w:t>
            </w:r>
            <w:r w:rsidRPr="003222E9">
              <w:rPr>
                <w:sz w:val="20"/>
                <w:szCs w:val="20"/>
              </w:rPr>
              <w:lastRenderedPageBreak/>
              <w:t xml:space="preserve">under s. 1 of </w:t>
            </w:r>
            <w:r w:rsidRPr="003222E9">
              <w:rPr>
                <w:i/>
                <w:sz w:val="20"/>
                <w:szCs w:val="20"/>
              </w:rPr>
              <w:t>Canadian Charter of Rights and Freedoms</w:t>
            </w:r>
            <w:r w:rsidRPr="003222E9">
              <w:rPr>
                <w:sz w:val="20"/>
                <w:szCs w:val="20"/>
              </w:rPr>
              <w:t xml:space="preserve"> </w:t>
            </w:r>
            <w:r w:rsidRPr="003222E9">
              <w:rPr>
                <w:i/>
                <w:sz w:val="20"/>
                <w:szCs w:val="20"/>
              </w:rPr>
              <w:noBreakHyphen/>
              <w:t xml:space="preserve"> </w:t>
            </w:r>
            <w:r w:rsidRPr="003222E9">
              <w:rPr>
                <w:sz w:val="20"/>
                <w:szCs w:val="20"/>
              </w:rPr>
              <w:t xml:space="preserve">Whether Court of Appeal erred in choice of remedy, on one hand by failing to immediately enable all Quebeckers to benefit from remedy rectifying constitutional invalidity in issue, and on other hand with respect to remedy granted to female appellant </w:t>
            </w:r>
            <w:r w:rsidRPr="003222E9">
              <w:rPr>
                <w:i/>
                <w:sz w:val="20"/>
                <w:szCs w:val="20"/>
              </w:rPr>
              <w:noBreakHyphen/>
              <w:t xml:space="preserve"> Canadian Charter of Rights and Freedoms</w:t>
            </w:r>
            <w:r w:rsidRPr="003222E9">
              <w:rPr>
                <w:sz w:val="20"/>
                <w:szCs w:val="20"/>
              </w:rPr>
              <w:t>, ss. 1, 15(1), 24(1).</w:t>
            </w:r>
          </w:p>
        </w:tc>
      </w:tr>
    </w:tbl>
    <w:p w:rsidR="002A0A8F" w:rsidRPr="00FA276E" w:rsidRDefault="002A0A8F" w:rsidP="002A0A8F">
      <w:pPr>
        <w:widowControl w:val="0"/>
        <w:rPr>
          <w:sz w:val="20"/>
          <w:szCs w:val="20"/>
        </w:rPr>
      </w:pPr>
    </w:p>
    <w:p w:rsidR="002A0A8F" w:rsidRDefault="00BF59B3" w:rsidP="002A0A8F">
      <w:pPr>
        <w:widowControl w:val="0"/>
        <w:rPr>
          <w:sz w:val="20"/>
          <w:szCs w:val="20"/>
        </w:rPr>
      </w:pPr>
      <w:r w:rsidRPr="00BF59B3">
        <w:rPr>
          <w:sz w:val="20"/>
          <w:szCs w:val="20"/>
          <w:lang w:val="fr-CA"/>
        </w:rPr>
        <w:pict>
          <v:rect id="_x0000_i1073" style="width:2in;height:1pt" o:hrpct="0" o:hralign="center" o:hrstd="t" o:hrnoshade="t" o:hr="t" fillcolor="black [3213]" stroked="f"/>
        </w:pict>
      </w:r>
    </w:p>
    <w:p w:rsidR="002A0A8F" w:rsidRDefault="002A0A8F" w:rsidP="002A0A8F">
      <w:pPr>
        <w:widowControl w:val="0"/>
        <w:rPr>
          <w:sz w:val="20"/>
          <w:szCs w:val="20"/>
        </w:rPr>
      </w:pPr>
    </w:p>
    <w:p w:rsidR="00845150" w:rsidRDefault="00FA276E" w:rsidP="002A27D1">
      <w:pPr>
        <w:widowControl w:val="0"/>
        <w:rPr>
          <w:sz w:val="20"/>
          <w:szCs w:val="20"/>
        </w:rPr>
      </w:pPr>
      <w:r>
        <w:rPr>
          <w:sz w:val="20"/>
          <w:szCs w:val="20"/>
        </w:rPr>
        <w:t>19.01.2012</w:t>
      </w:r>
    </w:p>
    <w:p w:rsidR="00845150" w:rsidRDefault="00845150" w:rsidP="002A27D1">
      <w:pPr>
        <w:widowControl w:val="0"/>
        <w:rPr>
          <w:sz w:val="20"/>
          <w:szCs w:val="20"/>
        </w:rPr>
      </w:pPr>
    </w:p>
    <w:p w:rsidR="007F36A7" w:rsidRPr="002361B6" w:rsidRDefault="007F36A7" w:rsidP="007F36A7">
      <w:pPr>
        <w:widowControl w:val="0"/>
        <w:ind w:left="720" w:hanging="720"/>
        <w:rPr>
          <w:sz w:val="20"/>
          <w:szCs w:val="20"/>
          <w:u w:val="single"/>
        </w:rPr>
      </w:pPr>
      <w:r w:rsidRPr="002361B6">
        <w:rPr>
          <w:sz w:val="20"/>
          <w:szCs w:val="20"/>
        </w:rPr>
        <w:t xml:space="preserve">Coram: </w:t>
      </w:r>
      <w:r w:rsidRPr="002361B6">
        <w:rPr>
          <w:sz w:val="20"/>
          <w:szCs w:val="20"/>
        </w:rPr>
        <w:tab/>
      </w:r>
      <w:r w:rsidRPr="002361B6">
        <w:rPr>
          <w:sz w:val="20"/>
          <w:szCs w:val="20"/>
          <w:u w:val="single"/>
        </w:rPr>
        <w:t>McLachlin C.J. and LeBel, Deschamps, Fish, Abella, Rothstein, Cromwell, Moldaver and Karakatsanis JJ.</w:t>
      </w:r>
    </w:p>
    <w:p w:rsidR="00845150" w:rsidRDefault="00845150" w:rsidP="002A27D1">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7F36A7" w:rsidRPr="00C5295A" w:rsidTr="007F36A7">
        <w:tc>
          <w:tcPr>
            <w:tcW w:w="4380" w:type="dxa"/>
            <w:tcMar>
              <w:left w:w="0" w:type="dxa"/>
              <w:right w:w="0" w:type="dxa"/>
            </w:tcMar>
          </w:tcPr>
          <w:p w:rsidR="007F36A7" w:rsidRDefault="007F36A7" w:rsidP="007F36A7">
            <w:pPr>
              <w:widowControl w:val="0"/>
              <w:jc w:val="both"/>
              <w:rPr>
                <w:b/>
                <w:sz w:val="20"/>
                <w:szCs w:val="20"/>
              </w:rPr>
            </w:pPr>
            <w:r w:rsidRPr="002361B6">
              <w:rPr>
                <w:b/>
                <w:sz w:val="20"/>
                <w:szCs w:val="20"/>
              </w:rPr>
              <w:t>Attorney General of Canada</w:t>
            </w:r>
          </w:p>
          <w:p w:rsidR="007F36A7" w:rsidRPr="00C50A5C" w:rsidRDefault="007F36A7" w:rsidP="007F36A7">
            <w:pPr>
              <w:widowControl w:val="0"/>
              <w:jc w:val="both"/>
              <w:rPr>
                <w:b/>
                <w:sz w:val="20"/>
                <w:szCs w:val="20"/>
              </w:rPr>
            </w:pPr>
          </w:p>
          <w:p w:rsidR="007F36A7" w:rsidRPr="00C50A5C" w:rsidRDefault="007F36A7" w:rsidP="007F36A7">
            <w:pPr>
              <w:widowControl w:val="0"/>
              <w:tabs>
                <w:tab w:val="left" w:pos="736"/>
              </w:tabs>
              <w:jc w:val="both"/>
              <w:rPr>
                <w:b/>
                <w:sz w:val="20"/>
                <w:szCs w:val="20"/>
              </w:rPr>
            </w:pPr>
            <w:r w:rsidRPr="00C50A5C">
              <w:rPr>
                <w:b/>
                <w:sz w:val="20"/>
                <w:szCs w:val="20"/>
              </w:rPr>
              <w:tab/>
              <w:t>v. (3</w:t>
            </w:r>
            <w:r w:rsidR="00E84241">
              <w:rPr>
                <w:b/>
                <w:sz w:val="20"/>
                <w:szCs w:val="20"/>
              </w:rPr>
              <w:t>3981</w:t>
            </w:r>
            <w:r w:rsidRPr="00C50A5C">
              <w:rPr>
                <w:b/>
                <w:sz w:val="20"/>
                <w:szCs w:val="20"/>
              </w:rPr>
              <w:t>)</w:t>
            </w:r>
          </w:p>
          <w:p w:rsidR="007F36A7" w:rsidRDefault="007F36A7" w:rsidP="007F36A7">
            <w:pPr>
              <w:widowControl w:val="0"/>
              <w:jc w:val="both"/>
              <w:rPr>
                <w:b/>
                <w:sz w:val="20"/>
                <w:szCs w:val="20"/>
              </w:rPr>
            </w:pPr>
          </w:p>
          <w:p w:rsidR="007F36A7" w:rsidRPr="0093057E" w:rsidRDefault="00E84241" w:rsidP="00E84241">
            <w:pPr>
              <w:widowControl w:val="0"/>
              <w:jc w:val="both"/>
              <w:rPr>
                <w:sz w:val="20"/>
                <w:szCs w:val="20"/>
              </w:rPr>
            </w:pPr>
            <w:r w:rsidRPr="002361B6">
              <w:rPr>
                <w:rFonts w:eastAsia="Calibri" w:cs="Times New Roman"/>
                <w:b/>
                <w:sz w:val="20"/>
                <w:szCs w:val="20"/>
              </w:rPr>
              <w:t>Downtown Eastside Sex Workers United Against Violence Society et al.</w:t>
            </w:r>
            <w:r>
              <w:rPr>
                <w:b/>
                <w:sz w:val="20"/>
                <w:szCs w:val="20"/>
              </w:rPr>
              <w:t xml:space="preserve"> </w:t>
            </w:r>
            <w:r w:rsidR="007F36A7" w:rsidRPr="00C50A5C">
              <w:rPr>
                <w:b/>
                <w:sz w:val="20"/>
                <w:szCs w:val="20"/>
              </w:rPr>
              <w:t>(</w:t>
            </w:r>
            <w:r>
              <w:rPr>
                <w:b/>
                <w:sz w:val="20"/>
                <w:szCs w:val="20"/>
              </w:rPr>
              <w:t>B.C</w:t>
            </w:r>
            <w:r w:rsidR="007F36A7" w:rsidRPr="00C50A5C">
              <w:rPr>
                <w:b/>
                <w:sz w:val="20"/>
                <w:szCs w:val="20"/>
              </w:rPr>
              <w:t>.) (Ci</w:t>
            </w:r>
            <w:r>
              <w:rPr>
                <w:b/>
                <w:sz w:val="20"/>
                <w:szCs w:val="20"/>
              </w:rPr>
              <w:t>v</w:t>
            </w:r>
            <w:r w:rsidR="007F36A7" w:rsidRPr="00C50A5C">
              <w:rPr>
                <w:b/>
                <w:sz w:val="20"/>
                <w:szCs w:val="20"/>
              </w:rPr>
              <w:t>il) (</w:t>
            </w:r>
            <w:r>
              <w:rPr>
                <w:b/>
                <w:sz w:val="20"/>
                <w:szCs w:val="20"/>
              </w:rPr>
              <w:t>By Leave</w:t>
            </w:r>
            <w:r w:rsidR="007F36A7" w:rsidRPr="00C50A5C">
              <w:rPr>
                <w:b/>
                <w:sz w:val="20"/>
                <w:szCs w:val="20"/>
              </w:rPr>
              <w:t>)</w:t>
            </w:r>
          </w:p>
        </w:tc>
        <w:tc>
          <w:tcPr>
            <w:tcW w:w="720" w:type="dxa"/>
            <w:tcMar>
              <w:left w:w="0" w:type="dxa"/>
              <w:right w:w="0" w:type="dxa"/>
            </w:tcMar>
          </w:tcPr>
          <w:p w:rsidR="007F36A7" w:rsidRPr="0093057E" w:rsidRDefault="007F36A7" w:rsidP="007F36A7">
            <w:pPr>
              <w:widowControl w:val="0"/>
              <w:jc w:val="center"/>
              <w:rPr>
                <w:sz w:val="20"/>
                <w:szCs w:val="20"/>
              </w:rPr>
            </w:pPr>
          </w:p>
        </w:tc>
        <w:tc>
          <w:tcPr>
            <w:tcW w:w="4380" w:type="dxa"/>
            <w:tcMar>
              <w:left w:w="0" w:type="dxa"/>
              <w:right w:w="0" w:type="dxa"/>
            </w:tcMar>
          </w:tcPr>
          <w:p w:rsidR="006B31BA" w:rsidRPr="00BF2BFC" w:rsidRDefault="006B31BA" w:rsidP="006B31BA">
            <w:pPr>
              <w:jc w:val="both"/>
              <w:rPr>
                <w:sz w:val="20"/>
                <w:szCs w:val="20"/>
              </w:rPr>
            </w:pPr>
            <w:r w:rsidRPr="00BF2BFC">
              <w:rPr>
                <w:sz w:val="20"/>
                <w:szCs w:val="20"/>
              </w:rPr>
              <w:t>Cheryl J. Tobias, Q.C. and Donnaree Nygard</w:t>
            </w:r>
            <w:r>
              <w:rPr>
                <w:sz w:val="20"/>
                <w:szCs w:val="20"/>
              </w:rPr>
              <w:t xml:space="preserve"> f</w:t>
            </w:r>
            <w:r w:rsidRPr="00BF2BFC">
              <w:rPr>
                <w:sz w:val="20"/>
                <w:szCs w:val="20"/>
              </w:rPr>
              <w:t xml:space="preserve">or the </w:t>
            </w:r>
            <w:r>
              <w:rPr>
                <w:sz w:val="20"/>
                <w:szCs w:val="20"/>
              </w:rPr>
              <w:t>a</w:t>
            </w:r>
            <w:r w:rsidRPr="00BF2BFC">
              <w:rPr>
                <w:sz w:val="20"/>
                <w:szCs w:val="20"/>
              </w:rPr>
              <w:t>ppellant.</w:t>
            </w:r>
          </w:p>
          <w:p w:rsidR="006B31BA" w:rsidRPr="00BF2BFC" w:rsidRDefault="006B31BA" w:rsidP="006B31BA">
            <w:pPr>
              <w:jc w:val="both"/>
              <w:rPr>
                <w:sz w:val="20"/>
                <w:szCs w:val="20"/>
              </w:rPr>
            </w:pPr>
          </w:p>
          <w:p w:rsidR="006B31BA" w:rsidRPr="00BF2BFC" w:rsidRDefault="006B31BA" w:rsidP="006B31BA">
            <w:pPr>
              <w:jc w:val="both"/>
              <w:rPr>
                <w:sz w:val="20"/>
                <w:szCs w:val="20"/>
              </w:rPr>
            </w:pPr>
            <w:r w:rsidRPr="00BF2BFC">
              <w:rPr>
                <w:sz w:val="20"/>
                <w:szCs w:val="20"/>
              </w:rPr>
              <w:t>Janet E. Minor</w:t>
            </w:r>
            <w:r>
              <w:rPr>
                <w:sz w:val="20"/>
                <w:szCs w:val="20"/>
              </w:rPr>
              <w:t xml:space="preserve"> and </w:t>
            </w:r>
            <w:r w:rsidRPr="00BF2BFC">
              <w:rPr>
                <w:sz w:val="20"/>
                <w:szCs w:val="20"/>
              </w:rPr>
              <w:t>Courtney J. Harris</w:t>
            </w:r>
            <w:r>
              <w:rPr>
                <w:sz w:val="20"/>
                <w:szCs w:val="20"/>
              </w:rPr>
              <w:t xml:space="preserve"> f</w:t>
            </w:r>
            <w:r w:rsidRPr="00BF2BFC">
              <w:rPr>
                <w:sz w:val="20"/>
                <w:szCs w:val="20"/>
              </w:rPr>
              <w:t xml:space="preserve">or the </w:t>
            </w:r>
            <w:r>
              <w:rPr>
                <w:sz w:val="20"/>
                <w:szCs w:val="20"/>
              </w:rPr>
              <w:t>i</w:t>
            </w:r>
            <w:r w:rsidRPr="00BF2BFC">
              <w:rPr>
                <w:sz w:val="20"/>
                <w:szCs w:val="20"/>
              </w:rPr>
              <w:t>ntervener</w:t>
            </w:r>
            <w:r>
              <w:rPr>
                <w:sz w:val="20"/>
                <w:szCs w:val="20"/>
              </w:rPr>
              <w:t xml:space="preserve"> A</w:t>
            </w:r>
            <w:r w:rsidRPr="00BF2BFC">
              <w:rPr>
                <w:sz w:val="20"/>
                <w:szCs w:val="20"/>
              </w:rPr>
              <w:t>ttorney General of Ontario</w:t>
            </w:r>
            <w:r>
              <w:rPr>
                <w:sz w:val="20"/>
                <w:szCs w:val="20"/>
              </w:rPr>
              <w:t>.</w:t>
            </w:r>
          </w:p>
          <w:p w:rsidR="006B31BA" w:rsidRPr="00BF2BFC" w:rsidRDefault="006B31BA" w:rsidP="006B31BA">
            <w:pPr>
              <w:jc w:val="both"/>
              <w:rPr>
                <w:sz w:val="20"/>
                <w:szCs w:val="20"/>
              </w:rPr>
            </w:pPr>
          </w:p>
          <w:p w:rsidR="006B31BA" w:rsidRPr="00BF2BFC" w:rsidRDefault="006B31BA" w:rsidP="006B31BA">
            <w:pPr>
              <w:jc w:val="both"/>
              <w:rPr>
                <w:sz w:val="20"/>
                <w:szCs w:val="20"/>
              </w:rPr>
            </w:pPr>
            <w:r w:rsidRPr="00BF2BFC">
              <w:rPr>
                <w:sz w:val="20"/>
                <w:szCs w:val="20"/>
              </w:rPr>
              <w:t>Joseph J. Arvay, Q.C</w:t>
            </w:r>
            <w:r>
              <w:rPr>
                <w:sz w:val="20"/>
                <w:szCs w:val="20"/>
              </w:rPr>
              <w:t xml:space="preserve">, </w:t>
            </w:r>
            <w:r w:rsidRPr="00BF2BFC">
              <w:rPr>
                <w:sz w:val="20"/>
                <w:szCs w:val="20"/>
              </w:rPr>
              <w:t>Elin R.S. Sigurdson</w:t>
            </w:r>
            <w:r>
              <w:rPr>
                <w:sz w:val="20"/>
                <w:szCs w:val="20"/>
              </w:rPr>
              <w:t xml:space="preserve"> and </w:t>
            </w:r>
            <w:r w:rsidRPr="00BF2BFC">
              <w:rPr>
                <w:sz w:val="20"/>
                <w:szCs w:val="20"/>
              </w:rPr>
              <w:t>Katrina Pacey</w:t>
            </w:r>
            <w:r>
              <w:rPr>
                <w:sz w:val="20"/>
                <w:szCs w:val="20"/>
              </w:rPr>
              <w:t xml:space="preserve"> f</w:t>
            </w:r>
            <w:r w:rsidRPr="00BF2BFC">
              <w:rPr>
                <w:sz w:val="20"/>
                <w:szCs w:val="20"/>
              </w:rPr>
              <w:t xml:space="preserve">or the </w:t>
            </w:r>
            <w:r>
              <w:rPr>
                <w:sz w:val="20"/>
                <w:szCs w:val="20"/>
              </w:rPr>
              <w:t>r</w:t>
            </w:r>
            <w:r w:rsidRPr="00BF2BFC">
              <w:rPr>
                <w:sz w:val="20"/>
                <w:szCs w:val="20"/>
              </w:rPr>
              <w:t>espondents.</w:t>
            </w:r>
          </w:p>
          <w:p w:rsidR="006B31BA" w:rsidRPr="00BF2BFC" w:rsidRDefault="006B31BA" w:rsidP="006B31BA">
            <w:pPr>
              <w:jc w:val="both"/>
              <w:rPr>
                <w:sz w:val="20"/>
                <w:szCs w:val="20"/>
              </w:rPr>
            </w:pPr>
          </w:p>
          <w:p w:rsidR="006B31BA" w:rsidRPr="00BF2BFC" w:rsidRDefault="006B31BA" w:rsidP="006B31BA">
            <w:pPr>
              <w:jc w:val="both"/>
              <w:rPr>
                <w:sz w:val="20"/>
                <w:szCs w:val="20"/>
              </w:rPr>
            </w:pPr>
            <w:r w:rsidRPr="00BF2BFC">
              <w:rPr>
                <w:sz w:val="20"/>
                <w:szCs w:val="20"/>
              </w:rPr>
              <w:t>David W. Mossop, Q.C.</w:t>
            </w:r>
            <w:r>
              <w:rPr>
                <w:sz w:val="20"/>
                <w:szCs w:val="20"/>
              </w:rPr>
              <w:t xml:space="preserve"> and </w:t>
            </w:r>
            <w:r w:rsidRPr="00BF2BFC">
              <w:rPr>
                <w:sz w:val="20"/>
                <w:szCs w:val="20"/>
              </w:rPr>
              <w:t>Diane Nielsen</w:t>
            </w:r>
            <w:r>
              <w:rPr>
                <w:sz w:val="20"/>
                <w:szCs w:val="20"/>
              </w:rPr>
              <w:t xml:space="preserve"> </w:t>
            </w:r>
            <w:r w:rsidRPr="00BF2BFC">
              <w:rPr>
                <w:sz w:val="20"/>
                <w:szCs w:val="20"/>
              </w:rPr>
              <w:t>(by videoconference)</w:t>
            </w:r>
            <w:r>
              <w:rPr>
                <w:sz w:val="20"/>
                <w:szCs w:val="20"/>
              </w:rPr>
              <w:t xml:space="preserve"> f</w:t>
            </w:r>
            <w:r w:rsidRPr="00BF2BFC">
              <w:rPr>
                <w:sz w:val="20"/>
                <w:szCs w:val="20"/>
              </w:rPr>
              <w:t xml:space="preserve">or the </w:t>
            </w:r>
            <w:r>
              <w:rPr>
                <w:sz w:val="20"/>
                <w:szCs w:val="20"/>
              </w:rPr>
              <w:t>i</w:t>
            </w:r>
            <w:r w:rsidRPr="00BF2BFC">
              <w:rPr>
                <w:sz w:val="20"/>
                <w:szCs w:val="20"/>
              </w:rPr>
              <w:t>ntervener Community Legal Assistance Society</w:t>
            </w:r>
            <w:r>
              <w:rPr>
                <w:sz w:val="20"/>
                <w:szCs w:val="20"/>
              </w:rPr>
              <w:t>.</w:t>
            </w:r>
          </w:p>
          <w:p w:rsidR="006B31BA" w:rsidRPr="00BF2BFC" w:rsidRDefault="006B31BA" w:rsidP="006B31BA">
            <w:pPr>
              <w:jc w:val="both"/>
              <w:rPr>
                <w:sz w:val="20"/>
                <w:szCs w:val="20"/>
              </w:rPr>
            </w:pPr>
          </w:p>
          <w:p w:rsidR="006B31BA" w:rsidRPr="00BF2BFC" w:rsidRDefault="006B31BA" w:rsidP="006B31BA">
            <w:pPr>
              <w:jc w:val="both"/>
              <w:rPr>
                <w:sz w:val="20"/>
                <w:szCs w:val="20"/>
              </w:rPr>
            </w:pPr>
            <w:r w:rsidRPr="00BF2BFC">
              <w:rPr>
                <w:sz w:val="20"/>
                <w:szCs w:val="20"/>
              </w:rPr>
              <w:t>Jason B. Gratl</w:t>
            </w:r>
            <w:r>
              <w:rPr>
                <w:sz w:val="20"/>
                <w:szCs w:val="20"/>
              </w:rPr>
              <w:t xml:space="preserve"> and </w:t>
            </w:r>
            <w:r w:rsidRPr="00BF2BFC">
              <w:rPr>
                <w:sz w:val="20"/>
                <w:szCs w:val="20"/>
              </w:rPr>
              <w:t>Megan Vis-Dunbar</w:t>
            </w:r>
            <w:r>
              <w:rPr>
                <w:sz w:val="20"/>
                <w:szCs w:val="20"/>
              </w:rPr>
              <w:t xml:space="preserve"> f</w:t>
            </w:r>
            <w:r w:rsidRPr="00BF2BFC">
              <w:rPr>
                <w:sz w:val="20"/>
                <w:szCs w:val="20"/>
              </w:rPr>
              <w:t xml:space="preserve">or the </w:t>
            </w:r>
            <w:r>
              <w:rPr>
                <w:sz w:val="20"/>
                <w:szCs w:val="20"/>
              </w:rPr>
              <w:t>i</w:t>
            </w:r>
            <w:r w:rsidRPr="00BF2BFC">
              <w:rPr>
                <w:sz w:val="20"/>
                <w:szCs w:val="20"/>
              </w:rPr>
              <w:t>ntervener</w:t>
            </w:r>
            <w:r>
              <w:rPr>
                <w:sz w:val="20"/>
                <w:szCs w:val="20"/>
              </w:rPr>
              <w:t xml:space="preserve"> </w:t>
            </w:r>
            <w:r w:rsidRPr="00BF2BFC">
              <w:rPr>
                <w:sz w:val="20"/>
                <w:szCs w:val="20"/>
              </w:rPr>
              <w:t>British Columbia Civil Liberties Association</w:t>
            </w:r>
            <w:r>
              <w:rPr>
                <w:sz w:val="20"/>
                <w:szCs w:val="20"/>
              </w:rPr>
              <w:t>.</w:t>
            </w:r>
          </w:p>
          <w:p w:rsidR="006B31BA" w:rsidRPr="00BF2BFC" w:rsidRDefault="006B31BA" w:rsidP="006B31BA">
            <w:pPr>
              <w:jc w:val="both"/>
              <w:rPr>
                <w:sz w:val="20"/>
                <w:szCs w:val="20"/>
              </w:rPr>
            </w:pPr>
          </w:p>
          <w:p w:rsidR="006B31BA" w:rsidRPr="00BF2BFC" w:rsidRDefault="006B31BA" w:rsidP="006B31BA">
            <w:pPr>
              <w:jc w:val="both"/>
              <w:rPr>
                <w:sz w:val="20"/>
                <w:szCs w:val="20"/>
              </w:rPr>
            </w:pPr>
            <w:r w:rsidRPr="00BF2BFC">
              <w:rPr>
                <w:sz w:val="20"/>
                <w:szCs w:val="20"/>
              </w:rPr>
              <w:t>Kent Roach</w:t>
            </w:r>
            <w:r>
              <w:rPr>
                <w:sz w:val="20"/>
                <w:szCs w:val="20"/>
              </w:rPr>
              <w:t xml:space="preserve"> and </w:t>
            </w:r>
            <w:r w:rsidRPr="00BF2BFC">
              <w:rPr>
                <w:sz w:val="20"/>
                <w:szCs w:val="20"/>
              </w:rPr>
              <w:t>Cheryl Milne</w:t>
            </w:r>
            <w:r>
              <w:rPr>
                <w:sz w:val="20"/>
                <w:szCs w:val="20"/>
              </w:rPr>
              <w:t xml:space="preserve"> f</w:t>
            </w:r>
            <w:r w:rsidRPr="00BF2BFC">
              <w:rPr>
                <w:sz w:val="20"/>
                <w:szCs w:val="20"/>
              </w:rPr>
              <w:t xml:space="preserve">or the </w:t>
            </w:r>
            <w:r>
              <w:rPr>
                <w:sz w:val="20"/>
                <w:szCs w:val="20"/>
              </w:rPr>
              <w:t>i</w:t>
            </w:r>
            <w:r w:rsidRPr="00BF2BFC">
              <w:rPr>
                <w:sz w:val="20"/>
                <w:szCs w:val="20"/>
              </w:rPr>
              <w:t>ntervener</w:t>
            </w:r>
            <w:r>
              <w:rPr>
                <w:sz w:val="20"/>
                <w:szCs w:val="20"/>
              </w:rPr>
              <w:t xml:space="preserve"> </w:t>
            </w:r>
            <w:r w:rsidRPr="00BF2BFC">
              <w:rPr>
                <w:sz w:val="20"/>
                <w:szCs w:val="20"/>
              </w:rPr>
              <w:t>David Asper Centre for Constitutional Rights</w:t>
            </w:r>
            <w:r>
              <w:rPr>
                <w:sz w:val="20"/>
                <w:szCs w:val="20"/>
              </w:rPr>
              <w:t>.</w:t>
            </w:r>
          </w:p>
          <w:p w:rsidR="006B31BA" w:rsidRPr="00BF2BFC" w:rsidRDefault="006B31BA" w:rsidP="006B31BA">
            <w:pPr>
              <w:jc w:val="both"/>
              <w:rPr>
                <w:sz w:val="20"/>
                <w:szCs w:val="20"/>
              </w:rPr>
            </w:pPr>
          </w:p>
          <w:p w:rsidR="006B31BA" w:rsidRDefault="006B31BA" w:rsidP="006B31BA">
            <w:pPr>
              <w:jc w:val="both"/>
              <w:rPr>
                <w:sz w:val="20"/>
                <w:szCs w:val="20"/>
              </w:rPr>
            </w:pPr>
            <w:r w:rsidRPr="00BF2BFC">
              <w:rPr>
                <w:sz w:val="20"/>
                <w:szCs w:val="20"/>
              </w:rPr>
              <w:t xml:space="preserve">Written submissions </w:t>
            </w:r>
            <w:r>
              <w:rPr>
                <w:sz w:val="20"/>
                <w:szCs w:val="20"/>
              </w:rPr>
              <w:t xml:space="preserve">only by </w:t>
            </w:r>
            <w:r w:rsidRPr="00BF2BFC">
              <w:rPr>
                <w:sz w:val="20"/>
                <w:szCs w:val="20"/>
              </w:rPr>
              <w:t>Justin Duncan</w:t>
            </w:r>
            <w:r>
              <w:rPr>
                <w:sz w:val="20"/>
                <w:szCs w:val="20"/>
              </w:rPr>
              <w:t xml:space="preserve"> and </w:t>
            </w:r>
            <w:r w:rsidRPr="00BF2BFC">
              <w:rPr>
                <w:sz w:val="20"/>
                <w:szCs w:val="20"/>
              </w:rPr>
              <w:t>Kaitlyn Mitchell</w:t>
            </w:r>
            <w:r>
              <w:rPr>
                <w:sz w:val="20"/>
                <w:szCs w:val="20"/>
              </w:rPr>
              <w:t xml:space="preserve"> f</w:t>
            </w:r>
            <w:r w:rsidRPr="00BF2BFC">
              <w:rPr>
                <w:sz w:val="20"/>
                <w:szCs w:val="20"/>
              </w:rPr>
              <w:t xml:space="preserve">or the </w:t>
            </w:r>
            <w:r>
              <w:rPr>
                <w:sz w:val="20"/>
                <w:szCs w:val="20"/>
              </w:rPr>
              <w:t>i</w:t>
            </w:r>
            <w:r w:rsidRPr="00BF2BFC">
              <w:rPr>
                <w:sz w:val="20"/>
                <w:szCs w:val="20"/>
              </w:rPr>
              <w:t>ntervener</w:t>
            </w:r>
            <w:r>
              <w:rPr>
                <w:sz w:val="20"/>
                <w:szCs w:val="20"/>
              </w:rPr>
              <w:t xml:space="preserve"> </w:t>
            </w:r>
            <w:r w:rsidRPr="00BF2BFC">
              <w:rPr>
                <w:sz w:val="20"/>
                <w:szCs w:val="20"/>
              </w:rPr>
              <w:t>Ecojustice Canada</w:t>
            </w:r>
            <w:r>
              <w:rPr>
                <w:sz w:val="20"/>
                <w:szCs w:val="20"/>
              </w:rPr>
              <w:t>.</w:t>
            </w:r>
          </w:p>
          <w:p w:rsidR="006B31BA" w:rsidRPr="00BF2BFC" w:rsidRDefault="006B31BA" w:rsidP="006B31BA">
            <w:pPr>
              <w:jc w:val="both"/>
              <w:rPr>
                <w:sz w:val="20"/>
                <w:szCs w:val="20"/>
              </w:rPr>
            </w:pPr>
            <w:r w:rsidRPr="00BF2BFC">
              <w:rPr>
                <w:sz w:val="20"/>
                <w:szCs w:val="20"/>
              </w:rPr>
              <w:t xml:space="preserve"> </w:t>
            </w:r>
          </w:p>
          <w:p w:rsidR="006B31BA" w:rsidRPr="00DC7008" w:rsidRDefault="006B31BA" w:rsidP="006B31BA">
            <w:pPr>
              <w:jc w:val="both"/>
              <w:rPr>
                <w:sz w:val="20"/>
                <w:szCs w:val="20"/>
              </w:rPr>
            </w:pPr>
            <w:r w:rsidRPr="00BF2BFC">
              <w:rPr>
                <w:sz w:val="20"/>
                <w:szCs w:val="20"/>
              </w:rPr>
              <w:t>Written submissions</w:t>
            </w:r>
            <w:r w:rsidRPr="00BF2BFC">
              <w:rPr>
                <w:sz w:val="20"/>
                <w:szCs w:val="20"/>
                <w:lang w:val="en-US"/>
              </w:rPr>
              <w:t xml:space="preserve"> </w:t>
            </w:r>
            <w:r>
              <w:rPr>
                <w:sz w:val="20"/>
                <w:szCs w:val="20"/>
                <w:lang w:val="en-US"/>
              </w:rPr>
              <w:t xml:space="preserve">by </w:t>
            </w:r>
            <w:r w:rsidRPr="00BF2BFC">
              <w:rPr>
                <w:sz w:val="20"/>
                <w:szCs w:val="20"/>
                <w:lang w:val="en-US"/>
              </w:rPr>
              <w:t>C. Tess Sheldon</w:t>
            </w:r>
            <w:r>
              <w:rPr>
                <w:sz w:val="20"/>
                <w:szCs w:val="20"/>
                <w:lang w:val="en-US"/>
              </w:rPr>
              <w:t xml:space="preserve"> and </w:t>
            </w:r>
            <w:r w:rsidRPr="00BF2BFC">
              <w:rPr>
                <w:sz w:val="20"/>
                <w:szCs w:val="20"/>
              </w:rPr>
              <w:t>Niamh Harraher</w:t>
            </w:r>
            <w:r>
              <w:rPr>
                <w:sz w:val="20"/>
                <w:szCs w:val="20"/>
                <w:lang w:val="en-US"/>
              </w:rPr>
              <w:t xml:space="preserve"> f</w:t>
            </w:r>
            <w:r w:rsidRPr="00BF2BFC">
              <w:rPr>
                <w:sz w:val="20"/>
                <w:szCs w:val="20"/>
              </w:rPr>
              <w:t xml:space="preserve">or the </w:t>
            </w:r>
            <w:r>
              <w:rPr>
                <w:sz w:val="20"/>
                <w:szCs w:val="20"/>
              </w:rPr>
              <w:t>i</w:t>
            </w:r>
            <w:r w:rsidRPr="00BF2BFC">
              <w:rPr>
                <w:sz w:val="20"/>
                <w:szCs w:val="20"/>
              </w:rPr>
              <w:t>nterveners</w:t>
            </w:r>
            <w:r>
              <w:rPr>
                <w:sz w:val="20"/>
                <w:szCs w:val="20"/>
              </w:rPr>
              <w:t xml:space="preserve"> </w:t>
            </w:r>
            <w:r w:rsidRPr="00BF2BFC">
              <w:rPr>
                <w:sz w:val="20"/>
                <w:szCs w:val="20"/>
              </w:rPr>
              <w:t>West Coast LEAF et al.</w:t>
            </w:r>
            <w:r w:rsidRPr="00BF2BFC">
              <w:rPr>
                <w:sz w:val="20"/>
                <w:szCs w:val="20"/>
              </w:rPr>
              <w:tab/>
            </w:r>
            <w:r w:rsidRPr="00BF2BFC">
              <w:rPr>
                <w:sz w:val="20"/>
                <w:szCs w:val="20"/>
              </w:rPr>
              <w:tab/>
            </w:r>
            <w:r w:rsidRPr="00DC7008">
              <w:rPr>
                <w:sz w:val="20"/>
                <w:szCs w:val="20"/>
              </w:rPr>
              <w:tab/>
            </w:r>
            <w:r w:rsidRPr="00DC7008">
              <w:rPr>
                <w:sz w:val="20"/>
                <w:szCs w:val="20"/>
              </w:rPr>
              <w:tab/>
            </w:r>
          </w:p>
          <w:p w:rsidR="006B31BA" w:rsidRPr="00BF2BFC" w:rsidRDefault="006B31BA" w:rsidP="006B31BA">
            <w:pPr>
              <w:jc w:val="both"/>
              <w:rPr>
                <w:sz w:val="20"/>
                <w:szCs w:val="20"/>
              </w:rPr>
            </w:pPr>
            <w:r w:rsidRPr="00BF2BFC">
              <w:rPr>
                <w:sz w:val="20"/>
                <w:szCs w:val="20"/>
              </w:rPr>
              <w:t xml:space="preserve">Written submissions </w:t>
            </w:r>
            <w:r>
              <w:rPr>
                <w:sz w:val="20"/>
                <w:szCs w:val="20"/>
              </w:rPr>
              <w:t xml:space="preserve">by </w:t>
            </w:r>
            <w:r w:rsidRPr="00BF2BFC">
              <w:rPr>
                <w:sz w:val="20"/>
                <w:szCs w:val="20"/>
              </w:rPr>
              <w:t>Lorne Waldman</w:t>
            </w:r>
            <w:r>
              <w:rPr>
                <w:sz w:val="20"/>
                <w:szCs w:val="20"/>
              </w:rPr>
              <w:t xml:space="preserve">, </w:t>
            </w:r>
            <w:r w:rsidRPr="00BF2BFC">
              <w:rPr>
                <w:sz w:val="20"/>
                <w:szCs w:val="20"/>
              </w:rPr>
              <w:t>Clare Crummey</w:t>
            </w:r>
            <w:r>
              <w:rPr>
                <w:sz w:val="20"/>
                <w:szCs w:val="20"/>
              </w:rPr>
              <w:t xml:space="preserve"> and </w:t>
            </w:r>
            <w:r w:rsidRPr="00BF2BFC">
              <w:rPr>
                <w:sz w:val="20"/>
                <w:szCs w:val="20"/>
              </w:rPr>
              <w:t>Tamara Morgenthau</w:t>
            </w:r>
            <w:r>
              <w:rPr>
                <w:sz w:val="20"/>
                <w:szCs w:val="20"/>
              </w:rPr>
              <w:t xml:space="preserve"> f</w:t>
            </w:r>
            <w:r w:rsidRPr="00BF2BFC">
              <w:rPr>
                <w:sz w:val="20"/>
                <w:szCs w:val="20"/>
              </w:rPr>
              <w:t xml:space="preserve">or the </w:t>
            </w:r>
            <w:r>
              <w:rPr>
                <w:sz w:val="20"/>
                <w:szCs w:val="20"/>
              </w:rPr>
              <w:t>i</w:t>
            </w:r>
            <w:r w:rsidRPr="00BF2BFC">
              <w:rPr>
                <w:sz w:val="20"/>
                <w:szCs w:val="20"/>
              </w:rPr>
              <w:t>nterveners</w:t>
            </w:r>
            <w:r>
              <w:rPr>
                <w:sz w:val="20"/>
                <w:szCs w:val="20"/>
              </w:rPr>
              <w:t xml:space="preserve"> </w:t>
            </w:r>
            <w:r w:rsidRPr="00BF2BFC">
              <w:rPr>
                <w:sz w:val="20"/>
                <w:szCs w:val="20"/>
              </w:rPr>
              <w:t>Canadian Association of Refugee Lawyers et al.</w:t>
            </w:r>
          </w:p>
          <w:p w:rsidR="006B31BA" w:rsidRPr="00BF2BFC" w:rsidRDefault="006B31BA" w:rsidP="006B31BA">
            <w:pPr>
              <w:jc w:val="both"/>
              <w:rPr>
                <w:sz w:val="20"/>
                <w:szCs w:val="20"/>
              </w:rPr>
            </w:pPr>
          </w:p>
          <w:p w:rsidR="006B31BA" w:rsidRDefault="006B31BA" w:rsidP="006B31BA">
            <w:pPr>
              <w:jc w:val="both"/>
              <w:rPr>
                <w:sz w:val="20"/>
                <w:szCs w:val="20"/>
                <w:lang w:val="en-US"/>
              </w:rPr>
            </w:pPr>
            <w:r w:rsidRPr="00BF2BFC">
              <w:rPr>
                <w:sz w:val="20"/>
                <w:szCs w:val="20"/>
                <w:lang w:val="en-US"/>
              </w:rPr>
              <w:t>Written submissions</w:t>
            </w:r>
            <w:r w:rsidRPr="00BF2BFC">
              <w:rPr>
                <w:sz w:val="20"/>
                <w:szCs w:val="20"/>
              </w:rPr>
              <w:t xml:space="preserve"> </w:t>
            </w:r>
            <w:r>
              <w:rPr>
                <w:sz w:val="20"/>
                <w:szCs w:val="20"/>
              </w:rPr>
              <w:t>only f</w:t>
            </w:r>
            <w:r w:rsidRPr="00BF2BFC">
              <w:rPr>
                <w:sz w:val="20"/>
                <w:szCs w:val="20"/>
                <w:lang w:val="en-US"/>
              </w:rPr>
              <w:t xml:space="preserve">or the </w:t>
            </w:r>
            <w:r>
              <w:rPr>
                <w:sz w:val="20"/>
                <w:szCs w:val="20"/>
                <w:lang w:val="en-US"/>
              </w:rPr>
              <w:t>i</w:t>
            </w:r>
            <w:r w:rsidRPr="00BF2BFC">
              <w:rPr>
                <w:sz w:val="20"/>
                <w:szCs w:val="20"/>
                <w:lang w:val="en-US"/>
              </w:rPr>
              <w:t>ntervener</w:t>
            </w:r>
            <w:r>
              <w:rPr>
                <w:sz w:val="20"/>
                <w:szCs w:val="20"/>
                <w:lang w:val="en-US"/>
              </w:rPr>
              <w:t xml:space="preserve"> </w:t>
            </w:r>
            <w:r w:rsidRPr="00BF2BFC">
              <w:rPr>
                <w:sz w:val="20"/>
                <w:szCs w:val="20"/>
                <w:lang w:val="en-US"/>
              </w:rPr>
              <w:t>Canadian Civil Liberties Association</w:t>
            </w:r>
            <w:r>
              <w:rPr>
                <w:sz w:val="20"/>
                <w:szCs w:val="20"/>
                <w:lang w:val="en-US"/>
              </w:rPr>
              <w:t>.</w:t>
            </w:r>
          </w:p>
          <w:p w:rsidR="006B31BA" w:rsidRDefault="006B31BA" w:rsidP="006B31BA">
            <w:pPr>
              <w:jc w:val="both"/>
              <w:rPr>
                <w:sz w:val="20"/>
                <w:szCs w:val="20"/>
                <w:lang w:val="en-US"/>
              </w:rPr>
            </w:pPr>
          </w:p>
          <w:p w:rsidR="006B31BA" w:rsidRDefault="006B31BA" w:rsidP="006B31BA">
            <w:pPr>
              <w:jc w:val="both"/>
              <w:rPr>
                <w:sz w:val="20"/>
                <w:szCs w:val="20"/>
              </w:rPr>
            </w:pPr>
            <w:r w:rsidRPr="00BF2BFC">
              <w:rPr>
                <w:sz w:val="20"/>
                <w:szCs w:val="20"/>
              </w:rPr>
              <w:t>Written submissions</w:t>
            </w:r>
            <w:r>
              <w:rPr>
                <w:sz w:val="20"/>
                <w:szCs w:val="20"/>
              </w:rPr>
              <w:t xml:space="preserve"> only f</w:t>
            </w:r>
            <w:r w:rsidRPr="00BF2BFC">
              <w:rPr>
                <w:sz w:val="20"/>
                <w:szCs w:val="20"/>
              </w:rPr>
              <w:t xml:space="preserve">or the </w:t>
            </w:r>
            <w:r>
              <w:rPr>
                <w:sz w:val="20"/>
                <w:szCs w:val="20"/>
              </w:rPr>
              <w:t>i</w:t>
            </w:r>
            <w:r w:rsidRPr="00BF2BFC">
              <w:rPr>
                <w:sz w:val="20"/>
                <w:szCs w:val="20"/>
              </w:rPr>
              <w:t>nterveners</w:t>
            </w:r>
            <w:r>
              <w:rPr>
                <w:sz w:val="20"/>
                <w:szCs w:val="20"/>
              </w:rPr>
              <w:t xml:space="preserve"> </w:t>
            </w:r>
            <w:r w:rsidRPr="00BF2BFC">
              <w:rPr>
                <w:sz w:val="20"/>
                <w:szCs w:val="20"/>
              </w:rPr>
              <w:t xml:space="preserve">Canadian </w:t>
            </w:r>
            <w:r w:rsidRPr="00BF2BFC">
              <w:rPr>
                <w:sz w:val="20"/>
                <w:szCs w:val="20"/>
              </w:rPr>
              <w:lastRenderedPageBreak/>
              <w:t>HIV / AIDS Legal Network et al.</w:t>
            </w:r>
          </w:p>
          <w:p w:rsidR="006B31BA" w:rsidRDefault="006B31BA" w:rsidP="006B31BA">
            <w:pPr>
              <w:jc w:val="both"/>
              <w:rPr>
                <w:sz w:val="20"/>
                <w:szCs w:val="20"/>
              </w:rPr>
            </w:pPr>
          </w:p>
          <w:p w:rsidR="007F36A7" w:rsidRPr="006B31BA" w:rsidRDefault="006B31BA" w:rsidP="006B31BA">
            <w:pPr>
              <w:jc w:val="both"/>
              <w:rPr>
                <w:sz w:val="20"/>
                <w:szCs w:val="20"/>
                <w:lang w:val="fr-CA"/>
              </w:rPr>
            </w:pPr>
            <w:r w:rsidRPr="00BF2BFC">
              <w:rPr>
                <w:sz w:val="20"/>
                <w:szCs w:val="20"/>
                <w:lang w:val="fr-CA"/>
              </w:rPr>
              <w:t>Soumission écrite</w:t>
            </w:r>
            <w:r>
              <w:rPr>
                <w:sz w:val="20"/>
                <w:szCs w:val="20"/>
                <w:lang w:val="fr-CA"/>
              </w:rPr>
              <w:t xml:space="preserve"> seulement p</w:t>
            </w:r>
            <w:r w:rsidRPr="00BF2BFC">
              <w:rPr>
                <w:sz w:val="20"/>
                <w:szCs w:val="20"/>
                <w:lang w:val="fr-CA"/>
              </w:rPr>
              <w:t>our l’intervenante</w:t>
            </w:r>
            <w:r>
              <w:rPr>
                <w:sz w:val="20"/>
                <w:szCs w:val="20"/>
                <w:lang w:val="fr-CA"/>
              </w:rPr>
              <w:t xml:space="preserve"> </w:t>
            </w:r>
            <w:r w:rsidRPr="00BF2BFC">
              <w:rPr>
                <w:sz w:val="20"/>
                <w:szCs w:val="20"/>
                <w:lang w:val="fr-CA"/>
              </w:rPr>
              <w:t>Conseil scolaire francophone de la Colombie-Britannique</w:t>
            </w:r>
            <w:r>
              <w:rPr>
                <w:sz w:val="20"/>
                <w:szCs w:val="20"/>
                <w:lang w:val="fr-CA"/>
              </w:rPr>
              <w:t>.</w:t>
            </w:r>
          </w:p>
        </w:tc>
      </w:tr>
    </w:tbl>
    <w:p w:rsidR="00845150" w:rsidRPr="006B31BA" w:rsidRDefault="00845150" w:rsidP="002A27D1">
      <w:pPr>
        <w:widowControl w:val="0"/>
        <w:rPr>
          <w:sz w:val="20"/>
          <w:szCs w:val="20"/>
          <w:lang w:val="fr-CA"/>
        </w:rPr>
      </w:pPr>
    </w:p>
    <w:p w:rsidR="00E84241" w:rsidRPr="0085476B" w:rsidRDefault="00E84241" w:rsidP="00E84241">
      <w:pPr>
        <w:widowControl w:val="0"/>
        <w:rPr>
          <w:sz w:val="20"/>
          <w:szCs w:val="20"/>
        </w:rPr>
      </w:pPr>
      <w:r w:rsidRPr="0085476B">
        <w:rPr>
          <w:b/>
          <w:sz w:val="20"/>
          <w:szCs w:val="20"/>
        </w:rPr>
        <w:t xml:space="preserve">RESERVED / </w:t>
      </w:r>
      <w:r w:rsidRPr="0085476B">
        <w:rPr>
          <w:b/>
          <w:sz w:val="20"/>
          <w:szCs w:val="20"/>
          <w:lang w:val="fr-CA"/>
        </w:rPr>
        <w:t>EN DÉLIBÉRÉ</w:t>
      </w:r>
    </w:p>
    <w:p w:rsidR="002A27D1" w:rsidRDefault="002A27D1" w:rsidP="002A27D1"/>
    <w:tbl>
      <w:tblPr>
        <w:tblW w:w="0" w:type="auto"/>
        <w:tblLayout w:type="fixed"/>
        <w:tblCellMar>
          <w:left w:w="0" w:type="dxa"/>
          <w:right w:w="0" w:type="dxa"/>
        </w:tblCellMar>
        <w:tblLook w:val="0000"/>
      </w:tblPr>
      <w:tblGrid>
        <w:gridCol w:w="4380"/>
        <w:gridCol w:w="720"/>
        <w:gridCol w:w="4380"/>
      </w:tblGrid>
      <w:tr w:rsidR="002A27D1" w:rsidRPr="00523F41" w:rsidTr="002A4AFA">
        <w:tc>
          <w:tcPr>
            <w:tcW w:w="4380" w:type="dxa"/>
            <w:tcMar>
              <w:left w:w="0" w:type="dxa"/>
              <w:right w:w="0" w:type="dxa"/>
            </w:tcMar>
          </w:tcPr>
          <w:p w:rsidR="002A27D1" w:rsidRPr="00CC4D84" w:rsidRDefault="002A27D1" w:rsidP="002A4AFA">
            <w:pPr>
              <w:widowControl w:val="0"/>
              <w:jc w:val="both"/>
              <w:rPr>
                <w:b/>
                <w:sz w:val="20"/>
                <w:szCs w:val="20"/>
                <w:u w:val="single"/>
              </w:rPr>
            </w:pPr>
            <w:r w:rsidRPr="00CC4D84">
              <w:rPr>
                <w:b/>
                <w:sz w:val="20"/>
                <w:szCs w:val="20"/>
                <w:u w:val="single"/>
              </w:rPr>
              <w:t>Nature of the case:</w:t>
            </w:r>
          </w:p>
          <w:p w:rsidR="002A27D1" w:rsidRPr="001A663B" w:rsidRDefault="002A27D1" w:rsidP="002A4AFA">
            <w:pPr>
              <w:widowControl w:val="0"/>
              <w:jc w:val="both"/>
              <w:rPr>
                <w:b/>
                <w:sz w:val="20"/>
                <w:szCs w:val="20"/>
              </w:rPr>
            </w:pPr>
          </w:p>
          <w:p w:rsidR="002A27D1" w:rsidRPr="00C1697B" w:rsidRDefault="00D85406" w:rsidP="002A4AFA">
            <w:pPr>
              <w:widowControl w:val="0"/>
              <w:jc w:val="both"/>
              <w:rPr>
                <w:b/>
                <w:sz w:val="20"/>
                <w:szCs w:val="20"/>
              </w:rPr>
            </w:pPr>
            <w:r w:rsidRPr="00745B6F">
              <w:rPr>
                <w:i/>
                <w:sz w:val="20"/>
                <w:szCs w:val="20"/>
              </w:rPr>
              <w:t>Charter of Rights</w:t>
            </w:r>
            <w:r w:rsidRPr="00745B6F">
              <w:rPr>
                <w:sz w:val="20"/>
                <w:szCs w:val="20"/>
              </w:rPr>
              <w:t xml:space="preserve"> </w:t>
            </w:r>
            <w:r w:rsidRPr="00745B6F">
              <w:rPr>
                <w:sz w:val="20"/>
                <w:szCs w:val="20"/>
              </w:rPr>
              <w:noBreakHyphen/>
              <w:t xml:space="preserve"> Civil Proceedings </w:t>
            </w:r>
            <w:r w:rsidRPr="00745B6F">
              <w:rPr>
                <w:sz w:val="20"/>
                <w:szCs w:val="20"/>
              </w:rPr>
              <w:noBreakHyphen/>
              <w:t xml:space="preserve"> Parties </w:t>
            </w:r>
            <w:r w:rsidRPr="00745B6F">
              <w:rPr>
                <w:sz w:val="20"/>
                <w:szCs w:val="20"/>
              </w:rPr>
              <w:noBreakHyphen/>
              <w:t xml:space="preserve"> Standing </w:t>
            </w:r>
            <w:r w:rsidRPr="00745B6F">
              <w:rPr>
                <w:sz w:val="20"/>
                <w:szCs w:val="20"/>
              </w:rPr>
              <w:noBreakHyphen/>
              <w:t xml:space="preserve"> Test for public interest standing</w:t>
            </w:r>
            <w:r w:rsidRPr="00745B6F">
              <w:rPr>
                <w:sz w:val="20"/>
                <w:szCs w:val="20"/>
              </w:rPr>
              <w:noBreakHyphen/>
              <w:t xml:space="preserve"> Parameters for granting public interest standing </w:t>
            </w:r>
            <w:r w:rsidRPr="00745B6F">
              <w:rPr>
                <w:sz w:val="20"/>
                <w:szCs w:val="20"/>
              </w:rPr>
              <w:noBreakHyphen/>
              <w:t xml:space="preserve"> Assessing whether there is another reasonable and effective way to bring constitutional issues before courts for the purposes of determining whether to grant public interest standing </w:t>
            </w:r>
            <w:r w:rsidRPr="00745B6F">
              <w:rPr>
                <w:sz w:val="20"/>
                <w:szCs w:val="20"/>
              </w:rPr>
              <w:noBreakHyphen/>
              <w:t xml:space="preserve"> Circumstances in which public interest litigants can bring challenges to government legislation or action </w:t>
            </w:r>
            <w:r w:rsidRPr="00745B6F">
              <w:rPr>
                <w:sz w:val="20"/>
                <w:szCs w:val="20"/>
              </w:rPr>
              <w:noBreakHyphen/>
              <w:t xml:space="preserve"> Relevance of the nature of the constitutional challenge to the assessment of whether there are other reasonable means by which a challenge may be brought </w:t>
            </w:r>
            <w:r w:rsidRPr="00745B6F">
              <w:rPr>
                <w:sz w:val="20"/>
                <w:szCs w:val="20"/>
              </w:rPr>
              <w:noBreakHyphen/>
              <w:t xml:space="preserve"> Whether the Court of Appeal misinterpreted and unjustifiably relaxed the requirement that public interest standing only be granted if there is no other reasonable or effective manner to bring the issue to court </w:t>
            </w:r>
            <w:r w:rsidRPr="00745B6F">
              <w:rPr>
                <w:sz w:val="20"/>
                <w:szCs w:val="20"/>
              </w:rPr>
              <w:noBreakHyphen/>
              <w:t xml:space="preserve"> Whether the Court of Appeal erred in finding that the respondents had raised a serious question to be tried with respect to the constitutionality of s. 213(1)(c) of the </w:t>
            </w:r>
            <w:r w:rsidRPr="00745B6F">
              <w:rPr>
                <w:i/>
                <w:sz w:val="20"/>
                <w:szCs w:val="20"/>
              </w:rPr>
              <w:t>Criminal Code</w:t>
            </w:r>
            <w:r w:rsidRPr="00745B6F">
              <w:rPr>
                <w:sz w:val="20"/>
                <w:szCs w:val="20"/>
              </w:rPr>
              <w:t>, R.S.C. 1985, c. C</w:t>
            </w:r>
            <w:r w:rsidRPr="00745B6F">
              <w:rPr>
                <w:sz w:val="20"/>
                <w:szCs w:val="20"/>
              </w:rPr>
              <w:noBreakHyphen/>
              <w:t>46.</w:t>
            </w:r>
          </w:p>
        </w:tc>
        <w:tc>
          <w:tcPr>
            <w:tcW w:w="720" w:type="dxa"/>
            <w:tcMar>
              <w:left w:w="0" w:type="dxa"/>
              <w:right w:w="0" w:type="dxa"/>
            </w:tcMar>
          </w:tcPr>
          <w:p w:rsidR="002A27D1" w:rsidRPr="00C1697B" w:rsidRDefault="002A27D1" w:rsidP="002A4AFA">
            <w:pPr>
              <w:widowControl w:val="0"/>
              <w:jc w:val="center"/>
              <w:rPr>
                <w:sz w:val="20"/>
                <w:szCs w:val="20"/>
              </w:rPr>
            </w:pPr>
          </w:p>
        </w:tc>
        <w:tc>
          <w:tcPr>
            <w:tcW w:w="4380" w:type="dxa"/>
            <w:tcMar>
              <w:left w:w="0" w:type="dxa"/>
              <w:right w:w="0" w:type="dxa"/>
            </w:tcMar>
          </w:tcPr>
          <w:p w:rsidR="002A27D1" w:rsidRPr="00CC4D84" w:rsidRDefault="002A27D1" w:rsidP="002A4AFA">
            <w:pPr>
              <w:widowControl w:val="0"/>
              <w:jc w:val="both"/>
              <w:rPr>
                <w:b/>
                <w:sz w:val="20"/>
                <w:szCs w:val="20"/>
                <w:u w:val="single"/>
                <w:lang w:val="fr-CA"/>
              </w:rPr>
            </w:pPr>
            <w:r w:rsidRPr="00CC4D84">
              <w:rPr>
                <w:b/>
                <w:sz w:val="20"/>
                <w:szCs w:val="20"/>
                <w:u w:val="single"/>
                <w:lang w:val="fr-CA"/>
              </w:rPr>
              <w:t>Nature de la cause :</w:t>
            </w:r>
          </w:p>
          <w:p w:rsidR="002A27D1" w:rsidRDefault="002A27D1" w:rsidP="002A4AFA">
            <w:pPr>
              <w:widowControl w:val="0"/>
              <w:jc w:val="both"/>
              <w:rPr>
                <w:sz w:val="20"/>
                <w:szCs w:val="20"/>
                <w:lang w:val="fr-CA"/>
              </w:rPr>
            </w:pPr>
          </w:p>
          <w:p w:rsidR="006C02EF" w:rsidRPr="00C1697B" w:rsidRDefault="006C02EF" w:rsidP="002A4AFA">
            <w:pPr>
              <w:widowControl w:val="0"/>
              <w:jc w:val="both"/>
              <w:rPr>
                <w:sz w:val="20"/>
                <w:szCs w:val="20"/>
                <w:lang w:val="fr-CA"/>
              </w:rPr>
            </w:pPr>
            <w:r w:rsidRPr="00941F41">
              <w:rPr>
                <w:i/>
                <w:iCs/>
                <w:sz w:val="20"/>
                <w:szCs w:val="20"/>
                <w:lang w:val="fr-CA"/>
              </w:rPr>
              <w:t xml:space="preserve">Charte des droits </w:t>
            </w:r>
            <w:r w:rsidRPr="00941F41">
              <w:rPr>
                <w:sz w:val="20"/>
                <w:szCs w:val="20"/>
                <w:lang w:val="fr-CA"/>
              </w:rPr>
              <w:noBreakHyphen/>
              <w:t xml:space="preserve"> Instance civile </w:t>
            </w:r>
            <w:r w:rsidRPr="00941F41">
              <w:rPr>
                <w:sz w:val="20"/>
                <w:szCs w:val="20"/>
                <w:lang w:val="fr-CA"/>
              </w:rPr>
              <w:noBreakHyphen/>
              <w:t xml:space="preserve"> Parties </w:t>
            </w:r>
            <w:r w:rsidRPr="00941F41">
              <w:rPr>
                <w:sz w:val="20"/>
                <w:szCs w:val="20"/>
                <w:lang w:val="fr-CA"/>
              </w:rPr>
              <w:noBreakHyphen/>
              <w:t xml:space="preserve"> Qualité pour agir </w:t>
            </w:r>
            <w:r w:rsidRPr="00941F41">
              <w:rPr>
                <w:sz w:val="20"/>
                <w:szCs w:val="20"/>
                <w:lang w:val="fr-CA"/>
              </w:rPr>
              <w:noBreakHyphen/>
              <w:t xml:space="preserve"> Critère pour déterminer la qualité pour agir dans l'intérêt public </w:t>
            </w:r>
            <w:r w:rsidRPr="00941F41">
              <w:rPr>
                <w:sz w:val="20"/>
                <w:szCs w:val="20"/>
                <w:lang w:val="fr-CA"/>
              </w:rPr>
              <w:noBreakHyphen/>
              <w:t xml:space="preserve"> Paramètres pour accorder la qualité pour agir dans l'intérêt public </w:t>
            </w:r>
            <w:r w:rsidRPr="00941F41">
              <w:rPr>
                <w:sz w:val="20"/>
                <w:szCs w:val="20"/>
                <w:lang w:val="fr-CA"/>
              </w:rPr>
              <w:noBreakHyphen/>
            </w:r>
            <w:r w:rsidRPr="00941F41">
              <w:rPr>
                <w:color w:val="000000"/>
                <w:sz w:val="20"/>
                <w:szCs w:val="20"/>
                <w:lang w:val="fr-CA"/>
              </w:rPr>
              <w:t xml:space="preserve"> </w:t>
            </w:r>
            <w:r w:rsidRPr="007C3ABA">
              <w:rPr>
                <w:sz w:val="20"/>
                <w:szCs w:val="20"/>
                <w:lang w:val="fr-CA"/>
              </w:rPr>
              <w:t>Évaluation de la question de savoir s'il y a une autre manière raisonnable et efficace de soumettre des questions constitutionnelles aux tribunaux afin de déterminer s'il y a lieu d'accorder la qualité pour agir dans l'intérêt public</w:t>
            </w:r>
            <w:r w:rsidRPr="00941F41">
              <w:rPr>
                <w:color w:val="000000"/>
                <w:sz w:val="20"/>
                <w:szCs w:val="20"/>
                <w:lang w:val="fr-CA"/>
              </w:rPr>
              <w:t xml:space="preserve"> </w:t>
            </w:r>
            <w:r w:rsidRPr="00941F41">
              <w:rPr>
                <w:sz w:val="20"/>
                <w:szCs w:val="20"/>
                <w:lang w:val="fr-CA"/>
              </w:rPr>
              <w:noBreakHyphen/>
              <w:t xml:space="preserve"> Circonstances dans lesquelles les plaideurs ayant la qualité pour agir dans l'intérêt public peuvent contester des lois ou des mesures gouvernementales </w:t>
            </w:r>
            <w:r w:rsidRPr="00941F41">
              <w:rPr>
                <w:sz w:val="20"/>
                <w:szCs w:val="20"/>
                <w:lang w:val="fr-CA"/>
              </w:rPr>
              <w:noBreakHyphen/>
              <w:t xml:space="preserve"> Pertinence de la nature de la contestation constitutionnelle dans l'évaluation de la question de savoir s'il y a d'autres moyens raisonnables d'introduire la contestation </w:t>
            </w:r>
            <w:r w:rsidRPr="00941F41">
              <w:rPr>
                <w:sz w:val="20"/>
                <w:szCs w:val="20"/>
                <w:lang w:val="fr-CA"/>
              </w:rPr>
              <w:noBreakHyphen/>
              <w:t xml:space="preserve"> La Cour d'appel a</w:t>
            </w:r>
            <w:r w:rsidRPr="00941F41">
              <w:rPr>
                <w:sz w:val="20"/>
                <w:szCs w:val="20"/>
                <w:lang w:val="fr-CA"/>
              </w:rPr>
              <w:noBreakHyphen/>
              <w:t>t</w:t>
            </w:r>
            <w:r w:rsidRPr="00941F41">
              <w:rPr>
                <w:sz w:val="20"/>
                <w:szCs w:val="20"/>
                <w:lang w:val="fr-CA"/>
              </w:rPr>
              <w:noBreakHyphen/>
              <w:t xml:space="preserve">elle mal interprété et indûment assoupli l’exigence selon laquelle la qualité pour agir dans l'intérêt public ne devrait être reconnue que s’il n’y a aucune autre manière raisonnable ou efficace de soumettre la question au tribunal? </w:t>
            </w:r>
            <w:r w:rsidRPr="00941F41">
              <w:rPr>
                <w:sz w:val="20"/>
                <w:szCs w:val="20"/>
                <w:lang w:val="fr-CA"/>
              </w:rPr>
              <w:noBreakHyphen/>
              <w:t xml:space="preserve"> La Cour d’appel a</w:t>
            </w:r>
            <w:r w:rsidRPr="00941F41">
              <w:rPr>
                <w:sz w:val="20"/>
                <w:szCs w:val="20"/>
                <w:lang w:val="fr-CA"/>
              </w:rPr>
              <w:noBreakHyphen/>
              <w:t>t</w:t>
            </w:r>
            <w:r w:rsidRPr="00941F41">
              <w:rPr>
                <w:sz w:val="20"/>
                <w:szCs w:val="20"/>
                <w:lang w:val="fr-CA"/>
              </w:rPr>
              <w:noBreakHyphen/>
              <w:t>elle eu tort de conclure que les intimées avaient soulevé une question sérieuse à juger relativement à la constitutionnalité de l’al. 213(1)</w:t>
            </w:r>
            <w:r w:rsidRPr="00941F41">
              <w:rPr>
                <w:i/>
                <w:sz w:val="20"/>
                <w:szCs w:val="20"/>
                <w:lang w:val="fr-CA"/>
              </w:rPr>
              <w:t>c</w:t>
            </w:r>
            <w:r w:rsidRPr="00941F41">
              <w:rPr>
                <w:sz w:val="20"/>
                <w:szCs w:val="20"/>
                <w:lang w:val="fr-CA"/>
              </w:rPr>
              <w:t xml:space="preserve">) du </w:t>
            </w:r>
            <w:r w:rsidRPr="00941F41">
              <w:rPr>
                <w:i/>
                <w:sz w:val="20"/>
                <w:szCs w:val="20"/>
                <w:lang w:val="fr-CA"/>
              </w:rPr>
              <w:t>Code criminel</w:t>
            </w:r>
            <w:r w:rsidRPr="00941F41">
              <w:rPr>
                <w:sz w:val="20"/>
                <w:szCs w:val="20"/>
                <w:lang w:val="fr-CA"/>
              </w:rPr>
              <w:t>, L.R.C. 1985, ch. C</w:t>
            </w:r>
            <w:r w:rsidRPr="00941F41">
              <w:rPr>
                <w:sz w:val="20"/>
                <w:szCs w:val="20"/>
                <w:lang w:val="fr-CA"/>
              </w:rPr>
              <w:noBreakHyphen/>
              <w:t>46?</w:t>
            </w:r>
          </w:p>
        </w:tc>
      </w:tr>
    </w:tbl>
    <w:p w:rsidR="002A27D1" w:rsidRDefault="002A27D1" w:rsidP="002A27D1">
      <w:pPr>
        <w:widowControl w:val="0"/>
        <w:rPr>
          <w:sz w:val="20"/>
          <w:szCs w:val="20"/>
          <w:lang w:val="fr-CA"/>
        </w:rPr>
      </w:pPr>
    </w:p>
    <w:p w:rsidR="00E940EB" w:rsidRPr="00C1697B" w:rsidRDefault="00BF59B3" w:rsidP="00732DB7">
      <w:pPr>
        <w:widowControl w:val="0"/>
        <w:rPr>
          <w:sz w:val="20"/>
          <w:szCs w:val="20"/>
          <w:lang w:val="fr-CA"/>
        </w:rPr>
      </w:pPr>
      <w:r w:rsidRPr="00BF59B3">
        <w:rPr>
          <w:sz w:val="20"/>
          <w:szCs w:val="20"/>
          <w:lang w:val="fr-CA"/>
        </w:rPr>
        <w:pict>
          <v:rect id="_x0000_i1074" style="width:2in;height:1pt" o:hrpct="0" o:hralign="center" o:hrstd="t" o:hrnoshade="t" o:hr="t" fillcolor="black [3213]" stroked="f"/>
        </w:pict>
      </w: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C5295A"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Default="00FF6EEC" w:rsidP="00FF6EEC">
      <w:pPr>
        <w:rPr>
          <w:sz w:val="20"/>
          <w:szCs w:val="20"/>
          <w:lang w:val="fr-CA"/>
        </w:rPr>
      </w:pPr>
    </w:p>
    <w:p w:rsidR="006E63EA" w:rsidRPr="00551EF4" w:rsidRDefault="006E63EA" w:rsidP="00FF6EEC">
      <w:pPr>
        <w:rPr>
          <w:b/>
          <w:sz w:val="20"/>
          <w:szCs w:val="20"/>
        </w:rPr>
      </w:pPr>
      <w:r w:rsidRPr="00551EF4">
        <w:rPr>
          <w:b/>
          <w:sz w:val="20"/>
          <w:szCs w:val="20"/>
        </w:rPr>
        <w:t>JANUARY 20, 2012 / LE 20 JANVIER 2012</w:t>
      </w:r>
    </w:p>
    <w:p w:rsidR="006E63EA" w:rsidRPr="00551EF4" w:rsidRDefault="006E63EA" w:rsidP="00FF6EEC">
      <w:pPr>
        <w:rPr>
          <w:sz w:val="20"/>
          <w:szCs w:val="20"/>
        </w:rPr>
      </w:pPr>
    </w:p>
    <w:p w:rsidR="003A0637" w:rsidRPr="003947DF" w:rsidRDefault="003A0637" w:rsidP="003A0637">
      <w:pPr>
        <w:ind w:left="1440" w:hanging="1440"/>
        <w:jc w:val="both"/>
        <w:rPr>
          <w:rFonts w:eastAsia="Calibri" w:cs="Times New Roman"/>
          <w:sz w:val="20"/>
          <w:szCs w:val="20"/>
        </w:rPr>
      </w:pPr>
      <w:r w:rsidRPr="003947DF">
        <w:rPr>
          <w:rFonts w:eastAsia="Calibri" w:cs="Times New Roman"/>
          <w:b/>
          <w:sz w:val="20"/>
          <w:szCs w:val="20"/>
        </w:rPr>
        <w:t>33744</w:t>
      </w:r>
      <w:r w:rsidRPr="003947DF">
        <w:rPr>
          <w:rFonts w:eastAsia="Calibri" w:cs="Times New Roman"/>
          <w:sz w:val="20"/>
          <w:szCs w:val="20"/>
        </w:rPr>
        <w:tab/>
      </w:r>
      <w:r w:rsidRPr="003947DF">
        <w:rPr>
          <w:rFonts w:eastAsia="Calibri" w:cs="Times New Roman"/>
          <w:b/>
          <w:iCs/>
          <w:sz w:val="20"/>
          <w:szCs w:val="20"/>
          <w:u w:val="single"/>
        </w:rPr>
        <w:t>Catalyst Paper Corporation v. Corporation of the District of North Cowichan</w:t>
      </w:r>
      <w:r w:rsidRPr="003947DF">
        <w:rPr>
          <w:rFonts w:eastAsia="Calibri" w:cs="Times New Roman"/>
          <w:b/>
          <w:iCs/>
          <w:sz w:val="20"/>
          <w:szCs w:val="20"/>
        </w:rPr>
        <w:t xml:space="preserve"> </w:t>
      </w:r>
      <w:r w:rsidRPr="003947DF">
        <w:rPr>
          <w:rFonts w:eastAsia="Calibri" w:cs="Times New Roman"/>
          <w:iCs/>
          <w:sz w:val="20"/>
          <w:szCs w:val="20"/>
        </w:rPr>
        <w:t>(B.C.)</w:t>
      </w:r>
    </w:p>
    <w:p w:rsidR="003A0637" w:rsidRPr="003947DF" w:rsidRDefault="003A0637" w:rsidP="003A0637">
      <w:pPr>
        <w:ind w:left="1440"/>
        <w:jc w:val="both"/>
        <w:rPr>
          <w:rFonts w:eastAsia="Calibri" w:cs="Times New Roman"/>
          <w:b/>
          <w:sz w:val="20"/>
          <w:szCs w:val="20"/>
        </w:rPr>
      </w:pPr>
      <w:r w:rsidRPr="003947DF">
        <w:rPr>
          <w:rFonts w:eastAsia="Calibri" w:cs="Times New Roman"/>
          <w:b/>
          <w:sz w:val="20"/>
          <w:szCs w:val="20"/>
        </w:rPr>
        <w:t>2012 SCC 2 / 2012 CSC 2</w:t>
      </w:r>
    </w:p>
    <w:p w:rsidR="006E63EA" w:rsidRPr="003A0637" w:rsidRDefault="006E63EA" w:rsidP="00FF6EEC">
      <w:pPr>
        <w:rPr>
          <w:sz w:val="20"/>
          <w:szCs w:val="20"/>
        </w:rPr>
      </w:pPr>
    </w:p>
    <w:p w:rsidR="003A0637" w:rsidRPr="003947DF" w:rsidRDefault="003A0637" w:rsidP="003A0637">
      <w:pPr>
        <w:ind w:left="1440" w:hanging="1440"/>
        <w:jc w:val="both"/>
        <w:rPr>
          <w:rFonts w:eastAsia="Calibri" w:cs="Times New Roman"/>
          <w:sz w:val="20"/>
          <w:szCs w:val="20"/>
          <w:u w:val="single"/>
        </w:rPr>
      </w:pPr>
      <w:r w:rsidRPr="003947DF">
        <w:rPr>
          <w:rFonts w:eastAsia="Calibri" w:cs="Times New Roman"/>
          <w:sz w:val="20"/>
          <w:szCs w:val="20"/>
        </w:rPr>
        <w:t>Coram:</w:t>
      </w:r>
      <w:r>
        <w:rPr>
          <w:sz w:val="20"/>
          <w:szCs w:val="20"/>
        </w:rPr>
        <w:tab/>
      </w:r>
      <w:r w:rsidRPr="003947DF">
        <w:rPr>
          <w:rFonts w:eastAsia="Calibri" w:cs="Times New Roman"/>
          <w:sz w:val="20"/>
          <w:szCs w:val="20"/>
          <w:u w:val="single"/>
        </w:rPr>
        <w:t>McLachlin C.J. and LeBel, Deschamps, Fish, Abella, Rothstein and Cromwell JJ.</w:t>
      </w:r>
    </w:p>
    <w:p w:rsidR="006E63EA" w:rsidRPr="003A0637" w:rsidRDefault="006E63EA" w:rsidP="00FF6EEC">
      <w:pPr>
        <w:rPr>
          <w:sz w:val="20"/>
          <w:szCs w:val="20"/>
        </w:rPr>
      </w:pPr>
    </w:p>
    <w:p w:rsidR="003A0637" w:rsidRPr="003947DF" w:rsidRDefault="003A0637" w:rsidP="003A0637">
      <w:pPr>
        <w:jc w:val="both"/>
        <w:rPr>
          <w:rFonts w:eastAsia="Calibri" w:cs="Times New Roman"/>
          <w:sz w:val="20"/>
          <w:szCs w:val="20"/>
        </w:rPr>
      </w:pPr>
      <w:r w:rsidRPr="003947DF">
        <w:rPr>
          <w:rFonts w:eastAsia="Calibri" w:cs="Times New Roman"/>
          <w:sz w:val="20"/>
          <w:szCs w:val="20"/>
        </w:rPr>
        <w:t>The appeal from the judgment of the Court of Appeal for British Columbia (Vancouver), Number CA037651, 2010 BCCA 199, dated April 22, 2010, heard on October 18, 2011, is dismissed with costs.</w:t>
      </w:r>
    </w:p>
    <w:p w:rsidR="003A0637" w:rsidRPr="003947DF" w:rsidRDefault="003A0637" w:rsidP="003A0637">
      <w:pPr>
        <w:jc w:val="both"/>
        <w:rPr>
          <w:rFonts w:eastAsia="Calibri" w:cs="Times New Roman"/>
          <w:sz w:val="20"/>
          <w:szCs w:val="20"/>
        </w:rPr>
      </w:pPr>
    </w:p>
    <w:p w:rsidR="003A0637" w:rsidRPr="003947DF" w:rsidRDefault="003A0637" w:rsidP="003A0637">
      <w:pPr>
        <w:jc w:val="both"/>
        <w:rPr>
          <w:rFonts w:eastAsia="Calibri" w:cs="Times New Roman"/>
          <w:sz w:val="20"/>
          <w:szCs w:val="20"/>
          <w:lang w:val="fr-CA"/>
        </w:rPr>
      </w:pPr>
      <w:r w:rsidRPr="003947DF">
        <w:rPr>
          <w:rFonts w:eastAsia="Calibri" w:cs="Times New Roman"/>
          <w:sz w:val="20"/>
          <w:szCs w:val="20"/>
          <w:lang w:val="fr-CA"/>
        </w:rPr>
        <w:t>L’appel interjeté contre l’arrêt de la Cour d’appel de la Colombie-Britannique (Vancouver), numéro CA037651, 2010 BCCA 199, en date du 22 avril 2010, entendu le 18 octobre 2011, est rejeté avec dépens.</w:t>
      </w:r>
    </w:p>
    <w:p w:rsidR="00AF1715" w:rsidRPr="003B3977" w:rsidRDefault="00AF1715" w:rsidP="00AF1715">
      <w:pPr>
        <w:rPr>
          <w:sz w:val="20"/>
          <w:szCs w:val="20"/>
          <w:lang w:val="fr-CA"/>
        </w:rPr>
      </w:pPr>
    </w:p>
    <w:p w:rsidR="00AF1715" w:rsidRPr="003B3977" w:rsidRDefault="00BF59B3" w:rsidP="00AF1715">
      <w:pPr>
        <w:spacing w:line="0" w:lineRule="atLeast"/>
        <w:rPr>
          <w:sz w:val="20"/>
          <w:szCs w:val="20"/>
        </w:rPr>
      </w:pPr>
      <w:r w:rsidRPr="00BF59B3">
        <w:rPr>
          <w:b/>
          <w:sz w:val="20"/>
          <w:szCs w:val="20"/>
        </w:rPr>
        <w:pict>
          <v:rect id="_x0000_i1077"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19" w:lineRule="auto"/>
        <w:jc w:val="both"/>
        <w:rPr>
          <w:rFonts w:cs="Times New Roman"/>
          <w:sz w:val="20"/>
          <w:szCs w:val="20"/>
        </w:rPr>
      </w:pPr>
    </w:p>
    <w:p w:rsidR="00AF1715" w:rsidRPr="006C5F7A" w:rsidRDefault="00AF1715" w:rsidP="00A04B4C">
      <w:pPr>
        <w:jc w:val="both"/>
        <w:rPr>
          <w:rFonts w:cs="Times New Roman"/>
          <w:sz w:val="20"/>
          <w:szCs w:val="20"/>
        </w:rPr>
      </w:pPr>
    </w:p>
    <w:p w:rsidR="00AF1715" w:rsidRPr="006C5F7A" w:rsidRDefault="00AF1715" w:rsidP="00A04B4C">
      <w:pPr>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Default="003B3977" w:rsidP="005C6840">
      <w:pPr>
        <w:rPr>
          <w:rFonts w:cs="Times New Roman"/>
          <w:i/>
          <w:sz w:val="20"/>
          <w:szCs w:val="20"/>
        </w:rPr>
      </w:pPr>
    </w:p>
    <w:p w:rsidR="00340741" w:rsidRPr="00E928B4" w:rsidRDefault="00340741" w:rsidP="00340741">
      <w:pPr>
        <w:rPr>
          <w:rFonts w:eastAsia="Calibri" w:cs="Times New Roman"/>
          <w:sz w:val="20"/>
          <w:szCs w:val="20"/>
        </w:rPr>
      </w:pPr>
      <w:r w:rsidRPr="00E928B4">
        <w:rPr>
          <w:rFonts w:eastAsia="Calibri" w:cs="Times New Roman"/>
          <w:i/>
          <w:sz w:val="20"/>
          <w:szCs w:val="20"/>
        </w:rPr>
        <w:t xml:space="preserve">Catalyst Paper Corporation v. Corporation of the District of North Cowichan </w:t>
      </w:r>
      <w:r w:rsidRPr="00E928B4">
        <w:rPr>
          <w:rFonts w:eastAsia="Calibri" w:cs="Times New Roman"/>
          <w:sz w:val="20"/>
          <w:szCs w:val="20"/>
        </w:rPr>
        <w:t>(B.C.) (33744)</w:t>
      </w:r>
    </w:p>
    <w:p w:rsidR="008D50E0" w:rsidRPr="00481F39" w:rsidRDefault="008D50E0" w:rsidP="008D50E0">
      <w:pPr>
        <w:jc w:val="both"/>
        <w:rPr>
          <w:b/>
          <w:sz w:val="20"/>
          <w:szCs w:val="20"/>
        </w:rPr>
      </w:pPr>
      <w:r w:rsidRPr="00481F39">
        <w:rPr>
          <w:b/>
          <w:sz w:val="20"/>
          <w:szCs w:val="20"/>
        </w:rPr>
        <w:t>Indexed as:  Catalyst Paper Corp. </w:t>
      </w:r>
      <w:r w:rsidRPr="00481F39">
        <w:rPr>
          <w:b/>
          <w:i/>
          <w:sz w:val="20"/>
          <w:szCs w:val="20"/>
        </w:rPr>
        <w:t>v.</w:t>
      </w:r>
      <w:r w:rsidRPr="00481F39">
        <w:rPr>
          <w:b/>
          <w:sz w:val="20"/>
          <w:szCs w:val="20"/>
        </w:rPr>
        <w:t xml:space="preserve"> North Cowichan (District)</w:t>
      </w:r>
      <w:r>
        <w:rPr>
          <w:b/>
          <w:sz w:val="20"/>
          <w:szCs w:val="20"/>
        </w:rPr>
        <w:t xml:space="preserve"> /</w:t>
      </w:r>
    </w:p>
    <w:p w:rsidR="008D50E0" w:rsidRPr="00777163" w:rsidRDefault="008D50E0" w:rsidP="008D50E0">
      <w:pPr>
        <w:jc w:val="both"/>
        <w:rPr>
          <w:b/>
          <w:sz w:val="20"/>
          <w:szCs w:val="20"/>
          <w:lang w:val="en-US"/>
        </w:rPr>
      </w:pPr>
      <w:r w:rsidRPr="00777163">
        <w:rPr>
          <w:b/>
          <w:sz w:val="20"/>
          <w:szCs w:val="20"/>
          <w:lang w:val="en-US"/>
        </w:rPr>
        <w:t>Répertorié : Catalyst Paper Corp. </w:t>
      </w:r>
      <w:r w:rsidRPr="00777163">
        <w:rPr>
          <w:b/>
          <w:i/>
          <w:sz w:val="20"/>
          <w:szCs w:val="20"/>
          <w:lang w:val="en-US"/>
        </w:rPr>
        <w:t>c.</w:t>
      </w:r>
      <w:r w:rsidRPr="00777163">
        <w:rPr>
          <w:b/>
          <w:sz w:val="20"/>
          <w:szCs w:val="20"/>
          <w:lang w:val="en-US"/>
        </w:rPr>
        <w:t xml:space="preserve"> North Cowichan (District) </w:t>
      </w:r>
    </w:p>
    <w:p w:rsidR="005C6840" w:rsidRPr="003B3977" w:rsidRDefault="005C6840" w:rsidP="005C6840">
      <w:pPr>
        <w:pStyle w:val="SCCSystemYear"/>
        <w:jc w:val="both"/>
        <w:rPr>
          <w:sz w:val="20"/>
        </w:rPr>
      </w:pPr>
      <w:r w:rsidRPr="003B3977">
        <w:rPr>
          <w:sz w:val="20"/>
        </w:rPr>
        <w:t>Neutral citation:  201</w:t>
      </w:r>
      <w:r w:rsidR="00340741">
        <w:rPr>
          <w:sz w:val="20"/>
        </w:rPr>
        <w:t>2</w:t>
      </w:r>
      <w:r w:rsidRPr="003B3977">
        <w:rPr>
          <w:sz w:val="20"/>
        </w:rPr>
        <w:t xml:space="preserve"> SCC </w:t>
      </w:r>
      <w:r w:rsidR="00340741">
        <w:rPr>
          <w:sz w:val="20"/>
        </w:rPr>
        <w:t>2</w:t>
      </w:r>
      <w:r w:rsidRPr="003B3977">
        <w:rPr>
          <w:sz w:val="20"/>
        </w:rPr>
        <w:t xml:space="preserve"> / Référence neutre : 201</w:t>
      </w:r>
      <w:r w:rsidR="00340741">
        <w:rPr>
          <w:sz w:val="20"/>
        </w:rPr>
        <w:t>2</w:t>
      </w:r>
      <w:r w:rsidRPr="003B3977">
        <w:rPr>
          <w:sz w:val="20"/>
        </w:rPr>
        <w:t xml:space="preserve"> CSC </w:t>
      </w:r>
      <w:r w:rsidR="00340741">
        <w:rPr>
          <w:sz w:val="20"/>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October </w:t>
      </w:r>
      <w:r w:rsidR="008D50E0">
        <w:rPr>
          <w:rFonts w:cs="Times New Roman"/>
          <w:sz w:val="20"/>
          <w:szCs w:val="20"/>
          <w:lang w:val="fr-CA"/>
        </w:rPr>
        <w:t>1</w:t>
      </w:r>
      <w:r w:rsidRPr="003B3977">
        <w:rPr>
          <w:rFonts w:cs="Times New Roman"/>
          <w:sz w:val="20"/>
          <w:szCs w:val="20"/>
          <w:lang w:val="fr-CA"/>
        </w:rPr>
        <w:t>8, 201</w:t>
      </w:r>
      <w:r w:rsidR="008D50E0">
        <w:rPr>
          <w:rFonts w:cs="Times New Roman"/>
          <w:sz w:val="20"/>
          <w:szCs w:val="20"/>
          <w:lang w:val="fr-CA"/>
        </w:rPr>
        <w:t>1</w:t>
      </w:r>
      <w:r w:rsidRPr="003B3977">
        <w:rPr>
          <w:rFonts w:cs="Times New Roman"/>
          <w:sz w:val="20"/>
          <w:szCs w:val="20"/>
          <w:lang w:val="fr-CA"/>
        </w:rPr>
        <w:t xml:space="preserve"> / Judgment:  </w:t>
      </w:r>
      <w:r w:rsidR="00340741">
        <w:rPr>
          <w:rFonts w:cs="Times New Roman"/>
          <w:sz w:val="20"/>
          <w:szCs w:val="20"/>
          <w:lang w:val="fr-CA"/>
        </w:rPr>
        <w:t>Janua</w:t>
      </w:r>
      <w:r w:rsidRPr="003B3977">
        <w:rPr>
          <w:rFonts w:cs="Times New Roman"/>
          <w:sz w:val="20"/>
          <w:szCs w:val="20"/>
          <w:lang w:val="fr-CA"/>
        </w:rPr>
        <w:t>r</w:t>
      </w:r>
      <w:r w:rsidR="00340741">
        <w:rPr>
          <w:rFonts w:cs="Times New Roman"/>
          <w:sz w:val="20"/>
          <w:szCs w:val="20"/>
          <w:lang w:val="fr-CA"/>
        </w:rPr>
        <w:t>y</w:t>
      </w:r>
      <w:r w:rsidRPr="003B3977">
        <w:rPr>
          <w:rFonts w:cs="Times New Roman"/>
          <w:sz w:val="20"/>
          <w:szCs w:val="20"/>
          <w:lang w:val="fr-CA"/>
        </w:rPr>
        <w:t xml:space="preserve"> 2</w:t>
      </w:r>
      <w:r w:rsidR="00340741">
        <w:rPr>
          <w:rFonts w:cs="Times New Roman"/>
          <w:sz w:val="20"/>
          <w:szCs w:val="20"/>
          <w:lang w:val="fr-CA"/>
        </w:rPr>
        <w:t>0</w:t>
      </w:r>
      <w:r w:rsidRPr="003B3977">
        <w:rPr>
          <w:rFonts w:cs="Times New Roman"/>
          <w:sz w:val="20"/>
          <w:szCs w:val="20"/>
          <w:lang w:val="fr-CA"/>
        </w:rPr>
        <w:t>, 201</w:t>
      </w:r>
      <w:r w:rsidR="00340741">
        <w:rPr>
          <w:rFonts w:cs="Times New Roman"/>
          <w:sz w:val="20"/>
          <w:szCs w:val="20"/>
          <w:lang w:val="fr-CA"/>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8D50E0">
        <w:rPr>
          <w:rFonts w:cs="Times New Roman"/>
          <w:sz w:val="20"/>
          <w:szCs w:val="20"/>
          <w:lang w:val="fr-CA"/>
        </w:rPr>
        <w:t>1</w:t>
      </w:r>
      <w:r w:rsidRPr="003B3977">
        <w:rPr>
          <w:rFonts w:cs="Times New Roman"/>
          <w:sz w:val="20"/>
          <w:szCs w:val="20"/>
          <w:lang w:val="fr-CA"/>
        </w:rPr>
        <w:t>8 octobre 201</w:t>
      </w:r>
      <w:r w:rsidR="008D50E0">
        <w:rPr>
          <w:rFonts w:cs="Times New Roman"/>
          <w:sz w:val="20"/>
          <w:szCs w:val="20"/>
          <w:lang w:val="fr-CA"/>
        </w:rPr>
        <w:t>1</w:t>
      </w:r>
      <w:r w:rsidRPr="003B3977">
        <w:rPr>
          <w:rFonts w:cs="Times New Roman"/>
          <w:sz w:val="20"/>
          <w:szCs w:val="20"/>
          <w:lang w:val="fr-CA"/>
        </w:rPr>
        <w:t xml:space="preserve"> / Jugement : Le 2</w:t>
      </w:r>
      <w:r w:rsidR="00340741">
        <w:rPr>
          <w:rFonts w:cs="Times New Roman"/>
          <w:sz w:val="20"/>
          <w:szCs w:val="20"/>
          <w:lang w:val="fr-CA"/>
        </w:rPr>
        <w:t>0 janvier</w:t>
      </w:r>
      <w:r w:rsidRPr="003B3977">
        <w:rPr>
          <w:rFonts w:cs="Times New Roman"/>
          <w:sz w:val="20"/>
          <w:szCs w:val="20"/>
          <w:lang w:val="fr-CA"/>
        </w:rPr>
        <w:t xml:space="preserve"> 201</w:t>
      </w:r>
      <w:r w:rsidR="00340741">
        <w:rPr>
          <w:rFonts w:cs="Times New Roman"/>
          <w:sz w:val="20"/>
          <w:szCs w:val="20"/>
          <w:lang w:val="fr-CA"/>
        </w:rPr>
        <w:t>2</w:t>
      </w:r>
    </w:p>
    <w:p w:rsidR="005C6840" w:rsidRPr="003B3977" w:rsidRDefault="00BF59B3" w:rsidP="005C6840">
      <w:pPr>
        <w:rPr>
          <w:rFonts w:cs="Times New Roman"/>
          <w:sz w:val="20"/>
          <w:szCs w:val="20"/>
          <w:lang w:val="fr-CA"/>
        </w:rPr>
      </w:pPr>
      <w:r w:rsidRPr="00BF59B3">
        <w:rPr>
          <w:rFonts w:cs="Times New Roman"/>
          <w:i/>
          <w:sz w:val="20"/>
          <w:szCs w:val="20"/>
        </w:rPr>
        <w:pict>
          <v:rect id="_x0000_i1080"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8D50E0" w:rsidRPr="00481F39" w:rsidRDefault="008D50E0" w:rsidP="008D50E0">
      <w:pPr>
        <w:jc w:val="both"/>
        <w:rPr>
          <w:sz w:val="20"/>
          <w:szCs w:val="20"/>
        </w:rPr>
      </w:pPr>
      <w:r w:rsidRPr="00481F39">
        <w:rPr>
          <w:sz w:val="20"/>
          <w:szCs w:val="20"/>
        </w:rPr>
        <w:t>Present:  McLachlin C.J. and LeBel, Deschamps, Fish, Abella, Rothstein and Cromwell JJ.</w:t>
      </w:r>
    </w:p>
    <w:p w:rsidR="008D50E0" w:rsidRDefault="008D50E0" w:rsidP="005C6840">
      <w:pPr>
        <w:rPr>
          <w:rFonts w:cs="Times New Roman"/>
          <w:sz w:val="20"/>
          <w:szCs w:val="20"/>
        </w:rPr>
      </w:pPr>
    </w:p>
    <w:p w:rsidR="008D50E0" w:rsidRPr="00481F39" w:rsidRDefault="008D50E0" w:rsidP="008D50E0">
      <w:pPr>
        <w:pStyle w:val="SCCNormalDoubleSpacing"/>
        <w:spacing w:line="240" w:lineRule="auto"/>
        <w:rPr>
          <w:i/>
          <w:sz w:val="20"/>
        </w:rPr>
      </w:pPr>
      <w:r w:rsidRPr="00481F39">
        <w:rPr>
          <w:i/>
          <w:sz w:val="20"/>
        </w:rPr>
        <w:tab/>
        <w:t xml:space="preserve">Municipal law — Bylaws — Validity — </w:t>
      </w:r>
      <w:r w:rsidRPr="00481F39">
        <w:rPr>
          <w:i/>
          <w:sz w:val="20"/>
          <w:lang w:val="en-US"/>
        </w:rPr>
        <w:t xml:space="preserve">Standard of review applicable to municipal taxation bylaw </w:t>
      </w:r>
      <w:r w:rsidRPr="00481F39">
        <w:rPr>
          <w:i/>
          <w:sz w:val="20"/>
        </w:rPr>
        <w:t>— What standard of reasonableness requires in context of judicial review of taxation bylaw — Community Charter, S.B.C. 1996, c. 26, s. 197.</w:t>
      </w:r>
    </w:p>
    <w:p w:rsidR="008D50E0" w:rsidRDefault="008D50E0" w:rsidP="008D50E0">
      <w:pPr>
        <w:pStyle w:val="SCCNormalDoubleSpacing"/>
        <w:spacing w:line="240" w:lineRule="auto"/>
        <w:rPr>
          <w:sz w:val="20"/>
          <w:lang w:val="en-US"/>
        </w:rPr>
      </w:pPr>
    </w:p>
    <w:p w:rsidR="008D50E0" w:rsidRPr="00481F39" w:rsidRDefault="008D50E0" w:rsidP="008D50E0">
      <w:pPr>
        <w:pStyle w:val="SCCNormalDoubleSpacing"/>
        <w:spacing w:line="240" w:lineRule="auto"/>
        <w:rPr>
          <w:sz w:val="20"/>
        </w:rPr>
      </w:pPr>
      <w:r w:rsidRPr="00481F39">
        <w:rPr>
          <w:sz w:val="20"/>
          <w:lang w:val="en-US"/>
        </w:rPr>
        <w:tab/>
        <w:t>One of C’s four mills is located in the District of North Cowichan (“District”) on Vancouver Island.  C seeks to have a municipal taxation bylaw set aside on the basis that it is unreasonable having regard to objective factors such as consumption of municipal services.  The District argued that reasonableness must take into account not only matters directly related to the treatment of a particular taxpayer, but a broad array of social, economic and demographic factors relating to the community as a whole. The chambers judge upheld the bylaw.  The Court of Appeal dismissed the appeal.</w:t>
      </w:r>
    </w:p>
    <w:p w:rsidR="008D50E0" w:rsidRDefault="008D50E0" w:rsidP="008D50E0">
      <w:pPr>
        <w:pStyle w:val="SCCNormalDoubleSpacing"/>
        <w:spacing w:line="240" w:lineRule="auto"/>
        <w:rPr>
          <w:sz w:val="20"/>
        </w:rPr>
      </w:pPr>
    </w:p>
    <w:p w:rsidR="008D50E0" w:rsidRPr="00481F39" w:rsidRDefault="008D50E0" w:rsidP="008D50E0">
      <w:pPr>
        <w:pStyle w:val="SCCNormalDoubleSpacing"/>
        <w:spacing w:line="240" w:lineRule="auto"/>
        <w:rPr>
          <w:sz w:val="20"/>
        </w:rPr>
      </w:pPr>
      <w:r w:rsidRPr="00481F39">
        <w:rPr>
          <w:sz w:val="20"/>
        </w:rPr>
        <w:tab/>
      </w:r>
      <w:r w:rsidRPr="00481F39">
        <w:rPr>
          <w:i/>
          <w:sz w:val="20"/>
        </w:rPr>
        <w:t>Held:</w:t>
      </w:r>
      <w:r w:rsidRPr="00481F39">
        <w:rPr>
          <w:sz w:val="20"/>
        </w:rPr>
        <w:t xml:space="preserve">  The appeal should be dismissed.</w:t>
      </w:r>
    </w:p>
    <w:p w:rsidR="008D50E0" w:rsidRDefault="008D50E0" w:rsidP="008D50E0">
      <w:pPr>
        <w:pStyle w:val="SCCNormalDoubleSpacing"/>
        <w:spacing w:line="240" w:lineRule="auto"/>
        <w:rPr>
          <w:sz w:val="20"/>
        </w:rPr>
      </w:pPr>
    </w:p>
    <w:p w:rsidR="008D50E0" w:rsidRPr="00481F39" w:rsidRDefault="008D50E0" w:rsidP="008D50E0">
      <w:pPr>
        <w:pStyle w:val="SCCNormalDoubleSpacing"/>
        <w:spacing w:line="240" w:lineRule="auto"/>
        <w:rPr>
          <w:sz w:val="20"/>
          <w:lang w:val="en-US"/>
        </w:rPr>
      </w:pPr>
      <w:r w:rsidRPr="00481F39">
        <w:rPr>
          <w:sz w:val="20"/>
        </w:rPr>
        <w:tab/>
        <w:t>T</w:t>
      </w:r>
      <w:r w:rsidRPr="00481F39">
        <w:rPr>
          <w:sz w:val="20"/>
          <w:lang w:val="en-US"/>
        </w:rPr>
        <w:t xml:space="preserve">he standard of review applicable is reasonableness.  </w:t>
      </w:r>
      <w:r w:rsidRPr="00481F39">
        <w:rPr>
          <w:sz w:val="20"/>
        </w:rPr>
        <w:t xml:space="preserve">The power of the courts to set aside municipal bylaws is a narrow one, and cannot be exercised simply because a bylaw imposes a greater share of the tax burden on some ratepayers than on others.  </w:t>
      </w:r>
      <w:r w:rsidRPr="00481F39">
        <w:rPr>
          <w:sz w:val="20"/>
          <w:lang w:val="en-US"/>
        </w:rPr>
        <w:t xml:space="preserve">The critical question is what factors the court should consider in determining what lies within the range of possible reasonable outcomes.  Courts reviewing bylaws for reasonableness must approach the task against the backdrop of the wide variety of factors that elected municipal councillors may legitimately consider in enacting bylaws, including broad social, economic and political issues.  Only if the bylaw is one no reasonable body informed by these factors could have taken will the bylaw be set aside. </w:t>
      </w:r>
    </w:p>
    <w:p w:rsidR="008D50E0" w:rsidRDefault="008D50E0" w:rsidP="008D50E0">
      <w:pPr>
        <w:pStyle w:val="SCCNormalDoubleSpacing"/>
        <w:spacing w:line="240" w:lineRule="auto"/>
        <w:rPr>
          <w:sz w:val="20"/>
          <w:lang w:val="en-US"/>
        </w:rPr>
      </w:pPr>
    </w:p>
    <w:p w:rsidR="008D50E0" w:rsidRPr="00481F39" w:rsidRDefault="008D50E0" w:rsidP="008D50E0">
      <w:pPr>
        <w:pStyle w:val="SCCNormalDoubleSpacing"/>
        <w:spacing w:line="240" w:lineRule="auto"/>
        <w:rPr>
          <w:sz w:val="20"/>
          <w:lang w:val="en-US"/>
        </w:rPr>
      </w:pPr>
      <w:r w:rsidRPr="00481F39">
        <w:rPr>
          <w:sz w:val="20"/>
          <w:lang w:val="en-US"/>
        </w:rPr>
        <w:tab/>
        <w:t xml:space="preserve">The fact that wide deference is owed to municipal councils does not mean that they have </w:t>
      </w:r>
      <w:r w:rsidRPr="00481F39">
        <w:rPr>
          <w:i/>
          <w:sz w:val="20"/>
          <w:lang w:val="en-US"/>
        </w:rPr>
        <w:t>carte blanche</w:t>
      </w:r>
      <w:r w:rsidRPr="00481F39">
        <w:rPr>
          <w:sz w:val="20"/>
          <w:lang w:val="en-US"/>
        </w:rPr>
        <w:t xml:space="preserve">.  Reasonableness limits municipal councils in the sense that the substance of their bylaws must conform to the rationale of the statutory regime set up by the legislature.  The range of reasonable outcomes is circumscribed by the purview of the legislative scheme that empowers a municipality to pass a bylaw.  Municipal councils must also adhere to appropriate processes and cannot act for improper purposes. </w:t>
      </w:r>
    </w:p>
    <w:p w:rsidR="008D50E0" w:rsidRDefault="008D50E0" w:rsidP="008D50E0">
      <w:pPr>
        <w:pStyle w:val="SCCNormalDoubleSpacing"/>
        <w:spacing w:line="240" w:lineRule="auto"/>
        <w:rPr>
          <w:sz w:val="20"/>
          <w:lang w:val="en-US"/>
        </w:rPr>
      </w:pPr>
    </w:p>
    <w:p w:rsidR="008D50E0" w:rsidRDefault="008D50E0" w:rsidP="008D50E0">
      <w:pPr>
        <w:pStyle w:val="SCCNormalDoubleSpacing"/>
        <w:spacing w:line="240" w:lineRule="auto"/>
        <w:rPr>
          <w:sz w:val="20"/>
        </w:rPr>
      </w:pPr>
      <w:r w:rsidRPr="00481F39">
        <w:rPr>
          <w:sz w:val="20"/>
          <w:lang w:val="en-US"/>
        </w:rPr>
        <w:tab/>
        <w:t>T</w:t>
      </w:r>
      <w:r w:rsidRPr="00481F39">
        <w:rPr>
          <w:sz w:val="20"/>
        </w:rPr>
        <w:t xml:space="preserve">he bylaw falls within a reasonable range of outcomes. </w:t>
      </w:r>
      <w:r w:rsidRPr="00481F39">
        <w:rPr>
          <w:sz w:val="20"/>
          <w:lang w:val="en-US"/>
        </w:rPr>
        <w:t xml:space="preserve"> </w:t>
      </w:r>
      <w:r w:rsidRPr="00481F39">
        <w:rPr>
          <w:sz w:val="20"/>
        </w:rPr>
        <w:t>The bylaw does not constitute a decision that no reasonable elected municipal council could have made</w:t>
      </w:r>
      <w:r w:rsidRPr="00481F39">
        <w:rPr>
          <w:i/>
          <w:sz w:val="20"/>
        </w:rPr>
        <w:t>.</w:t>
      </w:r>
      <w:r w:rsidRPr="00481F39">
        <w:rPr>
          <w:sz w:val="20"/>
        </w:rPr>
        <w:t xml:space="preserve"> The District council considered and weighed all relevant factors.  T</w:t>
      </w:r>
      <w:r w:rsidRPr="00481F39">
        <w:rPr>
          <w:sz w:val="20"/>
          <w:lang w:val="en-US"/>
        </w:rPr>
        <w:t xml:space="preserve">he process of passing the bylaw was properly followed.  </w:t>
      </w:r>
      <w:r w:rsidRPr="00481F39">
        <w:rPr>
          <w:sz w:val="20"/>
        </w:rPr>
        <w:t>The reasons for the bylaw were clear and the District’s policy had been laid out in a five</w:t>
      </w:r>
      <w:r w:rsidRPr="00481F39">
        <w:rPr>
          <w:sz w:val="20"/>
        </w:rPr>
        <w:noBreakHyphen/>
        <w:t xml:space="preserve">year plan.  The District’s approach complies with the </w:t>
      </w:r>
      <w:r w:rsidRPr="00481F39">
        <w:rPr>
          <w:i/>
          <w:sz w:val="20"/>
        </w:rPr>
        <w:t>Community Charter</w:t>
      </w:r>
      <w:r w:rsidRPr="00481F39">
        <w:rPr>
          <w:sz w:val="20"/>
        </w:rPr>
        <w:t xml:space="preserve">, which permits municipalities to apply different tax rates to different classes of property.  The </w:t>
      </w:r>
      <w:r w:rsidRPr="00481F39">
        <w:rPr>
          <w:i/>
          <w:sz w:val="20"/>
        </w:rPr>
        <w:t>Community Charter</w:t>
      </w:r>
      <w:r w:rsidRPr="00481F39">
        <w:rPr>
          <w:sz w:val="20"/>
        </w:rPr>
        <w:t xml:space="preserve"> does not support C’s contention that property value taxes ought to be limited by the level of service consumed. Although the bylaw favours residential property owners, it is not unreasonably partial to them.</w:t>
      </w:r>
    </w:p>
    <w:p w:rsidR="008D50E0" w:rsidRDefault="008D50E0" w:rsidP="008D50E0">
      <w:pPr>
        <w:pStyle w:val="SCCNormalDoubleSpacing"/>
        <w:spacing w:line="240" w:lineRule="auto"/>
        <w:rPr>
          <w:sz w:val="20"/>
        </w:rPr>
      </w:pPr>
    </w:p>
    <w:p w:rsidR="008D50E0" w:rsidRDefault="008D50E0" w:rsidP="008D50E0">
      <w:pPr>
        <w:pStyle w:val="SCCNormalDoubleSpacing"/>
        <w:widowControl w:val="0"/>
        <w:spacing w:line="240" w:lineRule="auto"/>
        <w:rPr>
          <w:sz w:val="20"/>
        </w:rPr>
      </w:pPr>
      <w:r w:rsidRPr="00481F39">
        <w:rPr>
          <w:sz w:val="20"/>
        </w:rPr>
        <w:tab/>
        <w:t>APPEAL from a judgment of the British Columbia Court of Appeal (</w:t>
      </w:r>
      <w:r w:rsidR="00BF59B3" w:rsidRPr="00481F39">
        <w:rPr>
          <w:sz w:val="20"/>
        </w:rPr>
        <w:fldChar w:fldCharType="begin"/>
      </w:r>
      <w:r w:rsidRPr="00481F39">
        <w:rPr>
          <w:sz w:val="20"/>
        </w:rPr>
        <w:instrText xml:space="preserve"> SEQ CHAPTER \h \r 1</w:instrText>
      </w:r>
      <w:r w:rsidR="00BF59B3" w:rsidRPr="00481F39">
        <w:rPr>
          <w:sz w:val="20"/>
        </w:rPr>
        <w:fldChar w:fldCharType="end"/>
      </w:r>
      <w:r w:rsidRPr="00481F39">
        <w:rPr>
          <w:sz w:val="20"/>
        </w:rPr>
        <w:t xml:space="preserve">Newbury, Huddart and Saunders JJ.A.), </w:t>
      </w:r>
      <w:r w:rsidR="00BF59B3" w:rsidRPr="00481F39">
        <w:rPr>
          <w:sz w:val="20"/>
        </w:rPr>
        <w:fldChar w:fldCharType="begin"/>
      </w:r>
      <w:r w:rsidRPr="00481F39">
        <w:rPr>
          <w:sz w:val="20"/>
        </w:rPr>
        <w:instrText xml:space="preserve"> SEQ CHAPTER \h \r 1</w:instrText>
      </w:r>
      <w:r w:rsidR="00BF59B3" w:rsidRPr="00481F39">
        <w:rPr>
          <w:sz w:val="20"/>
        </w:rPr>
        <w:fldChar w:fldCharType="end"/>
      </w:r>
      <w:r w:rsidRPr="00481F39">
        <w:rPr>
          <w:sz w:val="20"/>
        </w:rPr>
        <w:t xml:space="preserve">2010 BCCA 199, 286 B.C.A.C. 149, 484 W.A.C. 149, 5 B.C.L.R. (5th) 203, 318 D.L.R. (4th) 350, 92 R.P.R. (4th) 1, 69 M.P.L.R. (4th) 163, [2010] 7 W.W.R. 259, [2010] B.C.J. No. 700 (QL), 2010 CarswellBC 958, affirming a decision of Voith J., </w:t>
      </w:r>
      <w:r w:rsidR="00BF59B3" w:rsidRPr="00481F39">
        <w:rPr>
          <w:sz w:val="20"/>
        </w:rPr>
        <w:fldChar w:fldCharType="begin"/>
      </w:r>
      <w:r w:rsidRPr="00481F39">
        <w:rPr>
          <w:sz w:val="20"/>
        </w:rPr>
        <w:instrText xml:space="preserve"> SEQ CHAPTER \h \r 1</w:instrText>
      </w:r>
      <w:r w:rsidR="00BF59B3" w:rsidRPr="00481F39">
        <w:rPr>
          <w:sz w:val="20"/>
        </w:rPr>
        <w:fldChar w:fldCharType="end"/>
      </w:r>
      <w:r w:rsidRPr="00481F39">
        <w:rPr>
          <w:sz w:val="20"/>
        </w:rPr>
        <w:t>2009 BCSC 1420, 98 B.C.L.R. (4th) 355, 66 M.P.L.R. (4th) 35, 88 R.P.R. (4th) 203, [2010] 7 W.W.R. 220, [2009] B.C.J. No. 2033 (QL), 2009 CarswellBC 2763.  Appeal dismissed.</w:t>
      </w:r>
    </w:p>
    <w:p w:rsidR="008D50E0" w:rsidRPr="00481F39" w:rsidRDefault="008D50E0" w:rsidP="008D50E0">
      <w:pPr>
        <w:pStyle w:val="SCCNormalDoubleSpacing"/>
        <w:widowControl w:val="0"/>
        <w:spacing w:line="240" w:lineRule="auto"/>
        <w:rPr>
          <w:sz w:val="20"/>
        </w:rPr>
      </w:pPr>
    </w:p>
    <w:p w:rsidR="008D50E0" w:rsidRDefault="008D50E0" w:rsidP="008D50E0">
      <w:pPr>
        <w:pStyle w:val="SCCNormalDoubleSpacing"/>
        <w:spacing w:line="240" w:lineRule="auto"/>
        <w:rPr>
          <w:sz w:val="20"/>
        </w:rPr>
      </w:pPr>
      <w:r w:rsidRPr="00481F39">
        <w:rPr>
          <w:i/>
          <w:sz w:val="20"/>
        </w:rPr>
        <w:tab/>
        <w:t>Roy W. Millen</w:t>
      </w:r>
      <w:r w:rsidRPr="00481F39">
        <w:rPr>
          <w:sz w:val="20"/>
        </w:rPr>
        <w:t xml:space="preserve">, </w:t>
      </w:r>
      <w:r w:rsidRPr="00481F39">
        <w:rPr>
          <w:i/>
          <w:sz w:val="20"/>
        </w:rPr>
        <w:t>Joanne Lysyk</w:t>
      </w:r>
      <w:r w:rsidRPr="00481F39">
        <w:rPr>
          <w:sz w:val="20"/>
        </w:rPr>
        <w:t xml:space="preserve"> and </w:t>
      </w:r>
      <w:r w:rsidRPr="00481F39">
        <w:rPr>
          <w:i/>
          <w:sz w:val="20"/>
        </w:rPr>
        <w:t>Alexandra Luchenko</w:t>
      </w:r>
      <w:r w:rsidRPr="00481F39">
        <w:rPr>
          <w:sz w:val="20"/>
        </w:rPr>
        <w:t>, for the appellant.</w:t>
      </w:r>
    </w:p>
    <w:p w:rsidR="008D50E0" w:rsidRPr="00481F39" w:rsidRDefault="008D50E0" w:rsidP="008D50E0">
      <w:pPr>
        <w:pStyle w:val="SCCNormalDoubleSpacing"/>
        <w:spacing w:line="240" w:lineRule="auto"/>
        <w:rPr>
          <w:sz w:val="20"/>
        </w:rPr>
      </w:pPr>
    </w:p>
    <w:p w:rsidR="008D50E0" w:rsidRDefault="008D50E0" w:rsidP="008D50E0">
      <w:pPr>
        <w:pStyle w:val="SCCNormalDoubleSpacing"/>
        <w:spacing w:line="240" w:lineRule="auto"/>
        <w:rPr>
          <w:sz w:val="20"/>
        </w:rPr>
      </w:pPr>
      <w:r w:rsidRPr="00481F39">
        <w:rPr>
          <w:i/>
          <w:sz w:val="20"/>
        </w:rPr>
        <w:lastRenderedPageBreak/>
        <w:tab/>
        <w:t>Sukhbir Manhas and Reece Harding</w:t>
      </w:r>
      <w:r w:rsidRPr="00481F39">
        <w:rPr>
          <w:sz w:val="20"/>
        </w:rPr>
        <w:t>, for the respondent.</w:t>
      </w:r>
    </w:p>
    <w:p w:rsidR="008D50E0" w:rsidRPr="00481F39" w:rsidRDefault="008D50E0" w:rsidP="008D50E0">
      <w:pPr>
        <w:pStyle w:val="SCCNormalDoubleSpacing"/>
        <w:spacing w:line="240" w:lineRule="auto"/>
        <w:rPr>
          <w:sz w:val="20"/>
        </w:rPr>
      </w:pPr>
    </w:p>
    <w:p w:rsidR="008D50E0" w:rsidRPr="008D50E0" w:rsidRDefault="008D50E0" w:rsidP="008D50E0">
      <w:pPr>
        <w:pStyle w:val="SCCLawFirm"/>
        <w:spacing w:line="240" w:lineRule="auto"/>
        <w:rPr>
          <w:sz w:val="20"/>
          <w:lang w:val="fr-CA"/>
        </w:rPr>
      </w:pPr>
      <w:r w:rsidRPr="00481F39">
        <w:rPr>
          <w:sz w:val="20"/>
        </w:rPr>
        <w:tab/>
      </w:r>
      <w:r w:rsidRPr="008D50E0">
        <w:rPr>
          <w:sz w:val="20"/>
          <w:lang w:val="fr-CA"/>
        </w:rPr>
        <w:t>Solicitors for the appellant:  Blake, Cassels &amp; Graydon, Vancouver.</w:t>
      </w:r>
    </w:p>
    <w:p w:rsidR="008D50E0" w:rsidRPr="008D50E0" w:rsidRDefault="008D50E0" w:rsidP="008D50E0">
      <w:pPr>
        <w:pStyle w:val="SCCNormalDoubleSpacing"/>
        <w:spacing w:line="240" w:lineRule="auto"/>
        <w:rPr>
          <w:sz w:val="20"/>
          <w:lang w:val="fr-CA"/>
        </w:rPr>
      </w:pPr>
    </w:p>
    <w:p w:rsidR="008D50E0" w:rsidRPr="008D50E0" w:rsidRDefault="008D50E0" w:rsidP="008D50E0">
      <w:pPr>
        <w:pStyle w:val="SCCLawFirm"/>
        <w:spacing w:line="240" w:lineRule="auto"/>
        <w:rPr>
          <w:sz w:val="20"/>
          <w:lang w:val="fr-CA"/>
        </w:rPr>
      </w:pPr>
      <w:r w:rsidRPr="008D50E0">
        <w:rPr>
          <w:sz w:val="20"/>
          <w:lang w:val="fr-CA"/>
        </w:rPr>
        <w:tab/>
        <w:t>Solicitors for the respondent:  Young, Anderson, Vancouver.</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8D50E0" w:rsidRPr="008D50E0" w:rsidRDefault="008D50E0" w:rsidP="008D50E0">
      <w:pPr>
        <w:jc w:val="both"/>
        <w:rPr>
          <w:sz w:val="20"/>
          <w:szCs w:val="20"/>
          <w:lang w:val="fr-CA"/>
        </w:rPr>
      </w:pPr>
      <w:r w:rsidRPr="008D50E0">
        <w:rPr>
          <w:sz w:val="20"/>
          <w:szCs w:val="20"/>
          <w:lang w:val="fr-CA"/>
        </w:rPr>
        <w:t>Présents : La juge en chef McLachlin et les juges LeBel, Deschamps, Fish, Abella, Rothstein et Cromwell.</w:t>
      </w:r>
    </w:p>
    <w:p w:rsidR="008D50E0" w:rsidRDefault="008D50E0" w:rsidP="005C6840">
      <w:pPr>
        <w:jc w:val="both"/>
        <w:rPr>
          <w:rFonts w:cs="Times New Roman"/>
          <w:sz w:val="20"/>
          <w:szCs w:val="20"/>
          <w:lang w:val="fr-CA"/>
        </w:rPr>
      </w:pPr>
    </w:p>
    <w:p w:rsidR="008D50E0" w:rsidRPr="008D50E0" w:rsidRDefault="008D50E0" w:rsidP="008D50E0">
      <w:pPr>
        <w:pStyle w:val="SCCNormalDoubleSpacing"/>
        <w:spacing w:line="240" w:lineRule="auto"/>
        <w:rPr>
          <w:sz w:val="20"/>
          <w:lang w:val="fr-CA"/>
        </w:rPr>
      </w:pPr>
      <w:r w:rsidRPr="00551EF4">
        <w:rPr>
          <w:sz w:val="20"/>
          <w:lang w:val="fr-CA"/>
        </w:rPr>
        <w:tab/>
      </w:r>
      <w:r w:rsidRPr="008D50E0">
        <w:rPr>
          <w:i/>
          <w:sz w:val="20"/>
          <w:lang w:val="fr-CA"/>
        </w:rPr>
        <w:t>Droit municipal — Règlements — Validité — Norme de contrôle applicable à un règlement municipal en matière de taxation — Exigence de la norme de la décision raisonnable dans le contexte du contrôle judiciaire d’un tel règlement — Community Charter, S.B.C. 1996, ch. 26, art. 197</w:t>
      </w:r>
      <w:r w:rsidRPr="008D50E0">
        <w:rPr>
          <w:sz w:val="20"/>
          <w:lang w:val="fr-CA"/>
        </w:rPr>
        <w:t>.</w:t>
      </w:r>
    </w:p>
    <w:p w:rsidR="008D50E0" w:rsidRPr="008D50E0" w:rsidRDefault="008D50E0" w:rsidP="008D50E0">
      <w:pPr>
        <w:pStyle w:val="SCCNormalDoubleSpacing"/>
        <w:spacing w:line="240" w:lineRule="auto"/>
        <w:rPr>
          <w:sz w:val="20"/>
          <w:lang w:val="fr-CA"/>
        </w:rPr>
      </w:pPr>
    </w:p>
    <w:p w:rsidR="008D50E0" w:rsidRPr="008D50E0" w:rsidRDefault="008D50E0" w:rsidP="008D50E0">
      <w:pPr>
        <w:pStyle w:val="SCCNormalDoubleSpacing"/>
        <w:spacing w:line="240" w:lineRule="auto"/>
        <w:rPr>
          <w:sz w:val="20"/>
          <w:lang w:val="fr-CA"/>
        </w:rPr>
      </w:pPr>
      <w:r w:rsidRPr="008D50E0">
        <w:rPr>
          <w:sz w:val="20"/>
          <w:lang w:val="fr-CA"/>
        </w:rPr>
        <w:tab/>
        <w:t>L’une des quatre papeteries de C se trouve dans le district de North Cowichan (« district »), sur l’île de Vancouver.  C demande l’annulation d’un règlement municipal en matière de taxation au motif qu’il est déraisonnable eu égard à des facteurs objectifs telle la consommation de services municipaux.  Le district avance que selon la norme de la décision raisonnable il faut tenir compte non seulement de questions se rapportant directement au traitement réservé à un contribuable en particulier, mais également de toute une gamme de facteurs sociaux, économiques et démographiques qui touchent la collectivité dans son ensemble.  Le juge de première instance a confirmé la validité du règlement.  La Cour d’appel a rejeté l’appel.</w:t>
      </w:r>
    </w:p>
    <w:p w:rsidR="008D50E0" w:rsidRPr="008D50E0" w:rsidRDefault="008D50E0" w:rsidP="008D50E0">
      <w:pPr>
        <w:pStyle w:val="SCCNormalDoubleSpacing"/>
        <w:spacing w:line="240" w:lineRule="auto"/>
        <w:rPr>
          <w:sz w:val="20"/>
          <w:lang w:val="fr-CA"/>
        </w:rPr>
      </w:pPr>
    </w:p>
    <w:p w:rsidR="008D50E0" w:rsidRPr="008D50E0" w:rsidRDefault="008D50E0" w:rsidP="008D50E0">
      <w:pPr>
        <w:pStyle w:val="SCCNormalDoubleSpacing"/>
        <w:spacing w:line="240" w:lineRule="auto"/>
        <w:rPr>
          <w:sz w:val="20"/>
          <w:lang w:val="fr-CA"/>
        </w:rPr>
      </w:pPr>
      <w:r w:rsidRPr="008D50E0">
        <w:rPr>
          <w:sz w:val="20"/>
          <w:lang w:val="fr-CA"/>
        </w:rPr>
        <w:tab/>
      </w:r>
      <w:r w:rsidRPr="008D50E0">
        <w:rPr>
          <w:i/>
          <w:sz w:val="20"/>
          <w:lang w:val="fr-CA"/>
        </w:rPr>
        <w:t>Arrêt</w:t>
      </w:r>
      <w:r w:rsidRPr="008D50E0">
        <w:rPr>
          <w:sz w:val="20"/>
          <w:lang w:val="fr-CA"/>
        </w:rPr>
        <w:t> : Le pourvoi est rejeté.</w:t>
      </w:r>
    </w:p>
    <w:p w:rsidR="008D50E0" w:rsidRPr="008D50E0" w:rsidRDefault="008D50E0" w:rsidP="008D50E0">
      <w:pPr>
        <w:pStyle w:val="SCCNormalDoubleSpacing"/>
        <w:spacing w:line="240" w:lineRule="auto"/>
        <w:rPr>
          <w:sz w:val="20"/>
          <w:lang w:val="fr-CA"/>
        </w:rPr>
      </w:pPr>
    </w:p>
    <w:p w:rsidR="008D50E0" w:rsidRPr="008D50E0" w:rsidRDefault="008D50E0" w:rsidP="008D50E0">
      <w:pPr>
        <w:pStyle w:val="SCCNormalDoubleSpacing"/>
        <w:spacing w:line="240" w:lineRule="auto"/>
        <w:rPr>
          <w:sz w:val="20"/>
          <w:lang w:val="fr-CA"/>
        </w:rPr>
      </w:pPr>
      <w:r w:rsidRPr="008D50E0">
        <w:rPr>
          <w:sz w:val="20"/>
          <w:lang w:val="fr-CA"/>
        </w:rPr>
        <w:tab/>
        <w:t>La norme de contrôle à appliquer est celle de la décision raisonnable.  Le pouvoir d’un tribunal d’annuler un règlement municipal est limité et il ne peut être exercé pour la seule raison que le règlement impose un plus grand fardeau fiscal à certains contribuables par rapport à d’autres.  La question cruciale est de savoir quels facteurs le tribunal doit prendre en compte pour déterminer en quoi consiste l’éventail d’issues possibles raisonnables.  L</w:t>
      </w:r>
      <w:r w:rsidRPr="00777163">
        <w:rPr>
          <w:sz w:val="20"/>
          <w:lang w:val="fr-FR"/>
        </w:rPr>
        <w:t xml:space="preserve">e tribunal appelé à réviser le caractère raisonnable d’un règlement municipal doit le faire au regard de la grande variété de facteurs dont les conseillers municipaux élus peuvent légitimement tenir compte lorsqu’ils adoptent des règlements, y compris des facteurs généraux d’ordre social, économique et politique.  Le règlement ne sera annulé que s’il s’agit d’un règlement qui n’aurait pu être adopté par un </w:t>
      </w:r>
      <w:r w:rsidRPr="008D50E0">
        <w:rPr>
          <w:sz w:val="20"/>
          <w:lang w:val="fr-CA"/>
        </w:rPr>
        <w:t>organisme raisonnable tenant compte de ces facteurs.</w:t>
      </w:r>
    </w:p>
    <w:p w:rsidR="008D50E0" w:rsidRPr="008D50E0" w:rsidRDefault="008D50E0" w:rsidP="008D50E0">
      <w:pPr>
        <w:pStyle w:val="SCCNormalDoubleSpacing"/>
        <w:spacing w:line="240" w:lineRule="auto"/>
        <w:rPr>
          <w:sz w:val="20"/>
          <w:lang w:val="fr-CA"/>
        </w:rPr>
      </w:pPr>
    </w:p>
    <w:p w:rsidR="008D50E0" w:rsidRPr="008D50E0" w:rsidRDefault="008D50E0" w:rsidP="008D50E0">
      <w:pPr>
        <w:pStyle w:val="SCCNormalDoubleSpacing"/>
        <w:spacing w:line="240" w:lineRule="auto"/>
        <w:rPr>
          <w:sz w:val="20"/>
          <w:lang w:val="fr-CA"/>
        </w:rPr>
      </w:pPr>
      <w:r w:rsidRPr="008D50E0">
        <w:rPr>
          <w:sz w:val="20"/>
          <w:lang w:val="fr-CA"/>
        </w:rPr>
        <w:tab/>
        <w:t xml:space="preserve">Le fait qu’il faille faire preuve d’une grande retenue envers les conseils municipaux ne signifie pas qu’ils ont carte blanche.  </w:t>
      </w:r>
      <w:r w:rsidRPr="00777163">
        <w:rPr>
          <w:sz w:val="20"/>
          <w:lang w:val="fr-FR"/>
        </w:rPr>
        <w:t>La norme de la décision raisonnable restreint les conseils municipaux en ce sens que la teneur de leurs règlements doit être conforme à la raison d’être du régime mis sur pied par la législature.  L’éventail des issues raisonnables est circonscrit par la portée du schème législatif qui confère à la municipalité le pouvoir de prendre des règlements</w:t>
      </w:r>
      <w:r w:rsidRPr="008D50E0">
        <w:rPr>
          <w:sz w:val="20"/>
          <w:lang w:val="fr-CA"/>
        </w:rPr>
        <w:t xml:space="preserve">.  </w:t>
      </w:r>
      <w:r w:rsidRPr="00777163">
        <w:rPr>
          <w:sz w:val="20"/>
          <w:lang w:val="fr-FR"/>
        </w:rPr>
        <w:t>Les conseils municipaux doivent également adopter des processus convenables</w:t>
      </w:r>
      <w:r w:rsidRPr="008D50E0">
        <w:rPr>
          <w:sz w:val="20"/>
          <w:lang w:val="fr-CA"/>
        </w:rPr>
        <w:t xml:space="preserve"> et ils ne peuvent agir à des fins illégitimes. </w:t>
      </w:r>
    </w:p>
    <w:p w:rsidR="008D50E0" w:rsidRPr="008D50E0" w:rsidRDefault="008D50E0" w:rsidP="008D50E0">
      <w:pPr>
        <w:pStyle w:val="SCCNormalDoubleSpacing"/>
        <w:spacing w:line="240" w:lineRule="auto"/>
        <w:rPr>
          <w:sz w:val="20"/>
          <w:lang w:val="fr-CA"/>
        </w:rPr>
      </w:pPr>
    </w:p>
    <w:p w:rsidR="008D50E0" w:rsidRDefault="008D50E0" w:rsidP="008D50E0">
      <w:pPr>
        <w:pStyle w:val="SCCNormalDoubleSpacing"/>
        <w:spacing w:line="240" w:lineRule="auto"/>
        <w:rPr>
          <w:sz w:val="20"/>
          <w:lang w:val="fr-FR"/>
        </w:rPr>
      </w:pPr>
      <w:r w:rsidRPr="008D50E0">
        <w:rPr>
          <w:sz w:val="20"/>
          <w:lang w:val="fr-CA"/>
        </w:rPr>
        <w:tab/>
        <w:t>Le règlement s’inscrit dans un éventail d’issues raisonnables.  Il</w:t>
      </w:r>
      <w:r w:rsidRPr="00777163">
        <w:rPr>
          <w:sz w:val="20"/>
          <w:lang w:val="fr-FR"/>
        </w:rPr>
        <w:t xml:space="preserve"> ne constitue pas une décision </w:t>
      </w:r>
      <w:r w:rsidRPr="008D50E0">
        <w:rPr>
          <w:sz w:val="20"/>
          <w:lang w:val="fr-CA"/>
        </w:rPr>
        <w:t xml:space="preserve">qu’aucun conseil municipal élu raisonnable n’aurait pu </w:t>
      </w:r>
      <w:r w:rsidRPr="00777163">
        <w:rPr>
          <w:sz w:val="20"/>
          <w:lang w:val="fr-FR"/>
        </w:rPr>
        <w:t xml:space="preserve">prendre.  Le conseil du district a examiné et soupesé tous les facteurs pertinents.  </w:t>
      </w:r>
      <w:r w:rsidRPr="008D50E0">
        <w:rPr>
          <w:sz w:val="20"/>
          <w:lang w:val="fr-CA"/>
        </w:rPr>
        <w:t>Le processus d’adoption du règlement a été correctement suivi.  Les motifs qui sous</w:t>
      </w:r>
      <w:r w:rsidRPr="008D50E0">
        <w:rPr>
          <w:sz w:val="20"/>
          <w:lang w:val="fr-CA"/>
        </w:rPr>
        <w:noBreakHyphen/>
        <w:t>tendaient le règlement étaient clairs et l</w:t>
      </w:r>
      <w:r w:rsidRPr="00777163">
        <w:rPr>
          <w:sz w:val="20"/>
          <w:lang w:val="fr-FR"/>
        </w:rPr>
        <w:t xml:space="preserve">e district avait exposé sa politique dans un plan quinquennal.  L’approche du district respecte la </w:t>
      </w:r>
      <w:r w:rsidRPr="00777163">
        <w:rPr>
          <w:i/>
          <w:sz w:val="20"/>
          <w:lang w:val="fr-FR"/>
        </w:rPr>
        <w:t>Community Charter</w:t>
      </w:r>
      <w:r w:rsidRPr="00777163">
        <w:rPr>
          <w:sz w:val="20"/>
          <w:lang w:val="fr-FR"/>
        </w:rPr>
        <w:t xml:space="preserve">, qui autorise les municipalités à imposer un taux d’impôt foncier propre à chaque catégorie d’immeubles.  La </w:t>
      </w:r>
      <w:r w:rsidRPr="00777163">
        <w:rPr>
          <w:i/>
          <w:sz w:val="20"/>
          <w:lang w:val="fr-FR"/>
        </w:rPr>
        <w:t>Community Charter</w:t>
      </w:r>
      <w:r w:rsidRPr="00777163">
        <w:rPr>
          <w:sz w:val="20"/>
          <w:lang w:val="fr-FR"/>
        </w:rPr>
        <w:t xml:space="preserve"> ne permet pas à C d’affirmer que les taxes foncières à payer devraient être proportionnelles au niveau de consommation des services.  Le règlement favorise certes les propriétaires d’immeubles résidentiels, mais il n’est pas déraisonnablement partial envers eux.</w:t>
      </w:r>
    </w:p>
    <w:p w:rsidR="008D50E0" w:rsidRDefault="008D50E0" w:rsidP="008D50E0">
      <w:pPr>
        <w:pStyle w:val="SCCNormalDoubleSpacing"/>
        <w:spacing w:line="240" w:lineRule="auto"/>
        <w:rPr>
          <w:sz w:val="20"/>
          <w:lang w:val="fr-FR"/>
        </w:rPr>
      </w:pPr>
    </w:p>
    <w:p w:rsidR="008D50E0" w:rsidRPr="008D50E0" w:rsidRDefault="008D50E0" w:rsidP="008D50E0">
      <w:pPr>
        <w:pStyle w:val="SCCNormalDoubleSpacing"/>
        <w:spacing w:line="240" w:lineRule="auto"/>
        <w:rPr>
          <w:sz w:val="20"/>
          <w:lang w:val="fr-CA"/>
        </w:rPr>
      </w:pPr>
      <w:r w:rsidRPr="008D50E0">
        <w:rPr>
          <w:sz w:val="20"/>
          <w:lang w:val="fr-CA"/>
        </w:rPr>
        <w:tab/>
        <w:t>POURVOI contre un arrêt de la Cour d’appel de la Colombie</w:t>
      </w:r>
      <w:r w:rsidRPr="008D50E0">
        <w:rPr>
          <w:sz w:val="20"/>
          <w:lang w:val="fr-CA"/>
        </w:rPr>
        <w:noBreakHyphen/>
        <w:t xml:space="preserve">Britannique (les juges </w:t>
      </w:r>
      <w:r w:rsidR="00BF59B3" w:rsidRPr="00777163">
        <w:rPr>
          <w:sz w:val="20"/>
        </w:rPr>
        <w:fldChar w:fldCharType="begin"/>
      </w:r>
      <w:r w:rsidRPr="008D50E0">
        <w:rPr>
          <w:sz w:val="20"/>
          <w:lang w:val="fr-CA"/>
        </w:rPr>
        <w:instrText xml:space="preserve"> SEQ CHAPTER \h \r 1</w:instrText>
      </w:r>
      <w:r w:rsidR="00BF59B3" w:rsidRPr="00777163">
        <w:rPr>
          <w:sz w:val="20"/>
        </w:rPr>
        <w:fldChar w:fldCharType="end"/>
      </w:r>
      <w:r w:rsidRPr="008D50E0">
        <w:rPr>
          <w:sz w:val="20"/>
          <w:lang w:val="fr-CA"/>
        </w:rPr>
        <w:t xml:space="preserve">Newbury, Huddart et Saunders), </w:t>
      </w:r>
      <w:r w:rsidR="00BF59B3" w:rsidRPr="00777163">
        <w:rPr>
          <w:sz w:val="20"/>
        </w:rPr>
        <w:fldChar w:fldCharType="begin"/>
      </w:r>
      <w:r w:rsidRPr="008D50E0">
        <w:rPr>
          <w:sz w:val="20"/>
          <w:lang w:val="fr-CA"/>
        </w:rPr>
        <w:instrText xml:space="preserve"> SEQ CHAPTER \h \r 1</w:instrText>
      </w:r>
      <w:r w:rsidR="00BF59B3" w:rsidRPr="00777163">
        <w:rPr>
          <w:sz w:val="20"/>
        </w:rPr>
        <w:fldChar w:fldCharType="end"/>
      </w:r>
      <w:r w:rsidRPr="008D50E0">
        <w:rPr>
          <w:sz w:val="20"/>
          <w:lang w:val="fr-CA"/>
        </w:rPr>
        <w:t xml:space="preserve">2010 BCCA 199, 286 B.C.A.C. 149, 484 W.A.C. 149, 5 B.C.L.R. (5th) 203, 318 D.L.R. (4th) 350, 92 R.P.R. (4th) 1, 69 M.P.L.R. (4th) 163, [2010] 7 W.W.R. 259, [2010] B.C.J. No. 700 (QL), 2010 CarswellBC 958, qui a confirmé une décision du juge Voith, </w:t>
      </w:r>
      <w:r w:rsidR="00BF59B3" w:rsidRPr="00777163">
        <w:rPr>
          <w:sz w:val="20"/>
        </w:rPr>
        <w:fldChar w:fldCharType="begin"/>
      </w:r>
      <w:r w:rsidRPr="008D50E0">
        <w:rPr>
          <w:sz w:val="20"/>
          <w:lang w:val="fr-CA"/>
        </w:rPr>
        <w:instrText xml:space="preserve"> SEQ CHAPTER \h \r 1</w:instrText>
      </w:r>
      <w:r w:rsidR="00BF59B3" w:rsidRPr="00777163">
        <w:rPr>
          <w:sz w:val="20"/>
        </w:rPr>
        <w:fldChar w:fldCharType="end"/>
      </w:r>
      <w:r w:rsidRPr="008D50E0">
        <w:rPr>
          <w:sz w:val="20"/>
          <w:lang w:val="fr-CA"/>
        </w:rPr>
        <w:t>2009 BCSC 1420, 98 B.C.L.R. (4th) 355, 66 M.P.L.R. (4th) 35, 88 R.P.R. (4th) 203, [2010] 7 W.W.R. 220, [2009] B.C.J. No. 2033 (QL), 2009 CarswellBC 2763.  Pourvoi rejeté.</w:t>
      </w:r>
    </w:p>
    <w:p w:rsidR="008D50E0" w:rsidRPr="008D50E0" w:rsidRDefault="008D50E0" w:rsidP="008D50E0">
      <w:pPr>
        <w:pStyle w:val="SCCNormalDoubleSpacing"/>
        <w:spacing w:line="240" w:lineRule="auto"/>
        <w:rPr>
          <w:i/>
          <w:sz w:val="20"/>
          <w:lang w:val="fr-CA"/>
        </w:rPr>
      </w:pPr>
    </w:p>
    <w:p w:rsidR="008D50E0" w:rsidRPr="008D50E0" w:rsidRDefault="008D50E0" w:rsidP="008D50E0">
      <w:pPr>
        <w:pStyle w:val="SCCNormalDoubleSpacing"/>
        <w:spacing w:line="240" w:lineRule="auto"/>
        <w:rPr>
          <w:sz w:val="20"/>
          <w:lang w:val="fr-CA"/>
        </w:rPr>
      </w:pPr>
      <w:r w:rsidRPr="008D50E0">
        <w:rPr>
          <w:i/>
          <w:sz w:val="20"/>
          <w:lang w:val="fr-CA"/>
        </w:rPr>
        <w:tab/>
        <w:t>Roy W. Millen</w:t>
      </w:r>
      <w:r w:rsidRPr="008D50E0">
        <w:rPr>
          <w:sz w:val="20"/>
          <w:lang w:val="fr-CA"/>
        </w:rPr>
        <w:t xml:space="preserve">, </w:t>
      </w:r>
      <w:r w:rsidRPr="008D50E0">
        <w:rPr>
          <w:i/>
          <w:sz w:val="20"/>
          <w:lang w:val="fr-CA"/>
        </w:rPr>
        <w:t>Joanne Lysyk</w:t>
      </w:r>
      <w:r w:rsidRPr="008D50E0">
        <w:rPr>
          <w:sz w:val="20"/>
          <w:lang w:val="fr-CA"/>
        </w:rPr>
        <w:t xml:space="preserve"> et </w:t>
      </w:r>
      <w:r w:rsidRPr="008D50E0">
        <w:rPr>
          <w:i/>
          <w:sz w:val="20"/>
          <w:lang w:val="fr-CA"/>
        </w:rPr>
        <w:t>Alexandra Luchenko</w:t>
      </w:r>
      <w:r w:rsidRPr="008D50E0">
        <w:rPr>
          <w:sz w:val="20"/>
          <w:lang w:val="fr-CA"/>
        </w:rPr>
        <w:t>, pour l’appelante.</w:t>
      </w:r>
    </w:p>
    <w:p w:rsidR="008D50E0" w:rsidRPr="008D50E0" w:rsidRDefault="008D50E0" w:rsidP="008D50E0">
      <w:pPr>
        <w:pStyle w:val="SCCNormalDoubleSpacing"/>
        <w:spacing w:line="240" w:lineRule="auto"/>
        <w:rPr>
          <w:i/>
          <w:sz w:val="20"/>
          <w:lang w:val="fr-CA"/>
        </w:rPr>
      </w:pPr>
    </w:p>
    <w:p w:rsidR="008D50E0" w:rsidRPr="008D50E0" w:rsidRDefault="008D50E0" w:rsidP="008D50E0">
      <w:pPr>
        <w:pStyle w:val="SCCNormalDoubleSpacing"/>
        <w:spacing w:line="240" w:lineRule="auto"/>
        <w:rPr>
          <w:sz w:val="20"/>
          <w:lang w:val="fr-CA"/>
        </w:rPr>
      </w:pPr>
      <w:r w:rsidRPr="008D50E0">
        <w:rPr>
          <w:i/>
          <w:sz w:val="20"/>
          <w:lang w:val="fr-CA"/>
        </w:rPr>
        <w:tab/>
        <w:t>Sukhbir Manhas et Reece Harding</w:t>
      </w:r>
      <w:r w:rsidRPr="008D50E0">
        <w:rPr>
          <w:sz w:val="20"/>
          <w:lang w:val="fr-CA"/>
        </w:rPr>
        <w:t>, pour l’intimée.</w:t>
      </w:r>
    </w:p>
    <w:p w:rsidR="008D50E0" w:rsidRPr="008D50E0" w:rsidRDefault="008D50E0" w:rsidP="008D50E0">
      <w:pPr>
        <w:pStyle w:val="SCCLawFirm"/>
        <w:spacing w:line="240" w:lineRule="auto"/>
        <w:rPr>
          <w:sz w:val="20"/>
          <w:lang w:val="fr-CA"/>
        </w:rPr>
      </w:pPr>
    </w:p>
    <w:p w:rsidR="008D50E0" w:rsidRPr="008D50E0" w:rsidRDefault="008D50E0" w:rsidP="008D50E0">
      <w:pPr>
        <w:pStyle w:val="SCCLawFirm"/>
        <w:spacing w:line="240" w:lineRule="auto"/>
        <w:rPr>
          <w:sz w:val="20"/>
          <w:lang w:val="fr-CA"/>
        </w:rPr>
      </w:pPr>
      <w:r w:rsidRPr="008D50E0">
        <w:rPr>
          <w:sz w:val="20"/>
          <w:lang w:val="fr-CA"/>
        </w:rPr>
        <w:tab/>
        <w:t>Procureurs de l’appelante : Blake, Cassels &amp; Graydon, Vancouver.</w:t>
      </w:r>
    </w:p>
    <w:p w:rsidR="008D50E0" w:rsidRPr="008D50E0" w:rsidRDefault="008D50E0" w:rsidP="008D50E0">
      <w:pPr>
        <w:pStyle w:val="SCCLawFirm"/>
        <w:spacing w:line="240" w:lineRule="auto"/>
        <w:rPr>
          <w:sz w:val="20"/>
          <w:lang w:val="fr-CA"/>
        </w:rPr>
      </w:pPr>
    </w:p>
    <w:p w:rsidR="008D50E0" w:rsidRPr="008D50E0" w:rsidRDefault="008D50E0" w:rsidP="008D50E0">
      <w:pPr>
        <w:pStyle w:val="SCCLawFirm"/>
        <w:spacing w:line="240" w:lineRule="auto"/>
        <w:rPr>
          <w:sz w:val="20"/>
          <w:lang w:val="fr-CA"/>
        </w:rPr>
      </w:pPr>
      <w:r w:rsidRPr="008D50E0">
        <w:rPr>
          <w:sz w:val="20"/>
          <w:lang w:val="fr-CA"/>
        </w:rPr>
        <w:tab/>
        <w:t>Procureurs de l’intimée : Young, Anderson, Vancouver.</w:t>
      </w:r>
    </w:p>
    <w:p w:rsidR="003B3977" w:rsidRDefault="003B3977" w:rsidP="005C6840">
      <w:pPr>
        <w:rPr>
          <w:rFonts w:cs="Times New Roman"/>
          <w:sz w:val="20"/>
          <w:szCs w:val="20"/>
          <w:lang w:val="fr-CA"/>
        </w:rPr>
      </w:pPr>
    </w:p>
    <w:p w:rsidR="003B3977" w:rsidRDefault="00BF59B3" w:rsidP="00322A16">
      <w:pPr>
        <w:rPr>
          <w:sz w:val="20"/>
          <w:szCs w:val="20"/>
        </w:rPr>
      </w:pPr>
      <w:r w:rsidRPr="00BF59B3">
        <w:rPr>
          <w:rFonts w:cs="Times New Roman"/>
          <w:sz w:val="20"/>
          <w:szCs w:val="20"/>
          <w:lang w:val="fr-CA"/>
        </w:rPr>
        <w:pict>
          <v:rect id="_x0000_i1081"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576" w:footer="960" w:gutter="0"/>
          <w:cols w:space="720"/>
          <w:titlePg/>
          <w:docGrid w:linePitch="272"/>
        </w:sectPr>
      </w:pPr>
    </w:p>
    <w:p w:rsidR="00E903A1" w:rsidRPr="002E0C7E" w:rsidRDefault="00BF59B3"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55"/>
      <w:footerReference w:type="default" r:id="rId56"/>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7A5" w:rsidRDefault="001817A5" w:rsidP="00A87207">
      <w:r>
        <w:separator/>
      </w:r>
    </w:p>
  </w:endnote>
  <w:endnote w:type="continuationSeparator" w:id="0">
    <w:p w:rsidR="001817A5" w:rsidRDefault="001817A5"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Default="00BF59B3" w:rsidP="00A87207">
    <w:pPr>
      <w:pStyle w:val="Footer"/>
    </w:pPr>
    <w:r>
      <w:pict>
        <v:rect id="_x0000_i1031" style="width:480.95pt;height:1pt" o:hralign="center" o:hrstd="t" o:hrnoshade="t" o:hr="t" fillcolor="black [3213]" stroked="f"/>
      </w:pict>
    </w:r>
  </w:p>
  <w:p w:rsidR="001817A5" w:rsidRPr="00B7374B" w:rsidRDefault="001817A5" w:rsidP="00B7374B">
    <w:pPr>
      <w:tabs>
        <w:tab w:val="center" w:pos="4680"/>
      </w:tabs>
      <w:rPr>
        <w:szCs w:val="24"/>
      </w:rPr>
    </w:pPr>
    <w:r w:rsidRPr="00954D22">
      <w:rPr>
        <w:szCs w:val="24"/>
      </w:rPr>
      <w:tab/>
      <w:t xml:space="preserve">- </w:t>
    </w:r>
    <w:r w:rsidR="00BF59B3" w:rsidRPr="00954D22">
      <w:rPr>
        <w:szCs w:val="24"/>
      </w:rPr>
      <w:fldChar w:fldCharType="begin"/>
    </w:r>
    <w:r w:rsidRPr="00954D22">
      <w:rPr>
        <w:szCs w:val="24"/>
      </w:rPr>
      <w:instrText xml:space="preserve"> PAGE   \* MERGEFORMAT </w:instrText>
    </w:r>
    <w:r w:rsidR="00BF59B3" w:rsidRPr="00954D22">
      <w:rPr>
        <w:szCs w:val="24"/>
      </w:rPr>
      <w:fldChar w:fldCharType="separate"/>
    </w:r>
    <w:r>
      <w:rPr>
        <w:noProof/>
        <w:szCs w:val="24"/>
      </w:rPr>
      <w:t>49</w:t>
    </w:r>
    <w:r w:rsidR="00BF59B3" w:rsidRPr="00954D22">
      <w:rPr>
        <w:szCs w:val="24"/>
      </w:rPr>
      <w:fldChar w:fldCharType="end"/>
    </w:r>
    <w:r w:rsidRPr="00954D22">
      <w:rPr>
        <w:szCs w:val="24"/>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Default="00BF59B3" w:rsidP="00EB2B90">
    <w:pPr>
      <w:tabs>
        <w:tab w:val="center" w:pos="4680"/>
      </w:tabs>
    </w:pPr>
    <w:r>
      <w:pict>
        <v:rect id="_x0000_i1062" style="width:480.95pt;height:1pt" o:hralign="center" o:hrstd="t" o:hrnoshade="t" o:hr="t" fillcolor="black [3213]" stroked="f"/>
      </w:pict>
    </w:r>
  </w:p>
  <w:p w:rsidR="001817A5" w:rsidRPr="0031432F" w:rsidRDefault="001817A5" w:rsidP="00EB2B90">
    <w:pPr>
      <w:tabs>
        <w:tab w:val="center" w:pos="4680"/>
      </w:tabs>
    </w:pPr>
    <w:r>
      <w:tab/>
      <w:t xml:space="preserve">- </w:t>
    </w:r>
    <w:fldSimple w:instr=" PAGE   \* MERGEFORMAT ">
      <w:r w:rsidR="008602B3">
        <w:rPr>
          <w:noProof/>
        </w:rPr>
        <w:t>70</w:t>
      </w:r>
    </w:fldSimple>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Default="00181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817A5" w:rsidRDefault="00181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817A5" w:rsidRDefault="001817A5">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Default="00BF5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F59B3">
      <w:rPr>
        <w:lang w:val="fr-CA"/>
      </w:rPr>
      <w:pict>
        <v:rect id="_x0000_i1067" style="width:480.95pt;height:1pt" o:hralign="center" o:hrstd="t" o:hrnoshade="t" o:hr="t" fillcolor="black [3213]" stroked="f"/>
      </w:pict>
    </w:r>
  </w:p>
  <w:p w:rsidR="001817A5" w:rsidRDefault="001817A5" w:rsidP="00EB2B90">
    <w:pPr>
      <w:tabs>
        <w:tab w:val="center" w:pos="4680"/>
      </w:tabs>
    </w:pPr>
    <w:r>
      <w:tab/>
      <w:t xml:space="preserve">- </w:t>
    </w:r>
    <w:fldSimple w:instr=" PAGE   \* MERGEFORMAT ">
      <w:r>
        <w:rPr>
          <w:noProof/>
        </w:rPr>
        <w:t>519</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Default="00BF59B3">
    <w:pPr>
      <w:pStyle w:val="Footer"/>
      <w:rPr>
        <w:lang w:val="fr-CA"/>
      </w:rPr>
    </w:pPr>
    <w:r w:rsidRPr="00BF59B3">
      <w:rPr>
        <w:lang w:val="fr-CA"/>
      </w:rPr>
      <w:pict>
        <v:rect id="_x0000_i1068" style="width:480.95pt;height:1pt" o:hralign="center" o:hrstd="t" o:hrnoshade="t" o:hr="t" fillcolor="black [3213]" stroked="f"/>
      </w:pict>
    </w:r>
  </w:p>
  <w:p w:rsidR="001817A5" w:rsidRDefault="001817A5" w:rsidP="00EB2B90">
    <w:pPr>
      <w:tabs>
        <w:tab w:val="center" w:pos="4680"/>
      </w:tabs>
    </w:pPr>
    <w:r>
      <w:tab/>
      <w:t xml:space="preserve">- </w:t>
    </w:r>
    <w:fldSimple w:instr=" PAGE   \* MERGEFORMAT ">
      <w:r w:rsidR="008602B3">
        <w:rPr>
          <w:noProof/>
        </w:rPr>
        <w:t>75</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Default="00181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817A5" w:rsidRDefault="00181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817A5" w:rsidRDefault="001817A5">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Default="00BF59B3" w:rsidP="00732DB7">
    <w:r>
      <w:pict>
        <v:rect id="_x0000_i1075" style="width:480.95pt;height:1pt" o:hralign="center" o:hrstd="t" o:hrnoshade="t" o:hr="t" fillcolor="black" stroked="f"/>
      </w:pict>
    </w:r>
  </w:p>
  <w:p w:rsidR="001817A5" w:rsidRDefault="001817A5">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Default="00BF59B3">
    <w:pPr>
      <w:pStyle w:val="Footer"/>
    </w:pPr>
    <w:r>
      <w:pict>
        <v:rect id="_x0000_i1076" style="width:480.95pt;height:1pt" o:hralign="center" o:hrstd="t" o:hrnoshade="t" o:hr="t" fillcolor="black" stroked="f"/>
      </w:pict>
    </w:r>
  </w:p>
  <w:p w:rsidR="001817A5" w:rsidRPr="00283C52" w:rsidRDefault="001817A5">
    <w:pPr>
      <w:pStyle w:val="Footer"/>
    </w:pPr>
    <w:r>
      <w:tab/>
    </w:r>
    <w:r w:rsidRPr="00283C52">
      <w:t xml:space="preserve">- </w:t>
    </w:r>
    <w:r w:rsidRPr="00283C52">
      <w:pgNum/>
    </w:r>
    <w:r w:rsidRPr="00283C52">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Default="00181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817A5" w:rsidRDefault="00181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817A5" w:rsidRDefault="001817A5">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Default="00BF59B3" w:rsidP="00732DB7">
    <w:r>
      <w:pict>
        <v:rect id="_x0000_i1078" style="width:480.95pt;height:1pt" o:hralign="center" o:hrstd="t" o:hrnoshade="t" o:hr="t" fillcolor="black" stroked="f"/>
      </w:pict>
    </w:r>
  </w:p>
  <w:p w:rsidR="001817A5" w:rsidRDefault="001817A5">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Default="00BF59B3">
    <w:pPr>
      <w:pStyle w:val="Footer"/>
    </w:pPr>
    <w:r>
      <w:pict>
        <v:rect id="_x0000_i1079" style="width:480.95pt;height:1pt" o:hralign="center" o:hrstd="t" o:hrnoshade="t" o:hr="t" fillcolor="black [3213]" stroked="f"/>
      </w:pict>
    </w:r>
  </w:p>
  <w:p w:rsidR="001817A5" w:rsidRPr="003C2C0F" w:rsidRDefault="001817A5" w:rsidP="00697C62">
    <w:pPr>
      <w:tabs>
        <w:tab w:val="center" w:pos="4680"/>
      </w:tabs>
    </w:pPr>
    <w:r>
      <w:tab/>
      <w:t xml:space="preserve">- </w:t>
    </w:r>
    <w:fldSimple w:instr=" PAGE   \* MERGEFORMAT ">
      <w:r w:rsidR="008602B3">
        <w:rPr>
          <w:noProof/>
        </w:rPr>
        <w:t>82</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Default="00BF59B3" w:rsidP="00755F22">
    <w:pPr>
      <w:tabs>
        <w:tab w:val="left" w:pos="-1440"/>
        <w:tab w:val="left" w:pos="-720"/>
      </w:tabs>
    </w:pPr>
    <w:r>
      <w:pict>
        <v:rect id="_x0000_i1032" style="width:480.95pt;height:1pt" o:hralign="center" o:hrstd="t" o:hrnoshade="t" o:hr="t" fillcolor="black [3213]" stroked="f"/>
      </w:pict>
    </w:r>
  </w:p>
  <w:p w:rsidR="001817A5" w:rsidRPr="00954D22" w:rsidRDefault="001817A5" w:rsidP="00B7374B">
    <w:pPr>
      <w:tabs>
        <w:tab w:val="center" w:pos="4680"/>
      </w:tabs>
      <w:rPr>
        <w:szCs w:val="24"/>
      </w:rPr>
    </w:pPr>
    <w:r w:rsidRPr="00954D22">
      <w:rPr>
        <w:szCs w:val="24"/>
      </w:rPr>
      <w:tab/>
      <w:t xml:space="preserve">- </w:t>
    </w:r>
    <w:r w:rsidR="00BF59B3">
      <w:rPr>
        <w:szCs w:val="24"/>
      </w:rPr>
      <w:fldChar w:fldCharType="begin"/>
    </w:r>
    <w:r>
      <w:rPr>
        <w:szCs w:val="24"/>
      </w:rPr>
      <w:instrText xml:space="preserve"> PAGE   \* MERGEFORMAT </w:instrText>
    </w:r>
    <w:r w:rsidR="00BF59B3">
      <w:rPr>
        <w:szCs w:val="24"/>
      </w:rPr>
      <w:fldChar w:fldCharType="separate"/>
    </w:r>
    <w:r w:rsidR="008602B3">
      <w:rPr>
        <w:noProof/>
        <w:szCs w:val="24"/>
      </w:rPr>
      <w:t>48</w:t>
    </w:r>
    <w:r w:rsidR="00BF59B3">
      <w:rPr>
        <w:szCs w:val="24"/>
      </w:rPr>
      <w:fldChar w:fldCharType="end"/>
    </w:r>
    <w:r w:rsidRPr="00954D22">
      <w:rPr>
        <w:szCs w:val="24"/>
      </w:rPr>
      <w:t xml:space="preserve"> -</w:t>
    </w:r>
  </w:p>
  <w:p w:rsidR="001817A5" w:rsidRDefault="001817A5">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Default="00181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817A5" w:rsidRDefault="00181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817A5" w:rsidRDefault="001817A5">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Default="00181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817A5" w:rsidRDefault="00BF5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2" style="width:480.95pt;height:1pt" o:hralign="center" o:hrstd="t" o:hrnoshade="t" o:hr="t" fillcolor="black [3213]" stroked="f"/>
      </w:pict>
    </w:r>
  </w:p>
  <w:p w:rsidR="001817A5" w:rsidRDefault="001817A5" w:rsidP="00782AE4">
    <w:pPr>
      <w:tabs>
        <w:tab w:val="center" w:pos="4680"/>
      </w:tabs>
    </w:pPr>
    <w:r>
      <w:tab/>
      <w:t xml:space="preserve">- </w:t>
    </w:r>
    <w:r w:rsidR="00BF59B3" w:rsidRPr="001775C1">
      <w:rPr>
        <w:szCs w:val="24"/>
      </w:rPr>
      <w:fldChar w:fldCharType="begin"/>
    </w:r>
    <w:r w:rsidRPr="001775C1">
      <w:rPr>
        <w:szCs w:val="24"/>
      </w:rPr>
      <w:instrText xml:space="preserve"> PAGE   \* MERGEFORMAT </w:instrText>
    </w:r>
    <w:r w:rsidR="00BF59B3" w:rsidRPr="001775C1">
      <w:rPr>
        <w:szCs w:val="24"/>
      </w:rPr>
      <w:fldChar w:fldCharType="separate"/>
    </w:r>
    <w:r w:rsidR="008602B3">
      <w:rPr>
        <w:noProof/>
        <w:szCs w:val="24"/>
      </w:rPr>
      <w:t>85</w:t>
    </w:r>
    <w:r w:rsidR="00BF59B3"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Default="00BF59B3" w:rsidP="00782AE4">
    <w:pPr>
      <w:tabs>
        <w:tab w:val="center" w:pos="4680"/>
      </w:tabs>
    </w:pPr>
    <w:r>
      <w:pict>
        <v:rect id="_x0000_i1083" style="width:480.95pt;height:1pt" o:hralign="center" o:hrstd="t" o:hrnoshade="t" o:hr="t" fillcolor="black [3213]" stroked="f"/>
      </w:pict>
    </w:r>
  </w:p>
  <w:p w:rsidR="001817A5" w:rsidRDefault="001817A5" w:rsidP="00782AE4">
    <w:pPr>
      <w:tabs>
        <w:tab w:val="center" w:pos="4680"/>
      </w:tabs>
    </w:pPr>
    <w:r>
      <w:tab/>
      <w:t xml:space="preserve">- </w:t>
    </w:r>
    <w:r w:rsidR="00BF59B3" w:rsidRPr="001775C1">
      <w:rPr>
        <w:szCs w:val="24"/>
      </w:rPr>
      <w:fldChar w:fldCharType="begin"/>
    </w:r>
    <w:r w:rsidRPr="001775C1">
      <w:rPr>
        <w:szCs w:val="24"/>
      </w:rPr>
      <w:instrText xml:space="preserve"> PAGE   \* MERGEFORMAT </w:instrText>
    </w:r>
    <w:r w:rsidR="00BF59B3" w:rsidRPr="001775C1">
      <w:rPr>
        <w:szCs w:val="24"/>
      </w:rPr>
      <w:fldChar w:fldCharType="separate"/>
    </w:r>
    <w:r w:rsidR="008602B3">
      <w:rPr>
        <w:noProof/>
        <w:szCs w:val="24"/>
      </w:rPr>
      <w:t>83</w:t>
    </w:r>
    <w:r w:rsidR="00BF59B3"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Pr="00924065" w:rsidRDefault="001817A5"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Default="00BF59B3" w:rsidP="00A87207">
    <w:pPr>
      <w:pStyle w:val="Footer"/>
    </w:pPr>
    <w:r>
      <w:pict>
        <v:rect id="_x0000_i1034" style="width:480.95pt;height:1pt" o:hralign="center" o:hrstd="t" o:hrnoshade="t" o:hr="t" fillcolor="black [3213]" stroked="f"/>
      </w:pict>
    </w:r>
  </w:p>
  <w:p w:rsidR="001817A5" w:rsidRPr="00B7374B" w:rsidRDefault="001817A5" w:rsidP="00B7374B">
    <w:pPr>
      <w:tabs>
        <w:tab w:val="center" w:pos="4680"/>
      </w:tabs>
      <w:rPr>
        <w:szCs w:val="24"/>
      </w:rPr>
    </w:pPr>
    <w:r w:rsidRPr="00954D22">
      <w:rPr>
        <w:szCs w:val="24"/>
      </w:rPr>
      <w:tab/>
      <w:t xml:space="preserve">- </w:t>
    </w:r>
    <w:r w:rsidR="00BF59B3" w:rsidRPr="00954D22">
      <w:rPr>
        <w:szCs w:val="24"/>
      </w:rPr>
      <w:fldChar w:fldCharType="begin"/>
    </w:r>
    <w:r w:rsidRPr="00954D22">
      <w:rPr>
        <w:szCs w:val="24"/>
      </w:rPr>
      <w:instrText xml:space="preserve"> PAGE   \* MERGEFORMAT </w:instrText>
    </w:r>
    <w:r w:rsidR="00BF59B3" w:rsidRPr="00954D22">
      <w:rPr>
        <w:szCs w:val="24"/>
      </w:rPr>
      <w:fldChar w:fldCharType="separate"/>
    </w:r>
    <w:r>
      <w:rPr>
        <w:noProof/>
        <w:szCs w:val="24"/>
      </w:rPr>
      <w:t>51</w:t>
    </w:r>
    <w:r w:rsidR="00BF59B3" w:rsidRPr="00954D22">
      <w:rPr>
        <w:szCs w:val="24"/>
      </w:rPr>
      <w:fldChar w:fldCharType="end"/>
    </w:r>
    <w:r>
      <w:rPr>
        <w:szCs w:val="24"/>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Default="00BF59B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5" style="width:480.95pt;height:1pt" o:hralign="center" o:hrstd="t" o:hrnoshade="t" o:hr="t" fillcolor="black [3213]" stroked="f"/>
      </w:pict>
    </w:r>
  </w:p>
  <w:p w:rsidR="001817A5" w:rsidRPr="00954D22" w:rsidRDefault="001817A5" w:rsidP="00B7374B">
    <w:pPr>
      <w:tabs>
        <w:tab w:val="center" w:pos="4680"/>
      </w:tabs>
      <w:rPr>
        <w:szCs w:val="24"/>
      </w:rPr>
    </w:pPr>
    <w:r w:rsidRPr="00954D22">
      <w:rPr>
        <w:szCs w:val="24"/>
      </w:rPr>
      <w:tab/>
      <w:t xml:space="preserve">- </w:t>
    </w:r>
    <w:r w:rsidR="00BF59B3" w:rsidRPr="00954D22">
      <w:rPr>
        <w:szCs w:val="24"/>
      </w:rPr>
      <w:fldChar w:fldCharType="begin"/>
    </w:r>
    <w:r w:rsidRPr="00954D22">
      <w:rPr>
        <w:szCs w:val="24"/>
      </w:rPr>
      <w:instrText xml:space="preserve"> PAGE   \* MERGEFORMAT </w:instrText>
    </w:r>
    <w:r w:rsidR="00BF59B3" w:rsidRPr="00954D22">
      <w:rPr>
        <w:szCs w:val="24"/>
      </w:rPr>
      <w:fldChar w:fldCharType="separate"/>
    </w:r>
    <w:r w:rsidR="008602B3">
      <w:rPr>
        <w:noProof/>
        <w:szCs w:val="24"/>
      </w:rPr>
      <w:t>49</w:t>
    </w:r>
    <w:r w:rsidR="00BF59B3"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Default="00181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817A5" w:rsidRDefault="00181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817A5" w:rsidRDefault="001817A5">
    <w:pPr>
      <w:tabs>
        <w:tab w:val="center" w:pos="4740"/>
      </w:tabs>
    </w:pPr>
    <w:r>
      <w:tab/>
      <w:t xml:space="preserve">- </w:t>
    </w:r>
    <w:r>
      <w:pgNum/>
    </w:r>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Default="00BF5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F59B3">
      <w:rPr>
        <w:lang w:val="fr-CA"/>
      </w:rPr>
      <w:pict>
        <v:rect id="_x0000_i1054" style="width:480.95pt;height:1pt" o:hralign="center" o:hrstd="t" o:hrnoshade="t" o:hr="t" fillcolor="black [3213]" stroked="f"/>
      </w:pict>
    </w:r>
  </w:p>
  <w:p w:rsidR="001817A5" w:rsidRPr="0009648D" w:rsidRDefault="001817A5" w:rsidP="00ED7E83">
    <w:pPr>
      <w:tabs>
        <w:tab w:val="center" w:pos="4680"/>
      </w:tabs>
    </w:pPr>
    <w:r>
      <w:tab/>
    </w:r>
    <w:r w:rsidRPr="0009648D">
      <w:t xml:space="preserve">- </w:t>
    </w:r>
    <w:fldSimple w:instr=" PAGE   \* MERGEFORMAT ">
      <w:r w:rsidR="008602B3">
        <w:rPr>
          <w:noProof/>
        </w:rPr>
        <w:t>69</w:t>
      </w:r>
    </w:fldSimple>
    <w:r w:rsidRPr="0009648D">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Default="00BF59B3">
    <w:pPr>
      <w:pStyle w:val="Footer"/>
      <w:rPr>
        <w:lang w:val="fr-CA"/>
      </w:rPr>
    </w:pPr>
    <w:r w:rsidRPr="00BF59B3">
      <w:rPr>
        <w:lang w:val="fr-CA"/>
      </w:rPr>
      <w:pict>
        <v:rect id="_x0000_i1055" style="width:480.95pt;height:1pt" o:hralign="center" o:hrstd="t" o:hrnoshade="t" o:hr="t" fillcolor="black [3213]" stroked="f"/>
      </w:pict>
    </w:r>
  </w:p>
  <w:p w:rsidR="001817A5" w:rsidRDefault="001817A5" w:rsidP="00245129">
    <w:pPr>
      <w:tabs>
        <w:tab w:val="center" w:pos="4680"/>
      </w:tabs>
    </w:pPr>
    <w:r>
      <w:tab/>
    </w:r>
    <w:r w:rsidRPr="0009648D">
      <w:t xml:space="preserve">- </w:t>
    </w:r>
    <w:fldSimple w:instr=" PAGE   \* MERGEFORMAT ">
      <w:r w:rsidR="008602B3">
        <w:rPr>
          <w:noProof/>
        </w:rPr>
        <w:t>50</w:t>
      </w:r>
    </w:fldSimple>
    <w:r w:rsidRPr="0009648D">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Default="00181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817A5" w:rsidRDefault="00181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817A5" w:rsidRDefault="001817A5">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Default="00BF59B3" w:rsidP="00755F22">
    <w:pPr>
      <w:tabs>
        <w:tab w:val="left" w:pos="-1440"/>
        <w:tab w:val="left" w:pos="-720"/>
      </w:tabs>
    </w:pPr>
    <w:r>
      <w:pict>
        <v:rect id="_x0000_i1061" style="width:480.95pt;height:1pt" o:hralign="center" o:hrstd="t" o:hrnoshade="t" o:hr="t" fillcolor="black [3213]" stroked="f"/>
      </w:pict>
    </w:r>
  </w:p>
  <w:p w:rsidR="001817A5" w:rsidRDefault="001817A5" w:rsidP="00EB2B90">
    <w:pPr>
      <w:tabs>
        <w:tab w:val="center" w:pos="4680"/>
      </w:tabs>
    </w:pPr>
    <w:r>
      <w:tab/>
      <w:t xml:space="preserve">- </w:t>
    </w:r>
    <w:fldSimple w:instr=" PAGE   \* MERGEFORMAT ">
      <w:r w:rsidR="008602B3">
        <w:rPr>
          <w:noProof/>
        </w:rPr>
        <w:t>74</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7A5" w:rsidRDefault="001817A5" w:rsidP="00A87207">
      <w:r>
        <w:separator/>
      </w:r>
    </w:p>
  </w:footnote>
  <w:footnote w:type="continuationSeparator" w:id="0">
    <w:p w:rsidR="001817A5" w:rsidRDefault="001817A5"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1817A5" w:rsidRPr="0044776A" w:rsidTr="00245129">
      <w:tc>
        <w:tcPr>
          <w:tcW w:w="4290" w:type="dxa"/>
          <w:tcMar>
            <w:left w:w="0" w:type="dxa"/>
            <w:right w:w="0" w:type="dxa"/>
          </w:tcMar>
        </w:tcPr>
        <w:p w:rsidR="001817A5" w:rsidRPr="0044776A" w:rsidRDefault="001817A5"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1817A5" w:rsidRPr="0044776A" w:rsidRDefault="001817A5" w:rsidP="002E2327">
          <w:pPr>
            <w:keepNext/>
            <w:keepLines/>
            <w:tabs>
              <w:tab w:val="left" w:pos="-1440"/>
              <w:tab w:val="left" w:pos="-720"/>
            </w:tabs>
            <w:jc w:val="center"/>
            <w:rPr>
              <w:sz w:val="20"/>
              <w:szCs w:val="20"/>
            </w:rPr>
          </w:pPr>
        </w:p>
        <w:p w:rsidR="001817A5" w:rsidRPr="0044776A" w:rsidRDefault="001817A5" w:rsidP="002E2327">
          <w:pPr>
            <w:keepNext/>
            <w:keepLines/>
            <w:tabs>
              <w:tab w:val="left" w:pos="-1440"/>
              <w:tab w:val="left" w:pos="-720"/>
            </w:tabs>
            <w:jc w:val="center"/>
            <w:rPr>
              <w:sz w:val="20"/>
              <w:szCs w:val="20"/>
            </w:rPr>
          </w:pPr>
        </w:p>
        <w:p w:rsidR="001817A5" w:rsidRPr="0044776A" w:rsidRDefault="001817A5" w:rsidP="002E2327">
          <w:pPr>
            <w:keepNext/>
            <w:keepLines/>
            <w:tabs>
              <w:tab w:val="left" w:pos="-1440"/>
              <w:tab w:val="left" w:pos="-720"/>
            </w:tabs>
            <w:jc w:val="center"/>
            <w:rPr>
              <w:sz w:val="20"/>
              <w:szCs w:val="20"/>
            </w:rPr>
          </w:pPr>
        </w:p>
      </w:tc>
      <w:tc>
        <w:tcPr>
          <w:tcW w:w="4320" w:type="dxa"/>
          <w:tcMar>
            <w:left w:w="0" w:type="dxa"/>
            <w:right w:w="0" w:type="dxa"/>
          </w:tcMar>
        </w:tcPr>
        <w:p w:rsidR="001817A5" w:rsidRPr="0044776A" w:rsidRDefault="001817A5" w:rsidP="002E2327">
          <w:pPr>
            <w:keepLines/>
            <w:rPr>
              <w:sz w:val="20"/>
              <w:szCs w:val="20"/>
              <w:lang w:val="fr-CA"/>
            </w:rPr>
          </w:pPr>
          <w:r w:rsidRPr="0044776A">
            <w:rPr>
              <w:sz w:val="20"/>
              <w:szCs w:val="20"/>
              <w:lang w:val="fr-CA"/>
            </w:rPr>
            <w:t>DEMANDES D'AUTORISATION D'APPEL DÉPOSÉES</w:t>
          </w:r>
        </w:p>
      </w:tc>
    </w:tr>
  </w:tbl>
  <w:p w:rsidR="001817A5" w:rsidRDefault="001817A5">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Default="001817A5">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817A5" w:rsidRPr="008602B3">
      <w:tc>
        <w:tcPr>
          <w:tcW w:w="4200" w:type="dxa"/>
          <w:tcMar>
            <w:left w:w="0" w:type="dxa"/>
            <w:right w:w="0" w:type="dxa"/>
          </w:tcMar>
        </w:tcPr>
        <w:p w:rsidR="001817A5" w:rsidRDefault="001817A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1817A5" w:rsidRDefault="001817A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817A5" w:rsidRPr="00B01A03" w:rsidRDefault="001817A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1817A5" w:rsidRPr="00B01A03" w:rsidRDefault="00181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817A5" w:rsidRPr="00B01A03" w:rsidRDefault="00181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1817A5" w:rsidRPr="008602B3" w:rsidTr="00245129">
      <w:tc>
        <w:tcPr>
          <w:tcW w:w="4200" w:type="dxa"/>
          <w:tcMar>
            <w:left w:w="0" w:type="dxa"/>
            <w:right w:w="0" w:type="dxa"/>
          </w:tcMar>
        </w:tcPr>
        <w:p w:rsidR="001817A5" w:rsidRPr="00F40249" w:rsidRDefault="001817A5"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1817A5" w:rsidRDefault="001817A5" w:rsidP="00102926">
          <w:pPr>
            <w:keepNext/>
            <w:keepLines/>
            <w:tabs>
              <w:tab w:val="left" w:pos="-1440"/>
              <w:tab w:val="left" w:pos="-720"/>
            </w:tabs>
            <w:jc w:val="center"/>
            <w:rPr>
              <w:sz w:val="20"/>
              <w:szCs w:val="20"/>
            </w:rPr>
          </w:pPr>
        </w:p>
        <w:p w:rsidR="001817A5" w:rsidRDefault="001817A5" w:rsidP="00102926">
          <w:pPr>
            <w:keepNext/>
            <w:keepLines/>
            <w:tabs>
              <w:tab w:val="left" w:pos="-1440"/>
              <w:tab w:val="left" w:pos="-720"/>
            </w:tabs>
            <w:jc w:val="center"/>
            <w:rPr>
              <w:sz w:val="20"/>
              <w:szCs w:val="20"/>
            </w:rPr>
          </w:pPr>
        </w:p>
        <w:p w:rsidR="001817A5" w:rsidRPr="00F40249" w:rsidRDefault="001817A5" w:rsidP="00102926">
          <w:pPr>
            <w:keepNext/>
            <w:keepLines/>
            <w:tabs>
              <w:tab w:val="left" w:pos="-1440"/>
              <w:tab w:val="left" w:pos="-720"/>
            </w:tabs>
            <w:jc w:val="center"/>
            <w:rPr>
              <w:sz w:val="20"/>
              <w:szCs w:val="20"/>
            </w:rPr>
          </w:pPr>
        </w:p>
      </w:tc>
      <w:tc>
        <w:tcPr>
          <w:tcW w:w="4230" w:type="dxa"/>
          <w:tcMar>
            <w:left w:w="0" w:type="dxa"/>
            <w:right w:w="0" w:type="dxa"/>
          </w:tcMar>
        </w:tcPr>
        <w:p w:rsidR="001817A5" w:rsidRPr="00F40249" w:rsidRDefault="001817A5"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1817A5" w:rsidRPr="00B01A03" w:rsidRDefault="001817A5"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Default="001817A5">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817A5" w:rsidRPr="008602B3">
      <w:tc>
        <w:tcPr>
          <w:tcW w:w="4200" w:type="dxa"/>
          <w:tcMar>
            <w:left w:w="0" w:type="dxa"/>
            <w:right w:w="0" w:type="dxa"/>
          </w:tcMar>
        </w:tcPr>
        <w:p w:rsidR="001817A5" w:rsidRDefault="001817A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1817A5" w:rsidRDefault="001817A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817A5" w:rsidRPr="00283C52" w:rsidRDefault="001817A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1817A5" w:rsidRPr="00283C52" w:rsidRDefault="00181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817A5" w:rsidRPr="00283C52" w:rsidRDefault="00181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817A5" w:rsidRPr="008602B3" w:rsidTr="00245129">
      <w:tc>
        <w:tcPr>
          <w:tcW w:w="4200" w:type="dxa"/>
          <w:tcMar>
            <w:left w:w="0" w:type="dxa"/>
            <w:right w:w="0" w:type="dxa"/>
          </w:tcMar>
        </w:tcPr>
        <w:p w:rsidR="001817A5" w:rsidRPr="00732DB7" w:rsidRDefault="001817A5"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1817A5" w:rsidRPr="00732DB7" w:rsidRDefault="001817A5" w:rsidP="00732DB7">
          <w:pPr>
            <w:keepNext/>
            <w:keepLines/>
            <w:tabs>
              <w:tab w:val="left" w:pos="-1440"/>
              <w:tab w:val="left" w:pos="-720"/>
            </w:tabs>
            <w:jc w:val="center"/>
            <w:rPr>
              <w:sz w:val="20"/>
              <w:szCs w:val="20"/>
            </w:rPr>
          </w:pPr>
        </w:p>
        <w:p w:rsidR="001817A5" w:rsidRPr="00732DB7" w:rsidRDefault="001817A5" w:rsidP="00732DB7">
          <w:pPr>
            <w:keepNext/>
            <w:keepLines/>
            <w:tabs>
              <w:tab w:val="left" w:pos="-1440"/>
              <w:tab w:val="left" w:pos="-720"/>
            </w:tabs>
            <w:jc w:val="center"/>
            <w:rPr>
              <w:sz w:val="20"/>
              <w:szCs w:val="20"/>
            </w:rPr>
          </w:pPr>
        </w:p>
        <w:p w:rsidR="001817A5" w:rsidRPr="00732DB7" w:rsidRDefault="001817A5" w:rsidP="00732DB7">
          <w:pPr>
            <w:keepNext/>
            <w:keepLines/>
            <w:tabs>
              <w:tab w:val="left" w:pos="-1440"/>
              <w:tab w:val="left" w:pos="-720"/>
            </w:tabs>
            <w:jc w:val="center"/>
            <w:rPr>
              <w:sz w:val="20"/>
              <w:szCs w:val="20"/>
            </w:rPr>
          </w:pPr>
        </w:p>
      </w:tc>
      <w:tc>
        <w:tcPr>
          <w:tcW w:w="4080" w:type="dxa"/>
          <w:tcMar>
            <w:left w:w="0" w:type="dxa"/>
            <w:right w:w="0" w:type="dxa"/>
          </w:tcMar>
        </w:tcPr>
        <w:p w:rsidR="001817A5" w:rsidRPr="00732DB7" w:rsidRDefault="001817A5"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1817A5" w:rsidRPr="00283C52" w:rsidRDefault="001817A5"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Default="001817A5">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817A5" w:rsidRPr="008602B3">
      <w:tc>
        <w:tcPr>
          <w:tcW w:w="4200" w:type="dxa"/>
          <w:tcMar>
            <w:left w:w="0" w:type="dxa"/>
            <w:right w:w="0" w:type="dxa"/>
          </w:tcMar>
        </w:tcPr>
        <w:p w:rsidR="001817A5" w:rsidRDefault="001817A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1817A5" w:rsidRDefault="001817A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1817A5" w:rsidRDefault="001817A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1817A5" w:rsidRPr="003C2C0F" w:rsidRDefault="001817A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1817A5" w:rsidRPr="003C2C0F" w:rsidRDefault="00181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1817A5" w:rsidRPr="003C2C0F" w:rsidRDefault="00181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817A5" w:rsidRPr="008602B3" w:rsidTr="00245129">
      <w:tc>
        <w:tcPr>
          <w:tcW w:w="4200" w:type="dxa"/>
          <w:tcMar>
            <w:left w:w="0" w:type="dxa"/>
            <w:right w:w="0" w:type="dxa"/>
          </w:tcMar>
        </w:tcPr>
        <w:p w:rsidR="001817A5" w:rsidRPr="00FF6EEC" w:rsidRDefault="001817A5" w:rsidP="00FF6EEC">
          <w:pPr>
            <w:rPr>
              <w:sz w:val="20"/>
              <w:szCs w:val="20"/>
            </w:rPr>
          </w:pPr>
          <w:r w:rsidRPr="00FF6EEC">
            <w:rPr>
              <w:sz w:val="20"/>
              <w:szCs w:val="20"/>
            </w:rPr>
            <w:t>PRONOUNCEMENTS OF APPEALS RESERVED</w:t>
          </w:r>
        </w:p>
      </w:tc>
      <w:tc>
        <w:tcPr>
          <w:tcW w:w="1200" w:type="dxa"/>
          <w:tcMar>
            <w:left w:w="0" w:type="dxa"/>
            <w:right w:w="0" w:type="dxa"/>
          </w:tcMar>
        </w:tcPr>
        <w:p w:rsidR="001817A5" w:rsidRPr="00FF6EEC" w:rsidRDefault="001817A5" w:rsidP="00FF6EEC">
          <w:pPr>
            <w:jc w:val="center"/>
            <w:rPr>
              <w:sz w:val="20"/>
              <w:szCs w:val="20"/>
            </w:rPr>
          </w:pPr>
        </w:p>
        <w:p w:rsidR="001817A5" w:rsidRPr="00FF6EEC" w:rsidRDefault="001817A5" w:rsidP="00FF6EEC">
          <w:pPr>
            <w:jc w:val="center"/>
            <w:rPr>
              <w:sz w:val="20"/>
              <w:szCs w:val="20"/>
            </w:rPr>
          </w:pPr>
        </w:p>
        <w:p w:rsidR="001817A5" w:rsidRPr="00FF6EEC" w:rsidRDefault="001817A5" w:rsidP="00FF6EEC">
          <w:pPr>
            <w:jc w:val="center"/>
            <w:rPr>
              <w:sz w:val="20"/>
              <w:szCs w:val="20"/>
            </w:rPr>
          </w:pPr>
        </w:p>
      </w:tc>
      <w:tc>
        <w:tcPr>
          <w:tcW w:w="4080" w:type="dxa"/>
          <w:tcMar>
            <w:left w:w="0" w:type="dxa"/>
            <w:right w:w="0" w:type="dxa"/>
          </w:tcMar>
        </w:tcPr>
        <w:p w:rsidR="001817A5" w:rsidRPr="00FF6EEC" w:rsidRDefault="001817A5" w:rsidP="00FF6EEC">
          <w:pPr>
            <w:rPr>
              <w:sz w:val="20"/>
              <w:szCs w:val="20"/>
              <w:lang w:val="fr-CA"/>
            </w:rPr>
          </w:pPr>
          <w:r w:rsidRPr="00FF6EEC">
            <w:rPr>
              <w:sz w:val="20"/>
              <w:szCs w:val="20"/>
              <w:lang w:val="fr-CA"/>
            </w:rPr>
            <w:t>JUGEMENTS RENDUS SUR LES APPELS EN DÉLIBÉRÉ</w:t>
          </w:r>
        </w:p>
      </w:tc>
    </w:tr>
  </w:tbl>
  <w:p w:rsidR="001817A5" w:rsidRPr="003C2C0F" w:rsidRDefault="001817A5"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Default="001817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Default="001817A5">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1817A5">
      <w:tc>
        <w:tcPr>
          <w:tcW w:w="4230" w:type="dxa"/>
          <w:tcMar>
            <w:left w:w="0" w:type="dxa"/>
            <w:right w:w="0" w:type="dxa"/>
          </w:tcMar>
        </w:tcPr>
        <w:p w:rsidR="001817A5" w:rsidRDefault="001817A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1817A5" w:rsidRDefault="001817A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1817A5" w:rsidRDefault="001817A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1817A5" w:rsidRDefault="001817A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817A5" w:rsidRDefault="001817A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1817A5" w:rsidRDefault="001817A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1817A5" w:rsidRDefault="00181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817A5" w:rsidRDefault="00181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1817A5" w:rsidRPr="00782AE4" w:rsidTr="00245129">
      <w:tc>
        <w:tcPr>
          <w:tcW w:w="4230" w:type="dxa"/>
          <w:tcMar>
            <w:left w:w="0" w:type="dxa"/>
            <w:right w:w="0" w:type="dxa"/>
          </w:tcMar>
        </w:tcPr>
        <w:p w:rsidR="001817A5" w:rsidRPr="00782AE4" w:rsidRDefault="001817A5" w:rsidP="00102926">
          <w:pPr>
            <w:keepNext/>
            <w:keepLines/>
            <w:tabs>
              <w:tab w:val="left" w:pos="-1440"/>
              <w:tab w:val="left" w:pos="-720"/>
            </w:tabs>
            <w:rPr>
              <w:sz w:val="20"/>
              <w:szCs w:val="20"/>
            </w:rPr>
          </w:pPr>
          <w:r w:rsidRPr="00782AE4">
            <w:rPr>
              <w:sz w:val="20"/>
              <w:szCs w:val="20"/>
            </w:rPr>
            <w:t xml:space="preserve">HEADNOTES OF RECENT </w:t>
          </w:r>
        </w:p>
        <w:p w:rsidR="001817A5" w:rsidRPr="00782AE4" w:rsidRDefault="001817A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1817A5" w:rsidRDefault="001817A5" w:rsidP="00102926">
          <w:pPr>
            <w:keepNext/>
            <w:keepLines/>
            <w:tabs>
              <w:tab w:val="left" w:pos="-1440"/>
              <w:tab w:val="left" w:pos="-720"/>
            </w:tabs>
            <w:jc w:val="center"/>
            <w:rPr>
              <w:sz w:val="20"/>
              <w:szCs w:val="20"/>
            </w:rPr>
          </w:pPr>
        </w:p>
        <w:p w:rsidR="001817A5" w:rsidRDefault="001817A5" w:rsidP="00102926">
          <w:pPr>
            <w:keepNext/>
            <w:keepLines/>
            <w:tabs>
              <w:tab w:val="left" w:pos="-1440"/>
              <w:tab w:val="left" w:pos="-720"/>
            </w:tabs>
            <w:jc w:val="center"/>
            <w:rPr>
              <w:sz w:val="20"/>
              <w:szCs w:val="20"/>
            </w:rPr>
          </w:pPr>
        </w:p>
        <w:p w:rsidR="001817A5" w:rsidRPr="00782AE4" w:rsidRDefault="001817A5" w:rsidP="00102926">
          <w:pPr>
            <w:keepNext/>
            <w:keepLines/>
            <w:tabs>
              <w:tab w:val="left" w:pos="-1440"/>
              <w:tab w:val="left" w:pos="-720"/>
            </w:tabs>
            <w:jc w:val="center"/>
            <w:rPr>
              <w:sz w:val="20"/>
              <w:szCs w:val="20"/>
            </w:rPr>
          </w:pPr>
        </w:p>
      </w:tc>
      <w:tc>
        <w:tcPr>
          <w:tcW w:w="4080" w:type="dxa"/>
          <w:tcMar>
            <w:left w:w="0" w:type="dxa"/>
            <w:right w:w="0" w:type="dxa"/>
          </w:tcMar>
        </w:tcPr>
        <w:p w:rsidR="001817A5" w:rsidRPr="00102926" w:rsidRDefault="001817A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1817A5" w:rsidRPr="00782AE4" w:rsidRDefault="001817A5" w:rsidP="00102926">
          <w:pPr>
            <w:keepLines/>
            <w:tabs>
              <w:tab w:val="left" w:pos="-1440"/>
              <w:tab w:val="left" w:pos="-720"/>
            </w:tabs>
            <w:rPr>
              <w:sz w:val="20"/>
              <w:szCs w:val="20"/>
            </w:rPr>
          </w:pPr>
          <w:r w:rsidRPr="00102926">
            <w:rPr>
              <w:sz w:val="20"/>
              <w:szCs w:val="20"/>
              <w:lang w:val="fr-CA"/>
            </w:rPr>
            <w:t>RÉCENTS</w:t>
          </w:r>
        </w:p>
      </w:tc>
    </w:tr>
  </w:tbl>
  <w:p w:rsidR="001817A5" w:rsidRDefault="001817A5"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Default="001817A5">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Default="001817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817A5" w:rsidRPr="008602B3" w:rsidTr="00245129">
      <w:tc>
        <w:tcPr>
          <w:tcW w:w="4200" w:type="dxa"/>
          <w:tcMar>
            <w:left w:w="0" w:type="dxa"/>
            <w:right w:w="0" w:type="dxa"/>
          </w:tcMar>
        </w:tcPr>
        <w:p w:rsidR="001817A5" w:rsidRPr="0044776A" w:rsidRDefault="001817A5" w:rsidP="0044776A">
          <w:pPr>
            <w:keepNext/>
            <w:keepLines/>
            <w:widowControl w:val="0"/>
            <w:rPr>
              <w:sz w:val="20"/>
              <w:szCs w:val="20"/>
            </w:rPr>
          </w:pPr>
          <w:r>
            <w:rPr>
              <w:sz w:val="20"/>
              <w:szCs w:val="20"/>
            </w:rPr>
            <w:t>APPLICATIONS FOR LEAVE</w:t>
          </w:r>
        </w:p>
        <w:p w:rsidR="001817A5" w:rsidRPr="0044776A" w:rsidRDefault="001817A5"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1817A5" w:rsidRPr="0044776A" w:rsidRDefault="001817A5" w:rsidP="0044776A">
          <w:pPr>
            <w:keepNext/>
            <w:keepLines/>
            <w:widowControl w:val="0"/>
            <w:jc w:val="center"/>
            <w:rPr>
              <w:sz w:val="20"/>
              <w:szCs w:val="20"/>
            </w:rPr>
          </w:pPr>
        </w:p>
        <w:p w:rsidR="001817A5" w:rsidRPr="0044776A" w:rsidRDefault="001817A5" w:rsidP="0044776A">
          <w:pPr>
            <w:keepNext/>
            <w:keepLines/>
            <w:widowControl w:val="0"/>
            <w:jc w:val="center"/>
            <w:rPr>
              <w:sz w:val="20"/>
              <w:szCs w:val="20"/>
            </w:rPr>
          </w:pPr>
        </w:p>
        <w:p w:rsidR="001817A5" w:rsidRPr="0044776A" w:rsidRDefault="001817A5" w:rsidP="0044776A">
          <w:pPr>
            <w:keepNext/>
            <w:keepLines/>
            <w:widowControl w:val="0"/>
            <w:jc w:val="center"/>
            <w:rPr>
              <w:sz w:val="20"/>
              <w:szCs w:val="20"/>
            </w:rPr>
          </w:pPr>
        </w:p>
      </w:tc>
      <w:tc>
        <w:tcPr>
          <w:tcW w:w="4080" w:type="dxa"/>
          <w:tcMar>
            <w:left w:w="0" w:type="dxa"/>
            <w:right w:w="0" w:type="dxa"/>
          </w:tcMar>
        </w:tcPr>
        <w:p w:rsidR="001817A5" w:rsidRPr="0044776A" w:rsidRDefault="001817A5" w:rsidP="0044776A">
          <w:pPr>
            <w:keepLines/>
            <w:widowControl w:val="0"/>
            <w:rPr>
              <w:sz w:val="20"/>
              <w:szCs w:val="20"/>
              <w:lang w:val="fr-CA"/>
            </w:rPr>
          </w:pPr>
          <w:r w:rsidRPr="0044776A">
            <w:rPr>
              <w:sz w:val="20"/>
              <w:szCs w:val="20"/>
              <w:lang w:val="fr-CA"/>
            </w:rPr>
            <w:t>DEMANDES SOUMISES À LA COUR DEPUIS LA DERNIÈRE PARUTION</w:t>
          </w:r>
        </w:p>
        <w:p w:rsidR="001817A5" w:rsidRPr="0044776A" w:rsidRDefault="001817A5" w:rsidP="0044776A">
          <w:pPr>
            <w:widowControl w:val="0"/>
            <w:rPr>
              <w:sz w:val="20"/>
              <w:szCs w:val="20"/>
              <w:lang w:val="fr-CA"/>
            </w:rPr>
          </w:pPr>
        </w:p>
      </w:tc>
    </w:tr>
  </w:tbl>
  <w:p w:rsidR="001817A5" w:rsidRPr="002E2327" w:rsidRDefault="001817A5">
    <w:pPr>
      <w:pStyle w:val="Header"/>
      <w:rPr>
        <w:lang w:val="fr-CA"/>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Default="001817A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817A5" w:rsidRPr="008602B3">
      <w:tc>
        <w:tcPr>
          <w:tcW w:w="4200" w:type="dxa"/>
          <w:tcMar>
            <w:left w:w="0" w:type="dxa"/>
            <w:right w:w="0" w:type="dxa"/>
          </w:tcMar>
        </w:tcPr>
        <w:p w:rsidR="001817A5" w:rsidRDefault="001817A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817A5" w:rsidRDefault="001817A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817A5" w:rsidRDefault="001817A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817A5" w:rsidRPr="00FF6BA5" w:rsidRDefault="001817A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817A5" w:rsidRPr="00FF6BA5" w:rsidRDefault="00181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817A5" w:rsidRPr="00FF6BA5" w:rsidRDefault="00181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817A5" w:rsidRPr="00FF6BA5" w:rsidRDefault="00181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817A5" w:rsidRPr="008602B3" w:rsidTr="00245129">
      <w:tc>
        <w:tcPr>
          <w:tcW w:w="4200" w:type="dxa"/>
          <w:tcMar>
            <w:left w:w="0" w:type="dxa"/>
            <w:right w:w="0" w:type="dxa"/>
          </w:tcMar>
        </w:tcPr>
        <w:p w:rsidR="001817A5" w:rsidRPr="00755F22" w:rsidRDefault="001817A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1817A5" w:rsidRPr="00755F22" w:rsidRDefault="001817A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1817A5" w:rsidRPr="00755F22" w:rsidRDefault="001817A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817A5" w:rsidRPr="00755F22" w:rsidRDefault="001817A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817A5" w:rsidRPr="00755F22" w:rsidRDefault="001817A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817A5" w:rsidRPr="00755F22" w:rsidRDefault="001817A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1817A5" w:rsidRPr="00FF6BA5" w:rsidRDefault="001817A5" w:rsidP="00755F22">
    <w:pPr>
      <w:tabs>
        <w:tab w:val="left" w:pos="-1440"/>
        <w:tab w:val="left" w:pos="-720"/>
      </w:tabs>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5" w:rsidRDefault="001817A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1817A5">
      <w:tc>
        <w:tcPr>
          <w:tcW w:w="4230" w:type="dxa"/>
          <w:tcMar>
            <w:left w:w="0" w:type="dxa"/>
            <w:right w:w="0" w:type="dxa"/>
          </w:tcMar>
        </w:tcPr>
        <w:p w:rsidR="001817A5" w:rsidRDefault="001817A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817A5" w:rsidRDefault="001817A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817A5" w:rsidRDefault="001817A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817A5">
      <w:trPr>
        <w:gridAfter w:val="2"/>
        <w:wAfter w:w="5250" w:type="dxa"/>
      </w:trPr>
      <w:tc>
        <w:tcPr>
          <w:tcW w:w="4230" w:type="dxa"/>
          <w:tcMar>
            <w:left w:w="0" w:type="dxa"/>
            <w:right w:w="0" w:type="dxa"/>
          </w:tcMar>
        </w:tcPr>
        <w:p w:rsidR="001817A5" w:rsidRDefault="00181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817A5" w:rsidRDefault="00181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1817A5" w:rsidRPr="00755F22" w:rsidTr="00245129">
      <w:tc>
        <w:tcPr>
          <w:tcW w:w="4230" w:type="dxa"/>
          <w:tcMar>
            <w:left w:w="0" w:type="dxa"/>
            <w:right w:w="0" w:type="dxa"/>
          </w:tcMar>
        </w:tcPr>
        <w:p w:rsidR="001817A5" w:rsidRPr="00755F22" w:rsidRDefault="001817A5" w:rsidP="00831CA9">
          <w:pPr>
            <w:keepNext/>
            <w:keepLines/>
            <w:rPr>
              <w:sz w:val="20"/>
              <w:szCs w:val="20"/>
            </w:rPr>
          </w:pPr>
          <w:r w:rsidRPr="00755F22">
            <w:rPr>
              <w:sz w:val="20"/>
              <w:szCs w:val="20"/>
            </w:rPr>
            <w:t>MOTIONS</w:t>
          </w:r>
        </w:p>
      </w:tc>
      <w:tc>
        <w:tcPr>
          <w:tcW w:w="1170" w:type="dxa"/>
          <w:tcMar>
            <w:left w:w="0" w:type="dxa"/>
            <w:right w:w="0" w:type="dxa"/>
          </w:tcMar>
        </w:tcPr>
        <w:p w:rsidR="001817A5" w:rsidRPr="00755F22" w:rsidRDefault="001817A5" w:rsidP="00831CA9">
          <w:pPr>
            <w:keepLines/>
            <w:jc w:val="center"/>
            <w:rPr>
              <w:sz w:val="20"/>
              <w:szCs w:val="20"/>
            </w:rPr>
          </w:pPr>
        </w:p>
        <w:p w:rsidR="001817A5" w:rsidRPr="00755F22" w:rsidRDefault="001817A5" w:rsidP="00831CA9">
          <w:pPr>
            <w:keepLines/>
            <w:tabs>
              <w:tab w:val="left" w:pos="-1440"/>
              <w:tab w:val="left" w:pos="-720"/>
            </w:tabs>
            <w:jc w:val="center"/>
            <w:rPr>
              <w:sz w:val="20"/>
              <w:szCs w:val="20"/>
            </w:rPr>
          </w:pPr>
        </w:p>
      </w:tc>
      <w:tc>
        <w:tcPr>
          <w:tcW w:w="4080" w:type="dxa"/>
          <w:tcMar>
            <w:left w:w="0" w:type="dxa"/>
            <w:right w:w="0" w:type="dxa"/>
          </w:tcMar>
        </w:tcPr>
        <w:p w:rsidR="001817A5" w:rsidRPr="00BA6468" w:rsidRDefault="001817A5" w:rsidP="00BA6468">
          <w:pPr>
            <w:keepLines/>
            <w:rPr>
              <w:sz w:val="20"/>
              <w:szCs w:val="20"/>
              <w:lang w:val="fr-CA"/>
            </w:rPr>
          </w:pPr>
          <w:r w:rsidRPr="00BA6468">
            <w:rPr>
              <w:sz w:val="20"/>
              <w:szCs w:val="20"/>
              <w:lang w:val="fr-CA"/>
            </w:rPr>
            <w:t>REQUÊTES</w:t>
          </w:r>
        </w:p>
      </w:tc>
    </w:tr>
  </w:tbl>
  <w:p w:rsidR="001817A5" w:rsidRDefault="001817A5" w:rsidP="00831CA9">
    <w:pP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E0279"/>
    <w:multiLevelType w:val="hybridMultilevel"/>
    <w:tmpl w:val="561C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F705FB"/>
    <w:multiLevelType w:val="hybridMultilevel"/>
    <w:tmpl w:val="B8AAF3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A91698F"/>
    <w:multiLevelType w:val="hybridMultilevel"/>
    <w:tmpl w:val="F8C08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6097"/>
  </w:hdrShapeDefaults>
  <w:footnotePr>
    <w:footnote w:id="-1"/>
    <w:footnote w:id="0"/>
  </w:footnotePr>
  <w:endnotePr>
    <w:endnote w:id="-1"/>
    <w:endnote w:id="0"/>
  </w:endnotePr>
  <w:compat/>
  <w:rsids>
    <w:rsidRoot w:val="00692795"/>
    <w:rsid w:val="000102CE"/>
    <w:rsid w:val="00017A65"/>
    <w:rsid w:val="0003223B"/>
    <w:rsid w:val="000327B2"/>
    <w:rsid w:val="000407F7"/>
    <w:rsid w:val="000459BD"/>
    <w:rsid w:val="0006294F"/>
    <w:rsid w:val="00096BD9"/>
    <w:rsid w:val="000A417C"/>
    <w:rsid w:val="000B3C9A"/>
    <w:rsid w:val="000B40A2"/>
    <w:rsid w:val="000C0ACD"/>
    <w:rsid w:val="000C73E8"/>
    <w:rsid w:val="00102926"/>
    <w:rsid w:val="0010587F"/>
    <w:rsid w:val="00111C6B"/>
    <w:rsid w:val="0012102B"/>
    <w:rsid w:val="00121919"/>
    <w:rsid w:val="0013369E"/>
    <w:rsid w:val="00154A69"/>
    <w:rsid w:val="00164E6D"/>
    <w:rsid w:val="001817A5"/>
    <w:rsid w:val="001B157C"/>
    <w:rsid w:val="001B5C23"/>
    <w:rsid w:val="001D0D5F"/>
    <w:rsid w:val="001D6B8C"/>
    <w:rsid w:val="001D79E1"/>
    <w:rsid w:val="001F1F83"/>
    <w:rsid w:val="002021A9"/>
    <w:rsid w:val="002139A7"/>
    <w:rsid w:val="00215F7C"/>
    <w:rsid w:val="0022323B"/>
    <w:rsid w:val="00235620"/>
    <w:rsid w:val="002410B8"/>
    <w:rsid w:val="00242AEE"/>
    <w:rsid w:val="00245129"/>
    <w:rsid w:val="00245879"/>
    <w:rsid w:val="00262FDC"/>
    <w:rsid w:val="00267FD5"/>
    <w:rsid w:val="002868D0"/>
    <w:rsid w:val="002A0A8F"/>
    <w:rsid w:val="002A27D1"/>
    <w:rsid w:val="002A4AFA"/>
    <w:rsid w:val="002B516C"/>
    <w:rsid w:val="002D72EB"/>
    <w:rsid w:val="002E2327"/>
    <w:rsid w:val="002E3583"/>
    <w:rsid w:val="002E5576"/>
    <w:rsid w:val="00322A16"/>
    <w:rsid w:val="00331B52"/>
    <w:rsid w:val="003359D3"/>
    <w:rsid w:val="00340741"/>
    <w:rsid w:val="003553DF"/>
    <w:rsid w:val="00355967"/>
    <w:rsid w:val="00362AA7"/>
    <w:rsid w:val="00382C47"/>
    <w:rsid w:val="00384384"/>
    <w:rsid w:val="003866AE"/>
    <w:rsid w:val="003A0637"/>
    <w:rsid w:val="003A2D6A"/>
    <w:rsid w:val="003B3977"/>
    <w:rsid w:val="003E090E"/>
    <w:rsid w:val="003F2DE5"/>
    <w:rsid w:val="00432989"/>
    <w:rsid w:val="004405A1"/>
    <w:rsid w:val="00440E24"/>
    <w:rsid w:val="004445C8"/>
    <w:rsid w:val="0044776A"/>
    <w:rsid w:val="00460137"/>
    <w:rsid w:val="00460AFC"/>
    <w:rsid w:val="00464894"/>
    <w:rsid w:val="0047471F"/>
    <w:rsid w:val="004A4151"/>
    <w:rsid w:val="004B66B4"/>
    <w:rsid w:val="004B7F60"/>
    <w:rsid w:val="004C0222"/>
    <w:rsid w:val="004C1AAC"/>
    <w:rsid w:val="004C618B"/>
    <w:rsid w:val="004F090E"/>
    <w:rsid w:val="00523F41"/>
    <w:rsid w:val="00527CC7"/>
    <w:rsid w:val="00551EF4"/>
    <w:rsid w:val="00571CA4"/>
    <w:rsid w:val="00581009"/>
    <w:rsid w:val="00582136"/>
    <w:rsid w:val="00582A86"/>
    <w:rsid w:val="005C6840"/>
    <w:rsid w:val="005E3C90"/>
    <w:rsid w:val="005F1317"/>
    <w:rsid w:val="005F1340"/>
    <w:rsid w:val="005F263E"/>
    <w:rsid w:val="005F4E0D"/>
    <w:rsid w:val="005F66C5"/>
    <w:rsid w:val="00600252"/>
    <w:rsid w:val="00612A40"/>
    <w:rsid w:val="006149AA"/>
    <w:rsid w:val="00661457"/>
    <w:rsid w:val="00675479"/>
    <w:rsid w:val="0067710B"/>
    <w:rsid w:val="00692795"/>
    <w:rsid w:val="00696BF9"/>
    <w:rsid w:val="00697C62"/>
    <w:rsid w:val="006A329B"/>
    <w:rsid w:val="006A7EB8"/>
    <w:rsid w:val="006B31BA"/>
    <w:rsid w:val="006B6926"/>
    <w:rsid w:val="006B716D"/>
    <w:rsid w:val="006C02EF"/>
    <w:rsid w:val="006C3F47"/>
    <w:rsid w:val="006C5F7A"/>
    <w:rsid w:val="006E06AF"/>
    <w:rsid w:val="006E63EA"/>
    <w:rsid w:val="006F33B5"/>
    <w:rsid w:val="006F350F"/>
    <w:rsid w:val="00732DB7"/>
    <w:rsid w:val="00736CF0"/>
    <w:rsid w:val="0074238B"/>
    <w:rsid w:val="00755F22"/>
    <w:rsid w:val="00766E4A"/>
    <w:rsid w:val="007820CE"/>
    <w:rsid w:val="00782AE4"/>
    <w:rsid w:val="00792CE0"/>
    <w:rsid w:val="00796AC2"/>
    <w:rsid w:val="0079724F"/>
    <w:rsid w:val="007A0347"/>
    <w:rsid w:val="007A3EAE"/>
    <w:rsid w:val="007A70A1"/>
    <w:rsid w:val="007C04FC"/>
    <w:rsid w:val="007C22EF"/>
    <w:rsid w:val="007C3ABA"/>
    <w:rsid w:val="007D3E0F"/>
    <w:rsid w:val="007F36A7"/>
    <w:rsid w:val="007F387B"/>
    <w:rsid w:val="00802863"/>
    <w:rsid w:val="00803A2A"/>
    <w:rsid w:val="00815B3C"/>
    <w:rsid w:val="0082783A"/>
    <w:rsid w:val="00831CA9"/>
    <w:rsid w:val="00845150"/>
    <w:rsid w:val="00850E1F"/>
    <w:rsid w:val="0085476B"/>
    <w:rsid w:val="008602B3"/>
    <w:rsid w:val="00881B18"/>
    <w:rsid w:val="00890FEB"/>
    <w:rsid w:val="00895F3F"/>
    <w:rsid w:val="008B5DF0"/>
    <w:rsid w:val="008D292F"/>
    <w:rsid w:val="008D50E0"/>
    <w:rsid w:val="008E03DC"/>
    <w:rsid w:val="008E43AD"/>
    <w:rsid w:val="008E6D3F"/>
    <w:rsid w:val="00903386"/>
    <w:rsid w:val="00924065"/>
    <w:rsid w:val="00930D68"/>
    <w:rsid w:val="00932DB4"/>
    <w:rsid w:val="00941A4B"/>
    <w:rsid w:val="00946242"/>
    <w:rsid w:val="0095096B"/>
    <w:rsid w:val="00970CD3"/>
    <w:rsid w:val="009723FA"/>
    <w:rsid w:val="00984546"/>
    <w:rsid w:val="00996510"/>
    <w:rsid w:val="009A7F45"/>
    <w:rsid w:val="009D1F15"/>
    <w:rsid w:val="009D555E"/>
    <w:rsid w:val="009D7979"/>
    <w:rsid w:val="009E58D9"/>
    <w:rsid w:val="00A0355E"/>
    <w:rsid w:val="00A04B4C"/>
    <w:rsid w:val="00A05B9F"/>
    <w:rsid w:val="00A318B2"/>
    <w:rsid w:val="00A375D1"/>
    <w:rsid w:val="00A51D10"/>
    <w:rsid w:val="00A52A83"/>
    <w:rsid w:val="00A6552C"/>
    <w:rsid w:val="00A6632B"/>
    <w:rsid w:val="00A87207"/>
    <w:rsid w:val="00A935AA"/>
    <w:rsid w:val="00AB2201"/>
    <w:rsid w:val="00AD3259"/>
    <w:rsid w:val="00AF1715"/>
    <w:rsid w:val="00AF3904"/>
    <w:rsid w:val="00B010C0"/>
    <w:rsid w:val="00B231A3"/>
    <w:rsid w:val="00B41053"/>
    <w:rsid w:val="00B4740D"/>
    <w:rsid w:val="00B61629"/>
    <w:rsid w:val="00B7374B"/>
    <w:rsid w:val="00B85FF1"/>
    <w:rsid w:val="00B90DC0"/>
    <w:rsid w:val="00B962B5"/>
    <w:rsid w:val="00BA116A"/>
    <w:rsid w:val="00BA5582"/>
    <w:rsid w:val="00BA6468"/>
    <w:rsid w:val="00BB1CD7"/>
    <w:rsid w:val="00BB2950"/>
    <w:rsid w:val="00BB2F2B"/>
    <w:rsid w:val="00BD06DA"/>
    <w:rsid w:val="00BD4217"/>
    <w:rsid w:val="00BF1FA7"/>
    <w:rsid w:val="00BF25F3"/>
    <w:rsid w:val="00BF59B3"/>
    <w:rsid w:val="00C1697B"/>
    <w:rsid w:val="00C21CB5"/>
    <w:rsid w:val="00C50A5C"/>
    <w:rsid w:val="00C50FDF"/>
    <w:rsid w:val="00C5295A"/>
    <w:rsid w:val="00C62F18"/>
    <w:rsid w:val="00C63381"/>
    <w:rsid w:val="00C73D06"/>
    <w:rsid w:val="00C73E1B"/>
    <w:rsid w:val="00C759B4"/>
    <w:rsid w:val="00C77713"/>
    <w:rsid w:val="00C95D4A"/>
    <w:rsid w:val="00CB43D5"/>
    <w:rsid w:val="00CC4D84"/>
    <w:rsid w:val="00CF516D"/>
    <w:rsid w:val="00D128E2"/>
    <w:rsid w:val="00D40FF6"/>
    <w:rsid w:val="00D64901"/>
    <w:rsid w:val="00D722EB"/>
    <w:rsid w:val="00D76BDF"/>
    <w:rsid w:val="00D85406"/>
    <w:rsid w:val="00D862C1"/>
    <w:rsid w:val="00D87D9F"/>
    <w:rsid w:val="00D93B50"/>
    <w:rsid w:val="00D94670"/>
    <w:rsid w:val="00D97717"/>
    <w:rsid w:val="00DA46F6"/>
    <w:rsid w:val="00DD0B49"/>
    <w:rsid w:val="00DF3AF1"/>
    <w:rsid w:val="00E06DFA"/>
    <w:rsid w:val="00E20A0A"/>
    <w:rsid w:val="00E25140"/>
    <w:rsid w:val="00E32A86"/>
    <w:rsid w:val="00E356C7"/>
    <w:rsid w:val="00E45FE4"/>
    <w:rsid w:val="00E64FA7"/>
    <w:rsid w:val="00E750E3"/>
    <w:rsid w:val="00E75D58"/>
    <w:rsid w:val="00E770CB"/>
    <w:rsid w:val="00E84241"/>
    <w:rsid w:val="00E903A1"/>
    <w:rsid w:val="00E940EB"/>
    <w:rsid w:val="00E97CF7"/>
    <w:rsid w:val="00EB2B90"/>
    <w:rsid w:val="00ED3AD1"/>
    <w:rsid w:val="00ED7E83"/>
    <w:rsid w:val="00EF4B63"/>
    <w:rsid w:val="00F0068D"/>
    <w:rsid w:val="00F0478F"/>
    <w:rsid w:val="00F0576D"/>
    <w:rsid w:val="00F14E6D"/>
    <w:rsid w:val="00F15EA8"/>
    <w:rsid w:val="00F16C8D"/>
    <w:rsid w:val="00F26228"/>
    <w:rsid w:val="00F26C61"/>
    <w:rsid w:val="00F33CCE"/>
    <w:rsid w:val="00F40249"/>
    <w:rsid w:val="00F526C8"/>
    <w:rsid w:val="00F61014"/>
    <w:rsid w:val="00F8505F"/>
    <w:rsid w:val="00F86272"/>
    <w:rsid w:val="00F904EF"/>
    <w:rsid w:val="00F9272D"/>
    <w:rsid w:val="00F9518C"/>
    <w:rsid w:val="00F95CC5"/>
    <w:rsid w:val="00FA276E"/>
    <w:rsid w:val="00FA316E"/>
    <w:rsid w:val="00FA59EF"/>
    <w:rsid w:val="00FB19A2"/>
    <w:rsid w:val="00FD6BC1"/>
    <w:rsid w:val="00FF3BF5"/>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6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paragraph" w:customStyle="1" w:styleId="SCCAppellantInfoAppellantInfo">
    <w:name w:val="SCC.AppellantInfo.AppellantInfo"/>
    <w:basedOn w:val="Normal"/>
    <w:next w:val="Normal"/>
    <w:link w:val="SCCAppellantInfoAppellantInfoChar"/>
    <w:rsid w:val="00895F3F"/>
    <w:rPr>
      <w:szCs w:val="24"/>
    </w:rPr>
  </w:style>
  <w:style w:type="character" w:customStyle="1" w:styleId="SCCAppellantInfoAppellantInfoChar">
    <w:name w:val="SCC.AppellantInfo.AppellantInfo Char"/>
    <w:basedOn w:val="DefaultParagraphFont"/>
    <w:link w:val="SCCAppellantInfoAppellantInfo"/>
    <w:rsid w:val="00895F3F"/>
    <w:rPr>
      <w:szCs w:val="24"/>
      <w:lang w:val="en-CA"/>
    </w:rPr>
  </w:style>
  <w:style w:type="character" w:styleId="Hyperlink">
    <w:name w:val="Hyperlink"/>
    <w:basedOn w:val="DefaultParagraphFont"/>
    <w:uiPriority w:val="99"/>
    <w:unhideWhenUsed/>
    <w:rsid w:val="001219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header" Target="header2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fontTable" Target="fontTable.xml"/><Relationship Id="rId10" Type="http://schemas.openxmlformats.org/officeDocument/2006/relationships/hyperlink" Target="http://www.scc-csc.gc.ca"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footer" Target="footer23.xml"/><Relationship Id="rId8" Type="http://schemas.openxmlformats.org/officeDocument/2006/relationships/image" Target="media/image1.wmf"/><Relationship Id="rId51" Type="http://schemas.openxmlformats.org/officeDocument/2006/relationships/footer" Target="footer20.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6A304-7756-42DE-A1D9-D29ECD6E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15872</Words>
  <Characters>90473</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2012-01-25T13:43:00Z</dcterms:created>
  <dcterms:modified xsi:type="dcterms:W3CDTF">2012-01-25T13:43:00Z</dcterms:modified>
</cp:coreProperties>
</file>